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jpeg" ContentType="image/jpeg"/>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rPr/>
      </w:pPr>
      <w:hyperlink w:anchor="toc">
        <w:bookmarkStart w:id="0" w:name="d497326d20f.htm"/>
        <w:bookmarkStart w:id="1" w:name="ksd497326d20f"/>
        <w:bookmarkEnd w:id="0"/>
        <w:bookmarkEnd w:id="1"/>
        <w:r>
          <w:rPr>
            <w:rStyle w:val="InternetLink"/>
          </w:rPr>
          <w:t>Table of Contents</w:t>
        </w:r>
      </w:hyperlink>
    </w:p>
    <w:p>
      <w:pPr>
        <w:pStyle w:val="TextBody"/>
        <w:spacing w:before="0" w:after="0"/>
        <w:rPr>
          <w:b/>
        </w:rPr>
      </w:pPr>
      <w:r>
        <w:rPr>
          <w:b/>
        </w:rPr>
      </w:r>
    </w:p>
    <w:p>
      <w:pPr>
        <w:pStyle w:val="TextBody"/>
        <w:spacing w:lineRule="atLeast" w:line="141" w:before="0" w:after="0"/>
        <w:jc w:val="left"/>
        <w:rPr>
          <w:highlight w:val="white"/>
          <w:bdr w:val="single" w:sz="2" w:space="1" w:color="000000"/>
        </w:rPr>
      </w:pPr>
      <w:r>
        <w:rPr>
          <w:highlight w:val="white"/>
          <w:bdr w:val="single" w:sz="2" w:space="1" w:color="000000"/>
        </w:rPr>
        <w:t> </w:t>
      </w:r>
    </w:p>
    <w:p>
      <w:pPr>
        <w:pStyle w:val="TextBody"/>
        <w:spacing w:lineRule="atLeast" w:line="141" w:before="0" w:after="40"/>
        <w:jc w:val="left"/>
        <w:rPr>
          <w:highlight w:val="white"/>
          <w:bdr w:val="single" w:sz="2" w:space="1" w:color="000000"/>
        </w:rPr>
      </w:pPr>
      <w:r>
        <w:rPr>
          <w:highlight w:val="white"/>
          <w:bdr w:val="single" w:sz="2" w:space="1" w:color="000000"/>
        </w:rPr>
        <w:t> </w:t>
      </w:r>
    </w:p>
    <w:p>
      <w:pPr>
        <w:pStyle w:val="TextBody"/>
        <w:spacing w:before="80" w:after="0"/>
        <w:jc w:val="center"/>
        <w:rPr>
          <w:rFonts w:ascii="Times New Roman" w:hAnsi="Times New Roman"/>
          <w:b/>
          <w:sz w:val="32"/>
          <w:highlight w:val="white"/>
        </w:rPr>
      </w:pPr>
      <w:r>
        <w:rPr>
          <w:rFonts w:ascii="Times New Roman" w:hAnsi="Times New Roman"/>
          <w:b/>
          <w:sz w:val="32"/>
          <w:highlight w:val="white"/>
        </w:rPr>
        <w:t xml:space="preserve">UNITED STATES </w:t>
      </w:r>
    </w:p>
    <w:p>
      <w:pPr>
        <w:pStyle w:val="TextBody"/>
        <w:spacing w:before="0" w:after="0"/>
        <w:jc w:val="center"/>
        <w:rPr>
          <w:rFonts w:ascii="Times New Roman" w:hAnsi="Times New Roman"/>
          <w:b/>
          <w:sz w:val="32"/>
          <w:highlight w:val="white"/>
        </w:rPr>
      </w:pPr>
      <w:r>
        <w:rPr>
          <w:rFonts w:ascii="Times New Roman" w:hAnsi="Times New Roman"/>
          <w:b/>
          <w:sz w:val="32"/>
          <w:highlight w:val="white"/>
        </w:rPr>
        <w:t xml:space="preserve">SECURITIES AND EXCHANGE COMMISSION </w:t>
      </w:r>
    </w:p>
    <w:p>
      <w:pPr>
        <w:pStyle w:val="TextBody"/>
        <w:spacing w:before="0" w:after="0"/>
        <w:jc w:val="center"/>
        <w:rPr>
          <w:rFonts w:ascii="Times New Roman" w:hAnsi="Times New Roman"/>
          <w:b/>
          <w:sz w:val="22"/>
          <w:highlight w:val="white"/>
        </w:rPr>
      </w:pPr>
      <w:r>
        <w:rPr>
          <w:rFonts w:ascii="Times New Roman" w:hAnsi="Times New Roman"/>
          <w:b/>
          <w:sz w:val="22"/>
          <w:highlight w:val="white"/>
        </w:rPr>
        <w:t xml:space="preserve">Washington, DC 20549 </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120" w:after="0"/>
        <w:jc w:val="center"/>
        <w:rPr>
          <w:rFonts w:ascii="Times New Roman" w:hAnsi="Times New Roman"/>
          <w:b/>
          <w:sz w:val="32"/>
          <w:highlight w:val="white"/>
        </w:rPr>
      </w:pPr>
      <w:r>
        <w:rPr>
          <w:rFonts w:ascii="Times New Roman" w:hAnsi="Times New Roman"/>
          <w:b/>
          <w:sz w:val="32"/>
          <w:highlight w:val="white"/>
        </w:rPr>
        <w:t xml:space="preserve">FORM </w:t>
      </w:r>
    </w:p>
    <w:p>
      <w:pPr>
        <w:pStyle w:val="TextBody"/>
        <w:spacing w:before="120" w:after="0"/>
        <w:jc w:val="center"/>
        <w:rPr>
          <w:rFonts w:ascii="Times New Roman" w:hAnsi="Times New Roman"/>
          <w:b/>
          <w:spacing w:val="0"/>
          <w:sz w:val="32"/>
          <w:highlight w:val="white"/>
        </w:rPr>
      </w:pPr>
      <w:r>
        <w:rPr>
          <w:rFonts w:ascii="Times New Roman" w:hAnsi="Times New Roman"/>
          <w:b/>
          <w:spacing w:val="0"/>
          <w:sz w:val="32"/>
          <w:highlight w:val="white"/>
        </w:rPr>
        <w:t>20-F</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0"/>
              <w:jc w:val="left"/>
              <w:rPr/>
            </w:pPr>
            <w:r>
              <w:rPr/>
              <w:t>☐</w:t>
            </w:r>
          </w:p>
        </w:tc>
        <w:tc>
          <w:tcPr>
            <w:tcW w:w="9960" w:type="dxa"/>
            <w:tcBorders/>
            <w:shd w:fill="auto" w:val="clear"/>
            <w:vAlign w:val="center"/>
          </w:tcPr>
          <w:p>
            <w:pPr>
              <w:pStyle w:val="TableContents"/>
              <w:spacing w:before="0" w:after="0"/>
              <w:jc w:val="left"/>
              <w:rPr>
                <w:rFonts w:ascii="Times New Roman" w:hAnsi="Times New Roman"/>
                <w:b/>
                <w:sz w:val="18"/>
              </w:rPr>
            </w:pPr>
            <w:r>
              <w:rPr>
                <w:rFonts w:ascii="Times New Roman" w:hAnsi="Times New Roman"/>
                <w:b/>
                <w:sz w:val="18"/>
              </w:rPr>
              <w:t xml:space="preserve">REGISTRATION STATEMENT PURSUANT TO SECTION 12(b) OR (g) OF THE SECURITIES EXCHANGE ACT OF 1934 </w:t>
            </w:r>
          </w:p>
        </w:tc>
      </w:tr>
    </w:tbl>
    <w:p>
      <w:pPr>
        <w:pStyle w:val="TextBody"/>
        <w:spacing w:before="120" w:after="0"/>
        <w:jc w:val="center"/>
        <w:rPr>
          <w:rFonts w:ascii="Times New Roman" w:hAnsi="Times New Roman"/>
          <w:b/>
          <w:sz w:val="18"/>
          <w:highlight w:val="white"/>
        </w:rPr>
      </w:pPr>
      <w:r>
        <w:rPr>
          <w:rFonts w:ascii="Times New Roman" w:hAnsi="Times New Roman"/>
          <w:b/>
          <w:sz w:val="18"/>
          <w:highlight w:val="white"/>
        </w:rPr>
        <w:t xml:space="preserve">OR </w:t>
      </w:r>
    </w:p>
    <w:p>
      <w:pPr>
        <w:pStyle w:val="TextBody"/>
        <w:spacing w:before="0" w:after="0"/>
        <w:jc w:val="left"/>
        <w:rPr>
          <w:highlight w:val="white"/>
        </w:rPr>
      </w:pPr>
      <w:r>
        <w:rPr>
          <w:highlight w:val="white"/>
        </w:rPr>
        <w:t> </w:t>
      </w:r>
    </w:p>
    <w:tbl>
      <w:tblPr>
        <w:tblW w:w="9220" w:type="dxa"/>
        <w:jc w:val="left"/>
        <w:tblInd w:w="0" w:type="dxa"/>
        <w:tblCellMar>
          <w:top w:w="0" w:type="dxa"/>
          <w:left w:w="0" w:type="dxa"/>
          <w:bottom w:w="0" w:type="dxa"/>
          <w:right w:w="0" w:type="dxa"/>
        </w:tblCellMar>
      </w:tblPr>
      <w:tblGrid>
        <w:gridCol w:w="245"/>
        <w:gridCol w:w="8975"/>
      </w:tblGrid>
      <w:tr>
        <w:trPr/>
        <w:tc>
          <w:tcPr>
            <w:tcW w:w="245" w:type="dxa"/>
            <w:tcBorders/>
            <w:shd w:fill="auto" w:val="clear"/>
            <w:vAlign w:val="center"/>
          </w:tcPr>
          <w:p>
            <w:pPr>
              <w:pStyle w:val="TableContents"/>
              <w:spacing w:before="0" w:after="0"/>
              <w:jc w:val="left"/>
              <w:rPr/>
            </w:pPr>
            <w:r>
              <w:rPr/>
              <w:t>☒</w:t>
            </w:r>
          </w:p>
        </w:tc>
        <w:tc>
          <w:tcPr>
            <w:tcW w:w="8975" w:type="dxa"/>
            <w:tcBorders/>
            <w:shd w:fill="auto" w:val="clear"/>
            <w:vAlign w:val="center"/>
          </w:tcPr>
          <w:p>
            <w:pPr>
              <w:pStyle w:val="TableContents"/>
              <w:spacing w:before="0" w:after="0"/>
              <w:jc w:val="left"/>
              <w:rPr>
                <w:rFonts w:ascii="Times New Roman" w:hAnsi="Times New Roman"/>
                <w:b/>
                <w:sz w:val="18"/>
              </w:rPr>
            </w:pPr>
            <w:r>
              <w:rPr>
                <w:rFonts w:ascii="Times New Roman" w:hAnsi="Times New Roman"/>
                <w:b/>
                <w:sz w:val="18"/>
              </w:rPr>
              <w:t xml:space="preserve">ANNUAL REPORT PURSUANT TO SECTION 13 OR 15(d) OF THE SECURITIES EXCHANGE ACT OF 1934 </w:t>
            </w:r>
          </w:p>
        </w:tc>
      </w:tr>
    </w:tbl>
    <w:p>
      <w:pPr>
        <w:pStyle w:val="TextBody"/>
        <w:spacing w:before="120" w:after="0"/>
        <w:jc w:val="center"/>
        <w:rPr>
          <w:rFonts w:ascii="Times New Roman" w:hAnsi="Times New Roman"/>
          <w:b/>
          <w:sz w:val="18"/>
          <w:highlight w:val="white"/>
        </w:rPr>
      </w:pPr>
      <w:r>
        <w:rPr>
          <w:rFonts w:ascii="Times New Roman" w:hAnsi="Times New Roman"/>
          <w:b/>
          <w:sz w:val="18"/>
          <w:highlight w:val="white"/>
        </w:rPr>
        <w:t xml:space="preserve">For the fiscal year ended December 31, 2022 </w:t>
      </w:r>
    </w:p>
    <w:p>
      <w:pPr>
        <w:pStyle w:val="TextBody"/>
        <w:spacing w:before="120" w:after="0"/>
        <w:jc w:val="center"/>
        <w:rPr>
          <w:rFonts w:ascii="Times New Roman" w:hAnsi="Times New Roman"/>
          <w:b/>
          <w:sz w:val="18"/>
          <w:highlight w:val="white"/>
        </w:rPr>
      </w:pPr>
      <w:r>
        <w:rPr>
          <w:rFonts w:ascii="Times New Roman" w:hAnsi="Times New Roman"/>
          <w:b/>
          <w:sz w:val="18"/>
          <w:highlight w:val="white"/>
        </w:rPr>
        <w:t xml:space="preserve">OR </w:t>
      </w:r>
    </w:p>
    <w:p>
      <w:pPr>
        <w:pStyle w:val="TextBody"/>
        <w:spacing w:before="0" w:after="0"/>
        <w:jc w:val="left"/>
        <w:rPr>
          <w:highlight w:val="white"/>
        </w:rPr>
      </w:pPr>
      <w:r>
        <w:rPr>
          <w:highlight w:val="white"/>
        </w:rPr>
        <w:t> </w:t>
      </w:r>
    </w:p>
    <w:tbl>
      <w:tblPr>
        <w:tblW w:w="9595" w:type="dxa"/>
        <w:jc w:val="left"/>
        <w:tblInd w:w="0" w:type="dxa"/>
        <w:tblCellMar>
          <w:top w:w="0" w:type="dxa"/>
          <w:left w:w="0" w:type="dxa"/>
          <w:bottom w:w="0" w:type="dxa"/>
          <w:right w:w="0" w:type="dxa"/>
        </w:tblCellMar>
      </w:tblPr>
      <w:tblGrid>
        <w:gridCol w:w="245"/>
        <w:gridCol w:w="9350"/>
      </w:tblGrid>
      <w:tr>
        <w:trPr/>
        <w:tc>
          <w:tcPr>
            <w:tcW w:w="245" w:type="dxa"/>
            <w:tcBorders/>
            <w:shd w:fill="auto" w:val="clear"/>
            <w:vAlign w:val="center"/>
          </w:tcPr>
          <w:p>
            <w:pPr>
              <w:pStyle w:val="TableContents"/>
              <w:spacing w:before="0" w:after="0"/>
              <w:jc w:val="left"/>
              <w:rPr/>
            </w:pPr>
            <w:r>
              <w:rPr/>
              <w:t>☐</w:t>
            </w:r>
          </w:p>
        </w:tc>
        <w:tc>
          <w:tcPr>
            <w:tcW w:w="9350" w:type="dxa"/>
            <w:tcBorders/>
            <w:shd w:fill="auto" w:val="clear"/>
            <w:vAlign w:val="center"/>
          </w:tcPr>
          <w:p>
            <w:pPr>
              <w:pStyle w:val="TableContents"/>
              <w:spacing w:before="0" w:after="0"/>
              <w:jc w:val="left"/>
              <w:rPr>
                <w:rFonts w:ascii="Times New Roman" w:hAnsi="Times New Roman"/>
                <w:b/>
                <w:sz w:val="18"/>
              </w:rPr>
            </w:pPr>
            <w:r>
              <w:rPr>
                <w:rFonts w:ascii="Times New Roman" w:hAnsi="Times New Roman"/>
                <w:b/>
                <w:sz w:val="18"/>
              </w:rPr>
              <w:t xml:space="preserve">TRANSITION REPORT PURSUANT TO SECTION 13 OR 15(d) OF THE SECURITIES EXCHANGE ACT OF 1934 </w:t>
            </w:r>
          </w:p>
        </w:tc>
      </w:tr>
    </w:tbl>
    <w:p>
      <w:pPr>
        <w:pStyle w:val="TextBody"/>
        <w:spacing w:before="0" w:after="0"/>
        <w:jc w:val="left"/>
        <w:rPr>
          <w:highlight w:val="white"/>
        </w:rPr>
      </w:pPr>
      <w:r>
        <w:rPr>
          <w:highlight w:val="white"/>
        </w:rPr>
        <w:t> </w:t>
      </w:r>
    </w:p>
    <w:tbl>
      <w:tblPr>
        <w:tblW w:w="10015" w:type="dxa"/>
        <w:jc w:val="left"/>
        <w:tblInd w:w="0" w:type="dxa"/>
        <w:tblCellMar>
          <w:top w:w="0" w:type="dxa"/>
          <w:left w:w="0" w:type="dxa"/>
          <w:bottom w:w="0" w:type="dxa"/>
          <w:right w:w="0" w:type="dxa"/>
        </w:tblCellMar>
      </w:tblPr>
      <w:tblGrid>
        <w:gridCol w:w="245"/>
        <w:gridCol w:w="9770"/>
      </w:tblGrid>
      <w:tr>
        <w:trPr/>
        <w:tc>
          <w:tcPr>
            <w:tcW w:w="245" w:type="dxa"/>
            <w:tcBorders/>
            <w:shd w:fill="auto" w:val="clear"/>
            <w:vAlign w:val="center"/>
          </w:tcPr>
          <w:p>
            <w:pPr>
              <w:pStyle w:val="TableContents"/>
              <w:spacing w:before="0" w:after="0"/>
              <w:jc w:val="left"/>
              <w:rPr/>
            </w:pPr>
            <w:r>
              <w:rPr/>
              <w:t>☐</w:t>
            </w:r>
          </w:p>
        </w:tc>
        <w:tc>
          <w:tcPr>
            <w:tcW w:w="9770" w:type="dxa"/>
            <w:tcBorders/>
            <w:shd w:fill="auto" w:val="clear"/>
            <w:vAlign w:val="center"/>
          </w:tcPr>
          <w:p>
            <w:pPr>
              <w:pStyle w:val="TableContents"/>
              <w:spacing w:before="0" w:after="0"/>
              <w:jc w:val="left"/>
              <w:rPr>
                <w:rFonts w:ascii="Times New Roman" w:hAnsi="Times New Roman"/>
                <w:b/>
                <w:sz w:val="18"/>
              </w:rPr>
            </w:pPr>
            <w:r>
              <w:rPr>
                <w:rFonts w:ascii="Times New Roman" w:hAnsi="Times New Roman"/>
                <w:b/>
                <w:sz w:val="18"/>
              </w:rPr>
              <w:t xml:space="preserve">SHELL COMPANY REPORT PURSUANT TO SECTION 13 OR 15(d) OF THE SECURITIES EXCHANGE ACT OF 1934 </w:t>
            </w:r>
          </w:p>
        </w:tc>
      </w:tr>
    </w:tbl>
    <w:p>
      <w:pPr>
        <w:pStyle w:val="TextBody"/>
        <w:spacing w:before="120" w:after="0"/>
        <w:jc w:val="center"/>
        <w:rPr>
          <w:rFonts w:ascii="Times New Roman" w:hAnsi="Times New Roman"/>
          <w:b/>
          <w:sz w:val="16"/>
          <w:highlight w:val="white"/>
        </w:rPr>
      </w:pPr>
      <w:r>
        <w:rPr>
          <w:rFonts w:ascii="Times New Roman" w:hAnsi="Times New Roman"/>
          <w:b/>
          <w:sz w:val="16"/>
          <w:highlight w:val="white"/>
        </w:rPr>
        <w:t xml:space="preserve">Date of event requiring this shell company report </w:t>
      </w:r>
    </w:p>
    <w:p>
      <w:pPr>
        <w:pStyle w:val="TextBody"/>
        <w:spacing w:before="120" w:after="0"/>
        <w:jc w:val="center"/>
        <w:rPr>
          <w:spacing w:val="0"/>
          <w:highlight w:val="white"/>
          <w:u w:val="single"/>
        </w:rPr>
      </w:pPr>
      <w:r>
        <w:rPr>
          <w:spacing w:val="0"/>
          <w:highlight w:val="white"/>
          <w:u w:val="single"/>
        </w:rPr>
        <w:t>                    </w:t>
      </w:r>
    </w:p>
    <w:p>
      <w:pPr>
        <w:pStyle w:val="TextBody"/>
        <w:spacing w:before="120" w:after="0"/>
        <w:jc w:val="center"/>
        <w:rPr>
          <w:rFonts w:ascii="Times New Roman" w:hAnsi="Times New Roman"/>
          <w:b/>
          <w:sz w:val="16"/>
          <w:highlight w:val="white"/>
        </w:rPr>
      </w:pPr>
      <w:r>
        <w:rPr>
          <w:rFonts w:ascii="Times New Roman" w:hAnsi="Times New Roman"/>
          <w:b/>
          <w:sz w:val="16"/>
          <w:highlight w:val="white"/>
        </w:rPr>
        <w:t xml:space="preserve">For the transition period from </w:t>
      </w:r>
    </w:p>
    <w:p>
      <w:pPr>
        <w:pStyle w:val="TextBody"/>
        <w:spacing w:before="120" w:after="0"/>
        <w:jc w:val="center"/>
        <w:rPr>
          <w:spacing w:val="0"/>
          <w:highlight w:val="white"/>
          <w:u w:val="single"/>
        </w:rPr>
      </w:pPr>
      <w:r>
        <w:rPr>
          <w:spacing w:val="0"/>
          <w:highlight w:val="white"/>
          <w:u w:val="single"/>
        </w:rPr>
        <w:t>                    </w:t>
      </w:r>
    </w:p>
    <w:p>
      <w:pPr>
        <w:pStyle w:val="TextBody"/>
        <w:spacing w:before="120" w:after="0"/>
        <w:jc w:val="center"/>
        <w:rPr>
          <w:rFonts w:ascii="Times New Roman" w:hAnsi="Times New Roman"/>
          <w:b/>
          <w:sz w:val="16"/>
          <w:highlight w:val="white"/>
        </w:rPr>
      </w:pPr>
      <w:r>
        <w:rPr>
          <w:rFonts w:ascii="Times New Roman" w:hAnsi="Times New Roman"/>
          <w:b/>
          <w:sz w:val="16"/>
          <w:highlight w:val="white"/>
        </w:rPr>
        <w:t xml:space="preserve">to </w:t>
      </w:r>
    </w:p>
    <w:p>
      <w:pPr>
        <w:pStyle w:val="TextBody"/>
        <w:spacing w:before="120" w:after="0"/>
        <w:jc w:val="center"/>
        <w:rPr>
          <w:spacing w:val="0"/>
          <w:highlight w:val="white"/>
          <w:u w:val="single"/>
        </w:rPr>
      </w:pPr>
      <w:r>
        <w:rPr>
          <w:spacing w:val="0"/>
          <w:highlight w:val="white"/>
          <w:u w:val="single"/>
        </w:rPr>
        <w:t>                    </w:t>
      </w:r>
    </w:p>
    <w:p>
      <w:pPr>
        <w:pStyle w:val="TextBody"/>
        <w:spacing w:before="160" w:after="0"/>
        <w:jc w:val="center"/>
        <w:rPr>
          <w:rFonts w:ascii="Times New Roman" w:hAnsi="Times New Roman"/>
          <w:b/>
          <w:sz w:val="16"/>
          <w:highlight w:val="white"/>
        </w:rPr>
      </w:pPr>
      <w:r>
        <w:rPr>
          <w:rFonts w:ascii="Times New Roman" w:hAnsi="Times New Roman"/>
          <w:b/>
          <w:sz w:val="16"/>
          <w:highlight w:val="white"/>
        </w:rPr>
        <w:t xml:space="preserve">Commission File </w:t>
      </w:r>
    </w:p>
    <w:p>
      <w:pPr>
        <w:pStyle w:val="TextBody"/>
        <w:spacing w:before="160" w:after="0"/>
        <w:jc w:val="center"/>
        <w:rPr>
          <w:rFonts w:ascii="Times New Roman" w:hAnsi="Times New Roman"/>
          <w:b/>
          <w:spacing w:val="0"/>
          <w:sz w:val="16"/>
          <w:highlight w:val="white"/>
        </w:rPr>
      </w:pPr>
      <w:r>
        <w:rPr>
          <w:rFonts w:ascii="Times New Roman" w:hAnsi="Times New Roman"/>
          <w:b/>
          <w:spacing w:val="0"/>
          <w:sz w:val="16"/>
          <w:highlight w:val="white"/>
        </w:rPr>
        <w:t>No. 001-41045</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120" w:after="0"/>
        <w:jc w:val="center"/>
        <w:rPr>
          <w:rFonts w:ascii="Times New Roman" w:hAnsi="Times New Roman"/>
          <w:b/>
          <w:sz w:val="48"/>
          <w:highlight w:val="white"/>
        </w:rPr>
      </w:pPr>
      <w:r>
        <w:rPr>
          <w:rFonts w:ascii="Times New Roman" w:hAnsi="Times New Roman"/>
          <w:b/>
          <w:sz w:val="48"/>
          <w:highlight w:val="white"/>
        </w:rPr>
        <w:t xml:space="preserve">MYNARIC AG </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(Exact name of Registrant as specified in its charter) </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120" w:after="0"/>
        <w:jc w:val="center"/>
        <w:rPr>
          <w:rFonts w:ascii="Times New Roman" w:hAnsi="Times New Roman"/>
          <w:b/>
          <w:sz w:val="16"/>
          <w:highlight w:val="white"/>
        </w:rPr>
      </w:pPr>
      <w:r>
        <w:rPr>
          <w:rFonts w:ascii="Times New Roman" w:hAnsi="Times New Roman"/>
          <w:b/>
          <w:sz w:val="16"/>
          <w:highlight w:val="white"/>
        </w:rPr>
        <w:t xml:space="preserve">N/A </w:t>
      </w:r>
    </w:p>
    <w:p>
      <w:pPr>
        <w:pStyle w:val="TextBody"/>
        <w:spacing w:before="0" w:after="0"/>
        <w:jc w:val="center"/>
        <w:rPr>
          <w:rFonts w:ascii="Times New Roman" w:hAnsi="Times New Roman"/>
          <w:b/>
          <w:sz w:val="14"/>
          <w:highlight w:val="white"/>
        </w:rPr>
      </w:pPr>
      <w:r>
        <w:rPr>
          <w:rFonts w:ascii="Times New Roman" w:hAnsi="Times New Roman"/>
          <w:b/>
          <w:sz w:val="14"/>
          <w:highlight w:val="white"/>
        </w:rPr>
        <w:t xml:space="preserve">(Translation of Registrant’s name into English) </w:t>
      </w:r>
    </w:p>
    <w:p>
      <w:pPr>
        <w:pStyle w:val="TextBody"/>
        <w:spacing w:before="160" w:after="0"/>
        <w:jc w:val="center"/>
        <w:rPr>
          <w:rFonts w:ascii="Times New Roman" w:hAnsi="Times New Roman"/>
          <w:b/>
          <w:sz w:val="16"/>
          <w:highlight w:val="white"/>
        </w:rPr>
      </w:pPr>
      <w:r>
        <w:rPr>
          <w:rFonts w:ascii="Times New Roman" w:hAnsi="Times New Roman"/>
          <w:b/>
          <w:sz w:val="16"/>
          <w:highlight w:val="white"/>
        </w:rPr>
        <w:t xml:space="preserve">Federal Republic of Germany </w:t>
      </w:r>
    </w:p>
    <w:p>
      <w:pPr>
        <w:pStyle w:val="TextBody"/>
        <w:spacing w:before="0" w:after="0"/>
        <w:jc w:val="center"/>
        <w:rPr>
          <w:rFonts w:ascii="Times New Roman" w:hAnsi="Times New Roman"/>
          <w:b/>
          <w:sz w:val="14"/>
          <w:highlight w:val="white"/>
        </w:rPr>
      </w:pPr>
      <w:r>
        <w:rPr>
          <w:rFonts w:ascii="Times New Roman" w:hAnsi="Times New Roman"/>
          <w:b/>
          <w:sz w:val="14"/>
          <w:highlight w:val="white"/>
        </w:rPr>
        <w:t xml:space="preserve">(Jurisdiction of incorporation or organization) </w:t>
      </w:r>
    </w:p>
    <w:p>
      <w:pPr>
        <w:pStyle w:val="TextBody"/>
        <w:spacing w:before="160" w:after="0"/>
        <w:jc w:val="center"/>
        <w:rPr>
          <w:rFonts w:ascii="Times New Roman" w:hAnsi="Times New Roman"/>
          <w:b/>
          <w:sz w:val="16"/>
          <w:highlight w:val="white"/>
        </w:rPr>
      </w:pPr>
      <w:r>
        <w:rPr>
          <w:rFonts w:ascii="Times New Roman" w:hAnsi="Times New Roman"/>
          <w:b/>
          <w:sz w:val="16"/>
          <w:highlight w:val="white"/>
        </w:rPr>
        <w:t xml:space="preserve">Dornierstraße 19 </w:t>
      </w:r>
    </w:p>
    <w:p>
      <w:pPr>
        <w:pStyle w:val="TextBody"/>
        <w:spacing w:before="0" w:after="0"/>
        <w:jc w:val="center"/>
        <w:rPr>
          <w:rFonts w:ascii="Times New Roman" w:hAnsi="Times New Roman"/>
          <w:b/>
          <w:sz w:val="16"/>
          <w:highlight w:val="white"/>
        </w:rPr>
      </w:pPr>
      <w:r>
        <w:rPr>
          <w:rFonts w:ascii="Times New Roman" w:hAnsi="Times New Roman"/>
          <w:b/>
          <w:sz w:val="16"/>
          <w:highlight w:val="white"/>
        </w:rPr>
        <w:t xml:space="preserve">82205 Gilching, Germany </w:t>
      </w:r>
    </w:p>
    <w:p>
      <w:pPr>
        <w:pStyle w:val="TextBody"/>
        <w:spacing w:before="0" w:after="0"/>
        <w:jc w:val="center"/>
        <w:rPr>
          <w:rFonts w:ascii="Times New Roman" w:hAnsi="Times New Roman"/>
          <w:b/>
          <w:sz w:val="16"/>
          <w:highlight w:val="white"/>
        </w:rPr>
      </w:pPr>
      <w:r>
        <w:rPr>
          <w:rFonts w:ascii="Times New Roman" w:hAnsi="Times New Roman"/>
          <w:b/>
          <w:sz w:val="16"/>
          <w:highlight w:val="white"/>
        </w:rPr>
        <w:t xml:space="preserve">+49 (0) 8105 79990 </w:t>
      </w:r>
    </w:p>
    <w:p>
      <w:pPr>
        <w:pStyle w:val="TextBody"/>
        <w:spacing w:before="0" w:after="0"/>
        <w:jc w:val="center"/>
        <w:rPr>
          <w:rFonts w:ascii="Times New Roman" w:hAnsi="Times New Roman"/>
          <w:b/>
          <w:sz w:val="14"/>
          <w:highlight w:val="white"/>
        </w:rPr>
      </w:pPr>
      <w:r>
        <w:rPr>
          <w:rFonts w:ascii="Times New Roman" w:hAnsi="Times New Roman"/>
          <w:b/>
          <w:sz w:val="14"/>
          <w:highlight w:val="white"/>
        </w:rPr>
        <w:t xml:space="preserve">(Address of principal executive offices) </w:t>
      </w:r>
    </w:p>
    <w:p>
      <w:pPr>
        <w:pStyle w:val="TextBody"/>
        <w:spacing w:before="160" w:after="0"/>
        <w:jc w:val="center"/>
        <w:rPr>
          <w:rFonts w:ascii="Times New Roman" w:hAnsi="Times New Roman"/>
          <w:b/>
          <w:sz w:val="16"/>
          <w:highlight w:val="white"/>
        </w:rPr>
      </w:pPr>
      <w:r>
        <w:rPr>
          <w:rFonts w:ascii="Times New Roman" w:hAnsi="Times New Roman"/>
          <w:b/>
          <w:sz w:val="16"/>
          <w:highlight w:val="white"/>
        </w:rPr>
        <w:t xml:space="preserve">Stefan </w:t>
      </w:r>
    </w:p>
    <w:p>
      <w:pPr>
        <w:pStyle w:val="TextBody"/>
        <w:spacing w:before="160" w:after="0"/>
        <w:jc w:val="center"/>
        <w:rPr>
          <w:rFonts w:ascii="Times New Roman" w:hAnsi="Times New Roman"/>
          <w:b/>
          <w:spacing w:val="0"/>
          <w:sz w:val="16"/>
          <w:highlight w:val="white"/>
        </w:rPr>
      </w:pPr>
      <w:r>
        <w:rPr>
          <w:rFonts w:ascii="Times New Roman" w:hAnsi="Times New Roman"/>
          <w:b/>
          <w:spacing w:val="0"/>
          <w:sz w:val="16"/>
          <w:highlight w:val="white"/>
        </w:rPr>
        <w:t>Berndt-von</w:t>
      </w:r>
    </w:p>
    <w:p>
      <w:pPr>
        <w:pStyle w:val="TextBody"/>
        <w:spacing w:before="160" w:after="0"/>
        <w:jc w:val="center"/>
        <w:rPr>
          <w:rFonts w:ascii="Times New Roman" w:hAnsi="Times New Roman"/>
          <w:b/>
          <w:sz w:val="16"/>
          <w:highlight w:val="white"/>
        </w:rPr>
      </w:pPr>
      <w:r>
        <w:rPr>
          <w:rFonts w:ascii="Times New Roman" w:hAnsi="Times New Roman"/>
          <w:b/>
          <w:sz w:val="16"/>
          <w:highlight w:val="white"/>
        </w:rPr>
        <w:t xml:space="preserve">Bülow </w:t>
      </w:r>
    </w:p>
    <w:p>
      <w:pPr>
        <w:pStyle w:val="TextBody"/>
        <w:spacing w:before="0" w:after="0"/>
        <w:jc w:val="center"/>
        <w:rPr>
          <w:rFonts w:ascii="Times New Roman" w:hAnsi="Times New Roman"/>
          <w:b/>
          <w:sz w:val="16"/>
          <w:highlight w:val="white"/>
        </w:rPr>
      </w:pPr>
      <w:r>
        <w:rPr>
          <w:rFonts w:ascii="Times New Roman" w:hAnsi="Times New Roman"/>
          <w:b/>
          <w:sz w:val="16"/>
          <w:highlight w:val="white"/>
        </w:rPr>
        <w:t xml:space="preserve">c/o Mynaric AG </w:t>
      </w:r>
    </w:p>
    <w:p>
      <w:pPr>
        <w:pStyle w:val="TextBody"/>
        <w:spacing w:before="0" w:after="0"/>
        <w:jc w:val="center"/>
        <w:rPr>
          <w:rFonts w:ascii="Times New Roman" w:hAnsi="Times New Roman"/>
          <w:b/>
          <w:sz w:val="16"/>
          <w:highlight w:val="white"/>
        </w:rPr>
      </w:pPr>
      <w:r>
        <w:rPr>
          <w:rFonts w:ascii="Times New Roman" w:hAnsi="Times New Roman"/>
          <w:b/>
          <w:sz w:val="16"/>
          <w:highlight w:val="white"/>
        </w:rPr>
        <w:t xml:space="preserve">Dornierstraße 19 </w:t>
      </w:r>
    </w:p>
    <w:p>
      <w:pPr>
        <w:pStyle w:val="TextBody"/>
        <w:spacing w:before="0" w:after="0"/>
        <w:jc w:val="center"/>
        <w:rPr>
          <w:rFonts w:ascii="Times New Roman" w:hAnsi="Times New Roman"/>
          <w:b/>
          <w:sz w:val="16"/>
          <w:highlight w:val="white"/>
        </w:rPr>
      </w:pPr>
      <w:r>
        <w:rPr>
          <w:rFonts w:ascii="Times New Roman" w:hAnsi="Times New Roman"/>
          <w:b/>
          <w:sz w:val="16"/>
          <w:highlight w:val="white"/>
        </w:rPr>
        <w:t xml:space="preserve">82205 Gilching, Germany </w:t>
      </w:r>
    </w:p>
    <w:p>
      <w:pPr>
        <w:pStyle w:val="TextBody"/>
        <w:spacing w:before="0" w:after="0"/>
        <w:jc w:val="center"/>
        <w:rPr>
          <w:rFonts w:ascii="Times New Roman" w:hAnsi="Times New Roman"/>
          <w:b/>
          <w:sz w:val="16"/>
          <w:highlight w:val="white"/>
        </w:rPr>
      </w:pPr>
      <w:r>
        <w:rPr>
          <w:rFonts w:ascii="Times New Roman" w:hAnsi="Times New Roman"/>
          <w:b/>
          <w:sz w:val="16"/>
          <w:highlight w:val="white"/>
        </w:rPr>
        <w:t xml:space="preserve">+49 (0) 8105 79990 </w:t>
      </w:r>
    </w:p>
    <w:p>
      <w:pPr>
        <w:pStyle w:val="TextBody"/>
        <w:spacing w:before="0" w:after="0"/>
        <w:jc w:val="center"/>
        <w:rPr>
          <w:rFonts w:ascii="Times New Roman" w:hAnsi="Times New Roman"/>
          <w:b/>
          <w:sz w:val="16"/>
          <w:highlight w:val="white"/>
        </w:rPr>
      </w:pPr>
      <w:r>
        <w:rPr>
          <w:rFonts w:ascii="Times New Roman" w:hAnsi="Times New Roman"/>
          <w:b/>
          <w:sz w:val="16"/>
          <w:highlight w:val="white"/>
        </w:rPr>
        <w:t xml:space="preserve">stefan.berndtvonbuelow@mynaric.com </w:t>
      </w:r>
    </w:p>
    <w:p>
      <w:pPr>
        <w:pStyle w:val="TextBody"/>
        <w:spacing w:before="0" w:after="0"/>
        <w:jc w:val="center"/>
        <w:rPr>
          <w:rFonts w:ascii="Times New Roman" w:hAnsi="Times New Roman"/>
          <w:b/>
          <w:sz w:val="14"/>
          <w:highlight w:val="white"/>
        </w:rPr>
      </w:pPr>
      <w:r>
        <w:rPr>
          <w:rFonts w:ascii="Times New Roman" w:hAnsi="Times New Roman"/>
          <w:b/>
          <w:sz w:val="14"/>
          <w:highlight w:val="white"/>
        </w:rPr>
        <w:t xml:space="preserve">(Name, Telephone, </w:t>
      </w:r>
    </w:p>
    <w:p>
      <w:pPr>
        <w:pStyle w:val="TextBody"/>
        <w:spacing w:before="0" w:after="0"/>
        <w:jc w:val="center"/>
        <w:rPr>
          <w:rFonts w:ascii="Times New Roman" w:hAnsi="Times New Roman"/>
          <w:b/>
          <w:spacing w:val="0"/>
          <w:sz w:val="14"/>
          <w:highlight w:val="white"/>
        </w:rPr>
      </w:pPr>
      <w:r>
        <w:rPr>
          <w:rFonts w:ascii="Times New Roman" w:hAnsi="Times New Roman"/>
          <w:b/>
          <w:spacing w:val="0"/>
          <w:sz w:val="14"/>
          <w:highlight w:val="white"/>
        </w:rPr>
        <w:t>E-mail</w:t>
      </w:r>
    </w:p>
    <w:p>
      <w:pPr>
        <w:pStyle w:val="TextBody"/>
        <w:spacing w:before="0" w:after="0"/>
        <w:jc w:val="center"/>
        <w:rPr>
          <w:rFonts w:ascii="Times New Roman" w:hAnsi="Times New Roman"/>
          <w:b/>
          <w:sz w:val="14"/>
          <w:highlight w:val="white"/>
        </w:rPr>
      </w:pPr>
      <w:r>
        <w:rPr>
          <w:rFonts w:ascii="Times New Roman" w:hAnsi="Times New Roman"/>
          <w:b/>
          <w:sz w:val="14"/>
          <w:highlight w:val="white"/>
        </w:rPr>
        <w:t xml:space="preserve">and/or Facsimile number and Address of Company Contact Person) </w:t>
      </w:r>
    </w:p>
    <w:p>
      <w:pPr>
        <w:pStyle w:val="TextBody"/>
        <w:spacing w:before="120" w:after="0"/>
        <w:jc w:val="center"/>
        <w:rPr>
          <w:rFonts w:ascii="Times New Roman" w:hAnsi="Times New Roman"/>
          <w:b/>
          <w:sz w:val="16"/>
          <w:highlight w:val="white"/>
        </w:rPr>
      </w:pPr>
      <w:r>
        <w:rPr>
          <w:rFonts w:ascii="Times New Roman" w:hAnsi="Times New Roman"/>
          <w:b/>
          <w:sz w:val="16"/>
          <w:highlight w:val="white"/>
        </w:rPr>
        <w:t xml:space="preserve">Securities registered or to be registered pursuant to Section 12(b) of the Act: </w:t>
      </w:r>
    </w:p>
    <w:p>
      <w:pPr>
        <w:pStyle w:val="TextBody"/>
        <w:spacing w:before="0" w:after="0"/>
        <w:jc w:val="left"/>
        <w:rPr>
          <w:highlight w:val="white"/>
        </w:rPr>
      </w:pPr>
      <w:r>
        <w:rPr>
          <w:highlight w:val="white"/>
        </w:rPr>
        <w:t> </w:t>
      </w:r>
    </w:p>
    <w:p>
      <w:pPr>
        <w:pStyle w:val="TextBody"/>
        <w:spacing w:before="0" w:after="0"/>
        <w:jc w:val="left"/>
        <w:rPr>
          <w:highlight w:val="white"/>
        </w:rPr>
      </w:pPr>
      <w:r>
        <w:rPr>
          <w:highlight w:val="white"/>
        </w:rPr>
        <w:t> </w:t>
      </w:r>
    </w:p>
    <w:tbl>
      <w:tblPr>
        <w:tblW w:w="7950" w:type="dxa"/>
        <w:jc w:val="left"/>
        <w:tblInd w:w="0" w:type="dxa"/>
        <w:tblCellMar>
          <w:top w:w="0" w:type="dxa"/>
          <w:left w:w="0" w:type="dxa"/>
          <w:bottom w:w="0" w:type="dxa"/>
          <w:right w:w="0" w:type="dxa"/>
        </w:tblCellMar>
      </w:tblPr>
      <w:tblGrid>
        <w:gridCol w:w="3380"/>
        <w:gridCol w:w="60"/>
        <w:gridCol w:w="1145"/>
        <w:gridCol w:w="60"/>
        <w:gridCol w:w="3305"/>
      </w:tblGrid>
      <w:tr>
        <w:trPr/>
        <w:tc>
          <w:tcPr>
            <w:tcW w:w="3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05" w:type="dxa"/>
            <w:tcBorders/>
            <w:shd w:fill="auto" w:val="clear"/>
            <w:vAlign w:val="center"/>
          </w:tcPr>
          <w:p>
            <w:pPr>
              <w:pStyle w:val="TableContents"/>
              <w:spacing w:before="0" w:after="283"/>
              <w:rPr>
                <w:sz w:val="4"/>
                <w:szCs w:val="4"/>
              </w:rPr>
            </w:pPr>
            <w:r>
              <w:rPr>
                <w:sz w:val="4"/>
                <w:szCs w:val="4"/>
              </w:rPr>
            </w:r>
          </w:p>
        </w:tc>
      </w:tr>
      <w:tr>
        <w:trPr/>
        <w:tc>
          <w:tcPr>
            <w:tcW w:w="338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4"/>
              </w:rPr>
            </w:pPr>
            <w:r>
              <w:rPr>
                <w:rFonts w:ascii="Times New Roman" w:hAnsi="Times New Roman"/>
                <w:b/>
                <w:sz w:val="14"/>
              </w:rPr>
              <w:t>Title of each class:</w:t>
            </w:r>
          </w:p>
        </w:tc>
        <w:tc>
          <w:tcPr>
            <w:tcW w:w="60" w:type="dxa"/>
            <w:tcBorders/>
            <w:shd w:fill="auto" w:val="clear"/>
            <w:vAlign w:val="center"/>
          </w:tcPr>
          <w:p>
            <w:pPr>
              <w:pStyle w:val="TableContents"/>
              <w:spacing w:before="0" w:after="283"/>
              <w:rPr/>
            </w:pPr>
            <w:r>
              <w:rPr/>
              <w:t> </w:t>
            </w:r>
          </w:p>
        </w:tc>
        <w:tc>
          <w:tcPr>
            <w:tcW w:w="114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4"/>
              </w:rPr>
            </w:pPr>
            <w:r>
              <w:rPr>
                <w:rFonts w:ascii="Times New Roman" w:hAnsi="Times New Roman"/>
                <w:b/>
                <w:sz w:val="14"/>
              </w:rPr>
              <w:t>Trading Symbol(s)</w:t>
            </w:r>
          </w:p>
        </w:tc>
        <w:tc>
          <w:tcPr>
            <w:tcW w:w="60" w:type="dxa"/>
            <w:tcBorders/>
            <w:shd w:fill="auto" w:val="clear"/>
            <w:vAlign w:val="center"/>
          </w:tcPr>
          <w:p>
            <w:pPr>
              <w:pStyle w:val="TableContents"/>
              <w:spacing w:before="0" w:after="283"/>
              <w:rPr/>
            </w:pPr>
            <w:r>
              <w:rPr/>
              <w:t> </w:t>
            </w:r>
          </w:p>
        </w:tc>
        <w:tc>
          <w:tcPr>
            <w:tcW w:w="330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4"/>
              </w:rPr>
            </w:pPr>
            <w:r>
              <w:rPr>
                <w:rFonts w:ascii="Times New Roman" w:hAnsi="Times New Roman"/>
                <w:b/>
                <w:sz w:val="14"/>
              </w:rPr>
              <w:t>Name of each exchange on which registered:</w:t>
            </w:r>
          </w:p>
        </w:tc>
      </w:tr>
      <w:tr>
        <w:trPr/>
        <w:tc>
          <w:tcPr>
            <w:tcW w:w="3380" w:type="dxa"/>
            <w:tcBorders/>
            <w:shd w:fill="auto" w:val="clear"/>
            <w:vAlign w:val="center"/>
          </w:tcPr>
          <w:p>
            <w:pPr>
              <w:pStyle w:val="TableContents"/>
              <w:spacing w:before="0" w:after="0"/>
              <w:rPr>
                <w:spacing w:val="0"/>
              </w:rPr>
            </w:pPr>
            <w:r>
              <w:rPr>
                <w:spacing w:val="0"/>
              </w:rPr>
              <w:t>    </w:t>
            </w:r>
            <w:r>
              <w:rPr>
                <w:b/>
                <w:spacing w:val="0"/>
              </w:rPr>
              <w:t>American Depository Shares</w:t>
            </w:r>
          </w:p>
        </w:tc>
        <w:tc>
          <w:tcPr>
            <w:tcW w:w="6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0"/>
              <w:jc w:val="center"/>
              <w:rPr>
                <w:b/>
                <w:spacing w:val="0"/>
              </w:rPr>
            </w:pPr>
            <w:r>
              <w:rPr>
                <w:b/>
                <w:spacing w:val="0"/>
              </w:rPr>
              <w:t>MYNA</w:t>
            </w:r>
          </w:p>
        </w:tc>
        <w:tc>
          <w:tcPr>
            <w:tcW w:w="60" w:type="dxa"/>
            <w:tcBorders/>
            <w:shd w:fill="auto" w:val="clear"/>
            <w:vAlign w:val="center"/>
          </w:tcPr>
          <w:p>
            <w:pPr>
              <w:pStyle w:val="TableContents"/>
              <w:spacing w:before="0" w:after="283"/>
              <w:rPr/>
            </w:pPr>
            <w:r>
              <w:rPr/>
              <w:t> </w:t>
            </w:r>
          </w:p>
        </w:tc>
        <w:tc>
          <w:tcPr>
            <w:tcW w:w="3305" w:type="dxa"/>
            <w:tcBorders/>
            <w:shd w:fill="auto" w:val="clear"/>
            <w:vAlign w:val="center"/>
          </w:tcPr>
          <w:p>
            <w:pPr>
              <w:pStyle w:val="TableContents"/>
              <w:spacing w:before="0" w:after="0"/>
              <w:jc w:val="center"/>
              <w:rPr>
                <w:b/>
                <w:spacing w:val="0"/>
              </w:rPr>
            </w:pPr>
            <w:r>
              <w:rPr>
                <w:b/>
                <w:spacing w:val="0"/>
              </w:rPr>
              <w:t>The Nasdaq Stock Market LLC</w:t>
            </w:r>
          </w:p>
        </w:tc>
      </w:tr>
      <w:tr>
        <w:trPr/>
        <w:tc>
          <w:tcPr>
            <w:tcW w:w="3380" w:type="dxa"/>
            <w:tcBorders/>
            <w:shd w:fill="auto" w:val="clear"/>
            <w:vAlign w:val="center"/>
          </w:tcPr>
          <w:p>
            <w:pPr>
              <w:pStyle w:val="TableContents"/>
              <w:spacing w:before="0" w:after="0"/>
              <w:rPr>
                <w:spacing w:val="0"/>
              </w:rPr>
            </w:pPr>
            <w:r>
              <w:rPr>
                <w:spacing w:val="0"/>
              </w:rPr>
              <w:t>    </w:t>
            </w:r>
            <w:r>
              <w:rPr>
                <w:b/>
                <w:spacing w:val="0"/>
              </w:rPr>
              <w:t>Ordinary Shares, no par value</w:t>
            </w:r>
          </w:p>
        </w:tc>
        <w:tc>
          <w:tcPr>
            <w:tcW w:w="6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0"/>
              <w:jc w:val="center"/>
              <w:rPr>
                <w:spacing w:val="0"/>
              </w:rPr>
            </w:pPr>
            <w:r>
              <w:rPr>
                <w:spacing w:val="0"/>
              </w:rPr>
              <w:t>—</w:t>
            </w:r>
          </w:p>
        </w:tc>
        <w:tc>
          <w:tcPr>
            <w:tcW w:w="60" w:type="dxa"/>
            <w:tcBorders/>
            <w:shd w:fill="auto" w:val="clear"/>
            <w:vAlign w:val="center"/>
          </w:tcPr>
          <w:p>
            <w:pPr>
              <w:pStyle w:val="TableContents"/>
              <w:spacing w:before="0" w:after="283"/>
              <w:rPr/>
            </w:pPr>
            <w:r>
              <w:rPr/>
              <w:t> </w:t>
            </w:r>
          </w:p>
        </w:tc>
        <w:tc>
          <w:tcPr>
            <w:tcW w:w="3305" w:type="dxa"/>
            <w:tcBorders/>
            <w:shd w:fill="auto" w:val="clear"/>
            <w:vAlign w:val="center"/>
          </w:tcPr>
          <w:p>
            <w:pPr>
              <w:pStyle w:val="TableContents"/>
              <w:spacing w:before="0" w:after="0"/>
              <w:jc w:val="center"/>
              <w:rPr>
                <w:b/>
                <w:spacing w:val="0"/>
              </w:rPr>
            </w:pPr>
            <w:r>
              <w:rPr>
                <w:b/>
                <w:spacing w:val="0"/>
              </w:rPr>
              <w:t>The Nasdaq Stock Market LLC</w:t>
            </w:r>
          </w:p>
          <w:p>
            <w:pPr>
              <w:pStyle w:val="TableContents"/>
              <w:spacing w:before="0" w:after="0"/>
              <w:jc w:val="center"/>
              <w:rPr>
                <w:b/>
                <w:spacing w:val="0"/>
                <w:sz w:val="9"/>
              </w:rPr>
            </w:pPr>
            <w:r>
              <w:rPr>
                <w:b/>
                <w:spacing w:val="0"/>
                <w:sz w:val="9"/>
              </w:rPr>
              <w:t>(1)</w:t>
            </w:r>
          </w:p>
        </w:tc>
      </w:tr>
    </w:tbl>
    <w:p>
      <w:pPr>
        <w:pStyle w:val="TextBody"/>
        <w:spacing w:before="120" w:after="0"/>
        <w:jc w:val="center"/>
        <w:rPr>
          <w:rFonts w:ascii="Times New Roman" w:hAnsi="Times New Roman"/>
          <w:b/>
          <w:sz w:val="16"/>
          <w:highlight w:val="white"/>
        </w:rPr>
      </w:pPr>
      <w:r>
        <w:rPr>
          <w:rFonts w:ascii="Times New Roman" w:hAnsi="Times New Roman"/>
          <w:b/>
          <w:sz w:val="16"/>
          <w:highlight w:val="white"/>
        </w:rPr>
        <w:t xml:space="preserve">Securities registered or to be registered pursuant to Section 12(g) of the Act: </w:t>
      </w:r>
    </w:p>
    <w:p>
      <w:pPr>
        <w:pStyle w:val="TextBody"/>
        <w:spacing w:before="0" w:after="0"/>
        <w:jc w:val="center"/>
        <w:rPr>
          <w:rFonts w:ascii="Times New Roman" w:hAnsi="Times New Roman"/>
          <w:b/>
          <w:sz w:val="16"/>
          <w:highlight w:val="white"/>
        </w:rPr>
      </w:pPr>
      <w:r>
        <w:rPr>
          <w:rFonts w:ascii="Times New Roman" w:hAnsi="Times New Roman"/>
          <w:b/>
          <w:sz w:val="16"/>
          <w:highlight w:val="white"/>
        </w:rPr>
        <w:t xml:space="preserve">None </w:t>
      </w:r>
    </w:p>
    <w:p>
      <w:pPr>
        <w:pStyle w:val="TextBody"/>
        <w:spacing w:before="120" w:after="0"/>
        <w:jc w:val="center"/>
        <w:rPr>
          <w:rFonts w:ascii="Times New Roman" w:hAnsi="Times New Roman"/>
          <w:b/>
          <w:sz w:val="16"/>
          <w:highlight w:val="white"/>
        </w:rPr>
      </w:pPr>
      <w:r>
        <w:rPr>
          <w:rFonts w:ascii="Times New Roman" w:hAnsi="Times New Roman"/>
          <w:b/>
          <w:sz w:val="16"/>
          <w:highlight w:val="white"/>
        </w:rPr>
        <w:t xml:space="preserve">Securities for which there is a reporting obligation pursuant to Section 15(d) of the Act: </w:t>
      </w:r>
    </w:p>
    <w:p>
      <w:pPr>
        <w:pStyle w:val="TextBody"/>
        <w:spacing w:before="0" w:after="0"/>
        <w:jc w:val="center"/>
        <w:rPr>
          <w:rFonts w:ascii="Times New Roman" w:hAnsi="Times New Roman"/>
          <w:b/>
          <w:sz w:val="16"/>
          <w:highlight w:val="white"/>
        </w:rPr>
      </w:pPr>
      <w:r>
        <w:rPr>
          <w:rFonts w:ascii="Times New Roman" w:hAnsi="Times New Roman"/>
          <w:b/>
          <w:sz w:val="16"/>
          <w:highlight w:val="white"/>
        </w:rPr>
        <w:t xml:space="preserve">None </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120" w:after="0"/>
        <w:jc w:val="left"/>
        <w:rPr>
          <w:rFonts w:ascii="Times New Roman" w:hAnsi="Times New Roman"/>
          <w:sz w:val="16"/>
          <w:highlight w:val="white"/>
        </w:rPr>
      </w:pPr>
      <w:r>
        <w:rPr>
          <w:rFonts w:ascii="Times New Roman" w:hAnsi="Times New Roman"/>
          <w:sz w:val="16"/>
          <w:highlight w:val="white"/>
        </w:rPr>
        <w:t xml:space="preserve">Indicate the number of outstanding shares of each of the issuer’s classes of capital or common stock as of the close of the period covered by the annual report: </w:t>
      </w:r>
    </w:p>
    <w:p>
      <w:pPr>
        <w:pStyle w:val="TextBody"/>
        <w:spacing w:before="120" w:after="0"/>
        <w:jc w:val="center"/>
        <w:rPr>
          <w:rFonts w:ascii="Times New Roman" w:hAnsi="Times New Roman"/>
          <w:sz w:val="16"/>
          <w:highlight w:val="white"/>
        </w:rPr>
      </w:pPr>
      <w:r>
        <w:rPr>
          <w:rFonts w:ascii="Times New Roman" w:hAnsi="Times New Roman"/>
          <w:sz w:val="16"/>
          <w:highlight w:val="white"/>
        </w:rPr>
        <w:t xml:space="preserve">5,668,391 ordinary shares, no par value. </w:t>
      </w:r>
    </w:p>
    <w:p>
      <w:pPr>
        <w:pStyle w:val="TextBody"/>
        <w:spacing w:before="120" w:after="0"/>
        <w:jc w:val="left"/>
        <w:rPr>
          <w:rFonts w:ascii="Times New Roman" w:hAnsi="Times New Roman"/>
          <w:sz w:val="16"/>
          <w:highlight w:val="white"/>
        </w:rPr>
      </w:pPr>
      <w:r>
        <w:rPr>
          <w:rFonts w:ascii="Times New Roman" w:hAnsi="Times New Roman"/>
          <w:sz w:val="16"/>
          <w:highlight w:val="white"/>
        </w:rPr>
        <w:t xml:space="preserve">Indicate by check mark if the registrant is a well-known seasoned issuer, as defined in Rule 405 of the Securities Act.    Yes  ☐    No  ☒ </w:t>
      </w:r>
    </w:p>
    <w:p>
      <w:pPr>
        <w:pStyle w:val="TextBody"/>
        <w:spacing w:before="120" w:after="0"/>
        <w:jc w:val="left"/>
        <w:rPr>
          <w:rFonts w:ascii="Times New Roman" w:hAnsi="Times New Roman"/>
          <w:sz w:val="16"/>
          <w:highlight w:val="white"/>
        </w:rPr>
      </w:pPr>
      <w:r>
        <w:rPr>
          <w:rFonts w:ascii="Times New Roman" w:hAnsi="Times New Roman"/>
          <w:sz w:val="16"/>
          <w:highlight w:val="white"/>
        </w:rPr>
        <w:t xml:space="preserve">If this report is an annual or transition report, indicate by check mark if the registrant is not required to file reports pursuant to Section 13 or 15(d) of the Exchange Act of 1934.    Yes  ☐    No  ☒ </w:t>
      </w:r>
    </w:p>
    <w:p>
      <w:pPr>
        <w:pStyle w:val="TextBody"/>
        <w:spacing w:before="120" w:after="0"/>
        <w:jc w:val="left"/>
        <w:rPr>
          <w:rFonts w:ascii="Times New Roman" w:hAnsi="Times New Roman"/>
          <w:sz w:val="16"/>
          <w:highlight w:val="white"/>
        </w:rPr>
      </w:pPr>
      <w:r>
        <w:rPr>
          <w:rFonts w:ascii="Times New Roman" w:hAnsi="Times New Roman"/>
          <w:sz w:val="16"/>
          <w:highlight w:val="white"/>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    No  ☐ </w:t>
      </w:r>
    </w:p>
    <w:p>
      <w:pPr>
        <w:pStyle w:val="TextBody"/>
        <w:spacing w:before="120" w:after="0"/>
        <w:jc w:val="left"/>
        <w:rPr>
          <w:rFonts w:ascii="Times New Roman" w:hAnsi="Times New Roman"/>
          <w:sz w:val="16"/>
          <w:highlight w:val="white"/>
        </w:rPr>
      </w:pPr>
      <w:r>
        <w:rPr>
          <w:rFonts w:ascii="Times New Roman" w:hAnsi="Times New Roman"/>
          <w:sz w:val="16"/>
          <w:highlight w:val="white"/>
        </w:rPr>
        <w:t xml:space="preserve">Indicate by check mark whether the registrant has submitted electronically every Interactive Data File required to be submitted pursuant to Rule 405 of Regulation </w:t>
      </w:r>
    </w:p>
    <w:p>
      <w:pPr>
        <w:pStyle w:val="TextBody"/>
        <w:spacing w:before="120" w:after="0"/>
        <w:jc w:val="left"/>
        <w:rPr>
          <w:rFonts w:ascii="Times New Roman" w:hAnsi="Times New Roman"/>
          <w:spacing w:val="0"/>
          <w:sz w:val="16"/>
          <w:highlight w:val="white"/>
        </w:rPr>
      </w:pPr>
      <w:r>
        <w:rPr>
          <w:rFonts w:ascii="Times New Roman" w:hAnsi="Times New Roman"/>
          <w:spacing w:val="0"/>
          <w:sz w:val="16"/>
          <w:highlight w:val="white"/>
        </w:rPr>
        <w:t>S-T</w:t>
      </w:r>
    </w:p>
    <w:p>
      <w:pPr>
        <w:pStyle w:val="TextBody"/>
        <w:spacing w:before="120" w:after="0"/>
        <w:jc w:val="left"/>
        <w:rPr>
          <w:rFonts w:ascii="Times New Roman" w:hAnsi="Times New Roman"/>
          <w:sz w:val="16"/>
          <w:highlight w:val="white"/>
        </w:rPr>
      </w:pPr>
      <w:r>
        <w:rPr>
          <w:rFonts w:ascii="Times New Roman" w:hAnsi="Times New Roman"/>
          <w:sz w:val="16"/>
          <w:highlight w:val="white"/>
        </w:rPr>
        <w:t xml:space="preserve">(§232.405 of this chapter) during the preceding 12 months (or for such shorter period that the registrant was required to submit such files).    Yes  ☒    No  ☐ </w:t>
      </w:r>
    </w:p>
    <w:p>
      <w:pPr>
        <w:pStyle w:val="TextBody"/>
        <w:spacing w:before="120" w:after="0"/>
        <w:jc w:val="left"/>
        <w:rPr>
          <w:rFonts w:ascii="Times New Roman" w:hAnsi="Times New Roman"/>
          <w:sz w:val="16"/>
          <w:highlight w:val="white"/>
        </w:rPr>
      </w:pPr>
      <w:r>
        <w:rPr>
          <w:rFonts w:ascii="Times New Roman" w:hAnsi="Times New Roman"/>
          <w:sz w:val="16"/>
          <w:highlight w:val="white"/>
        </w:rPr>
        <w:t xml:space="preserve">Indicate by check mark whether the registrant is a large accelerated filer, an accelerated filer, a </w:t>
      </w:r>
    </w:p>
    <w:p>
      <w:pPr>
        <w:pStyle w:val="TextBody"/>
        <w:spacing w:before="120" w:after="0"/>
        <w:jc w:val="left"/>
        <w:rPr>
          <w:rFonts w:ascii="Times New Roman" w:hAnsi="Times New Roman"/>
          <w:spacing w:val="0"/>
          <w:sz w:val="16"/>
          <w:highlight w:val="white"/>
        </w:rPr>
      </w:pPr>
      <w:r>
        <w:rPr>
          <w:rFonts w:ascii="Times New Roman" w:hAnsi="Times New Roman"/>
          <w:spacing w:val="0"/>
          <w:sz w:val="16"/>
          <w:highlight w:val="white"/>
        </w:rPr>
        <w:t>non-accelerated</w:t>
      </w:r>
    </w:p>
    <w:p>
      <w:pPr>
        <w:pStyle w:val="TextBody"/>
        <w:spacing w:before="120" w:after="0"/>
        <w:jc w:val="left"/>
        <w:rPr>
          <w:rFonts w:ascii="Times New Roman" w:hAnsi="Times New Roman"/>
          <w:sz w:val="16"/>
          <w:highlight w:val="white"/>
        </w:rPr>
      </w:pPr>
      <w:r>
        <w:rPr>
          <w:rFonts w:ascii="Times New Roman" w:hAnsi="Times New Roman"/>
          <w:sz w:val="16"/>
          <w:highlight w:val="white"/>
        </w:rPr>
        <w:t xml:space="preserve">filer, or an emerging growth company. </w:t>
      </w:r>
    </w:p>
    <w:p>
      <w:pPr>
        <w:pStyle w:val="TextBody"/>
        <w:spacing w:before="0" w:after="0"/>
        <w:jc w:val="left"/>
        <w:rPr>
          <w:highlight w:val="white"/>
        </w:rPr>
      </w:pPr>
      <w:r>
        <w:rPr>
          <w:highlight w:val="white"/>
        </w:rPr>
        <w:t> </w:t>
      </w:r>
    </w:p>
    <w:tbl>
      <w:tblPr>
        <w:tblW w:w="9905" w:type="dxa"/>
        <w:jc w:val="left"/>
        <w:tblInd w:w="0" w:type="dxa"/>
        <w:tblCellMar>
          <w:top w:w="0" w:type="dxa"/>
          <w:left w:w="0" w:type="dxa"/>
          <w:bottom w:w="0" w:type="dxa"/>
          <w:right w:w="0" w:type="dxa"/>
        </w:tblCellMar>
      </w:tblPr>
      <w:tblGrid>
        <w:gridCol w:w="2465"/>
        <w:gridCol w:w="120"/>
        <w:gridCol w:w="1910"/>
        <w:gridCol w:w="60"/>
        <w:gridCol w:w="2330"/>
        <w:gridCol w:w="60"/>
        <w:gridCol w:w="2960"/>
      </w:tblGrid>
      <w:tr>
        <w:trPr/>
        <w:tc>
          <w:tcPr>
            <w:tcW w:w="24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2465" w:type="dxa"/>
            <w:tcBorders/>
            <w:shd w:fill="auto" w:val="clear"/>
            <w:vAlign w:val="center"/>
          </w:tcPr>
          <w:p>
            <w:pPr>
              <w:pStyle w:val="TableContents"/>
              <w:spacing w:before="0" w:after="283"/>
              <w:rPr/>
            </w:pPr>
            <w:r>
              <w:rPr/>
              <w:t>Large accelerated filer  ☐</w:t>
            </w:r>
          </w:p>
        </w:tc>
        <w:tc>
          <w:tcPr>
            <w:tcW w:w="120" w:type="dxa"/>
            <w:tcBorders/>
            <w:shd w:fill="auto" w:val="clear"/>
            <w:vAlign w:val="center"/>
          </w:tcPr>
          <w:p>
            <w:pPr>
              <w:pStyle w:val="TableContents"/>
              <w:spacing w:before="0" w:after="283"/>
              <w:rPr/>
            </w:pPr>
            <w:r>
              <w:rPr/>
              <w:t>  </w:t>
            </w:r>
          </w:p>
        </w:tc>
        <w:tc>
          <w:tcPr>
            <w:tcW w:w="1910" w:type="dxa"/>
            <w:tcBorders/>
            <w:shd w:fill="auto" w:val="clear"/>
            <w:vAlign w:val="center"/>
          </w:tcPr>
          <w:p>
            <w:pPr>
              <w:pStyle w:val="TableContents"/>
              <w:spacing w:before="0" w:after="283"/>
              <w:rPr/>
            </w:pPr>
            <w:r>
              <w:rPr/>
              <w:t>Accelerated filer  ☐</w:t>
            </w:r>
          </w:p>
        </w:tc>
        <w:tc>
          <w:tcPr>
            <w:tcW w:w="60" w:type="dxa"/>
            <w:tcBorders/>
            <w:shd w:fill="auto" w:val="clear"/>
            <w:vAlign w:val="center"/>
          </w:tcPr>
          <w:p>
            <w:pPr>
              <w:pStyle w:val="TableContents"/>
              <w:spacing w:before="0" w:after="283"/>
              <w:rPr/>
            </w:pPr>
            <w:r>
              <w:rPr/>
              <w:t> </w:t>
            </w:r>
          </w:p>
        </w:tc>
        <w:tc>
          <w:tcPr>
            <w:tcW w:w="2330" w:type="dxa"/>
            <w:tcBorders/>
            <w:shd w:fill="auto" w:val="clear"/>
            <w:vAlign w:val="center"/>
          </w:tcPr>
          <w:p>
            <w:pPr>
              <w:pStyle w:val="TableContents"/>
              <w:spacing w:before="0" w:after="0"/>
              <w:rPr>
                <w:spacing w:val="0"/>
              </w:rPr>
            </w:pPr>
            <w:r>
              <w:rPr>
                <w:spacing w:val="0"/>
              </w:rPr>
              <w:t>Non-accelerated filer  ☐</w:t>
            </w:r>
          </w:p>
        </w:tc>
        <w:tc>
          <w:tcPr>
            <w:tcW w:w="60" w:type="dxa"/>
            <w:tcBorders/>
            <w:shd w:fill="auto" w:val="clear"/>
            <w:vAlign w:val="center"/>
          </w:tcPr>
          <w:p>
            <w:pPr>
              <w:pStyle w:val="TableContents"/>
              <w:spacing w:before="0" w:after="283"/>
              <w:rPr/>
            </w:pPr>
            <w:r>
              <w:rPr/>
              <w:t> </w:t>
            </w:r>
          </w:p>
        </w:tc>
        <w:tc>
          <w:tcPr>
            <w:tcW w:w="2960" w:type="dxa"/>
            <w:tcBorders/>
            <w:shd w:fill="auto" w:val="clear"/>
            <w:vAlign w:val="center"/>
          </w:tcPr>
          <w:p>
            <w:pPr>
              <w:pStyle w:val="TableContents"/>
              <w:spacing w:before="0" w:after="283"/>
              <w:rPr/>
            </w:pPr>
            <w:r>
              <w:rPr/>
              <w:t>Emerging growth company  ☒</w:t>
            </w:r>
          </w:p>
        </w:tc>
      </w:tr>
    </w:tbl>
    <w:p>
      <w:pPr>
        <w:pStyle w:val="TextBody"/>
        <w:spacing w:before="120" w:after="0"/>
        <w:jc w:val="left"/>
        <w:rPr>
          <w:rFonts w:ascii="Times New Roman" w:hAnsi="Times New Roman"/>
          <w:sz w:val="16"/>
          <w:highlight w:val="white"/>
        </w:rPr>
      </w:pPr>
      <w:r>
        <w:rPr>
          <w:rFonts w:ascii="Times New Roman" w:hAnsi="Times New Roman"/>
          <w:sz w:val="16"/>
          <w:highlight w:val="white"/>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 </w:t>
      </w:r>
    </w:p>
    <w:p>
      <w:pPr>
        <w:pStyle w:val="TextBody"/>
        <w:spacing w:before="120" w:after="0"/>
        <w:jc w:val="left"/>
        <w:rPr>
          <w:rFonts w:ascii="Times New Roman" w:hAnsi="Times New Roman"/>
          <w:sz w:val="16"/>
          <w:highlight w:val="white"/>
        </w:rPr>
      </w:pPr>
      <w:r>
        <w:rPr>
          <w:rFonts w:ascii="Times New Roman" w:hAnsi="Times New Roman"/>
          <w:sz w:val="16"/>
          <w:highlight w:val="white"/>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spacing w:before="0" w:after="0"/>
        <w:jc w:val="left"/>
        <w:rPr>
          <w:rFonts w:ascii="Times New Roman" w:hAnsi="Times New Roman"/>
          <w:sz w:val="16"/>
          <w:highlight w:val="white"/>
        </w:rPr>
      </w:pPr>
      <w:r>
        <w:rPr>
          <w:rFonts w:ascii="Times New Roman" w:hAnsi="Times New Roman"/>
          <w:sz w:val="16"/>
          <w:highlight w:val="white"/>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spacing w:before="120" w:after="0"/>
        <w:jc w:val="left"/>
        <w:rPr>
          <w:rFonts w:ascii="Times New Roman" w:hAnsi="Times New Roman"/>
          <w:sz w:val="16"/>
          <w:highlight w:val="white"/>
        </w:rPr>
      </w:pPr>
      <w:r>
        <w:rPr>
          <w:rFonts w:ascii="Times New Roman" w:hAnsi="Times New Roman"/>
          <w:sz w:val="16"/>
          <w:highlight w:val="white"/>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spacing w:before="120" w:after="0"/>
        <w:jc w:val="left"/>
        <w:rPr>
          <w:rFonts w:ascii="Times New Roman" w:hAnsi="Times New Roman"/>
          <w:sz w:val="16"/>
          <w:highlight w:val="white"/>
        </w:rPr>
      </w:pPr>
      <w:r>
        <w:rPr>
          <w:rFonts w:ascii="Times New Roman" w:hAnsi="Times New Roman"/>
          <w:sz w:val="16"/>
          <w:highlight w:val="white"/>
        </w:rPr>
        <w:t xml:space="preserve">Indicate by check mark which basis of accounting the registrant has used to prepare the financial statements included in this filing. </w:t>
      </w:r>
    </w:p>
    <w:p>
      <w:pPr>
        <w:pStyle w:val="TextBody"/>
        <w:spacing w:before="0" w:after="0"/>
        <w:jc w:val="left"/>
        <w:rPr>
          <w:highlight w:val="white"/>
        </w:rPr>
      </w:pPr>
      <w:r>
        <w:rPr>
          <w:highlight w:val="white"/>
        </w:rPr>
        <w:t> </w:t>
      </w:r>
    </w:p>
    <w:tbl>
      <w:tblPr>
        <w:tblW w:w="8311" w:type="dxa"/>
        <w:jc w:val="left"/>
        <w:tblInd w:w="0" w:type="dxa"/>
        <w:tblCellMar>
          <w:top w:w="0" w:type="dxa"/>
          <w:left w:w="0" w:type="dxa"/>
          <w:bottom w:w="0" w:type="dxa"/>
          <w:right w:w="0" w:type="dxa"/>
        </w:tblCellMar>
      </w:tblPr>
      <w:tblGrid>
        <w:gridCol w:w="1535"/>
        <w:gridCol w:w="60"/>
        <w:gridCol w:w="5465"/>
        <w:gridCol w:w="60"/>
        <w:gridCol w:w="23"/>
        <w:gridCol w:w="120"/>
        <w:gridCol w:w="23"/>
        <w:gridCol w:w="120"/>
        <w:gridCol w:w="905"/>
      </w:tblGrid>
      <w:tr>
        <w:trPr/>
        <w:tc>
          <w:tcPr>
            <w:tcW w:w="15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4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r>
      <w:tr>
        <w:trPr/>
        <w:tc>
          <w:tcPr>
            <w:tcW w:w="1535" w:type="dxa"/>
            <w:tcBorders/>
            <w:shd w:fill="auto" w:val="clear"/>
            <w:vAlign w:val="center"/>
          </w:tcPr>
          <w:p>
            <w:pPr>
              <w:pStyle w:val="TableContents"/>
              <w:spacing w:before="0" w:after="283"/>
              <w:rPr/>
            </w:pPr>
            <w:r>
              <w:rPr/>
              <w:t>U.S. GAAP  ☐</w:t>
            </w:r>
          </w:p>
        </w:tc>
        <w:tc>
          <w:tcPr>
            <w:tcW w:w="60" w:type="dxa"/>
            <w:tcBorders/>
            <w:shd w:fill="auto" w:val="clear"/>
            <w:vAlign w:val="center"/>
          </w:tcPr>
          <w:p>
            <w:pPr>
              <w:pStyle w:val="TableContents"/>
              <w:spacing w:before="0" w:after="283"/>
              <w:rPr/>
            </w:pPr>
            <w:r>
              <w:rPr/>
              <w:t> </w:t>
            </w:r>
          </w:p>
        </w:tc>
        <w:tc>
          <w:tcPr>
            <w:tcW w:w="5465" w:type="dxa"/>
            <w:tcBorders/>
            <w:shd w:fill="auto" w:val="clear"/>
            <w:vAlign w:val="center"/>
          </w:tcPr>
          <w:p>
            <w:pPr>
              <w:pStyle w:val="TableContents"/>
              <w:spacing w:before="0" w:after="0"/>
              <w:rPr/>
            </w:pPr>
            <w:r>
              <w:rPr/>
              <w:t>        </w:t>
            </w:r>
          </w:p>
          <w:p>
            <w:pPr>
              <w:pStyle w:val="TableContents"/>
              <w:spacing w:before="0" w:after="0"/>
              <w:rPr>
                <w:spacing w:val="0"/>
              </w:rPr>
            </w:pPr>
            <w:r>
              <w:rPr>
                <w:spacing w:val="0"/>
              </w:rPr>
              <w:t xml:space="preserve">International Financial Reporting Standards </w:t>
            </w:r>
          </w:p>
          <w:p>
            <w:pPr>
              <w:pStyle w:val="TableContents"/>
              <w:spacing w:before="0" w:after="0"/>
              <w:rPr/>
            </w:pPr>
            <w:r>
              <w:rPr/>
              <w:t>as issued</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jc w:val="right"/>
              <w:rPr/>
            </w:pPr>
            <w:r>
              <w:rPr/>
              <w:t>Other  ☐</w:t>
            </w:r>
          </w:p>
        </w:tc>
      </w:tr>
      <w:tr>
        <w:trPr/>
        <w:tc>
          <w:tcPr>
            <w:tcW w:w="15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465" w:type="dxa"/>
            <w:tcBorders/>
            <w:shd w:fill="auto" w:val="clear"/>
            <w:vAlign w:val="center"/>
          </w:tcPr>
          <w:p>
            <w:pPr>
              <w:pStyle w:val="TableContents"/>
              <w:spacing w:before="0" w:after="283"/>
              <w:rPr/>
            </w:pPr>
            <w:r>
              <w:rPr/>
              <w:t>        </w:t>
            </w:r>
            <w:r>
              <w:rPr/>
              <w:t>by the International Accounting Standards Board  ☒</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rPr>
                <w:sz w:val="4"/>
                <w:szCs w:val="4"/>
              </w:rPr>
            </w:pPr>
            <w:r>
              <w:rPr>
                <w:sz w:val="4"/>
                <w:szCs w:val="4"/>
              </w:rPr>
            </w:r>
          </w:p>
        </w:tc>
      </w:tr>
    </w:tbl>
    <w:p>
      <w:pPr>
        <w:pStyle w:val="TextBody"/>
        <w:spacing w:before="120" w:after="0"/>
        <w:jc w:val="left"/>
        <w:rPr>
          <w:rFonts w:ascii="Times New Roman" w:hAnsi="Times New Roman"/>
          <w:sz w:val="16"/>
          <w:highlight w:val="white"/>
        </w:rPr>
      </w:pPr>
      <w:r>
        <w:rPr>
          <w:rFonts w:ascii="Times New Roman" w:hAnsi="Times New Roman"/>
          <w:sz w:val="16"/>
          <w:highlight w:val="white"/>
        </w:rPr>
        <w:t xml:space="preserve">If “Other” has been checked in response to the previous question, indicate by check mark which financial statement item the registrant has elected to follow.    Item 17  ☐    Item 18  ☐ </w:t>
      </w:r>
    </w:p>
    <w:p>
      <w:pPr>
        <w:pStyle w:val="TextBody"/>
        <w:spacing w:before="120" w:after="0"/>
        <w:jc w:val="left"/>
        <w:rPr>
          <w:rFonts w:ascii="Times New Roman" w:hAnsi="Times New Roman"/>
          <w:sz w:val="16"/>
          <w:highlight w:val="white"/>
        </w:rPr>
      </w:pPr>
      <w:r>
        <w:rPr>
          <w:rFonts w:ascii="Times New Roman" w:hAnsi="Times New Roman"/>
          <w:sz w:val="16"/>
          <w:highlight w:val="white"/>
        </w:rPr>
        <w:t xml:space="preserve">If this is an annual report, indicate by check mark whether the registrant is a shell company (as defined in Rule </w:t>
      </w:r>
    </w:p>
    <w:p>
      <w:pPr>
        <w:pStyle w:val="TextBody"/>
        <w:spacing w:before="120" w:after="0"/>
        <w:jc w:val="left"/>
        <w:rPr>
          <w:rFonts w:ascii="Times New Roman" w:hAnsi="Times New Roman"/>
          <w:spacing w:val="0"/>
          <w:sz w:val="16"/>
          <w:highlight w:val="white"/>
        </w:rPr>
      </w:pPr>
      <w:r>
        <w:rPr>
          <w:rFonts w:ascii="Times New Roman" w:hAnsi="Times New Roman"/>
          <w:spacing w:val="0"/>
          <w:sz w:val="16"/>
          <w:highlight w:val="white"/>
        </w:rPr>
        <w:t>12b-2</w:t>
      </w:r>
    </w:p>
    <w:p>
      <w:pPr>
        <w:pStyle w:val="TextBody"/>
        <w:spacing w:before="120" w:after="0"/>
        <w:jc w:val="left"/>
        <w:rPr>
          <w:rFonts w:ascii="Times New Roman" w:hAnsi="Times New Roman"/>
          <w:sz w:val="16"/>
          <w:highlight w:val="white"/>
        </w:rPr>
      </w:pPr>
      <w:r>
        <w:rPr>
          <w:rFonts w:ascii="Times New Roman" w:hAnsi="Times New Roman"/>
          <w:sz w:val="16"/>
          <w:highlight w:val="white"/>
        </w:rPr>
        <w:t xml:space="preserve">of the Exchange Act).    Yes  ☐    No  ☒ </w:t>
      </w:r>
    </w:p>
    <w:p>
      <w:pPr>
        <w:pStyle w:val="TextBody"/>
        <w:spacing w:lineRule="atLeast" w:line="160" w:before="0" w:after="40"/>
        <w:jc w:val="left"/>
        <w:rPr>
          <w:highlight w:val="white"/>
          <w:bdr w:val="single" w:sz="2" w:space="1" w:color="000000"/>
        </w:rPr>
      </w:pPr>
      <w:r>
        <w:rPr>
          <w:highlight w:val="white"/>
          <w:bdr w:val="single" w:sz="2" w:space="1" w:color="000000"/>
        </w:rPr>
        <w:t> </w:t>
      </w:r>
    </w:p>
    <w:tbl>
      <w:tblPr>
        <w:tblW w:w="8500" w:type="dxa"/>
        <w:jc w:val="left"/>
        <w:tblInd w:w="0" w:type="dxa"/>
        <w:tblCellMar>
          <w:top w:w="0" w:type="dxa"/>
          <w:left w:w="0" w:type="dxa"/>
          <w:bottom w:w="0" w:type="dxa"/>
          <w:right w:w="0" w:type="dxa"/>
        </w:tblCellMar>
      </w:tblPr>
      <w:tblGrid>
        <w:gridCol w:w="305"/>
        <w:gridCol w:w="8195"/>
      </w:tblGrid>
      <w:tr>
        <w:trPr/>
        <w:tc>
          <w:tcPr>
            <w:tcW w:w="305" w:type="dxa"/>
            <w:tcBorders/>
            <w:shd w:fill="auto" w:val="clear"/>
            <w:vAlign w:val="center"/>
          </w:tcPr>
          <w:p>
            <w:pPr>
              <w:pStyle w:val="TableContents"/>
              <w:spacing w:before="0" w:after="283"/>
              <w:jc w:val="left"/>
              <w:rPr/>
            </w:pPr>
            <w:r>
              <w:rPr/>
              <w:t>(1)</w:t>
            </w:r>
          </w:p>
        </w:tc>
        <w:tc>
          <w:tcPr>
            <w:tcW w:w="8195" w:type="dxa"/>
            <w:tcBorders/>
            <w:shd w:fill="auto" w:val="clear"/>
            <w:vAlign w:val="center"/>
          </w:tcPr>
          <w:p>
            <w:pPr>
              <w:pStyle w:val="TableContents"/>
              <w:spacing w:before="0" w:after="0"/>
              <w:jc w:val="left"/>
              <w:rPr>
                <w:rFonts w:ascii="Times New Roman" w:hAnsi="Times New Roman"/>
                <w:sz w:val="16"/>
              </w:rPr>
            </w:pPr>
            <w:r>
              <w:rPr>
                <w:rFonts w:ascii="Times New Roman" w:hAnsi="Times New Roman"/>
                <w:sz w:val="16"/>
              </w:rPr>
              <w:t xml:space="preserve">Not for trading, but only in connection with the listing on The Nasdaq Stock Market of American Depository Shares. </w:t>
            </w:r>
          </w:p>
        </w:tc>
      </w:tr>
    </w:tbl>
    <w:p>
      <w:pPr>
        <w:pStyle w:val="TextBody"/>
        <w:spacing w:before="0" w:after="0"/>
        <w:jc w:val="left"/>
        <w:rPr>
          <w:highlight w:val="white"/>
        </w:rPr>
      </w:pPr>
      <w:r>
        <w:rPr>
          <w:highlight w:val="white"/>
        </w:rPr>
        <w:t> </w:t>
      </w:r>
    </w:p>
    <w:p>
      <w:pPr>
        <w:pStyle w:val="TextBody"/>
        <w:spacing w:lineRule="atLeast" w:line="141" w:before="0" w:after="0"/>
        <w:jc w:val="left"/>
        <w:rPr>
          <w:highlight w:val="white"/>
          <w:bdr w:val="single" w:sz="2" w:space="1" w:color="000000"/>
        </w:rPr>
      </w:pPr>
      <w:r>
        <w:rPr>
          <w:highlight w:val="white"/>
          <w:bdr w:val="single" w:sz="2" w:space="1" w:color="000000"/>
        </w:rPr>
        <w:t> </w:t>
      </w:r>
    </w:p>
    <w:p>
      <w:pPr>
        <w:pStyle w:val="TextBody"/>
        <w:spacing w:lineRule="atLeast" w:line="141" w:before="0" w:after="40"/>
        <w:jc w:val="left"/>
        <w:rPr>
          <w:highlight w:val="white"/>
          <w:bdr w:val="single" w:sz="2" w:space="1" w:color="000000"/>
        </w:rPr>
      </w:pPr>
      <w:r>
        <w:rPr>
          <w:highlight w:val="white"/>
          <w:bdr w:val="single" w:sz="2" w:space="1" w:color="000000"/>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jc w:val="left"/>
        <w:rPr/>
      </w:pPr>
      <w:r>
        <w:rPr/>
        <w:t> </w:t>
      </w:r>
    </w:p>
    <w:tbl>
      <w:tblPr>
        <w:tblW w:w="7405" w:type="dxa"/>
        <w:jc w:val="left"/>
        <w:tblInd w:w="0" w:type="dxa"/>
        <w:tblCellMar>
          <w:top w:w="0" w:type="dxa"/>
          <w:left w:w="0" w:type="dxa"/>
          <w:bottom w:w="0" w:type="dxa"/>
          <w:right w:w="0" w:type="dxa"/>
        </w:tblCellMar>
      </w:tblPr>
      <w:tblGrid>
        <w:gridCol w:w="6890"/>
        <w:gridCol w:w="120"/>
        <w:gridCol w:w="60"/>
        <w:gridCol w:w="260"/>
        <w:gridCol w:w="75"/>
      </w:tblGrid>
      <w:tr>
        <w:trPr/>
        <w:tc>
          <w:tcPr>
            <w:tcW w:w="68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rPr/>
            </w:pPr>
            <w:hyperlink w:anchor="tx497326_1">
              <w:r>
                <w:rPr>
                  <w:rStyle w:val="InternetLink"/>
                  <w:rFonts w:ascii="Times New Roman" w:hAnsi="Times New Roman"/>
                  <w:sz w:val="20"/>
                </w:rPr>
                <w:t>INTRODUCTION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i</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rPr/>
            </w:pPr>
            <w:hyperlink w:anchor="tx497326_2">
              <w:r>
                <w:rPr>
                  <w:rStyle w:val="InternetLink"/>
                  <w:rFonts w:ascii="Times New Roman" w:hAnsi="Times New Roman"/>
                  <w:sz w:val="20"/>
                </w:rPr>
                <w:t>PRESENTATION OF FINANCIAL AND OTHER INFORMATION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i</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rPr/>
            </w:pPr>
            <w:hyperlink w:anchor="tx497326_3">
              <w:r>
                <w:rPr>
                  <w:rStyle w:val="InternetLink"/>
                  <w:rFonts w:ascii="Times New Roman" w:hAnsi="Times New Roman"/>
                  <w:sz w:val="20"/>
                </w:rPr>
                <w:t>MARKET AND INDUSTRY DATA</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i</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rPr/>
            </w:pPr>
            <w:hyperlink w:anchor="tx497326_4">
              <w:r>
                <w:rPr>
                  <w:rStyle w:val="InternetLink"/>
                  <w:rFonts w:ascii="Times New Roman" w:hAnsi="Times New Roman"/>
                  <w:sz w:val="20"/>
                </w:rPr>
                <w:t>TRADEMARKS, SERVICE MARKS AND TRADE NAMES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i</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rPr/>
            </w:pPr>
            <w:hyperlink w:anchor="tx497326_5">
              <w:r>
                <w:rPr>
                  <w:rStyle w:val="InternetLink"/>
                  <w:rFonts w:ascii="Times New Roman" w:hAnsi="Times New Roman"/>
                  <w:sz w:val="20"/>
                </w:rPr>
                <w:t>FREQUENTLY USED TERMS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ii</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rPr/>
            </w:pPr>
            <w:hyperlink w:anchor="tx497326_6">
              <w:r>
                <w:rPr>
                  <w:rStyle w:val="InternetLink"/>
                  <w:rFonts w:ascii="Times New Roman" w:hAnsi="Times New Roman"/>
                  <w:sz w:val="20"/>
                </w:rPr>
                <w:t>CAUTIONARY STATEMENT REGARDING FORWARD-LOOKING STATEMENTS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iii</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rPr/>
            </w:pPr>
            <w:hyperlink w:anchor="tx497326_7">
              <w:r>
                <w:rPr>
                  <w:rStyle w:val="InternetLink"/>
                  <w:rFonts w:ascii="Times New Roman" w:hAnsi="Times New Roman"/>
                  <w:sz w:val="20"/>
                </w:rPr>
                <w:t>RISK FACTOR SUMMARY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v</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rPr/>
            </w:pPr>
            <w:hyperlink w:anchor="tx497326_8">
              <w:r>
                <w:rPr>
                  <w:rStyle w:val="InternetLink"/>
                  <w:rFonts w:ascii="Times New Roman" w:hAnsi="Times New Roman"/>
                  <w:sz w:val="20"/>
                </w:rPr>
                <w:t>PART I.</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rPr/>
            </w:pPr>
            <w:hyperlink w:anchor="tx497326_9">
              <w:r>
                <w:rPr>
                  <w:rStyle w:val="InternetLink"/>
                  <w:rFonts w:ascii="Times New Roman" w:hAnsi="Times New Roman"/>
                  <w:sz w:val="20"/>
                </w:rPr>
                <w:t>ITEM 1. IDENTITY OF DIRECTORS, SENIOR MANAGEMENT AND ADVISERS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jc w:val="both"/>
              <w:rPr/>
            </w:pPr>
            <w:hyperlink w:anchor="tx497326_10">
              <w:r>
                <w:rPr>
                  <w:rStyle w:val="InternetLink"/>
                  <w:rFonts w:ascii="Times New Roman" w:hAnsi="Times New Roman"/>
                  <w:sz w:val="20"/>
                </w:rPr>
                <w:t>A. Directors and Senior Management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rPr/>
            </w:pPr>
            <w:hyperlink w:anchor="tx497326_11">
              <w:r>
                <w:rPr>
                  <w:rStyle w:val="InternetLink"/>
                  <w:rFonts w:ascii="Times New Roman" w:hAnsi="Times New Roman"/>
                  <w:sz w:val="20"/>
                </w:rPr>
                <w:t>ITEM 2. OFFER STATISTICS AND EXPECTED TIMETABLE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rPr/>
            </w:pPr>
            <w:hyperlink w:anchor="tx497326_12">
              <w:r>
                <w:rPr>
                  <w:rStyle w:val="InternetLink"/>
                  <w:rFonts w:ascii="Times New Roman" w:hAnsi="Times New Roman"/>
                  <w:sz w:val="20"/>
                </w:rPr>
                <w:t>ITEM 3. KEY INFORMATION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jc w:val="both"/>
              <w:rPr/>
            </w:pPr>
            <w:hyperlink w:anchor="tx497326_13">
              <w:r>
                <w:rPr>
                  <w:rStyle w:val="InternetLink"/>
                  <w:rFonts w:ascii="Times New Roman" w:hAnsi="Times New Roman"/>
                  <w:sz w:val="20"/>
                </w:rPr>
                <w:t>A. [Reserved]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jc w:val="both"/>
              <w:rPr/>
            </w:pPr>
            <w:hyperlink w:anchor="tx497326_14">
              <w:r>
                <w:rPr>
                  <w:rStyle w:val="InternetLink"/>
                  <w:rFonts w:ascii="Times New Roman" w:hAnsi="Times New Roman"/>
                  <w:sz w:val="20"/>
                </w:rPr>
                <w:t>B. Capitalization and Indebtedness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jc w:val="both"/>
              <w:rPr/>
            </w:pPr>
            <w:hyperlink w:anchor="tx497326_15">
              <w:r>
                <w:rPr>
                  <w:rStyle w:val="InternetLink"/>
                  <w:rFonts w:ascii="Times New Roman" w:hAnsi="Times New Roman"/>
                  <w:sz w:val="20"/>
                </w:rPr>
                <w:t>C. Reasons for the Offer and Use of Proceeds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jc w:val="both"/>
              <w:rPr/>
            </w:pPr>
            <w:hyperlink w:anchor="tx497326_16">
              <w:r>
                <w:rPr>
                  <w:rStyle w:val="InternetLink"/>
                  <w:rFonts w:ascii="Times New Roman" w:hAnsi="Times New Roman"/>
                  <w:sz w:val="20"/>
                </w:rPr>
                <w:t>D. Risk Factors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rPr/>
            </w:pPr>
            <w:hyperlink w:anchor="tx497326_17">
              <w:r>
                <w:rPr>
                  <w:rStyle w:val="InternetLink"/>
                  <w:rFonts w:ascii="Times New Roman" w:hAnsi="Times New Roman"/>
                  <w:sz w:val="20"/>
                </w:rPr>
                <w:t>ITEM 4. INFORMATION ON THE COMPANY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30</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jc w:val="both"/>
              <w:rPr/>
            </w:pPr>
            <w:hyperlink w:anchor="tx497326_18">
              <w:r>
                <w:rPr>
                  <w:rStyle w:val="InternetLink"/>
                  <w:rFonts w:ascii="Times New Roman" w:hAnsi="Times New Roman"/>
                  <w:sz w:val="20"/>
                </w:rPr>
                <w:t>A. Corporate History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30</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jc w:val="both"/>
              <w:rPr/>
            </w:pPr>
            <w:hyperlink w:anchor="tx497326_19">
              <w:r>
                <w:rPr>
                  <w:rStyle w:val="InternetLink"/>
                  <w:rFonts w:ascii="Times New Roman" w:hAnsi="Times New Roman"/>
                  <w:sz w:val="20"/>
                </w:rPr>
                <w:t>B. Business Overview</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31</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jc w:val="both"/>
              <w:rPr/>
            </w:pPr>
            <w:hyperlink w:anchor="tx497326_20">
              <w:r>
                <w:rPr>
                  <w:rStyle w:val="InternetLink"/>
                  <w:rFonts w:ascii="Times New Roman" w:hAnsi="Times New Roman"/>
                  <w:sz w:val="20"/>
                </w:rPr>
                <w:t>C. Organizational Structure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56</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jc w:val="both"/>
              <w:rPr/>
            </w:pPr>
            <w:hyperlink w:anchor="tx497326_21">
              <w:r>
                <w:rPr>
                  <w:rStyle w:val="InternetLink"/>
                  <w:rFonts w:ascii="Times New Roman" w:hAnsi="Times New Roman"/>
                  <w:sz w:val="20"/>
                </w:rPr>
                <w:t>D. Property, Plant and Equipment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56</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rPr/>
            </w:pPr>
            <w:hyperlink w:anchor="tx497326_22">
              <w:r>
                <w:rPr>
                  <w:rStyle w:val="InternetLink"/>
                  <w:rFonts w:ascii="Times New Roman" w:hAnsi="Times New Roman"/>
                  <w:sz w:val="20"/>
                </w:rPr>
                <w:t>ITEM 4A. UNRESOLVED STAFF COMMENTS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56</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rPr/>
            </w:pPr>
            <w:hyperlink w:anchor="tx497326_23">
              <w:r>
                <w:rPr>
                  <w:rStyle w:val="InternetLink"/>
                  <w:rFonts w:ascii="Times New Roman" w:hAnsi="Times New Roman"/>
                  <w:sz w:val="20"/>
                </w:rPr>
                <w:t>ITEM 5. OPERATING AND FINANCIAL REVIEW AND PROSPECTS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56</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jc w:val="both"/>
              <w:rPr/>
            </w:pPr>
            <w:hyperlink w:anchor="tx497326_24">
              <w:r>
                <w:rPr>
                  <w:rStyle w:val="InternetLink"/>
                  <w:rFonts w:ascii="Times New Roman" w:hAnsi="Times New Roman"/>
                  <w:sz w:val="20"/>
                </w:rPr>
                <w:t>A. Operating Results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62</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jc w:val="both"/>
              <w:rPr/>
            </w:pPr>
            <w:hyperlink w:anchor="tx497326_25">
              <w:r>
                <w:rPr>
                  <w:rStyle w:val="InternetLink"/>
                  <w:rFonts w:ascii="Times New Roman" w:hAnsi="Times New Roman"/>
                  <w:sz w:val="20"/>
                </w:rPr>
                <w:t>B. Liquidity and Capital Resources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69</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jc w:val="both"/>
              <w:rPr/>
            </w:pPr>
            <w:hyperlink w:anchor="tx497326_26">
              <w:r>
                <w:rPr>
                  <w:rStyle w:val="InternetLink"/>
                  <w:rFonts w:ascii="Times New Roman" w:hAnsi="Times New Roman"/>
                  <w:sz w:val="20"/>
                </w:rPr>
                <w:t>C. Research and Development, Patents and Licenses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73</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jc w:val="both"/>
              <w:rPr/>
            </w:pPr>
            <w:hyperlink w:anchor="tx497326_27">
              <w:r>
                <w:rPr>
                  <w:rStyle w:val="InternetLink"/>
                  <w:rFonts w:ascii="Times New Roman" w:hAnsi="Times New Roman"/>
                  <w:sz w:val="20"/>
                </w:rPr>
                <w:t>D. Trend Information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73</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jc w:val="both"/>
              <w:rPr/>
            </w:pPr>
            <w:hyperlink w:anchor="tx497326_28">
              <w:r>
                <w:rPr>
                  <w:rStyle w:val="InternetLink"/>
                  <w:rFonts w:ascii="Times New Roman" w:hAnsi="Times New Roman"/>
                  <w:sz w:val="20"/>
                </w:rPr>
                <w:t>E. Critical Accounting Estimates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73</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rPr/>
            </w:pPr>
            <w:hyperlink w:anchor="tx497326_29">
              <w:r>
                <w:rPr>
                  <w:rStyle w:val="InternetLink"/>
                  <w:rFonts w:ascii="Times New Roman" w:hAnsi="Times New Roman"/>
                  <w:sz w:val="20"/>
                </w:rPr>
                <w:t>ITEM 6. DIRECTORS, SENIOR MANAGEMENT AND EMPLOYEES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74</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jc w:val="both"/>
              <w:rPr/>
            </w:pPr>
            <w:hyperlink w:anchor="tx497326_30">
              <w:r>
                <w:rPr>
                  <w:rStyle w:val="InternetLink"/>
                  <w:rFonts w:ascii="Times New Roman" w:hAnsi="Times New Roman"/>
                  <w:sz w:val="20"/>
                </w:rPr>
                <w:t>A. Directors and Senior Management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74</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jc w:val="both"/>
              <w:rPr/>
            </w:pPr>
            <w:hyperlink w:anchor="tx497326_31">
              <w:r>
                <w:rPr>
                  <w:rStyle w:val="InternetLink"/>
                  <w:rFonts w:ascii="Times New Roman" w:hAnsi="Times New Roman"/>
                  <w:sz w:val="20"/>
                </w:rPr>
                <w:t>B.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82</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jc w:val="both"/>
              <w:rPr/>
            </w:pPr>
            <w:hyperlink w:anchor="tx497326_32">
              <w:r>
                <w:rPr>
                  <w:rStyle w:val="InternetLink"/>
                  <w:rFonts w:ascii="Times New Roman" w:hAnsi="Times New Roman"/>
                  <w:sz w:val="20"/>
                </w:rPr>
                <w:t>C. Board Practices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89</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jc w:val="both"/>
              <w:rPr/>
            </w:pPr>
            <w:hyperlink w:anchor="tx497326_33">
              <w:r>
                <w:rPr>
                  <w:rStyle w:val="InternetLink"/>
                  <w:rFonts w:ascii="Times New Roman" w:hAnsi="Times New Roman"/>
                  <w:sz w:val="20"/>
                </w:rPr>
                <w:t>D. Employees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91</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jc w:val="both"/>
              <w:rPr/>
            </w:pPr>
            <w:hyperlink w:anchor="tx497326_34">
              <w:r>
                <w:rPr>
                  <w:rStyle w:val="InternetLink"/>
                  <w:rFonts w:ascii="Times New Roman" w:hAnsi="Times New Roman"/>
                  <w:sz w:val="20"/>
                </w:rPr>
                <w:t>E. Share Ownership</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92</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rPr/>
            </w:pPr>
            <w:hyperlink w:anchor="tx497326_35">
              <w:r>
                <w:rPr>
                  <w:rStyle w:val="InternetLink"/>
                  <w:rFonts w:ascii="Times New Roman" w:hAnsi="Times New Roman"/>
                  <w:sz w:val="20"/>
                </w:rPr>
                <w:t>ITEM 7. MAJOR SHAREHOLDERS AND RELATED PARTY TRANSACTIONS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92</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jc w:val="both"/>
              <w:rPr/>
            </w:pPr>
            <w:hyperlink w:anchor="tx497326_36">
              <w:r>
                <w:rPr>
                  <w:rStyle w:val="InternetLink"/>
                  <w:rFonts w:ascii="Times New Roman" w:hAnsi="Times New Roman"/>
                  <w:sz w:val="20"/>
                </w:rPr>
                <w:t>A. Major Shareholders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92</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jc w:val="both"/>
              <w:rPr/>
            </w:pPr>
            <w:hyperlink w:anchor="tx497326_37">
              <w:r>
                <w:rPr>
                  <w:rStyle w:val="InternetLink"/>
                  <w:rFonts w:ascii="Times New Roman" w:hAnsi="Times New Roman"/>
                  <w:sz w:val="20"/>
                </w:rPr>
                <w:t>B. Related Party Transactions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93</w:t>
            </w:r>
          </w:p>
        </w:tc>
        <w:tc>
          <w:tcPr>
            <w:tcW w:w="75" w:type="dxa"/>
            <w:tcBorders/>
            <w:shd w:fill="auto" w:val="clear"/>
            <w:vAlign w:val="center"/>
          </w:tcPr>
          <w:p>
            <w:pPr>
              <w:pStyle w:val="TableContents"/>
              <w:spacing w:before="0" w:after="283"/>
              <w:rPr/>
            </w:pPr>
            <w:r>
              <w:rPr/>
              <w:t> </w:t>
            </w:r>
          </w:p>
        </w:tc>
      </w:tr>
      <w:tr>
        <w:trPr/>
        <w:tc>
          <w:tcPr>
            <w:tcW w:w="68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0"/>
              <w:jc w:val="both"/>
              <w:rPr/>
            </w:pPr>
            <w:hyperlink w:anchor="tx497326_38">
              <w:r>
                <w:rPr>
                  <w:rStyle w:val="InternetLink"/>
                  <w:rFonts w:ascii="Times New Roman" w:hAnsi="Times New Roman"/>
                  <w:sz w:val="20"/>
                </w:rPr>
                <w:t>C. Interests of Experts and Counsel</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95</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rPr/>
      </w:pPr>
      <w:r>
        <w:rPr/>
      </w:r>
    </w:p>
    <w:p>
      <w:pPr>
        <w:pStyle w:val="Heading5"/>
        <w:rPr/>
      </w:pPr>
      <w:hyperlink w:anchor="toc">
        <w:r>
          <w:rPr>
            <w:rStyle w:val="InternetLink"/>
          </w:rPr>
          <w:t>Table of Contents</w:t>
        </w:r>
      </w:hyperlink>
    </w:p>
    <w:tbl>
      <w:tblPr>
        <w:tblW w:w="9880" w:type="dxa"/>
        <w:jc w:val="left"/>
        <w:tblInd w:w="0" w:type="dxa"/>
        <w:tblCellMar>
          <w:top w:w="0" w:type="dxa"/>
          <w:left w:w="0" w:type="dxa"/>
          <w:bottom w:w="0" w:type="dxa"/>
          <w:right w:w="0" w:type="dxa"/>
        </w:tblCellMar>
      </w:tblPr>
      <w:tblGrid>
        <w:gridCol w:w="9245"/>
        <w:gridCol w:w="120"/>
        <w:gridCol w:w="60"/>
        <w:gridCol w:w="380"/>
        <w:gridCol w:w="75"/>
      </w:tblGrid>
      <w:tr>
        <w:trPr/>
        <w:tc>
          <w:tcPr>
            <w:tcW w:w="92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x497326_39">
              <w:r>
                <w:rPr>
                  <w:rStyle w:val="InternetLink"/>
                  <w:rFonts w:ascii="Times New Roman" w:hAnsi="Times New Roman"/>
                  <w:sz w:val="20"/>
                </w:rPr>
                <w:t>ITEM 8. FINANCIAL INFORMATION.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95</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jc w:val="both"/>
              <w:rPr/>
            </w:pPr>
            <w:hyperlink w:anchor="tx497326_40">
              <w:r>
                <w:rPr>
                  <w:rStyle w:val="InternetLink"/>
                  <w:rFonts w:ascii="Times New Roman" w:hAnsi="Times New Roman"/>
                  <w:sz w:val="20"/>
                </w:rPr>
                <w:t>A. Consolidated Statements and Other Financial Information.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95</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jc w:val="both"/>
              <w:rPr/>
            </w:pPr>
            <w:hyperlink w:anchor="tx497326_41">
              <w:r>
                <w:rPr>
                  <w:rStyle w:val="InternetLink"/>
                  <w:rFonts w:ascii="Times New Roman" w:hAnsi="Times New Roman"/>
                  <w:sz w:val="20"/>
                </w:rPr>
                <w:t>B. Significant Changes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95</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x497326_42">
              <w:r>
                <w:rPr>
                  <w:rStyle w:val="InternetLink"/>
                  <w:rFonts w:ascii="Times New Roman" w:hAnsi="Times New Roman"/>
                  <w:sz w:val="20"/>
                </w:rPr>
                <w:t>ITEM 9. THE OFFER AND LISTING</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96</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jc w:val="both"/>
              <w:rPr/>
            </w:pPr>
            <w:hyperlink w:anchor="tx497326_43">
              <w:r>
                <w:rPr>
                  <w:rStyle w:val="InternetLink"/>
                  <w:rFonts w:ascii="Times New Roman" w:hAnsi="Times New Roman"/>
                  <w:sz w:val="20"/>
                </w:rPr>
                <w:t>A. Offer and Listing Details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96</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jc w:val="both"/>
              <w:rPr/>
            </w:pPr>
            <w:hyperlink w:anchor="tx497326_44">
              <w:r>
                <w:rPr>
                  <w:rStyle w:val="InternetLink"/>
                  <w:rFonts w:ascii="Times New Roman" w:hAnsi="Times New Roman"/>
                  <w:sz w:val="20"/>
                </w:rPr>
                <w:t>B. Plan of Distribution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96</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jc w:val="both"/>
              <w:rPr/>
            </w:pPr>
            <w:hyperlink w:anchor="tx497326_45">
              <w:r>
                <w:rPr>
                  <w:rStyle w:val="InternetLink"/>
                  <w:rFonts w:ascii="Times New Roman" w:hAnsi="Times New Roman"/>
                  <w:sz w:val="20"/>
                </w:rPr>
                <w:t>C. Markets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96</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jc w:val="both"/>
              <w:rPr/>
            </w:pPr>
            <w:hyperlink w:anchor="tx497326_46">
              <w:r>
                <w:rPr>
                  <w:rStyle w:val="InternetLink"/>
                  <w:rFonts w:ascii="Times New Roman" w:hAnsi="Times New Roman"/>
                  <w:sz w:val="20"/>
                </w:rPr>
                <w:t>D. Selling Shareholders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96</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jc w:val="both"/>
              <w:rPr/>
            </w:pPr>
            <w:hyperlink w:anchor="tx497326_47">
              <w:r>
                <w:rPr>
                  <w:rStyle w:val="InternetLink"/>
                  <w:rFonts w:ascii="Times New Roman" w:hAnsi="Times New Roman"/>
                  <w:sz w:val="20"/>
                </w:rPr>
                <w:t>E. Dilution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96</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jc w:val="both"/>
              <w:rPr/>
            </w:pPr>
            <w:hyperlink w:anchor="tx497326_48">
              <w:r>
                <w:rPr>
                  <w:rStyle w:val="InternetLink"/>
                  <w:rFonts w:ascii="Times New Roman" w:hAnsi="Times New Roman"/>
                  <w:sz w:val="20"/>
                </w:rPr>
                <w:t>F. Expenses of the Issue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96</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x497326_49">
              <w:r>
                <w:rPr>
                  <w:rStyle w:val="InternetLink"/>
                  <w:rFonts w:ascii="Times New Roman" w:hAnsi="Times New Roman"/>
                  <w:sz w:val="20"/>
                </w:rPr>
                <w:t>ITEM 10. ADDITIONAL INFORMATION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96</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jc w:val="both"/>
              <w:rPr/>
            </w:pPr>
            <w:hyperlink w:anchor="tx497326_50">
              <w:r>
                <w:rPr>
                  <w:rStyle w:val="InternetLink"/>
                  <w:rFonts w:ascii="Times New Roman" w:hAnsi="Times New Roman"/>
                  <w:sz w:val="20"/>
                </w:rPr>
                <w:t>A. Share Capital</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96</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jc w:val="both"/>
              <w:rPr/>
            </w:pPr>
            <w:hyperlink w:anchor="tx497326_51">
              <w:r>
                <w:rPr>
                  <w:rStyle w:val="InternetLink"/>
                  <w:rFonts w:ascii="Times New Roman" w:hAnsi="Times New Roman"/>
                  <w:sz w:val="20"/>
                </w:rPr>
                <w:t>B. Memorandum and Articles of Association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96</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jc w:val="both"/>
              <w:rPr/>
            </w:pPr>
            <w:hyperlink w:anchor="tx497326_52">
              <w:r>
                <w:rPr>
                  <w:rStyle w:val="InternetLink"/>
                  <w:rFonts w:ascii="Times New Roman" w:hAnsi="Times New Roman"/>
                  <w:sz w:val="20"/>
                </w:rPr>
                <w:t>C. Material Contracts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96</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jc w:val="both"/>
              <w:rPr/>
            </w:pPr>
            <w:hyperlink w:anchor="tx497326_53">
              <w:r>
                <w:rPr>
                  <w:rStyle w:val="InternetLink"/>
                  <w:rFonts w:ascii="Times New Roman" w:hAnsi="Times New Roman"/>
                  <w:sz w:val="20"/>
                </w:rPr>
                <w:t>D. Exchange Controls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96</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jc w:val="both"/>
              <w:rPr/>
            </w:pPr>
            <w:hyperlink w:anchor="tx497326_54">
              <w:r>
                <w:rPr>
                  <w:rStyle w:val="InternetLink"/>
                  <w:rFonts w:ascii="Times New Roman" w:hAnsi="Times New Roman"/>
                  <w:sz w:val="20"/>
                </w:rPr>
                <w:t>E. Taxation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97</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jc w:val="both"/>
              <w:rPr/>
            </w:pPr>
            <w:hyperlink w:anchor="tx497326_55">
              <w:r>
                <w:rPr>
                  <w:rStyle w:val="InternetLink"/>
                  <w:rFonts w:ascii="Times New Roman" w:hAnsi="Times New Roman"/>
                  <w:sz w:val="20"/>
                </w:rPr>
                <w:t>F. Dividends and Paying Agents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107</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jc w:val="both"/>
              <w:rPr/>
            </w:pPr>
            <w:hyperlink w:anchor="tx497326_56">
              <w:r>
                <w:rPr>
                  <w:rStyle w:val="InternetLink"/>
                  <w:rFonts w:ascii="Times New Roman" w:hAnsi="Times New Roman"/>
                  <w:sz w:val="20"/>
                </w:rPr>
                <w:t>G. Statement by Experts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107</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jc w:val="both"/>
              <w:rPr/>
            </w:pPr>
            <w:hyperlink w:anchor="tx497326_57">
              <w:r>
                <w:rPr>
                  <w:rStyle w:val="InternetLink"/>
                  <w:rFonts w:ascii="Times New Roman" w:hAnsi="Times New Roman"/>
                  <w:sz w:val="20"/>
                </w:rPr>
                <w:t>H. Documents on Display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107</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jc w:val="both"/>
              <w:rPr/>
            </w:pPr>
            <w:hyperlink w:anchor="tx497326_58">
              <w:r>
                <w:rPr>
                  <w:rStyle w:val="InternetLink"/>
                  <w:rFonts w:ascii="Times New Roman" w:hAnsi="Times New Roman"/>
                  <w:sz w:val="20"/>
                </w:rPr>
                <w:t>I. Subsidiary Information.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107</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x497326_59">
              <w:r>
                <w:rPr>
                  <w:rStyle w:val="InternetLink"/>
                  <w:rFonts w:ascii="Times New Roman" w:hAnsi="Times New Roman"/>
                  <w:sz w:val="20"/>
                </w:rPr>
                <w:t>ITEM 11. QUANTITATIVE AND QUALITATIVE DISCLOSURES ABOUT MARKET RISK</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107</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x497326_60">
              <w:r>
                <w:rPr>
                  <w:rStyle w:val="InternetLink"/>
                  <w:rFonts w:ascii="Times New Roman" w:hAnsi="Times New Roman"/>
                  <w:sz w:val="20"/>
                </w:rPr>
                <w:t>ITEM 12. DESCRIPTION OF SECURITIES OTHER THAN EQUITY SECURITIES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107</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jc w:val="both"/>
              <w:rPr/>
            </w:pPr>
            <w:hyperlink w:anchor="tx497326_61">
              <w:r>
                <w:rPr>
                  <w:rStyle w:val="InternetLink"/>
                  <w:rFonts w:ascii="Times New Roman" w:hAnsi="Times New Roman"/>
                  <w:sz w:val="20"/>
                </w:rPr>
                <w:t>A. Debt Securities.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107</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jc w:val="both"/>
              <w:rPr/>
            </w:pPr>
            <w:hyperlink w:anchor="tx497326_62">
              <w:r>
                <w:rPr>
                  <w:rStyle w:val="InternetLink"/>
                  <w:rFonts w:ascii="Times New Roman" w:hAnsi="Times New Roman"/>
                  <w:sz w:val="20"/>
                </w:rPr>
                <w:t>B. Warrants and rights.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108</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jc w:val="both"/>
              <w:rPr/>
            </w:pPr>
            <w:hyperlink w:anchor="tx497326_63">
              <w:r>
                <w:rPr>
                  <w:rStyle w:val="InternetLink"/>
                  <w:rFonts w:ascii="Times New Roman" w:hAnsi="Times New Roman"/>
                  <w:sz w:val="20"/>
                </w:rPr>
                <w:t>C. Other Securities.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108</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jc w:val="both"/>
              <w:rPr/>
            </w:pPr>
            <w:hyperlink w:anchor="tx497326_64">
              <w:r>
                <w:rPr>
                  <w:rStyle w:val="InternetLink"/>
                  <w:rFonts w:ascii="Times New Roman" w:hAnsi="Times New Roman"/>
                  <w:sz w:val="20"/>
                </w:rPr>
                <w:t>D. American Depositary Shares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108</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jc w:val="both"/>
              <w:rPr/>
            </w:pPr>
            <w:hyperlink w:anchor="tx497326_65">
              <w:r>
                <w:rPr>
                  <w:rStyle w:val="InternetLink"/>
                  <w:rFonts w:ascii="Times New Roman" w:hAnsi="Times New Roman"/>
                  <w:sz w:val="20"/>
                </w:rPr>
                <w:t>PART II.</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110</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x497326_66">
              <w:r>
                <w:rPr>
                  <w:rStyle w:val="InternetLink"/>
                  <w:rFonts w:ascii="Times New Roman" w:hAnsi="Times New Roman"/>
                  <w:sz w:val="20"/>
                </w:rPr>
                <w:t>ITEM 13. DEFAULTS, DIVIDEND ARREARAGES AND DELINQUENCIES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110</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x497326_67">
              <w:r>
                <w:rPr>
                  <w:rStyle w:val="InternetLink"/>
                  <w:rFonts w:ascii="Times New Roman" w:hAnsi="Times New Roman"/>
                  <w:sz w:val="20"/>
                </w:rPr>
                <w:t>ITEM 14. MATERIAL MODIFICATIONS TO THE RIGHTS OF SECURITY HOLDERS AND USE OF PROCEEDS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110</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x497326_68">
              <w:r>
                <w:rPr>
                  <w:rStyle w:val="InternetLink"/>
                  <w:rFonts w:ascii="Times New Roman" w:hAnsi="Times New Roman"/>
                  <w:sz w:val="20"/>
                </w:rPr>
                <w:t>ITEM 15. CONTROLS AND PROCEDURES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110</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x497326_69">
              <w:r>
                <w:rPr>
                  <w:rStyle w:val="InternetLink"/>
                  <w:rFonts w:ascii="Times New Roman" w:hAnsi="Times New Roman"/>
                  <w:sz w:val="20"/>
                </w:rPr>
                <w:t>ITEM 16A. AUDIT COMMITTEE FINANCIAL EXPERT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112</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x497326_70">
              <w:r>
                <w:rPr>
                  <w:rStyle w:val="InternetLink"/>
                  <w:rFonts w:ascii="Times New Roman" w:hAnsi="Times New Roman"/>
                  <w:sz w:val="20"/>
                </w:rPr>
                <w:t>ITEM 16B. CODE OF ETHICS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112</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x497326_71">
              <w:r>
                <w:rPr>
                  <w:rStyle w:val="InternetLink"/>
                  <w:rFonts w:ascii="Times New Roman" w:hAnsi="Times New Roman"/>
                  <w:sz w:val="20"/>
                </w:rPr>
                <w:t>ITEM 16C. PRINCIPAL ACCOUNTANT FEES AND SERVICES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113</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x497326_72">
              <w:r>
                <w:rPr>
                  <w:rStyle w:val="InternetLink"/>
                  <w:rFonts w:ascii="Times New Roman" w:hAnsi="Times New Roman"/>
                  <w:sz w:val="20"/>
                </w:rPr>
                <w:t>ITEM 16D. EXEMPTIONS FROM THE LISTING STANDARDS FOR AUDIT COMMITTEES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113</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x497326_73">
              <w:r>
                <w:rPr>
                  <w:rStyle w:val="InternetLink"/>
                  <w:rFonts w:ascii="Times New Roman" w:hAnsi="Times New Roman"/>
                  <w:sz w:val="20"/>
                </w:rPr>
                <w:t>ITEM 16E. PURCHASES OF EQUITY SECURITIES BY THE ISSUER AND AFFILIATED PURCHASERS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113</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x497326_74">
              <w:r>
                <w:rPr>
                  <w:rStyle w:val="InternetLink"/>
                  <w:rFonts w:ascii="Times New Roman" w:hAnsi="Times New Roman"/>
                  <w:sz w:val="20"/>
                </w:rPr>
                <w:t>ITEM 16F. CHANGE IN REGISTRANT’S CERTIFYING ACCOUNTANT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113</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x497326_75">
              <w:r>
                <w:rPr>
                  <w:rStyle w:val="InternetLink"/>
                  <w:rFonts w:ascii="Times New Roman" w:hAnsi="Times New Roman"/>
                  <w:sz w:val="20"/>
                </w:rPr>
                <w:t>ITEM 16G. CORPORATE GOVERNANCE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113</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x497326_76">
              <w:r>
                <w:rPr>
                  <w:rStyle w:val="InternetLink"/>
                  <w:rFonts w:ascii="Times New Roman" w:hAnsi="Times New Roman"/>
                  <w:sz w:val="20"/>
                </w:rPr>
                <w:t>ITEM 16H. MINE SAFETY DISCLOSURE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114</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rPr/>
      </w:pPr>
      <w:r>
        <w:rPr/>
      </w:r>
    </w:p>
    <w:p>
      <w:pPr>
        <w:pStyle w:val="Heading5"/>
        <w:rPr/>
      </w:pPr>
      <w:hyperlink w:anchor="toc">
        <w:r>
          <w:rPr>
            <w:rStyle w:val="InternetLink"/>
          </w:rPr>
          <w:t>Table of Contents</w:t>
        </w:r>
      </w:hyperlink>
    </w:p>
    <w:tbl>
      <w:tblPr>
        <w:tblW w:w="8950" w:type="dxa"/>
        <w:jc w:val="left"/>
        <w:tblInd w:w="0" w:type="dxa"/>
        <w:tblCellMar>
          <w:top w:w="0" w:type="dxa"/>
          <w:left w:w="0" w:type="dxa"/>
          <w:bottom w:w="0" w:type="dxa"/>
          <w:right w:w="0" w:type="dxa"/>
        </w:tblCellMar>
      </w:tblPr>
      <w:tblGrid>
        <w:gridCol w:w="8315"/>
        <w:gridCol w:w="120"/>
        <w:gridCol w:w="60"/>
        <w:gridCol w:w="380"/>
        <w:gridCol w:w="75"/>
      </w:tblGrid>
      <w:tr>
        <w:trPr/>
        <w:tc>
          <w:tcPr>
            <w:tcW w:w="83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831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8315" w:type="dxa"/>
            <w:tcBorders/>
            <w:shd w:fill="auto" w:val="clear"/>
            <w:vAlign w:val="center"/>
          </w:tcPr>
          <w:p>
            <w:pPr>
              <w:pStyle w:val="TableContents"/>
              <w:spacing w:before="0" w:after="0"/>
              <w:rPr/>
            </w:pPr>
            <w:hyperlink w:anchor="tx497326_77">
              <w:r>
                <w:rPr>
                  <w:rStyle w:val="InternetLink"/>
                  <w:rFonts w:ascii="Times New Roman" w:hAnsi="Times New Roman"/>
                  <w:sz w:val="20"/>
                </w:rPr>
                <w:t>ITEM 16I. DISCLOSURE REGARDING FOREIGN JURISDICTIONS THAT PREVENT INSPECTIONS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114</w:t>
            </w:r>
          </w:p>
        </w:tc>
        <w:tc>
          <w:tcPr>
            <w:tcW w:w="75" w:type="dxa"/>
            <w:tcBorders/>
            <w:shd w:fill="auto" w:val="clear"/>
            <w:vAlign w:val="center"/>
          </w:tcPr>
          <w:p>
            <w:pPr>
              <w:pStyle w:val="TableContents"/>
              <w:spacing w:before="0" w:after="283"/>
              <w:rPr/>
            </w:pPr>
            <w:r>
              <w:rPr/>
              <w:t> </w:t>
            </w:r>
          </w:p>
        </w:tc>
      </w:tr>
      <w:tr>
        <w:trPr/>
        <w:tc>
          <w:tcPr>
            <w:tcW w:w="831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8315" w:type="dxa"/>
            <w:tcBorders/>
            <w:shd w:fill="auto" w:val="clear"/>
            <w:vAlign w:val="center"/>
          </w:tcPr>
          <w:p>
            <w:pPr>
              <w:pStyle w:val="TableContents"/>
              <w:spacing w:before="0" w:after="0"/>
              <w:jc w:val="both"/>
              <w:rPr/>
            </w:pPr>
            <w:hyperlink w:anchor="tx497326_78">
              <w:r>
                <w:rPr>
                  <w:rStyle w:val="InternetLink"/>
                  <w:rFonts w:ascii="Times New Roman" w:hAnsi="Times New Roman"/>
                  <w:sz w:val="20"/>
                </w:rPr>
                <w:t>PART III.</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115</w:t>
            </w:r>
          </w:p>
        </w:tc>
        <w:tc>
          <w:tcPr>
            <w:tcW w:w="75" w:type="dxa"/>
            <w:tcBorders/>
            <w:shd w:fill="auto" w:val="clear"/>
            <w:vAlign w:val="center"/>
          </w:tcPr>
          <w:p>
            <w:pPr>
              <w:pStyle w:val="TableContents"/>
              <w:spacing w:before="0" w:after="283"/>
              <w:rPr/>
            </w:pPr>
            <w:r>
              <w:rPr/>
              <w:t> </w:t>
            </w:r>
          </w:p>
        </w:tc>
      </w:tr>
      <w:tr>
        <w:trPr/>
        <w:tc>
          <w:tcPr>
            <w:tcW w:w="831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8315" w:type="dxa"/>
            <w:tcBorders/>
            <w:shd w:fill="auto" w:val="clear"/>
            <w:vAlign w:val="center"/>
          </w:tcPr>
          <w:p>
            <w:pPr>
              <w:pStyle w:val="TableContents"/>
              <w:spacing w:before="0" w:after="0"/>
              <w:rPr/>
            </w:pPr>
            <w:hyperlink w:anchor="tx497326_79">
              <w:r>
                <w:rPr>
                  <w:rStyle w:val="InternetLink"/>
                  <w:rFonts w:ascii="Times New Roman" w:hAnsi="Times New Roman"/>
                  <w:sz w:val="20"/>
                </w:rPr>
                <w:t>ITEM 17. FINANCIAL STATEMENTS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115</w:t>
            </w:r>
          </w:p>
        </w:tc>
        <w:tc>
          <w:tcPr>
            <w:tcW w:w="75" w:type="dxa"/>
            <w:tcBorders/>
            <w:shd w:fill="auto" w:val="clear"/>
            <w:vAlign w:val="center"/>
          </w:tcPr>
          <w:p>
            <w:pPr>
              <w:pStyle w:val="TableContents"/>
              <w:spacing w:before="0" w:after="283"/>
              <w:rPr/>
            </w:pPr>
            <w:r>
              <w:rPr/>
              <w:t> </w:t>
            </w:r>
          </w:p>
        </w:tc>
      </w:tr>
      <w:tr>
        <w:trPr/>
        <w:tc>
          <w:tcPr>
            <w:tcW w:w="831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8315" w:type="dxa"/>
            <w:tcBorders/>
            <w:shd w:fill="auto" w:val="clear"/>
            <w:vAlign w:val="center"/>
          </w:tcPr>
          <w:p>
            <w:pPr>
              <w:pStyle w:val="TableContents"/>
              <w:spacing w:before="0" w:after="0"/>
              <w:rPr/>
            </w:pPr>
            <w:hyperlink w:anchor="tx497326_80">
              <w:r>
                <w:rPr>
                  <w:rStyle w:val="InternetLink"/>
                  <w:rFonts w:ascii="Times New Roman" w:hAnsi="Times New Roman"/>
                  <w:sz w:val="20"/>
                </w:rPr>
                <w:t>ITEM 18. FINANCIAL STATEMENTS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115</w:t>
            </w:r>
          </w:p>
        </w:tc>
        <w:tc>
          <w:tcPr>
            <w:tcW w:w="75" w:type="dxa"/>
            <w:tcBorders/>
            <w:shd w:fill="auto" w:val="clear"/>
            <w:vAlign w:val="center"/>
          </w:tcPr>
          <w:p>
            <w:pPr>
              <w:pStyle w:val="TableContents"/>
              <w:spacing w:before="0" w:after="283"/>
              <w:rPr/>
            </w:pPr>
            <w:r>
              <w:rPr/>
              <w:t> </w:t>
            </w:r>
          </w:p>
        </w:tc>
      </w:tr>
      <w:tr>
        <w:trPr/>
        <w:tc>
          <w:tcPr>
            <w:tcW w:w="8315" w:type="dxa"/>
            <w:tcBorders/>
            <w:shd w:fill="auto" w:val="clear"/>
            <w:vAlign w:val="center"/>
          </w:tcPr>
          <w:p>
            <w:pPr>
              <w:pStyle w:val="TableContents"/>
              <w:spacing w:before="0" w:after="283"/>
              <w:rPr>
                <w:sz w:val="4"/>
                <w:szCs w:val="4"/>
              </w:rPr>
            </w:pPr>
            <w:r>
              <w:rPr>
                <w:sz w:val="4"/>
                <w:szCs w:val="4"/>
              </w:rPr>
            </w:r>
          </w:p>
        </w:tc>
        <w:tc>
          <w:tcPr>
            <w:tcW w:w="635" w:type="dxa"/>
            <w:gridSpan w:val="4"/>
            <w:tcBorders/>
            <w:shd w:fill="auto" w:val="clear"/>
            <w:vAlign w:val="center"/>
          </w:tcPr>
          <w:p>
            <w:pPr>
              <w:pStyle w:val="TableContents"/>
              <w:spacing w:before="0" w:after="283"/>
              <w:rPr>
                <w:sz w:val="4"/>
                <w:szCs w:val="4"/>
              </w:rPr>
            </w:pPr>
            <w:r>
              <w:rPr>
                <w:sz w:val="4"/>
                <w:szCs w:val="4"/>
              </w:rPr>
            </w:r>
          </w:p>
        </w:tc>
      </w:tr>
      <w:tr>
        <w:trPr/>
        <w:tc>
          <w:tcPr>
            <w:tcW w:w="8315" w:type="dxa"/>
            <w:tcBorders/>
            <w:shd w:fill="auto" w:val="clear"/>
            <w:vAlign w:val="center"/>
          </w:tcPr>
          <w:p>
            <w:pPr>
              <w:pStyle w:val="TableContents"/>
              <w:spacing w:before="0" w:after="0"/>
              <w:rPr/>
            </w:pPr>
            <w:hyperlink w:anchor="tx497326_81">
              <w:r>
                <w:rPr>
                  <w:rStyle w:val="InternetLink"/>
                  <w:rFonts w:ascii="Times New Roman" w:hAnsi="Times New Roman"/>
                  <w:sz w:val="20"/>
                </w:rPr>
                <w:t>ITEM 19. EXHIBITS.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115</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 w:name="tx497326_1"/>
      <w:bookmarkEnd w:id="3"/>
      <w:r>
        <w:rPr>
          <w:rFonts w:ascii="Times New Roman" w:hAnsi="Times New Roman"/>
          <w:b/>
          <w:sz w:val="20"/>
        </w:rPr>
        <w:t xml:space="preserve">INTRODUCTION </w:t>
      </w:r>
    </w:p>
    <w:p>
      <w:pPr>
        <w:pStyle w:val="TextBody"/>
        <w:spacing w:before="240" w:after="0"/>
        <w:jc w:val="both"/>
        <w:rPr>
          <w:rFonts w:ascii="Times New Roman" w:hAnsi="Times New Roman"/>
          <w:sz w:val="20"/>
        </w:rPr>
      </w:pPr>
      <w:r>
        <w:rPr>
          <w:rFonts w:ascii="Times New Roman" w:hAnsi="Times New Roman"/>
          <w:sz w:val="20"/>
        </w:rPr>
        <w:t>We conduct our business through Mynaric AG, a German stock corporation (</w:t>
      </w:r>
      <w:r>
        <w:rPr>
          <w:rFonts w:ascii="Times New Roman" w:hAnsi="Times New Roman"/>
          <w:i/>
          <w:sz w:val="20"/>
        </w:rPr>
        <w:t>Aktiengesellschaft</w:t>
      </w:r>
      <w:r>
        <w:rPr>
          <w:rFonts w:ascii="Times New Roman" w:hAnsi="Times New Roman"/>
          <w:sz w:val="20"/>
        </w:rPr>
        <w:t xml:space="preserve">). Unless otherwise indicated or the context otherwise requires or where otherwise indicated, the terms “Mynaric,” the “Company,” “we,” “our,” “ours,” “ourselves,” “us” or similar terms refer to Mynaric AG together with its subsidiaries. </w:t>
      </w:r>
    </w:p>
    <w:p>
      <w:pPr>
        <w:pStyle w:val="TextBody"/>
        <w:spacing w:before="480" w:after="0"/>
        <w:jc w:val="center"/>
        <w:rPr>
          <w:rFonts w:ascii="Times New Roman" w:hAnsi="Times New Roman"/>
          <w:b/>
          <w:sz w:val="20"/>
        </w:rPr>
      </w:pPr>
      <w:bookmarkStart w:id="4" w:name="tx497326_2"/>
      <w:bookmarkEnd w:id="4"/>
      <w:r>
        <w:rPr>
          <w:rFonts w:ascii="Times New Roman" w:hAnsi="Times New Roman"/>
          <w:b/>
          <w:sz w:val="20"/>
        </w:rPr>
        <w:t xml:space="preserve">PRESENTATION OF FINANCIAL AND OTHER INFORMATION </w:t>
      </w:r>
    </w:p>
    <w:p>
      <w:pPr>
        <w:pStyle w:val="TextBody"/>
        <w:spacing w:before="240" w:after="0"/>
        <w:jc w:val="both"/>
        <w:rPr>
          <w:rFonts w:ascii="Times New Roman" w:hAnsi="Times New Roman"/>
          <w:sz w:val="20"/>
        </w:rPr>
      </w:pPr>
      <w:r>
        <w:rPr>
          <w:rFonts w:ascii="Times New Roman" w:hAnsi="Times New Roman"/>
          <w:sz w:val="20"/>
        </w:rPr>
        <w:t xml:space="preserve">We report under International Financial Reporting Standards (“IFRS”) as issued by the International Accounting Standards Board (“IASB”), which differ in certain significant aspects from U.S. generally accepted accounting principles (“U.S. GAAP”). Accordingly, our results of operations and financial condition as reflected by our IFRS financial statements that are included in this Annual Report on Form 20-F (“Annual Report”) may differ substantially from the results of operations and financial condition that would be reflected by financial statements prepared in accordance with U.S. GAAP. We have not prepared a reconciliation of our financial information to U.S. GAAP or a summary of significant accounting differences between IFRS and U.S. GAAP, nor have we otherwise reviewed the impact the application of U.S. GAAP would have on our financial reporting. </w:t>
      </w:r>
    </w:p>
    <w:p>
      <w:pPr>
        <w:pStyle w:val="TextBody"/>
        <w:spacing w:before="240" w:after="0"/>
        <w:jc w:val="both"/>
        <w:rPr>
          <w:rFonts w:ascii="Times New Roman" w:hAnsi="Times New Roman"/>
          <w:sz w:val="20"/>
        </w:rPr>
      </w:pPr>
      <w:r>
        <w:rPr>
          <w:rFonts w:ascii="Times New Roman" w:hAnsi="Times New Roman"/>
          <w:sz w:val="20"/>
        </w:rPr>
        <w:t xml:space="preserve">Our consolidated financial statements are reported in euros, which are denoted “euros,” “EUR” or “€” throughout this Annual Report and refer to the currency introduced at the start of the third stage of European economic and monetary union pursuant to the treaty establishing the European Community, as amended. Also, throughout this Annual Report, the terms “dollar,” “USD” or “$” refer to U.S. dollars. For the convenience of the reader, we have translated some financial information into U.S. dollars. Unless otherwise indicated, these translations were made based on the Euro/U.S. dollar exchange rate published by the European Central Bank on December 30, 2022, which was €1.00 to $1.0666. </w:t>
      </w:r>
    </w:p>
    <w:p>
      <w:pPr>
        <w:pStyle w:val="TextBody"/>
        <w:spacing w:before="240" w:after="0"/>
        <w:jc w:val="both"/>
        <w:rPr>
          <w:rFonts w:ascii="Times New Roman" w:hAnsi="Times New Roman"/>
          <w:sz w:val="20"/>
        </w:rPr>
      </w:pPr>
      <w:r>
        <w:rPr>
          <w:rFonts w:ascii="Times New Roman" w:hAnsi="Times New Roman"/>
          <w:sz w:val="20"/>
        </w:rPr>
        <w:t xml:space="preserve">Financial information in thousands or millions, and percentage figures have been rounded. Rounded total and sub-total figures in tables in this Annual Report may differ marginally from unrounded figures indicated elsewhere in this Annual Report or in the financial statements. Moreover, rounded individual figures and percentages may not produce the exact arithmetic totals and sub-totals indicated elsewhere in this Annual Report. </w:t>
      </w:r>
    </w:p>
    <w:p>
      <w:pPr>
        <w:pStyle w:val="TextBody"/>
        <w:spacing w:before="480" w:after="0"/>
        <w:jc w:val="center"/>
        <w:rPr>
          <w:rFonts w:ascii="Times New Roman" w:hAnsi="Times New Roman"/>
          <w:b/>
          <w:sz w:val="20"/>
        </w:rPr>
      </w:pPr>
      <w:bookmarkStart w:id="5" w:name="tx497326_3"/>
      <w:bookmarkEnd w:id="5"/>
      <w:r>
        <w:rPr>
          <w:rFonts w:ascii="Times New Roman" w:hAnsi="Times New Roman"/>
          <w:b/>
          <w:sz w:val="20"/>
        </w:rPr>
        <w:t xml:space="preserve">MARKET AND INDUSTRY DATA </w:t>
      </w:r>
    </w:p>
    <w:p>
      <w:pPr>
        <w:pStyle w:val="TextBody"/>
        <w:spacing w:before="240" w:after="0"/>
        <w:jc w:val="both"/>
        <w:rPr>
          <w:rFonts w:ascii="Times New Roman" w:hAnsi="Times New Roman"/>
          <w:sz w:val="20"/>
        </w:rPr>
      </w:pPr>
      <w:r>
        <w:rPr>
          <w:rFonts w:ascii="Times New Roman" w:hAnsi="Times New Roman"/>
          <w:sz w:val="20"/>
        </w:rPr>
        <w:t xml:space="preserve">We obtained the industry, market and competitive position data in this Annual Report from our own internal estimates, surveys, and research as well as from publicly available information, industry and general publications and research, surveys and studies conducted by third parties, including, but not limited to, Air Force Magazine, ArkInvest, Aviation Week Network, Breaking Defense, C4ISRNet, Congressional Research Service, German Aerospace Center, Grand View Research, MarketsandMarkets, Morgan Stanley (Space Economy), National Defense Magazine, ResearchandMarkets, Space Capital, Space News, UCS Satellite Database, The National Interest, the U.S. Air Force, Via Satellite, and the Stockholm International Peace Research Institute. </w:t>
      </w:r>
    </w:p>
    <w:p>
      <w:pPr>
        <w:pStyle w:val="TextBody"/>
        <w:spacing w:before="240" w:after="0"/>
        <w:jc w:val="both"/>
        <w:rPr>
          <w:rFonts w:ascii="Times New Roman" w:hAnsi="Times New Roman"/>
          <w:sz w:val="20"/>
        </w:rPr>
      </w:pPr>
      <w:r>
        <w:rPr>
          <w:rFonts w:ascii="Times New Roman" w:hAnsi="Times New Roman"/>
          <w:sz w:val="20"/>
        </w:rPr>
        <w:t xml:space="preserve">Industry publications, research, surveys, studies and forecasts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Annual Report. These forecasts and forward-looking information are subject to uncertainty and risk due to a variety of factors, including those described under “Item. 3 Key Information—D. Risk Factors.” These and other factors could cause results to differ materially from those expressed in our forecasts or estimates or those of independent third parties. While we believe our internal estimates, surveys, and research are reliable, they have not been verified by any independent source. </w:t>
      </w:r>
    </w:p>
    <w:p>
      <w:pPr>
        <w:pStyle w:val="TextBody"/>
        <w:spacing w:before="480" w:after="0"/>
        <w:jc w:val="center"/>
        <w:rPr>
          <w:rFonts w:ascii="Times New Roman" w:hAnsi="Times New Roman"/>
          <w:b/>
          <w:sz w:val="20"/>
        </w:rPr>
      </w:pPr>
      <w:bookmarkStart w:id="6" w:name="tx497326_4"/>
      <w:bookmarkEnd w:id="6"/>
      <w:r>
        <w:rPr>
          <w:rFonts w:ascii="Times New Roman" w:hAnsi="Times New Roman"/>
          <w:b/>
          <w:sz w:val="20"/>
        </w:rPr>
        <w:t xml:space="preserve">TRADEMARKS, SERVICE MARKS AND TRADE NAMES </w:t>
      </w:r>
    </w:p>
    <w:p>
      <w:pPr>
        <w:pStyle w:val="TextBody"/>
        <w:spacing w:before="240" w:after="0"/>
        <w:jc w:val="both"/>
        <w:rPr>
          <w:rFonts w:ascii="Times New Roman" w:hAnsi="Times New Roman"/>
          <w:sz w:val="20"/>
        </w:rPr>
      </w:pPr>
      <w:r>
        <w:rPr>
          <w:rFonts w:ascii="Times New Roman" w:hAnsi="Times New Roman"/>
          <w:sz w:val="20"/>
        </w:rPr>
        <w:t xml:space="preserve">We have proprietary rights to trademarks used in this Annual Report that are important to our business, many of which are registered under applicable intellectual property laws. Solely for convenience, the trademarks, service marks, logos and trade names referred to in this Annual Report are without the ® and ™ symbols, but such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references are not intended to indicate, in any way, that we will not assert, to the fullest extent under applicable law, our rights or the rights of the applicable licensors to these trademarks, service marks and trade names. </w:t>
      </w:r>
    </w:p>
    <w:p>
      <w:pPr>
        <w:pStyle w:val="TextBody"/>
        <w:spacing w:before="240" w:after="0"/>
        <w:jc w:val="both"/>
        <w:rPr>
          <w:rFonts w:ascii="Times New Roman" w:hAnsi="Times New Roman"/>
          <w:sz w:val="20"/>
        </w:rPr>
      </w:pPr>
      <w:r>
        <w:rPr>
          <w:rFonts w:ascii="Times New Roman" w:hAnsi="Times New Roman"/>
          <w:sz w:val="20"/>
        </w:rPr>
        <w:t xml:space="preserve">This Annual Report contains additional trademarks, service marks and trade names of others, which are the property of their respective owners. All trademarks, service marks and trade names appearing in this Annual Report are, to our knowledge, the property of their respective owners. We do not intend our use or display of other companies’ trademarks, service marks, copyrights or trade names to imply a relationship with, or endorsement or sponsorship of us by, any other companies. </w:t>
      </w:r>
    </w:p>
    <w:p>
      <w:pPr>
        <w:pStyle w:val="TextBody"/>
        <w:spacing w:before="480" w:after="0"/>
        <w:jc w:val="center"/>
        <w:rPr>
          <w:rFonts w:ascii="Times New Roman" w:hAnsi="Times New Roman"/>
          <w:b/>
          <w:sz w:val="20"/>
        </w:rPr>
      </w:pPr>
      <w:bookmarkStart w:id="7" w:name="tx497326_5"/>
      <w:bookmarkEnd w:id="7"/>
      <w:r>
        <w:rPr>
          <w:rFonts w:ascii="Times New Roman" w:hAnsi="Times New Roman"/>
          <w:b/>
          <w:sz w:val="20"/>
        </w:rPr>
        <w:t xml:space="preserve">FREQUENTLY USED TERMS </w:t>
      </w:r>
    </w:p>
    <w:p>
      <w:pPr>
        <w:pStyle w:val="TextBody"/>
        <w:spacing w:before="240" w:after="0"/>
        <w:jc w:val="both"/>
        <w:rPr>
          <w:rFonts w:ascii="Times New Roman" w:hAnsi="Times New Roman"/>
          <w:sz w:val="20"/>
        </w:rPr>
      </w:pPr>
      <w:r>
        <w:rPr>
          <w:rFonts w:ascii="Times New Roman" w:hAnsi="Times New Roman"/>
          <w:sz w:val="20"/>
        </w:rPr>
        <w:t xml:space="preserve">In this Annual Report: </w:t>
      </w:r>
    </w:p>
    <w:p>
      <w:pPr>
        <w:pStyle w:val="TextBody"/>
        <w:spacing w:before="120" w:after="0"/>
        <w:jc w:val="both"/>
        <w:rPr/>
      </w:pPr>
      <w:r>
        <w:rPr/>
        <w:t>“</w:t>
      </w:r>
      <w:r>
        <w:rPr>
          <w:rFonts w:ascii="Times New Roman" w:hAnsi="Times New Roman"/>
          <w:i/>
          <w:sz w:val="20"/>
        </w:rPr>
        <w:t>CJADC2</w:t>
      </w:r>
      <w:r>
        <w:rPr>
          <w:rFonts w:ascii="Times New Roman" w:hAnsi="Times New Roman"/>
          <w:sz w:val="20"/>
        </w:rPr>
        <w:t xml:space="preserve">” refers to Combined Joint All Domain Command and Control architecture. </w:t>
      </w:r>
    </w:p>
    <w:p>
      <w:pPr>
        <w:pStyle w:val="TextBody"/>
        <w:spacing w:before="240" w:after="0"/>
        <w:jc w:val="both"/>
        <w:rPr/>
      </w:pPr>
      <w:r>
        <w:rPr/>
        <w:t>“</w:t>
      </w:r>
      <w:r>
        <w:rPr>
          <w:rFonts w:ascii="Times New Roman" w:hAnsi="Times New Roman"/>
          <w:i/>
          <w:sz w:val="20"/>
        </w:rPr>
        <w:t>Coarse pointing assembly</w:t>
      </w:r>
      <w:r>
        <w:rPr>
          <w:rFonts w:ascii="Times New Roman" w:hAnsi="Times New Roman"/>
          <w:sz w:val="20"/>
        </w:rPr>
        <w:t xml:space="preserve">” refers to a two axis gimballed mirror for independent steering of optical communication terminals. It is a device that is mounted on a terminal telescope and allows the terminal to operate without constraining the satellite attitude. It is used in inter-satellite links in high- and low-earth orbits. </w:t>
      </w:r>
    </w:p>
    <w:p>
      <w:pPr>
        <w:pStyle w:val="TextBody"/>
        <w:spacing w:before="240" w:after="0"/>
        <w:jc w:val="both"/>
        <w:rPr/>
      </w:pPr>
      <w:r>
        <w:rPr/>
        <w:t>“</w:t>
      </w:r>
      <w:r>
        <w:rPr>
          <w:rFonts w:ascii="Times New Roman" w:hAnsi="Times New Roman"/>
          <w:i/>
          <w:sz w:val="20"/>
        </w:rPr>
        <w:t>DARPA</w:t>
      </w:r>
      <w:r>
        <w:rPr>
          <w:rFonts w:ascii="Times New Roman" w:hAnsi="Times New Roman"/>
          <w:sz w:val="20"/>
        </w:rPr>
        <w:t xml:space="preserve">” refers to the U.S. Defense Advanced Research Projects Agency. </w:t>
      </w:r>
    </w:p>
    <w:p>
      <w:pPr>
        <w:pStyle w:val="TextBody"/>
        <w:spacing w:before="240" w:after="0"/>
        <w:jc w:val="both"/>
        <w:rPr/>
      </w:pPr>
      <w:r>
        <w:rPr/>
        <w:t>“</w:t>
      </w:r>
      <w:r>
        <w:rPr>
          <w:rFonts w:ascii="Times New Roman" w:hAnsi="Times New Roman"/>
          <w:i/>
          <w:sz w:val="20"/>
        </w:rPr>
        <w:t>DLR</w:t>
      </w:r>
      <w:r>
        <w:rPr>
          <w:rFonts w:ascii="Times New Roman" w:hAnsi="Times New Roman"/>
          <w:sz w:val="20"/>
        </w:rPr>
        <w:t>” refers to the German Aerospace Center (</w:t>
      </w:r>
      <w:r>
        <w:rPr>
          <w:rFonts w:ascii="Times New Roman" w:hAnsi="Times New Roman"/>
          <w:i/>
          <w:sz w:val="20"/>
        </w:rPr>
        <w:t>Deutsches Zentrum für Luft- und Raumfahrt e.V</w:t>
      </w:r>
      <w:r>
        <w:rPr>
          <w:rFonts w:ascii="Times New Roman" w:hAnsi="Times New Roman"/>
          <w:sz w:val="20"/>
        </w:rPr>
        <w:t xml:space="preserve">.). </w:t>
      </w:r>
    </w:p>
    <w:p>
      <w:pPr>
        <w:pStyle w:val="TextBody"/>
        <w:spacing w:before="240" w:after="0"/>
        <w:jc w:val="both"/>
        <w:rPr/>
      </w:pPr>
      <w:r>
        <w:rPr/>
        <w:t>“</w:t>
      </w:r>
      <w:r>
        <w:rPr>
          <w:rFonts w:ascii="Times New Roman" w:hAnsi="Times New Roman"/>
          <w:i/>
          <w:sz w:val="20"/>
        </w:rPr>
        <w:t>Free space optic communication</w:t>
      </w:r>
      <w:r>
        <w:rPr>
          <w:rFonts w:ascii="Times New Roman" w:hAnsi="Times New Roman"/>
          <w:sz w:val="20"/>
        </w:rPr>
        <w:t xml:space="preserve">” is the wireless transmission of data via a modulated optical beam directed through free space, without fiber optics or other optical systems guiding the light. </w:t>
      </w:r>
    </w:p>
    <w:p>
      <w:pPr>
        <w:pStyle w:val="TextBody"/>
        <w:spacing w:before="240" w:after="0"/>
        <w:jc w:val="both"/>
        <w:rPr/>
      </w:pPr>
      <w:r>
        <w:rPr/>
        <w:t>“</w:t>
      </w:r>
      <w:r>
        <w:rPr>
          <w:rFonts w:ascii="Times New Roman" w:hAnsi="Times New Roman"/>
          <w:i/>
          <w:sz w:val="20"/>
        </w:rPr>
        <w:t>Inter-plane</w:t>
      </w:r>
      <w:r>
        <w:rPr>
          <w:rFonts w:ascii="Times New Roman" w:hAnsi="Times New Roman"/>
          <w:sz w:val="20"/>
        </w:rPr>
        <w:t xml:space="preserve">” refers to the communication between satellites in different orbital planes occurring through inter-plane inter-satellite lines. </w:t>
      </w:r>
    </w:p>
    <w:p>
      <w:pPr>
        <w:pStyle w:val="TextBody"/>
        <w:spacing w:before="240" w:after="0"/>
        <w:jc w:val="both"/>
        <w:rPr/>
      </w:pPr>
      <w:r>
        <w:rPr/>
        <w:t>“</w:t>
      </w:r>
      <w:r>
        <w:rPr>
          <w:rFonts w:ascii="Times New Roman" w:hAnsi="Times New Roman"/>
          <w:i/>
          <w:sz w:val="20"/>
        </w:rPr>
        <w:t>Intra-plane</w:t>
      </w:r>
      <w:r>
        <w:rPr>
          <w:rFonts w:ascii="Times New Roman" w:hAnsi="Times New Roman"/>
          <w:sz w:val="20"/>
        </w:rPr>
        <w:t xml:space="preserve">” refers to the communication between satellites in the same orbital plane occurring through intra-plane inter-satellite lines. </w:t>
      </w:r>
    </w:p>
    <w:p>
      <w:pPr>
        <w:pStyle w:val="TextBody"/>
        <w:spacing w:before="240" w:after="0"/>
        <w:jc w:val="both"/>
        <w:rPr/>
      </w:pPr>
      <w:r>
        <w:rPr/>
        <w:t>“</w:t>
      </w:r>
      <w:r>
        <w:rPr>
          <w:rFonts w:ascii="Times New Roman" w:hAnsi="Times New Roman"/>
          <w:i/>
          <w:sz w:val="20"/>
        </w:rPr>
        <w:t>LEO</w:t>
      </w:r>
      <w:r>
        <w:rPr>
          <w:rFonts w:ascii="Times New Roman" w:hAnsi="Times New Roman"/>
          <w:sz w:val="20"/>
        </w:rPr>
        <w:t xml:space="preserve">” refers to low Earth orbit, which is an orbit around Earth with an altitude above Earth’s surface from 160 kilometers to 2,000 kilometers. </w:t>
      </w:r>
    </w:p>
    <w:p>
      <w:pPr>
        <w:pStyle w:val="TextBody"/>
        <w:spacing w:before="240" w:after="0"/>
        <w:jc w:val="both"/>
        <w:rPr/>
      </w:pPr>
      <w:r>
        <w:rPr/>
        <w:t>“</w:t>
      </w:r>
      <w:r>
        <w:rPr>
          <w:rFonts w:ascii="Times New Roman" w:hAnsi="Times New Roman"/>
          <w:i/>
          <w:sz w:val="20"/>
        </w:rPr>
        <w:t>MEO</w:t>
      </w:r>
      <w:r>
        <w:rPr>
          <w:rFonts w:ascii="Times New Roman" w:hAnsi="Times New Roman"/>
          <w:sz w:val="20"/>
        </w:rPr>
        <w:t xml:space="preserve">” refers to medium Earth orbit, which is an orbit around Earth with a distance of 2,000 kilometers to 35,786 kilometers. </w:t>
      </w:r>
    </w:p>
    <w:p>
      <w:pPr>
        <w:pStyle w:val="TextBody"/>
        <w:spacing w:before="240" w:after="0"/>
        <w:jc w:val="both"/>
        <w:rPr/>
      </w:pPr>
      <w:r>
        <w:rPr/>
        <w:t>“</w:t>
      </w:r>
      <w:r>
        <w:rPr>
          <w:rFonts w:ascii="Times New Roman" w:hAnsi="Times New Roman"/>
          <w:i/>
          <w:sz w:val="20"/>
        </w:rPr>
        <w:t>Mesh Network</w:t>
      </w:r>
      <w:r>
        <w:rPr>
          <w:rFonts w:ascii="Times New Roman" w:hAnsi="Times New Roman"/>
          <w:sz w:val="20"/>
        </w:rPr>
        <w:t xml:space="preserve">” means a type of wireless network topology, where each network node participates in the distribution of data across the network by relaying data to other nodes that are in range. A mesh network has no centralized access points but uses wireless nodes to create a virtual wireless backbone. Mesh network nodes typically establish network links with neighboring nodes, enabling user traffic to be sent through the network by hopping between nodes on many different paths. At least some nodes must be connected to a core network for backhaul. </w:t>
      </w:r>
    </w:p>
    <w:p>
      <w:pPr>
        <w:pStyle w:val="TextBody"/>
        <w:spacing w:before="240" w:after="0"/>
        <w:jc w:val="both"/>
        <w:rPr/>
      </w:pPr>
      <w:r>
        <w:rPr/>
        <w:t>“</w:t>
      </w:r>
      <w:r>
        <w:rPr>
          <w:rFonts w:ascii="Times New Roman" w:hAnsi="Times New Roman"/>
          <w:i/>
          <w:sz w:val="20"/>
        </w:rPr>
        <w:t>OISLs</w:t>
      </w:r>
      <w:r>
        <w:rPr>
          <w:rFonts w:ascii="Times New Roman" w:hAnsi="Times New Roman"/>
          <w:sz w:val="20"/>
        </w:rPr>
        <w:t xml:space="preserve">” refers to optical-intersatellite links, which are wireless communication links using optical signals to interconnect satellites. </w:t>
      </w:r>
    </w:p>
    <w:p>
      <w:pPr>
        <w:pStyle w:val="TextBody"/>
        <w:spacing w:before="240" w:after="0"/>
        <w:jc w:val="both"/>
        <w:rPr/>
      </w:pPr>
      <w:r>
        <w:rPr/>
        <w:t>“</w:t>
      </w:r>
      <w:r>
        <w:rPr>
          <w:rFonts w:ascii="Times New Roman" w:hAnsi="Times New Roman"/>
          <w:i/>
          <w:sz w:val="20"/>
        </w:rPr>
        <w:t>PWSA</w:t>
      </w:r>
      <w:r>
        <w:rPr>
          <w:rFonts w:ascii="Times New Roman" w:hAnsi="Times New Roman"/>
          <w:sz w:val="20"/>
        </w:rPr>
        <w:t xml:space="preserve">” refers to the SDA’s Proliferated Warfighter Space Architecture. </w:t>
      </w:r>
    </w:p>
    <w:p>
      <w:pPr>
        <w:pStyle w:val="TextBody"/>
        <w:spacing w:before="240" w:after="0"/>
        <w:jc w:val="both"/>
        <w:rPr/>
      </w:pPr>
      <w:r>
        <w:rPr/>
        <w:t>“</w:t>
      </w:r>
      <w:r>
        <w:rPr>
          <w:rFonts w:ascii="Times New Roman" w:hAnsi="Times New Roman"/>
          <w:i/>
          <w:sz w:val="20"/>
        </w:rPr>
        <w:t>Quantum key distribution</w:t>
      </w:r>
      <w:r>
        <w:rPr>
          <w:rFonts w:ascii="Times New Roman" w:hAnsi="Times New Roman"/>
          <w:sz w:val="20"/>
        </w:rPr>
        <w:t xml:space="preserve">” refers to a technique that enables secure communications between devices using a cryptographic protocol that is partly based on quantum mechanics. </w:t>
      </w:r>
    </w:p>
    <w:p>
      <w:pPr>
        <w:pStyle w:val="TextBody"/>
        <w:spacing w:before="240" w:after="0"/>
        <w:jc w:val="both"/>
        <w:rPr/>
      </w:pPr>
      <w:r>
        <w:rPr/>
        <w:t>“</w:t>
      </w:r>
      <w:r>
        <w:rPr>
          <w:rFonts w:ascii="Times New Roman" w:hAnsi="Times New Roman"/>
          <w:i/>
          <w:sz w:val="20"/>
        </w:rPr>
        <w:t>RF</w:t>
      </w:r>
      <w:r>
        <w:rPr>
          <w:rFonts w:ascii="Times New Roman" w:hAnsi="Times New Roman"/>
          <w:sz w:val="20"/>
        </w:rPr>
        <w:t xml:space="preserve">” refers to radio frequency, which is a measurement representing the oscillation rate of electromagnetic radiation spectrum, or electromagnetic radio waves, from frequencies ranging from 300 gigahertz (GHz) to as low as 9 kilohertz (kHz). </w:t>
      </w:r>
    </w:p>
    <w:p>
      <w:pPr>
        <w:pStyle w:val="TextBody"/>
        <w:spacing w:before="240" w:after="0"/>
        <w:jc w:val="both"/>
        <w:rPr/>
      </w:pPr>
      <w:r>
        <w:rPr/>
        <w:t>“</w:t>
      </w:r>
      <w:r>
        <w:rPr>
          <w:rFonts w:ascii="Times New Roman" w:hAnsi="Times New Roman"/>
          <w:i/>
          <w:sz w:val="20"/>
        </w:rPr>
        <w:t>SDA</w:t>
      </w:r>
      <w:r>
        <w:rPr>
          <w:rFonts w:ascii="Times New Roman" w:hAnsi="Times New Roman"/>
          <w:sz w:val="20"/>
        </w:rPr>
        <w:t xml:space="preserve">” refers to the U.S. Space Development Agency. </w:t>
      </w:r>
    </w:p>
    <w:p>
      <w:pPr>
        <w:pStyle w:val="TextBody"/>
        <w:spacing w:before="240" w:after="0"/>
        <w:jc w:val="both"/>
        <w:rPr/>
      </w:pPr>
      <w:r>
        <w:rPr/>
        <w:t>“</w:t>
      </w:r>
      <w:r>
        <w:rPr>
          <w:rFonts w:ascii="Times New Roman" w:hAnsi="Times New Roman"/>
          <w:i/>
          <w:sz w:val="20"/>
        </w:rPr>
        <w:t>UAVs</w:t>
      </w:r>
      <w:r>
        <w:rPr>
          <w:rFonts w:ascii="Times New Roman" w:hAnsi="Times New Roman"/>
          <w:sz w:val="20"/>
        </w:rPr>
        <w:t xml:space="preserve">” refers to unmanned aerial vehicles.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tx497326_6"/>
      <w:bookmarkEnd w:id="8"/>
      <w:r>
        <w:rPr>
          <w:rFonts w:ascii="Times New Roman" w:hAnsi="Times New Roman"/>
          <w:b/>
          <w:sz w:val="20"/>
        </w:rPr>
        <w:t xml:space="preserve">CAUTIONARY STATEMENT REGARDING FORWARD-LOOKING STATEMENTS </w:t>
      </w:r>
    </w:p>
    <w:p>
      <w:pPr>
        <w:pStyle w:val="TextBody"/>
        <w:spacing w:before="240" w:after="0"/>
        <w:jc w:val="both"/>
        <w:rPr>
          <w:rFonts w:ascii="Times New Roman" w:hAnsi="Times New Roman"/>
          <w:sz w:val="20"/>
        </w:rPr>
      </w:pPr>
      <w:r>
        <w:rPr>
          <w:rFonts w:ascii="Times New Roman" w:hAnsi="Times New Roman"/>
          <w:sz w:val="20"/>
        </w:rPr>
        <w:t xml:space="preserve">This Annual Report contains forward-looking statements that relate to our current expectations and views of future events. These statements relate to events that involve known and unknown risks, uncertainties and other factors, including those listed under “Item 3 Key Information—D. Risk Factors,” which may cause our actual results, performance or achievements to be materially different from any future results, performance or achievements expressed or implied by the forward-looking statements. </w:t>
      </w:r>
    </w:p>
    <w:p>
      <w:pPr>
        <w:pStyle w:val="TextBody"/>
        <w:spacing w:before="240" w:after="0"/>
        <w:jc w:val="both"/>
        <w:rPr>
          <w:rFonts w:ascii="Times New Roman" w:hAnsi="Times New Roman"/>
          <w:sz w:val="20"/>
        </w:rPr>
      </w:pPr>
      <w:r>
        <w:rPr>
          <w:rFonts w:ascii="Times New Roman" w:hAnsi="Times New Roman"/>
          <w:sz w:val="20"/>
        </w:rPr>
        <w:t xml:space="preserve">In some cases, these forward-looking statements can be identified by words or phrases such as “believe,” “may,” “will,” “expect,” “estimate,” “could,” “should,” “anticipate,” “aim,” “intend,” “plan,” “believe,” “potential,” “continue,” “is/are likely to” or other similar or comparable expressions. These forward-looking statements include all matters that are not historical facts. Forward-looking statements contained in this Annual Report include, but are not limited to, statements about: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our future business and financial performance, including our revenue, operating expenses and our ability to achieve profitability and maintain our future business and operating results;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our strategies, plans, objectives and goals, including, for example, the planned completion of the development of our products and the intended expansion of our product portfolio or geographic reach; </w:t>
            </w:r>
          </w:p>
        </w:tc>
      </w:tr>
    </w:tbl>
    <w:p>
      <w:pPr>
        <w:pStyle w:val="TextBody"/>
        <w:spacing w:before="0" w:after="0"/>
        <w:jc w:val="left"/>
        <w:rPr/>
      </w:pPr>
      <w:r>
        <w:rPr/>
        <w:t> </w:t>
      </w:r>
    </w:p>
    <w:tbl>
      <w:tblPr>
        <w:tblW w:w="7315" w:type="dxa"/>
        <w:jc w:val="left"/>
        <w:tblInd w:w="0" w:type="dxa"/>
        <w:tblCellMar>
          <w:top w:w="0" w:type="dxa"/>
          <w:left w:w="0" w:type="dxa"/>
          <w:bottom w:w="0" w:type="dxa"/>
          <w:right w:w="0" w:type="dxa"/>
        </w:tblCellMar>
      </w:tblPr>
      <w:tblGrid>
        <w:gridCol w:w="75"/>
        <w:gridCol w:w="110"/>
        <w:gridCol w:w="60"/>
        <w:gridCol w:w="70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07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expected start of serial production of our products and terminal production output; </w:t>
            </w:r>
          </w:p>
        </w:tc>
      </w:tr>
    </w:tbl>
    <w:p>
      <w:pPr>
        <w:pStyle w:val="TextBody"/>
        <w:spacing w:before="0" w:after="0"/>
        <w:jc w:val="left"/>
        <w:rPr/>
      </w:pPr>
      <w:r>
        <w:rPr/>
        <w:t> </w:t>
      </w:r>
    </w:p>
    <w:tbl>
      <w:tblPr>
        <w:tblW w:w="5080" w:type="dxa"/>
        <w:jc w:val="left"/>
        <w:tblInd w:w="0" w:type="dxa"/>
        <w:tblCellMar>
          <w:top w:w="0" w:type="dxa"/>
          <w:left w:w="0" w:type="dxa"/>
          <w:bottom w:w="0" w:type="dxa"/>
          <w:right w:w="0" w:type="dxa"/>
        </w:tblCellMar>
      </w:tblPr>
      <w:tblGrid>
        <w:gridCol w:w="75"/>
        <w:gridCol w:w="110"/>
        <w:gridCol w:w="60"/>
        <w:gridCol w:w="48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83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our planned monetization of our technology and products;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our expectations regarding the development of our industry, market size and the competitive environment in which we operate. </w:t>
            </w:r>
          </w:p>
        </w:tc>
      </w:tr>
    </w:tbl>
    <w:p>
      <w:pPr>
        <w:pStyle w:val="TextBody"/>
        <w:spacing w:before="240" w:after="0"/>
        <w:jc w:val="both"/>
        <w:rPr>
          <w:rFonts w:ascii="Times New Roman" w:hAnsi="Times New Roman"/>
          <w:sz w:val="20"/>
        </w:rPr>
      </w:pPr>
      <w:r>
        <w:rPr>
          <w:rFonts w:ascii="Times New Roman" w:hAnsi="Times New Roman"/>
          <w:sz w:val="20"/>
        </w:rPr>
        <w:t xml:space="preserve">These forward-looking statements are subject to known and unknown risks, uncertainties and assumptions, many of which are beyond our control. In addition, these forward-looking statements reflect our current views with respect to future events and are not a guarantee of future performance.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in this Annual Report. In addition, even if our results of operations, financial condition and liquidity, and the development of the industries in which we operate, are consistent with the forward-looking statements contained in this Annual Report, those results or developments may not be indicative of results or developments in subsequent periods. Actual outcomes may differ materially from the information contained in the forward-looking statements as a result of a number of factors, including, without limitation, the risk factors set forth in “Item 3. Key Information—D. Risk Factors,” the following: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are a development-stage company with a history of significant losses and expected continuing losses for the foreseeable future, which lead to continued reliance on external financing and raise substantial doubt about our ability to continue as a going concern; we may never be able to execute our business strategy, generate revenue or reach profitability;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our success and future growth are dependent upon our potential customers’ investments in the development of a market for wireless laser communication networks;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our prospects and operations may be adversely affected by changes in government spending and general economic conditions, which may negatively affect demand for laser communication solutions; </w:t>
            </w:r>
          </w:p>
        </w:tc>
      </w:tr>
    </w:tbl>
    <w:p>
      <w:pPr>
        <w:pStyle w:val="TextBody"/>
        <w:spacing w:before="0" w:after="0"/>
        <w:jc w:val="left"/>
        <w:rPr/>
      </w:pPr>
      <w:r>
        <w:rPr/>
        <w:t> </w:t>
      </w:r>
    </w:p>
    <w:tbl>
      <w:tblPr>
        <w:tblW w:w="5575" w:type="dxa"/>
        <w:jc w:val="left"/>
        <w:tblInd w:w="0" w:type="dxa"/>
        <w:tblCellMar>
          <w:top w:w="0" w:type="dxa"/>
          <w:left w:w="0" w:type="dxa"/>
          <w:bottom w:w="0" w:type="dxa"/>
          <w:right w:w="0" w:type="dxa"/>
        </w:tblCellMar>
      </w:tblPr>
      <w:tblGrid>
        <w:gridCol w:w="75"/>
        <w:gridCol w:w="110"/>
        <w:gridCol w:w="60"/>
        <w:gridCol w:w="53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33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potential customer base for the use of our products is limited;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our business is affected by the implementation of industry standards guaranteeing interoperability between laser communication products of different vendors, which could be unsuccessful; </w:t>
            </w:r>
          </w:p>
        </w:tc>
      </w:tr>
    </w:tbl>
    <w:p>
      <w:pPr>
        <w:pStyle w:val="TextBody"/>
        <w:spacing w:before="0" w:after="0"/>
        <w:jc w:val="left"/>
        <w:rPr/>
      </w:pPr>
      <w:r>
        <w:rPr/>
        <w:t> </w:t>
      </w:r>
    </w:p>
    <w:tbl>
      <w:tblPr>
        <w:tblW w:w="10165" w:type="dxa"/>
        <w:jc w:val="left"/>
        <w:tblInd w:w="0" w:type="dxa"/>
        <w:tblCellMar>
          <w:top w:w="0" w:type="dxa"/>
          <w:left w:w="0" w:type="dxa"/>
          <w:bottom w:w="0" w:type="dxa"/>
          <w:right w:w="0" w:type="dxa"/>
        </w:tblCellMar>
      </w:tblPr>
      <w:tblGrid>
        <w:gridCol w:w="75"/>
        <w:gridCol w:w="110"/>
        <w:gridCol w:w="60"/>
        <w:gridCol w:w="99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2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may be unable to manage our future growth effectively, which could make it difficult to execute our business strategy;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positive market developments in the area of wireless laser communication could lead to increasingly intense competition and endanger our market position;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industry consolidation may give our competitors advantages over us, which could result in a loss of customers and/or a reduction of our revenue;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use innovative technologies and solutions in our products, which may not be fully functional, and the initial deployment of our products by customers could prove unsuccessful;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depend on third-party suppliers to provide us with components for our products, and any interruptions in supplies provided by these third-party suppliers or any general disruptions to global supply chains may subject us to external procurement risks that negatively affect our business;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defects or performance problems in our products could result in a loss of customers, reputational damage, lawsuits and decreased revenue, and we may face warranty, indemnity and product liability claims arising from defective products; </w:t>
            </w:r>
          </w:p>
        </w:tc>
      </w:tr>
    </w:tbl>
    <w:p>
      <w:pPr>
        <w:pStyle w:val="TextBody"/>
        <w:spacing w:before="0" w:after="0"/>
        <w:jc w:val="left"/>
        <w:rPr/>
      </w:pPr>
      <w:r>
        <w:rPr/>
        <w:t> </w:t>
      </w:r>
    </w:p>
    <w:tbl>
      <w:tblPr>
        <w:tblW w:w="8170" w:type="dxa"/>
        <w:jc w:val="left"/>
        <w:tblInd w:w="0" w:type="dxa"/>
        <w:tblCellMar>
          <w:top w:w="0" w:type="dxa"/>
          <w:left w:w="0" w:type="dxa"/>
          <w:bottom w:w="0" w:type="dxa"/>
          <w:right w:w="0" w:type="dxa"/>
        </w:tblCellMar>
      </w:tblPr>
      <w:tblGrid>
        <w:gridCol w:w="75"/>
        <w:gridCol w:w="110"/>
        <w:gridCol w:w="60"/>
        <w:gridCol w:w="79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92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our sales cycle can be long and sophisticated as well as requiring considerable time and expense;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orders included in our optical communications terminal backlog may not result in actual revenue and are an uncertain indicator of our future earnings;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have limited experience with order processing and are subject to internal order processing risks that could materially impact our ability to process orders; </w:t>
            </w:r>
          </w:p>
        </w:tc>
      </w:tr>
    </w:tbl>
    <w:p>
      <w:pPr>
        <w:pStyle w:val="TextBody"/>
        <w:spacing w:before="0" w:after="0"/>
        <w:jc w:val="left"/>
        <w:rPr/>
      </w:pPr>
      <w:r>
        <w:rPr/>
        <w:t> </w:t>
      </w:r>
    </w:p>
    <w:tbl>
      <w:tblPr>
        <w:tblW w:w="8800" w:type="dxa"/>
        <w:jc w:val="left"/>
        <w:tblInd w:w="0" w:type="dxa"/>
        <w:tblCellMar>
          <w:top w:w="0" w:type="dxa"/>
          <w:left w:w="0" w:type="dxa"/>
          <w:bottom w:w="0" w:type="dxa"/>
          <w:right w:w="0" w:type="dxa"/>
        </w:tblCellMar>
      </w:tblPr>
      <w:tblGrid>
        <w:gridCol w:w="75"/>
        <w:gridCol w:w="110"/>
        <w:gridCol w:w="60"/>
        <w:gridCol w:w="85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55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may not be able to obtain sufficient financing for our operations and ongoing growth of our business;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covenants under our credit agreement 2023 impose operating and financial restrictions on us that could significantly impact our ability to operate our business and a breach of which could result in a default under the terms of this agreement, which could accelerate our repayment of funds; </w:t>
            </w:r>
          </w:p>
        </w:tc>
      </w:tr>
    </w:tbl>
    <w:p>
      <w:pPr>
        <w:pStyle w:val="TextBody"/>
        <w:spacing w:before="0" w:after="0"/>
        <w:jc w:val="left"/>
        <w:rPr/>
      </w:pPr>
      <w:r>
        <w:rPr/>
        <w:t> </w:t>
      </w:r>
    </w:p>
    <w:tbl>
      <w:tblPr>
        <w:tblW w:w="8650" w:type="dxa"/>
        <w:jc w:val="left"/>
        <w:tblInd w:w="0" w:type="dxa"/>
        <w:tblCellMar>
          <w:top w:w="0" w:type="dxa"/>
          <w:left w:w="0" w:type="dxa"/>
          <w:bottom w:w="0" w:type="dxa"/>
          <w:right w:w="0" w:type="dxa"/>
        </w:tblCellMar>
      </w:tblPr>
      <w:tblGrid>
        <w:gridCol w:w="75"/>
        <w:gridCol w:w="110"/>
        <w:gridCol w:w="60"/>
        <w:gridCol w:w="84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0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 change of control could result in substantial repayment obligations under our credit agreement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may not be able to obtain or agree on acceptable terms and conditions for all or a significant portion of the government grants, loans and other incentives for which we may apply, which may negatively affect our ability to reach funding goals;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are exposed to foreign currency exchange risk and our financial position and results of operations may be negatively affected by the fluctuation of different currencies;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are highly dependent on our senior management team and other highly qualified personnel, and if we are not successful in attracting or retaining highly qualified personnel, we may not be able to successfully implement our business strategy;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our business and operations would suffer in the event of computer system failures, cyber-attacks or deficiencies in our cyber-security;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are a supplier for government programs, which subjects us to risks including early termination, audits, investigations, sanctions and penalties;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our operations, or those of our suppliers and other business partners, could be adversely affected as a result of disasters or unpredictable events;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adverse developments affecting the financial services industry, such as actual events or concerns involving liquidity, defaults, or non-performance by financial institutions or transactional counterparties, could adversely affect our business operations and our financial condition;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are subject to regulatory risks, in particular related to sanctions laws and governmental export controls, that could limit our customer base and result in higher compliance costs;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if we do not maintain required security clearances from, and comply with our security agreements with, the U.S. government, we may not be able to enter into future contracts with the U.S. government;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our business is and could become subject to a wide variety of extensive and evolving government laws and regulations; any failure to comply could have a material adverse effect on our business;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positive market developments in the area of wireless laser communication could lead to increasingly intense political interest and influence impacting our business;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regulations related to conflict minerals and other supply chain regulations such as the German Supply Chain Act may cause us to incur additional expenses and could limit the supply and increase the costs of certain metals and other materials used in the manufacturing of our products;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may be unable to adequately protect our intellectual property and proprietary rights and prevent others from making unauthorized use of our products and technology;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may be involved in legal proceedings based on the alleged violation of intellectual property rights, which may be time-consuming and incur substantial costs;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have been and may become involved in litigation, administrative and regulatory proceedings, which require significant attention and could result in significant expense to us and disruptions to our business;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may be subject to claims that our employees, consultants or advisers have wrongfully used or disclosed alleged trade secrets of their former employers; </w:t>
            </w:r>
          </w:p>
        </w:tc>
      </w:tr>
    </w:tbl>
    <w:p>
      <w:pPr>
        <w:pStyle w:val="TextBody"/>
        <w:spacing w:before="0" w:after="0"/>
        <w:jc w:val="left"/>
        <w:rPr/>
      </w:pPr>
      <w:r>
        <w:rPr/>
        <w:t> </w:t>
      </w:r>
    </w:p>
    <w:tbl>
      <w:tblPr>
        <w:tblW w:w="8365" w:type="dxa"/>
        <w:jc w:val="left"/>
        <w:tblInd w:w="0" w:type="dxa"/>
        <w:tblCellMar>
          <w:top w:w="0" w:type="dxa"/>
          <w:left w:w="0" w:type="dxa"/>
          <w:bottom w:w="0" w:type="dxa"/>
          <w:right w:w="0" w:type="dxa"/>
        </w:tblCellMar>
      </w:tblPr>
      <w:tblGrid>
        <w:gridCol w:w="75"/>
        <w:gridCol w:w="110"/>
        <w:gridCol w:w="60"/>
        <w:gridCol w:w="81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2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may become exposed to unforeseen tax consequences as a result of our international operations;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have identified material weaknesses in our internal control over financial reporting; if we are unable to successfully remediate these material weaknesses and to maintain an effective system of internal control over financial reporting, we may not be able to accurately report our results or prevent fraud; and </w:t>
            </w:r>
          </w:p>
        </w:tc>
      </w:tr>
    </w:tbl>
    <w:p>
      <w:pPr>
        <w:pStyle w:val="TextBody"/>
        <w:spacing w:before="0" w:after="0"/>
        <w:jc w:val="left"/>
        <w:rPr/>
      </w:pPr>
      <w:r>
        <w:rPr/>
        <w:t> </w:t>
      </w:r>
    </w:p>
    <w:tbl>
      <w:tblPr>
        <w:tblW w:w="8170" w:type="dxa"/>
        <w:jc w:val="left"/>
        <w:tblInd w:w="0" w:type="dxa"/>
        <w:tblCellMar>
          <w:top w:w="0" w:type="dxa"/>
          <w:left w:w="0" w:type="dxa"/>
          <w:bottom w:w="0" w:type="dxa"/>
          <w:right w:w="0" w:type="dxa"/>
        </w:tblCellMar>
      </w:tblPr>
      <w:tblGrid>
        <w:gridCol w:w="75"/>
        <w:gridCol w:w="110"/>
        <w:gridCol w:w="60"/>
        <w:gridCol w:w="79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92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our risk management and internal control procedures may not prevent or detect violations of law. </w:t>
            </w:r>
          </w:p>
        </w:tc>
      </w:tr>
    </w:tbl>
    <w:p>
      <w:pPr>
        <w:pStyle w:val="TextBody"/>
        <w:spacing w:before="240" w:after="0"/>
        <w:jc w:val="both"/>
        <w:rPr>
          <w:rFonts w:ascii="Times New Roman" w:hAnsi="Times New Roman"/>
          <w:sz w:val="20"/>
        </w:rPr>
      </w:pPr>
      <w:r>
        <w:rPr>
          <w:rFonts w:ascii="Times New Roman" w:hAnsi="Times New Roman"/>
          <w:sz w:val="20"/>
        </w:rPr>
        <w:t xml:space="preserve">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including the uncertainties and factors discussed under “Item 3. Key Information—D. Risk Factors” and the documents that we have filed as exhibits to the registration statement, of which this Annual Report is a part, completely and with the understanding that our actual future results or performance may be materially different from what we expect. All forward-looking statements made in this Annual Report are qualified by these cautionary statements. </w:t>
      </w:r>
    </w:p>
    <w:p>
      <w:pPr>
        <w:pStyle w:val="TextBody"/>
        <w:spacing w:before="240" w:after="0"/>
        <w:jc w:val="both"/>
        <w:rPr>
          <w:rFonts w:ascii="Times New Roman" w:hAnsi="Times New Roman"/>
          <w:sz w:val="20"/>
        </w:rPr>
      </w:pPr>
      <w:r>
        <w:rPr>
          <w:rFonts w:ascii="Times New Roman" w:hAnsi="Times New Roman"/>
          <w:sz w:val="20"/>
        </w:rPr>
        <w:t xml:space="preserve">Comparison of results between current and prior periods are not intended to express any future trends, or indications of future performance, unless expressed as such, and should only be viewed as historical data. </w:t>
      </w:r>
    </w:p>
    <w:p>
      <w:pPr>
        <w:pStyle w:val="TextBody"/>
        <w:spacing w:before="480" w:after="0"/>
        <w:jc w:val="center"/>
        <w:rPr>
          <w:rFonts w:ascii="Times New Roman" w:hAnsi="Times New Roman"/>
          <w:b/>
          <w:sz w:val="20"/>
        </w:rPr>
      </w:pPr>
      <w:bookmarkStart w:id="9" w:name="tx497326_7"/>
      <w:bookmarkEnd w:id="9"/>
      <w:r>
        <w:rPr>
          <w:rFonts w:ascii="Times New Roman" w:hAnsi="Times New Roman"/>
          <w:b/>
          <w:sz w:val="20"/>
        </w:rPr>
        <w:t xml:space="preserve">RISK FACTOR SUMMARY </w:t>
      </w:r>
    </w:p>
    <w:p>
      <w:pPr>
        <w:pStyle w:val="TextBody"/>
        <w:spacing w:before="240" w:after="0"/>
        <w:jc w:val="both"/>
        <w:rPr>
          <w:rFonts w:ascii="Times New Roman" w:hAnsi="Times New Roman"/>
          <w:sz w:val="20"/>
        </w:rPr>
      </w:pPr>
      <w:r>
        <w:rPr>
          <w:rFonts w:ascii="Times New Roman" w:hAnsi="Times New Roman"/>
          <w:sz w:val="20"/>
        </w:rPr>
        <w:t xml:space="preserve">The following is a summary of the principal risks that could significantly and negatively affect our business, prospects, financial conditions, or operating results. For a more complete discussion of the material risks facing our business, see “Item 3. Key Information—D. Risk Factors”: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are a development-stage company with a history of significant losses and expected continuing losses for the foreseeable future, which lead to continued reliance on external financing and raise substantial doubt about our ability to continue as a going concern; we may never be able to execute our business strategy, generate revenue or reach profitability;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our success and future growth are dependent upon our potential customers’ investments in the development of a market for wireless laser communication networks;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our prospects and operations may be adversely affected by changes in government spending and general economic conditions, which may negatively affect demand for laser communication solutions; </w:t>
            </w:r>
          </w:p>
        </w:tc>
      </w:tr>
    </w:tbl>
    <w:p>
      <w:pPr>
        <w:pStyle w:val="TextBody"/>
        <w:spacing w:before="0" w:after="0"/>
        <w:jc w:val="left"/>
        <w:rPr/>
      </w:pPr>
      <w:r>
        <w:rPr/>
        <w:t> </w:t>
      </w:r>
    </w:p>
    <w:tbl>
      <w:tblPr>
        <w:tblW w:w="5575" w:type="dxa"/>
        <w:jc w:val="left"/>
        <w:tblInd w:w="0" w:type="dxa"/>
        <w:tblCellMar>
          <w:top w:w="0" w:type="dxa"/>
          <w:left w:w="0" w:type="dxa"/>
          <w:bottom w:w="0" w:type="dxa"/>
          <w:right w:w="0" w:type="dxa"/>
        </w:tblCellMar>
      </w:tblPr>
      <w:tblGrid>
        <w:gridCol w:w="75"/>
        <w:gridCol w:w="110"/>
        <w:gridCol w:w="60"/>
        <w:gridCol w:w="53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33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potential customer base for the use of our products is limited;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our business is affected by the implementation of industry standards guaranteeing interoperability between laser communication products of different vendors, which could be unsuccessful; </w:t>
            </w:r>
          </w:p>
        </w:tc>
      </w:tr>
    </w:tbl>
    <w:p>
      <w:pPr>
        <w:pStyle w:val="TextBody"/>
        <w:spacing w:before="0" w:after="0"/>
        <w:jc w:val="left"/>
        <w:rPr/>
      </w:pPr>
      <w:r>
        <w:rPr/>
        <w:t> </w:t>
      </w:r>
    </w:p>
    <w:tbl>
      <w:tblPr>
        <w:tblW w:w="10165" w:type="dxa"/>
        <w:jc w:val="left"/>
        <w:tblInd w:w="0" w:type="dxa"/>
        <w:tblCellMar>
          <w:top w:w="0" w:type="dxa"/>
          <w:left w:w="0" w:type="dxa"/>
          <w:bottom w:w="0" w:type="dxa"/>
          <w:right w:w="0" w:type="dxa"/>
        </w:tblCellMar>
      </w:tblPr>
      <w:tblGrid>
        <w:gridCol w:w="75"/>
        <w:gridCol w:w="110"/>
        <w:gridCol w:w="60"/>
        <w:gridCol w:w="99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2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may be unable to manage our future growth effectively, which could make it difficult to execute our business strategy;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positive market developments in the area of wireless laser communication could lead to increasingly intense competition and endanger our market position;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industry consolidation may give our competitors advantages over us, which could result in a loss of customers and/or a reduction of our revenue;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use innovative technologies and solutions in our products, which may not be fully functional, and the initial deployment of our products by customers could prove unsuccessful;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depend on third-party suppliers to provide us with components for our products, and any interruptions in supplies provided by these third-party suppliers or any general disruptions to global supply chains may subject us to external procurement risks that negatively affect our business;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defects or performance problems in our products could result in a loss of customers, reputational damage, lawsuits and decreased revenue, and we may face warranty, indemnity and product liability claims arising from defective products; </w:t>
            </w:r>
          </w:p>
        </w:tc>
      </w:tr>
    </w:tbl>
    <w:p>
      <w:pPr>
        <w:pStyle w:val="TextBody"/>
        <w:spacing w:before="0" w:after="0"/>
        <w:jc w:val="left"/>
        <w:rPr/>
      </w:pPr>
      <w:r>
        <w:rPr/>
        <w:t> </w:t>
      </w:r>
    </w:p>
    <w:tbl>
      <w:tblPr>
        <w:tblW w:w="8170" w:type="dxa"/>
        <w:jc w:val="left"/>
        <w:tblInd w:w="0" w:type="dxa"/>
        <w:tblCellMar>
          <w:top w:w="0" w:type="dxa"/>
          <w:left w:w="0" w:type="dxa"/>
          <w:bottom w:w="0" w:type="dxa"/>
          <w:right w:w="0" w:type="dxa"/>
        </w:tblCellMar>
      </w:tblPr>
      <w:tblGrid>
        <w:gridCol w:w="75"/>
        <w:gridCol w:w="110"/>
        <w:gridCol w:w="60"/>
        <w:gridCol w:w="79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92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our sales cycle can be long and sophisticated as well as requiring considerable time and expense;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orders included in our optical communications terminal backlog may not result in actual revenue and are an uncertain indicator of our future earnings;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have limited experience with order processing and are subject to internal order processing risks that could materially impact our ability to process orders; </w:t>
            </w:r>
          </w:p>
        </w:tc>
      </w:tr>
    </w:tbl>
    <w:p>
      <w:pPr>
        <w:pStyle w:val="TextBody"/>
        <w:spacing w:before="0" w:after="0"/>
        <w:jc w:val="left"/>
        <w:rPr/>
      </w:pPr>
      <w:r>
        <w:rPr/>
        <w:t> </w:t>
      </w:r>
    </w:p>
    <w:tbl>
      <w:tblPr>
        <w:tblW w:w="8785" w:type="dxa"/>
        <w:jc w:val="left"/>
        <w:tblInd w:w="0" w:type="dxa"/>
        <w:tblCellMar>
          <w:top w:w="0" w:type="dxa"/>
          <w:left w:w="0" w:type="dxa"/>
          <w:bottom w:w="0" w:type="dxa"/>
          <w:right w:w="0" w:type="dxa"/>
        </w:tblCellMar>
      </w:tblPr>
      <w:tblGrid>
        <w:gridCol w:w="75"/>
        <w:gridCol w:w="110"/>
        <w:gridCol w:w="60"/>
        <w:gridCol w:w="85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54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may not be able to obtain sufficient financing for the operations and ongoing growth of our business;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covenants under our credit agreement 2023 impose operating and financial restrictions on us that could significantly impact our ability to operate our business and a breach of which could result in a default under the terms of this agreement, which could accelerate our repayment of funds; </w:t>
            </w:r>
          </w:p>
        </w:tc>
      </w:tr>
    </w:tbl>
    <w:p>
      <w:pPr>
        <w:pStyle w:val="TextBody"/>
        <w:spacing w:before="0" w:after="0"/>
        <w:jc w:val="left"/>
        <w:rPr/>
      </w:pPr>
      <w:r>
        <w:rPr/>
        <w:t> </w:t>
      </w:r>
    </w:p>
    <w:tbl>
      <w:tblPr>
        <w:tblW w:w="8650" w:type="dxa"/>
        <w:jc w:val="left"/>
        <w:tblInd w:w="0" w:type="dxa"/>
        <w:tblCellMar>
          <w:top w:w="0" w:type="dxa"/>
          <w:left w:w="0" w:type="dxa"/>
          <w:bottom w:w="0" w:type="dxa"/>
          <w:right w:w="0" w:type="dxa"/>
        </w:tblCellMar>
      </w:tblPr>
      <w:tblGrid>
        <w:gridCol w:w="75"/>
        <w:gridCol w:w="110"/>
        <w:gridCol w:w="60"/>
        <w:gridCol w:w="84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0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 change of control could result in substantial repayment obligations under our credit agreement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may not be able to obtain or agree on acceptable terms and conditions for all or a significant portion of the government grants, loans and other incentives for which we may apply, which may negatively affect our ability to reach funding goals;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are exposed to foreign currency exchange risk and our financial position and results of operations may be negatively affected by the fluctuation of different currencies;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are highly dependent on our senior management team and other highly qualified personnel, and if we are not successful in attracting or retaining highly qualified personnel, we may not be able to successfully implement our business strategy;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our business and operations would suffer in the event of computer system failures, cyber-attacks or deficiencies in our cyber-security;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are a supplier for government programs, which subjects us to risks including early termination, audits, investigations, sanctions and penalties;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our operations, or those of our suppliers and other business partners, could be adversely affected as a result of disasters or unpredictable events;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adverse developments affecting the financial services industry, such as actual events or concerns involving liquidity, defaults, or non-performance by financial institutions or transactional counterparties, could adversely affect our business operations and our financial condition;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are subject to regulatory risks, in particular related to sanctions laws and governmental export controls, that could limit our customer base and result in higher compliance costs;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if we do not maintain required security clearances from, and comply with our security agreements with, the U.S. government, we may not be able to enter into future contracts with the U.S. government;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our business is and could become subject to a wide variety of extensive and evolving government laws and regulations; any failure to comply could have a material adverse effect on our business;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positive market developments in the area of wireless laser communication could lead to increasingly intense political interest and influence impacting our business;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regulations related to conflict minerals and other supply chain regulations such as the German Supply Chain Act may cause us to incur additional expenses and could limit the supply and increase the costs of certain metals and other materials used in the manufacturing of our products;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may be unable to adequately protect our intellectual property and proprietary rights and prevent others from making unauthorized use of our products and technology;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may be involved in legal proceedings based on the alleged violation of intellectual property rights, which may be time-consuming and incur substantial costs;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have been and may become involved in litigation, administrative and regulatory proceedings, which require significant attention and could result in significant expense to us and disruptions to our business;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may be subject to claims that our employees, consultants or advisers have wrongfully used or disclosed alleged trade secrets of their former employers; </w:t>
            </w:r>
          </w:p>
        </w:tc>
      </w:tr>
    </w:tbl>
    <w:p>
      <w:pPr>
        <w:pStyle w:val="TextBody"/>
        <w:spacing w:before="0" w:after="0"/>
        <w:jc w:val="left"/>
        <w:rPr/>
      </w:pPr>
      <w:r>
        <w:rPr/>
        <w:t> </w:t>
      </w:r>
    </w:p>
    <w:tbl>
      <w:tblPr>
        <w:tblW w:w="8365" w:type="dxa"/>
        <w:jc w:val="left"/>
        <w:tblInd w:w="0" w:type="dxa"/>
        <w:tblCellMar>
          <w:top w:w="0" w:type="dxa"/>
          <w:left w:w="0" w:type="dxa"/>
          <w:bottom w:w="0" w:type="dxa"/>
          <w:right w:w="0" w:type="dxa"/>
        </w:tblCellMar>
      </w:tblPr>
      <w:tblGrid>
        <w:gridCol w:w="75"/>
        <w:gridCol w:w="110"/>
        <w:gridCol w:w="60"/>
        <w:gridCol w:w="81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2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may become exposed to unforeseen tax consequences as a result of our international operations;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have identified material weaknesses in our internal control over financial reporting; if we are unable to successfully remediate these material weaknesses and to maintain an effective system of internal control over financial reporting, we may not be able to accurately report our financial results or prevent fraud; and </w:t>
            </w:r>
          </w:p>
        </w:tc>
      </w:tr>
    </w:tbl>
    <w:p>
      <w:pPr>
        <w:pStyle w:val="TextBody"/>
        <w:spacing w:before="0" w:after="0"/>
        <w:jc w:val="left"/>
        <w:rPr/>
      </w:pPr>
      <w:r>
        <w:rPr/>
        <w:t> </w:t>
      </w:r>
    </w:p>
    <w:tbl>
      <w:tblPr>
        <w:tblW w:w="8170" w:type="dxa"/>
        <w:jc w:val="left"/>
        <w:tblInd w:w="0" w:type="dxa"/>
        <w:tblCellMar>
          <w:top w:w="0" w:type="dxa"/>
          <w:left w:w="0" w:type="dxa"/>
          <w:bottom w:w="0" w:type="dxa"/>
          <w:right w:w="0" w:type="dxa"/>
        </w:tblCellMar>
      </w:tblPr>
      <w:tblGrid>
        <w:gridCol w:w="75"/>
        <w:gridCol w:w="110"/>
        <w:gridCol w:w="60"/>
        <w:gridCol w:w="79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92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our risk management and internal control procedures may not prevent or detect violations of law.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vii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tx497326_8"/>
      <w:bookmarkEnd w:id="10"/>
      <w:r>
        <w:rPr>
          <w:rFonts w:ascii="Times New Roman" w:hAnsi="Times New Roman"/>
          <w:b/>
          <w:sz w:val="20"/>
        </w:rPr>
        <w:t xml:space="preserve">PART I. </w:t>
      </w:r>
    </w:p>
    <w:p>
      <w:pPr>
        <w:pStyle w:val="TextBody"/>
        <w:spacing w:before="240" w:after="0"/>
        <w:jc w:val="left"/>
        <w:rPr>
          <w:rFonts w:ascii="Times New Roman" w:hAnsi="Times New Roman"/>
          <w:b/>
          <w:sz w:val="20"/>
        </w:rPr>
      </w:pPr>
      <w:bookmarkStart w:id="11" w:name="tx497326_9"/>
      <w:bookmarkEnd w:id="11"/>
      <w:r>
        <w:rPr>
          <w:rFonts w:ascii="Times New Roman" w:hAnsi="Times New Roman"/>
          <w:b/>
          <w:sz w:val="20"/>
        </w:rPr>
        <w:t xml:space="preserve">ITEM 1. IDENTITY OF DIRECTORS, SENIOR MANAGEMENT AND ADVISERS </w:t>
      </w:r>
    </w:p>
    <w:p>
      <w:pPr>
        <w:pStyle w:val="TextBody"/>
        <w:spacing w:before="120" w:after="0"/>
        <w:jc w:val="left"/>
        <w:rPr>
          <w:rFonts w:ascii="Times New Roman" w:hAnsi="Times New Roman"/>
          <w:b/>
          <w:sz w:val="20"/>
        </w:rPr>
      </w:pPr>
      <w:bookmarkStart w:id="12" w:name="tx497326_10"/>
      <w:bookmarkEnd w:id="12"/>
      <w:r>
        <w:rPr>
          <w:rFonts w:ascii="Times New Roman" w:hAnsi="Times New Roman"/>
          <w:b/>
          <w:sz w:val="20"/>
        </w:rPr>
        <w:t xml:space="preserve">A. Directors and Senior Management </w:t>
      </w:r>
    </w:p>
    <w:p>
      <w:pPr>
        <w:pStyle w:val="TextBody"/>
        <w:spacing w:before="120" w:after="0"/>
        <w:jc w:val="both"/>
        <w:rPr>
          <w:rFonts w:ascii="Times New Roman" w:hAnsi="Times New Roman"/>
          <w:sz w:val="20"/>
        </w:rPr>
      </w:pPr>
      <w:r>
        <w:rPr>
          <w:rFonts w:ascii="Times New Roman" w:hAnsi="Times New Roman"/>
          <w:sz w:val="20"/>
        </w:rPr>
        <w:t xml:space="preserve">Not applicable. </w:t>
      </w:r>
    </w:p>
    <w:p>
      <w:pPr>
        <w:pStyle w:val="TextBody"/>
        <w:spacing w:before="360" w:after="0"/>
        <w:jc w:val="left"/>
        <w:rPr>
          <w:rFonts w:ascii="Times New Roman" w:hAnsi="Times New Roman"/>
          <w:b/>
          <w:sz w:val="20"/>
        </w:rPr>
      </w:pPr>
      <w:bookmarkStart w:id="13" w:name="tx497326_11"/>
      <w:bookmarkEnd w:id="13"/>
      <w:r>
        <w:rPr>
          <w:rFonts w:ascii="Times New Roman" w:hAnsi="Times New Roman"/>
          <w:b/>
          <w:sz w:val="20"/>
        </w:rPr>
        <w:t xml:space="preserve">ITEM 2. OFFER STATISTICS AND EXPECTED TIMETABLE </w:t>
      </w:r>
    </w:p>
    <w:p>
      <w:pPr>
        <w:pStyle w:val="TextBody"/>
        <w:spacing w:before="120" w:after="0"/>
        <w:jc w:val="both"/>
        <w:rPr>
          <w:rFonts w:ascii="Times New Roman" w:hAnsi="Times New Roman"/>
          <w:sz w:val="20"/>
        </w:rPr>
      </w:pPr>
      <w:r>
        <w:rPr>
          <w:rFonts w:ascii="Times New Roman" w:hAnsi="Times New Roman"/>
          <w:sz w:val="20"/>
        </w:rPr>
        <w:t xml:space="preserve">Not applicable. </w:t>
      </w:r>
    </w:p>
    <w:p>
      <w:pPr>
        <w:pStyle w:val="TextBody"/>
        <w:spacing w:before="360" w:after="0"/>
        <w:jc w:val="left"/>
        <w:rPr>
          <w:rFonts w:ascii="Times New Roman" w:hAnsi="Times New Roman"/>
          <w:b/>
          <w:sz w:val="20"/>
        </w:rPr>
      </w:pPr>
      <w:bookmarkStart w:id="14" w:name="tx497326_12"/>
      <w:bookmarkEnd w:id="14"/>
      <w:r>
        <w:rPr>
          <w:rFonts w:ascii="Times New Roman" w:hAnsi="Times New Roman"/>
          <w:b/>
          <w:sz w:val="20"/>
        </w:rPr>
        <w:t xml:space="preserve">ITEM 3. KEY INFORMATION </w:t>
      </w:r>
    </w:p>
    <w:p>
      <w:pPr>
        <w:pStyle w:val="TextBody"/>
        <w:spacing w:before="120" w:after="0"/>
        <w:jc w:val="both"/>
        <w:rPr>
          <w:rFonts w:ascii="Times New Roman" w:hAnsi="Times New Roman"/>
          <w:b/>
          <w:sz w:val="20"/>
        </w:rPr>
      </w:pPr>
      <w:bookmarkStart w:id="15" w:name="tx497326_13"/>
      <w:bookmarkEnd w:id="15"/>
      <w:r>
        <w:rPr>
          <w:rFonts w:ascii="Times New Roman" w:hAnsi="Times New Roman"/>
          <w:b/>
          <w:sz w:val="20"/>
        </w:rPr>
        <w:t xml:space="preserve">A. [Reserved] </w:t>
      </w:r>
    </w:p>
    <w:p>
      <w:pPr>
        <w:pStyle w:val="TextBody"/>
        <w:spacing w:before="360" w:after="0"/>
        <w:jc w:val="left"/>
        <w:rPr>
          <w:rFonts w:ascii="Times New Roman" w:hAnsi="Times New Roman"/>
          <w:b/>
          <w:sz w:val="20"/>
        </w:rPr>
      </w:pPr>
      <w:bookmarkStart w:id="16" w:name="tx497326_14"/>
      <w:bookmarkEnd w:id="16"/>
      <w:r>
        <w:rPr>
          <w:rFonts w:ascii="Times New Roman" w:hAnsi="Times New Roman"/>
          <w:b/>
          <w:sz w:val="20"/>
        </w:rPr>
        <w:t xml:space="preserve">B. Capitalization and Indebtedness </w:t>
      </w:r>
    </w:p>
    <w:p>
      <w:pPr>
        <w:pStyle w:val="TextBody"/>
        <w:spacing w:before="120" w:after="0"/>
        <w:jc w:val="both"/>
        <w:rPr>
          <w:rFonts w:ascii="Times New Roman" w:hAnsi="Times New Roman"/>
          <w:sz w:val="20"/>
        </w:rPr>
      </w:pPr>
      <w:r>
        <w:rPr>
          <w:rFonts w:ascii="Times New Roman" w:hAnsi="Times New Roman"/>
          <w:sz w:val="20"/>
        </w:rPr>
        <w:t xml:space="preserve">Not applicable. </w:t>
      </w:r>
    </w:p>
    <w:p>
      <w:pPr>
        <w:pStyle w:val="TextBody"/>
        <w:spacing w:before="360" w:after="0"/>
        <w:jc w:val="left"/>
        <w:rPr>
          <w:rFonts w:ascii="Times New Roman" w:hAnsi="Times New Roman"/>
          <w:b/>
          <w:sz w:val="20"/>
        </w:rPr>
      </w:pPr>
      <w:bookmarkStart w:id="17" w:name="tx497326_15"/>
      <w:bookmarkEnd w:id="17"/>
      <w:r>
        <w:rPr>
          <w:rFonts w:ascii="Times New Roman" w:hAnsi="Times New Roman"/>
          <w:b/>
          <w:sz w:val="20"/>
        </w:rPr>
        <w:t xml:space="preserve">C. Reasons for the Offer and Use of Proceeds </w:t>
      </w:r>
    </w:p>
    <w:p>
      <w:pPr>
        <w:pStyle w:val="TextBody"/>
        <w:spacing w:before="120" w:after="0"/>
        <w:jc w:val="both"/>
        <w:rPr>
          <w:rFonts w:ascii="Times New Roman" w:hAnsi="Times New Roman"/>
          <w:sz w:val="20"/>
        </w:rPr>
      </w:pPr>
      <w:r>
        <w:rPr>
          <w:rFonts w:ascii="Times New Roman" w:hAnsi="Times New Roman"/>
          <w:sz w:val="20"/>
        </w:rPr>
        <w:t xml:space="preserve">Not applicable. </w:t>
      </w:r>
    </w:p>
    <w:p>
      <w:pPr>
        <w:pStyle w:val="TextBody"/>
        <w:spacing w:before="360" w:after="0"/>
        <w:jc w:val="left"/>
        <w:rPr>
          <w:rFonts w:ascii="Times New Roman" w:hAnsi="Times New Roman"/>
          <w:b/>
          <w:sz w:val="20"/>
        </w:rPr>
      </w:pPr>
      <w:bookmarkStart w:id="18" w:name="tx497326_16"/>
      <w:bookmarkEnd w:id="18"/>
      <w:r>
        <w:rPr>
          <w:rFonts w:ascii="Times New Roman" w:hAnsi="Times New Roman"/>
          <w:b/>
          <w:sz w:val="20"/>
        </w:rPr>
        <w:t xml:space="preserve">D. Risk Factors </w:t>
      </w:r>
    </w:p>
    <w:p>
      <w:pPr>
        <w:pStyle w:val="TextBody"/>
        <w:spacing w:before="120" w:after="0"/>
        <w:jc w:val="both"/>
        <w:rPr>
          <w:rFonts w:ascii="Times New Roman" w:hAnsi="Times New Roman"/>
          <w:i/>
          <w:sz w:val="20"/>
        </w:rPr>
      </w:pPr>
      <w:r>
        <w:rPr>
          <w:rFonts w:ascii="Times New Roman" w:hAnsi="Times New Roman"/>
          <w:i/>
          <w:sz w:val="20"/>
        </w:rPr>
        <w:t xml:space="preserve">The following risks may have material adverse effects on our business, financial condition and results of operations. Additional risks and uncertainties of which we are not presently aware or that we currently deem immaterial could also materially affect our business operations and financial condition. </w:t>
      </w:r>
    </w:p>
    <w:p>
      <w:pPr>
        <w:pStyle w:val="TextBody"/>
        <w:spacing w:before="360" w:after="0"/>
        <w:jc w:val="left"/>
        <w:rPr>
          <w:rFonts w:ascii="Times New Roman" w:hAnsi="Times New Roman"/>
          <w:b/>
          <w:sz w:val="20"/>
        </w:rPr>
      </w:pPr>
      <w:r>
        <w:rPr>
          <w:rFonts w:ascii="Times New Roman" w:hAnsi="Times New Roman"/>
          <w:b/>
          <w:sz w:val="20"/>
        </w:rPr>
        <w:t xml:space="preserve">General Risks Related to Our Business Activities and Our Markets </w:t>
      </w:r>
    </w:p>
    <w:p>
      <w:pPr>
        <w:pStyle w:val="TextBody"/>
        <w:spacing w:before="120" w:after="0"/>
        <w:jc w:val="left"/>
        <w:rPr>
          <w:rFonts w:ascii="Times New Roman" w:hAnsi="Times New Roman"/>
          <w:b/>
          <w:i/>
          <w:sz w:val="20"/>
        </w:rPr>
      </w:pPr>
      <w:r>
        <w:rPr>
          <w:rFonts w:ascii="Times New Roman" w:hAnsi="Times New Roman"/>
          <w:b/>
          <w:i/>
          <w:sz w:val="20"/>
        </w:rPr>
        <w:t xml:space="preserve">We are a development-stage company with a history of significant losses and expected continuing losses for the foreseeable future, which lead to continued reliance on external financing and raise substantial doubt about our ability to continue as a going concern. We may never be able to execute our business strategy, generate revenue or reach profitability. </w:t>
      </w:r>
    </w:p>
    <w:p>
      <w:pPr>
        <w:pStyle w:val="TextBody"/>
        <w:spacing w:before="120" w:after="0"/>
        <w:jc w:val="both"/>
        <w:rPr>
          <w:rFonts w:ascii="Times New Roman" w:hAnsi="Times New Roman"/>
          <w:sz w:val="20"/>
        </w:rPr>
      </w:pPr>
      <w:r>
        <w:rPr>
          <w:rFonts w:ascii="Times New Roman" w:hAnsi="Times New Roman"/>
          <w:sz w:val="20"/>
        </w:rPr>
        <w:t xml:space="preserve">We are a development-stage company and are subject to all of the risks inherent in the establishment of a new business enterprise. We have a limited operating history and only a preliminary and unproven business plan upon which investors may evaluate our prospects. Although we have developed, produced and tested prototypes of our products and are currently finalizing our products for serial production, we cannot assure you that our products will perform as expected under daily operating conditions or that we will be able to detect and fix any potential weaknesses in our technology or products prior to commencing serial production. Even if our products become commercially viable, we may not generate sufficient revenue necessary to support our business. </w:t>
      </w:r>
    </w:p>
    <w:p>
      <w:pPr>
        <w:pStyle w:val="TextBody"/>
        <w:spacing w:before="240" w:after="0"/>
        <w:jc w:val="both"/>
        <w:rPr>
          <w:rFonts w:ascii="Times New Roman" w:hAnsi="Times New Roman"/>
          <w:sz w:val="20"/>
        </w:rPr>
      </w:pPr>
      <w:r>
        <w:rPr>
          <w:rFonts w:ascii="Times New Roman" w:hAnsi="Times New Roman"/>
          <w:sz w:val="20"/>
        </w:rPr>
        <w:t xml:space="preserve">We have a history of net losses and negative net cash used in operating activities since our inception and we expect losses and negative net cash used in operating activities to continue for the foreseeable future. For the years 2022, 2021 and 2020, we incurred consolidated net losses of €73.8 million, €45.5 million and €19.8 million, respectively. As of December 31, 2022, 2021 and 2020, we had an accumulated deficit of €166.5 million, €92.8 million and €47.3 million, respectively. For the years ended December 31, 2022, 2021 and 2020, we had negative net cash used in operating activities of €50.2 million, €39.4 million and €16.9 million, respectively. We expect that we will incur additional significant expenses as we continue to conduct research, expand and refine our technology, and further develop our products. We will also incur significant expenses related to preparations for the commercialization of our products, increasing our sales and marketing activities with the goal of building our brand, and adding infrastructure and personnel to support our growth. We will not be able to cover our expenses with revenues at least until such time at which we begin material deliveries of our products and significantly increase the scale of our operations and, therefore, intend to use the proceeds from recent debt and equity financings to cover our ongoing and future expenses. </w:t>
      </w:r>
    </w:p>
    <w:p>
      <w:pPr>
        <w:pStyle w:val="TextBody"/>
        <w:spacing w:before="240" w:after="0"/>
        <w:jc w:val="both"/>
        <w:rPr>
          <w:rFonts w:ascii="Times New Roman" w:hAnsi="Times New Roman"/>
          <w:sz w:val="20"/>
        </w:rPr>
      </w:pPr>
      <w:r>
        <w:rPr>
          <w:rFonts w:ascii="Times New Roman" w:hAnsi="Times New Roman"/>
          <w:sz w:val="20"/>
        </w:rPr>
        <w:t xml:space="preserve">Based on our liquidity position as of the date of this Annual Report and our management’s forecast of sources and uses of cash and cash equivalents, we believe that we have sufficient liquidity to finance our operations over at least the next twelve months from the date of this Annual Report. However, there can be no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assurance that revenue and cash-in from customer contracts will be generated in the amount as expected or at the time needed. A shortfall of revenues and of the corresponding cash-in from customer contracts compared to the budget could require additional external financing to meet our current operational planning. In such a situation, if we should be unable to obtain such additional financing or take other timely actions in response to such circumstances, for example significantly curtailing our current operational budget in 2024, we may be unable to continue as a going concern. As a result, these events and conditions indicate that a material uncertainty exists that may cast significant doubt on our ability to continue as a going concern and, therefore, we may be unable to realize our assets and discharge our liabilities in the normal course of business. </w:t>
      </w:r>
    </w:p>
    <w:p>
      <w:pPr>
        <w:pStyle w:val="TextBody"/>
        <w:spacing w:before="240" w:after="0"/>
        <w:jc w:val="both"/>
        <w:rPr>
          <w:rFonts w:ascii="Times New Roman" w:hAnsi="Times New Roman"/>
          <w:sz w:val="20"/>
        </w:rPr>
      </w:pPr>
      <w:r>
        <w:rPr>
          <w:rFonts w:ascii="Times New Roman" w:hAnsi="Times New Roman"/>
          <w:sz w:val="20"/>
        </w:rPr>
        <w:t xml:space="preserve">Our business strategy is focused on growth and our decisions regarding capital expenditures and investments are made on this basis. Our projects and strategic decisions may fail to meet expectations and the anticipated return on investment from these projects may not be achieved. Our ability to generate revenue from our operations and, ultimately, achieve profitability will depend on, among other things, whether we can complete the development and commercialization of our technology, whether we can manufacture our products on a commercial scale in amounts and at costs consistent with our expectations, and whether we can achieve market acceptance of our products, services and business model. We may never operate on a profitable basis. Even if we reach profitability, we may not be able to sustain it. If we are unable to reach or sustain profitability, we may need to reduce the scale of our operations, which may impact the growth of our business, or we may not be able to continue as a going concern and investors may lose some or even all of their investment. </w:t>
      </w:r>
    </w:p>
    <w:p>
      <w:pPr>
        <w:pStyle w:val="TextBody"/>
        <w:spacing w:before="360" w:after="0"/>
        <w:jc w:val="left"/>
        <w:rPr>
          <w:rFonts w:ascii="Times New Roman" w:hAnsi="Times New Roman"/>
          <w:b/>
          <w:i/>
          <w:sz w:val="20"/>
        </w:rPr>
      </w:pPr>
      <w:r>
        <w:rPr>
          <w:rFonts w:ascii="Times New Roman" w:hAnsi="Times New Roman"/>
          <w:b/>
          <w:i/>
          <w:sz w:val="20"/>
        </w:rPr>
        <w:t xml:space="preserve">Our success and future growth are dependent upon our potential customers’ investments in the development of a market for wireless laser communication, in particular for aerospace-based communication networks. </w:t>
      </w:r>
    </w:p>
    <w:p>
      <w:pPr>
        <w:pStyle w:val="TextBody"/>
        <w:spacing w:before="120" w:after="0"/>
        <w:jc w:val="both"/>
        <w:rPr>
          <w:rFonts w:ascii="Times New Roman" w:hAnsi="Times New Roman"/>
          <w:sz w:val="20"/>
        </w:rPr>
      </w:pPr>
      <w:r>
        <w:rPr>
          <w:rFonts w:ascii="Times New Roman" w:hAnsi="Times New Roman"/>
          <w:sz w:val="20"/>
        </w:rPr>
        <w:t xml:space="preserve">We develop and manufacture laser communication products for aerospace-based communication networks. Laser communication is designed to serve as a backbone technology, a key connectivity component of telecommunication networks featuring very high data transmission rates, creating data highways by connecting individual platforms such as airplanes and satellites. Our success and future growth, therefore, depend significantly on the development of a market for laser communication, in particular for aerospace-based communication networks. </w:t>
      </w:r>
    </w:p>
    <w:p>
      <w:pPr>
        <w:pStyle w:val="TextBody"/>
        <w:spacing w:before="240" w:after="0"/>
        <w:jc w:val="both"/>
        <w:rPr>
          <w:rFonts w:ascii="Times New Roman" w:hAnsi="Times New Roman"/>
          <w:sz w:val="20"/>
        </w:rPr>
      </w:pPr>
      <w:r>
        <w:rPr>
          <w:rFonts w:ascii="Times New Roman" w:hAnsi="Times New Roman"/>
          <w:sz w:val="20"/>
        </w:rPr>
        <w:t>Aerospace-based communication networks may comprise various platforms, including drones, airplanes and satellites, and may be located in the troposphere (</w:t>
      </w:r>
      <w:r>
        <w:rPr>
          <w:rFonts w:ascii="Times New Roman" w:hAnsi="Times New Roman"/>
          <w:i/>
          <w:sz w:val="20"/>
        </w:rPr>
        <w:t>i.e.</w:t>
      </w:r>
      <w:r>
        <w:rPr>
          <w:rFonts w:ascii="Times New Roman" w:hAnsi="Times New Roman"/>
          <w:sz w:val="20"/>
        </w:rPr>
        <w:t xml:space="preserve">, at the height of commercial aviation), the stratosphere (i.e., at a height of 20 to 30 kilometers above ground), or in outer space. Aerospace-based communication networks consisting of a large volume of satellite or aircraft platforms are referred to as constellations. Each individual node within the network, </w:t>
      </w:r>
      <w:r>
        <w:rPr>
          <w:rFonts w:ascii="Times New Roman" w:hAnsi="Times New Roman"/>
          <w:i/>
          <w:sz w:val="20"/>
        </w:rPr>
        <w:t>i.e.</w:t>
      </w:r>
      <w:r>
        <w:rPr>
          <w:rFonts w:ascii="Times New Roman" w:hAnsi="Times New Roman"/>
          <w:sz w:val="20"/>
        </w:rPr>
        <w:t xml:space="preserve">, each aircraft or satellite, typically contains multiple laser communication units ranging from two to four units. Our ability to successfully develop and commercialize our laser communication products (e.g., flight terminals) depends on potential customers’ willingness to invest, on a global scale, in the development of such constellations. If such constellations are not developed on a global scale, there would be limited applications available for our ground and flight terminals, such as the connection of individual airplanes, drones or satellites with the ground. </w:t>
      </w:r>
    </w:p>
    <w:p>
      <w:pPr>
        <w:pStyle w:val="TextBody"/>
        <w:spacing w:before="240" w:after="0"/>
        <w:jc w:val="both"/>
        <w:rPr>
          <w:rFonts w:ascii="Times New Roman" w:hAnsi="Times New Roman"/>
          <w:sz w:val="20"/>
        </w:rPr>
      </w:pPr>
      <w:r>
        <w:rPr>
          <w:rFonts w:ascii="Times New Roman" w:hAnsi="Times New Roman"/>
          <w:sz w:val="20"/>
        </w:rPr>
        <w:t xml:space="preserve">Constellations in general, and the market for laser communication systems specifically, are still in early stages of deployment and development. To our knowledge, there are only two commercial constellations currently operational, one of which partly utilizes an internally built laser communication solution for linking its satellites. Other commercial constellations utilizing laser communication are planned but not yet deployed operationally. The future implementation of constellations by potential customers remains subject to significant technological, operational and financing risks. For example, many of the constellations currently being planned by potential customers that envisage worldwide internet and network coverage have not yet issued orders for laser communication equipment. To our knowledge, establishing such extensive coverage through multiple laser communication units has had only limited testing and usage in practice and could entail substantial technical difficulties. At the same time, the development of commercial constellations with such coverage requires investment of potentially billions of dollars, including the costs associated with satellite development and launch capacity, and accordingly depends on the ability to obtain related financing. </w:t>
      </w:r>
    </w:p>
    <w:p>
      <w:pPr>
        <w:pStyle w:val="TextBody"/>
        <w:spacing w:before="240" w:after="0"/>
        <w:jc w:val="both"/>
        <w:rPr>
          <w:rFonts w:ascii="Times New Roman" w:hAnsi="Times New Roman"/>
          <w:sz w:val="20"/>
        </w:rPr>
      </w:pPr>
      <w:r>
        <w:rPr>
          <w:rFonts w:ascii="Times New Roman" w:hAnsi="Times New Roman"/>
          <w:sz w:val="20"/>
        </w:rPr>
        <w:t xml:space="preserve">If laser communication remains a niche market, demand for our products would be significantly lower than we currently anticipate as a result of which we may not be able to sell our technology or products. Our approach of developing standardized and modularized products for large-scale deployment could prove unsuccessful if certain customers demand widely varying product specifications and units in significantly lower quantities. This would require project-specific production (as typically being carried out by traditional key suppliers to the air and space (defense) industries) instead of serial production, meaning that our anticipated economies of scale could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fail to materialize. If the wireless laser communication market does not develop as we anticipate, we may not be able to implement our business strategy and/or generate any revenues as a result of which we may need to curtail our operations or seek additional financing earlier than anticipated. </w:t>
      </w:r>
    </w:p>
    <w:p>
      <w:pPr>
        <w:pStyle w:val="TextBody"/>
        <w:spacing w:before="360" w:after="0"/>
        <w:jc w:val="left"/>
        <w:rPr>
          <w:rFonts w:ascii="Times New Roman" w:hAnsi="Times New Roman"/>
          <w:b/>
          <w:i/>
          <w:sz w:val="20"/>
        </w:rPr>
      </w:pPr>
      <w:r>
        <w:rPr>
          <w:rFonts w:ascii="Times New Roman" w:hAnsi="Times New Roman"/>
          <w:b/>
          <w:i/>
          <w:sz w:val="20"/>
        </w:rPr>
        <w:t xml:space="preserve">Our prospects and operations may be adversely affected by changes in government spending and general economic conditions, which may negatively affect demand for laser communication solutions. </w:t>
      </w:r>
    </w:p>
    <w:p>
      <w:pPr>
        <w:pStyle w:val="TextBody"/>
        <w:spacing w:before="120" w:after="0"/>
        <w:jc w:val="both"/>
        <w:rPr>
          <w:rFonts w:ascii="Times New Roman" w:hAnsi="Times New Roman"/>
          <w:sz w:val="20"/>
        </w:rPr>
      </w:pPr>
      <w:r>
        <w:rPr>
          <w:rFonts w:ascii="Times New Roman" w:hAnsi="Times New Roman"/>
          <w:sz w:val="20"/>
        </w:rPr>
        <w:t xml:space="preserve">Current demand for laser communication is predominantly driven by government needs, with the United States government spearheading the adoption of laser communication technology. U.S. allies and other governments are also evaluating new technologies as part of their national objectives to modernize their space capabilities. Accordingly, governments around the world have invested significantly in research and development as well as deployment of laser communication and other technologies. In fact, defense-related spending in the U.S. and Europe increased following geopolitical tensions. For example, the U.S. Department of Defense’s (the “DoD”) budget for the fiscal year 2023 includes $26.3 billion for the U.S. Space Force and the U.S. Space Development Agency (“SDA”), which is $1.7 billion more than the DoD requested. However, spending authorizations for defense-related and other programs by the U.S. and other governments have fluctuated in the past, and future levels of expenditures and authorizations for these programs may not remain at current levels and could possibly decrease, including due to shifts to programs in areas where we do not provide services. To the extent the U.S. government and its agencies or other governments reduce spending on such services, as a result of the need to reduce overall spending during periods of fiscal restraint, to reduce budget deficits or otherwise, demand for our services could decrease which could adversely affect our anticipated revenue and business prospects. </w:t>
      </w:r>
    </w:p>
    <w:p>
      <w:pPr>
        <w:pStyle w:val="TextBody"/>
        <w:spacing w:before="240" w:after="0"/>
        <w:jc w:val="both"/>
        <w:rPr>
          <w:rFonts w:ascii="Times New Roman" w:hAnsi="Times New Roman"/>
          <w:sz w:val="20"/>
        </w:rPr>
      </w:pPr>
      <w:r>
        <w:rPr>
          <w:rFonts w:ascii="Times New Roman" w:hAnsi="Times New Roman"/>
          <w:sz w:val="20"/>
        </w:rPr>
        <w:t xml:space="preserve">While government funding is currently driving laser communication demand, we expect additional demand for commercial applications to drive growth in the overall market in the near to medium-term. Although commercial market demand may be negatively affected in the short to medium term by prevailing economic conditions, with high inflation, rising interest rates and fears of recession relative to demand from government-funded programs. The global economy has in the past, and will in the future, experience recessionary periods and periods of economic instability. During such periods, our commercial and, to a lesser extent, our governmental customers may choose not to pursue high-risk, capital-intensive infrastructure projects such as satellite constellations or other systems including laser communication capabilities. To the extent any of the risks to the commercial market for laser communication materializes, demand for our products may be lower than we currently anticipate, which could have a negative impact on our revenue and overall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The potential customer base for the use of our products is limited. </w:t>
      </w:r>
    </w:p>
    <w:p>
      <w:pPr>
        <w:pStyle w:val="TextBody"/>
        <w:spacing w:before="120" w:after="0"/>
        <w:jc w:val="both"/>
        <w:rPr>
          <w:rFonts w:ascii="Times New Roman" w:hAnsi="Times New Roman"/>
          <w:sz w:val="20"/>
        </w:rPr>
      </w:pPr>
      <w:r>
        <w:rPr>
          <w:rFonts w:ascii="Times New Roman" w:hAnsi="Times New Roman"/>
          <w:sz w:val="20"/>
        </w:rPr>
        <w:t xml:space="preserve">Given the technological challenges and the high capital expenditures required for the development and deployment of our products, our potential customer base is limited. There are a small number of potential customers deploying our laser communication equipment. Successful customer acquisition and retention of capable significant initial customers is therefore critical to generate follow-on business such as the implementation and maintenance of complementary products. As a result, our ability to sell laser communication products at scale is dependent on our ability to successfully acquire and retain significant initial customers by winning their business at an early stage like our strategic agreement with Northrop Grumman International Trading, Inc. (“NG”) and our strategic cooperation framework with an affiliate of L3Harris. Due to our limited potential customer base, we anticipate that sales to initial customers will be, individually, material to our future revenues, results of operations and cash flows. Accordingly, any change in the relationship with any existing customer, the strength of any customer’s business or their demand for our products could materially adversely affect our results of operations and net cash used in operating activities. Similarly, any failure to acquire and maintain relationships with other key customers, as well as the loss of any potential customer, would have a highly adverse impact on the sale of our products and, as a result, on our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Our business is affected by the implementation of industry standards guaranteeing interoperability between laser communication products of different vendors, which could be unsuccessful. </w:t>
      </w:r>
    </w:p>
    <w:p>
      <w:pPr>
        <w:pStyle w:val="TextBody"/>
        <w:spacing w:before="120" w:after="0"/>
        <w:jc w:val="both"/>
        <w:rPr>
          <w:rFonts w:ascii="Times New Roman" w:hAnsi="Times New Roman"/>
          <w:sz w:val="20"/>
        </w:rPr>
      </w:pPr>
      <w:r>
        <w:rPr>
          <w:rFonts w:ascii="Times New Roman" w:hAnsi="Times New Roman"/>
          <w:sz w:val="20"/>
        </w:rPr>
        <w:t xml:space="preserve">We believe that the establishment of a large-scale market for laser communication depends on the successful development and implementation of industry standards guaranteeing interoperability between laser communication products of different vendors. As of today, the optical communications terminal standard issued by the SDA is the leading industrial standard adapted by multiple companies involved in U.S. government programs. So far, we and others have successfully conducted demonstrations of the implementation of the SDA standard in various test scenarios. We cannot assure you that efforts to ensure cross-vendor interoperability will ultimately be successful.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Furthermore, commercial constellations of sufficient size and scale may decide to create and implement their own standard to optimize their network. As a consequence, multiple competing industry standards may emerge in parallel, which could cause a fragmentation of the market, potentially hindering sustained growth of the laser communication market. The U.S. Defense Advanced Research Projects Agency’s (“DARPA”) Space Based Adaptive Communications Node (“Space-BACN”) program aims to establish a flexible optical communications terminal that can adapt to multiple future industry standards. In December 2021 and August 2022 we were selected to contribute to phase 0 and phase 1, respectively, of the program. We cannot, however, assure you that efforts to ensure a terminal agnostic to a large variety of industry standards will ultimately be successful. </w:t>
      </w:r>
    </w:p>
    <w:p>
      <w:pPr>
        <w:pStyle w:val="TextBody"/>
        <w:spacing w:before="240" w:after="0"/>
        <w:jc w:val="both"/>
        <w:rPr>
          <w:rFonts w:ascii="Times New Roman" w:hAnsi="Times New Roman"/>
          <w:sz w:val="20"/>
        </w:rPr>
      </w:pPr>
      <w:r>
        <w:rPr>
          <w:rFonts w:ascii="Times New Roman" w:hAnsi="Times New Roman"/>
          <w:sz w:val="20"/>
        </w:rPr>
        <w:t xml:space="preserve">If a potential customer decides to purchase laser communication products from one of our competitors, our products can currently only be sold to that customer and integrated into its existing laser communication system with significant operational and technical outlays or only if the competitor’s product is compliant with interoperability standards. Hence, any failure to implement cross-vendor interoperability or respective industry standards for laser communication vendors could have an adverse effect on the usability of and the demand for our products and ultimately on our revenue potential and business strategy. </w:t>
      </w:r>
    </w:p>
    <w:p>
      <w:pPr>
        <w:pStyle w:val="TextBody"/>
        <w:spacing w:before="360" w:after="0"/>
        <w:jc w:val="left"/>
        <w:rPr>
          <w:rFonts w:ascii="Times New Roman" w:hAnsi="Times New Roman"/>
          <w:b/>
          <w:i/>
          <w:sz w:val="20"/>
        </w:rPr>
      </w:pPr>
      <w:r>
        <w:rPr>
          <w:rFonts w:ascii="Times New Roman" w:hAnsi="Times New Roman"/>
          <w:b/>
          <w:i/>
          <w:sz w:val="20"/>
        </w:rPr>
        <w:t xml:space="preserve">We may be unable to manage our future growth effectively, which could make it difficult to execute our business strategy. </w:t>
      </w:r>
    </w:p>
    <w:p>
      <w:pPr>
        <w:pStyle w:val="TextBody"/>
        <w:spacing w:before="120" w:after="0"/>
        <w:jc w:val="both"/>
        <w:rPr>
          <w:rFonts w:ascii="Times New Roman" w:hAnsi="Times New Roman"/>
          <w:sz w:val="20"/>
        </w:rPr>
      </w:pPr>
      <w:r>
        <w:rPr>
          <w:rFonts w:ascii="Times New Roman" w:hAnsi="Times New Roman"/>
          <w:sz w:val="20"/>
        </w:rPr>
        <w:t xml:space="preserve">If our operations continue to grow as planned, we will need to expand our sales and marketing, research and development, customer and commercial strategy, products and services, supply, manufacturing and accounting and administrative functions. We will also need to continue to leverage our manufacturing and operational systems and processes, and we cannot assure you that we will be able to scale the business and the manufacture of products as currently planned or within the envisaged timeframe. The continued expansion of our business may also require additional manufacturing and operational facilities, as well as space for administrative support, and we cannot assure you that we will be able to find suitable locations for the manufacture of our products. </w:t>
      </w:r>
    </w:p>
    <w:p>
      <w:pPr>
        <w:pStyle w:val="TextBody"/>
        <w:spacing w:before="240" w:after="0"/>
        <w:jc w:val="both"/>
        <w:rPr>
          <w:rFonts w:ascii="Times New Roman" w:hAnsi="Times New Roman"/>
          <w:sz w:val="20"/>
        </w:rPr>
      </w:pPr>
      <w:r>
        <w:rPr>
          <w:rFonts w:ascii="Times New Roman" w:hAnsi="Times New Roman"/>
          <w:sz w:val="20"/>
        </w:rPr>
        <w:t xml:space="preserve">Our continued growth could increase the strain on our resources, and we could experience operating difficulties, including difficulties in hiring and training employees, finding manufacturing capacity to produce our products, and delays in production. We may have to invest significant additional resources and focus our attention on adapting our internal organization, function and processes which may cause distraction from our operations and negatively affect our business. </w:t>
      </w:r>
    </w:p>
    <w:p>
      <w:pPr>
        <w:pStyle w:val="TextBody"/>
        <w:spacing w:before="360" w:after="0"/>
        <w:jc w:val="left"/>
        <w:rPr>
          <w:rFonts w:ascii="Times New Roman" w:hAnsi="Times New Roman"/>
          <w:b/>
          <w:sz w:val="20"/>
        </w:rPr>
      </w:pPr>
      <w:r>
        <w:rPr>
          <w:rFonts w:ascii="Times New Roman" w:hAnsi="Times New Roman"/>
          <w:b/>
          <w:sz w:val="20"/>
        </w:rPr>
        <w:t xml:space="preserve">Risks Related to Competition </w:t>
      </w:r>
    </w:p>
    <w:p>
      <w:pPr>
        <w:pStyle w:val="TextBody"/>
        <w:spacing w:before="120" w:after="0"/>
        <w:jc w:val="left"/>
        <w:rPr>
          <w:rFonts w:ascii="Times New Roman" w:hAnsi="Times New Roman"/>
          <w:b/>
          <w:i/>
          <w:sz w:val="20"/>
        </w:rPr>
      </w:pPr>
      <w:r>
        <w:rPr>
          <w:rFonts w:ascii="Times New Roman" w:hAnsi="Times New Roman"/>
          <w:b/>
          <w:i/>
          <w:sz w:val="20"/>
        </w:rPr>
        <w:t xml:space="preserve">Positive market developments in the area of wireless laser communication could lead to increasingly intense competition and endanger our market position. </w:t>
      </w:r>
    </w:p>
    <w:p>
      <w:pPr>
        <w:pStyle w:val="TextBody"/>
        <w:spacing w:before="120" w:after="0"/>
        <w:jc w:val="both"/>
        <w:rPr>
          <w:rFonts w:ascii="Times New Roman" w:hAnsi="Times New Roman"/>
          <w:sz w:val="20"/>
        </w:rPr>
      </w:pPr>
      <w:r>
        <w:rPr>
          <w:rFonts w:ascii="Times New Roman" w:hAnsi="Times New Roman"/>
          <w:sz w:val="20"/>
        </w:rPr>
        <w:t xml:space="preserve">While we believe that there are currently only a few enterprises offering viable products to utilize laser communication technology for aerospace-based communication networks, we are subject to significant and intensifying competition within the satellite industry and from other providers of communication capacity, including large multinational enterprises. For example, in September 2020, SpaceX announced its first successful test of its Starlink satellite “space lasers” in orbit. On September 13, 2021, SpaceX launched its first whole batch of 51 laser-equipped Starlink satellites with the goal to enable future Starlink satellites to transmit information to one another while in orbit using the optical “space lasers.” In August 2022, Capella Space announced the next-generation of its satellites called Acadia, which will offer higher resolution and be equipped with our optical communications terminals. Public announcements of successful test missions and future functionality availability such as these have drawn significant public attention to the laser communication market. To compete successfully and to be able to establish and maintain a competitive position in current and future technologies, we will need to demonstrate the advantages of our technology over both new and well-established alternative solutions for communication networks. If our technology is not, or our future products or services are not, competitive, our business and sales potential would be harmed. </w:t>
      </w:r>
    </w:p>
    <w:p>
      <w:pPr>
        <w:pStyle w:val="TextBody"/>
        <w:spacing w:before="240" w:after="0"/>
        <w:jc w:val="both"/>
        <w:rPr>
          <w:rFonts w:ascii="Times New Roman" w:hAnsi="Times New Roman"/>
          <w:sz w:val="20"/>
        </w:rPr>
      </w:pPr>
      <w:r>
        <w:rPr>
          <w:rFonts w:ascii="Times New Roman" w:hAnsi="Times New Roman"/>
          <w:sz w:val="20"/>
        </w:rPr>
        <w:t xml:space="preserve">Many of our current and potential competitors are larger than us and have substantially greater resources than we have and expect to have in the future. They may also be able to devote greater resources to the development of their current and future technologies and the promotion of their offerings, and they may be able to offer lower prices in order to establish or gain market share. In addition, certain companies that are potential customers (such as SpaceX or Amazon) may develop or advance their in-house laser communication capabilities and as a result compete with us or not require laser communication equipment from third parties, such as 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Competitors may also establish cooperative or strategic relationships among themselves or with third parties that may further enhance their resources and offerings or may lobby potential governmental customers against us. Furthermore, it is possible that German or foreign companies or governments, some with greater experience in the aerospace industry or greater financial resources, may seek to provide products or services that compete directly or indirectly with ours. Any such foreign competitor, for example, could benefit from subsidies from, or other protective measures implemented by, its home country. </w:t>
      </w:r>
    </w:p>
    <w:p>
      <w:pPr>
        <w:pStyle w:val="TextBody"/>
        <w:spacing w:before="240" w:after="0"/>
        <w:jc w:val="both"/>
        <w:rPr>
          <w:rFonts w:ascii="Times New Roman" w:hAnsi="Times New Roman"/>
          <w:sz w:val="20"/>
        </w:rPr>
      </w:pPr>
      <w:r>
        <w:rPr>
          <w:rFonts w:ascii="Times New Roman" w:hAnsi="Times New Roman"/>
          <w:sz w:val="20"/>
        </w:rPr>
        <w:t xml:space="preserve">In the aerospace sector, our competitors include TESAT Spacecom (an Airbus subsidiary), Thales Alenia Space, SA Photonics (a subsidiary of CACI International Inc), Ball Aerospace, General Atomics Electromagnetic Systems, Honeywell International, Skyloom Global Corp., and Space Micro, as well as a handful of other entities that possess the necessary technical know-how and resources to compete with us. Furthermore, large information technology enterprises such as Cisco, Huawei, CommScope, Infinera and Corning already have experience in wired laser communication for ground-based fiber networks and may potentially enter the market. In addition, aviation enterprises such as Boeing and large military equipment suppliers may enter the market. For example, QinetiQ and Hensoldt are both actively promoting laser communication capabilities even though little public information is available regarding the maturity of their systems. These companies may employ aggressive strategies like subsidy-enabled dumping and lobbying of customers, partners, investors and the media in an attempt to force us out of the market (e.g., by delaying the deployment of our products in certain geographical areas). As the market expands, we expect the entry of additional competitors who may have longer operating histories, more extensive international operations, greater name recognition and/or substantially greater technical, marketing and financial resources. </w:t>
      </w:r>
    </w:p>
    <w:p>
      <w:pPr>
        <w:pStyle w:val="TextBody"/>
        <w:spacing w:before="240" w:after="0"/>
        <w:jc w:val="both"/>
        <w:rPr>
          <w:rFonts w:ascii="Times New Roman" w:hAnsi="Times New Roman"/>
          <w:sz w:val="20"/>
        </w:rPr>
      </w:pPr>
      <w:r>
        <w:rPr>
          <w:rFonts w:ascii="Times New Roman" w:hAnsi="Times New Roman"/>
          <w:sz w:val="20"/>
        </w:rPr>
        <w:t xml:space="preserve">Our business is also subject to competition from ground-based forms of communication technology. A number of companies are increasing their ability to transmit signals on existing terrestrial infrastructures, such as fiber optic cable and terrestrial wireless transmitters, often with funding and other incentives provided by governments. The ability of terrestrial companies to significantly increase the capacity, capability and/or the reach of their conventional or other competing networks or significantly lower prices for such networks could result in a decrease in the demand for laser-enabled aerospace-based communication networks and consequently for laser communication products, thereby having a material adverse impact on our earnings and business prospects. In addition, new technologies could render laser communication-based services less competitive by satisfying connectivity demand in other ways. </w:t>
      </w:r>
    </w:p>
    <w:p>
      <w:pPr>
        <w:pStyle w:val="TextBody"/>
        <w:spacing w:before="240" w:after="0"/>
        <w:jc w:val="both"/>
        <w:rPr>
          <w:rFonts w:ascii="Times New Roman" w:hAnsi="Times New Roman"/>
          <w:sz w:val="20"/>
        </w:rPr>
      </w:pPr>
      <w:r>
        <w:rPr>
          <w:rFonts w:ascii="Times New Roman" w:hAnsi="Times New Roman"/>
          <w:sz w:val="20"/>
        </w:rPr>
        <w:t xml:space="preserve">If competition in the market for wireless laser communication intensifies, the resulting increase in supply could lead to lower sales or could cause prices to fall, thus narrowing our margins, which in turn would materially adversely impact our future revenues or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Industry consolidation may give our competitors advantages over us, which could result in a loss of customers and/or a reduction of our revenue. </w:t>
      </w:r>
    </w:p>
    <w:p>
      <w:pPr>
        <w:pStyle w:val="TextBody"/>
        <w:spacing w:before="120" w:after="0"/>
        <w:jc w:val="both"/>
        <w:rPr>
          <w:rFonts w:ascii="Times New Roman" w:hAnsi="Times New Roman"/>
          <w:sz w:val="20"/>
        </w:rPr>
      </w:pPr>
      <w:r>
        <w:rPr>
          <w:rFonts w:ascii="Times New Roman" w:hAnsi="Times New Roman"/>
          <w:sz w:val="20"/>
        </w:rPr>
        <w:t xml:space="preserve">Some of our customers, suppliers or competitors have made or may make acquisitions or enter into partnerships or other strategic relationships in order to offer more comprehensive services or achieve greater economies of scale. For example, in November 2021, Viasat and Inmarsat entered into an agreement for Viasat to acquire Inmarsat and, in December 2021, our competitor SA Photonics was acquired by CACI International Inc. Most recently, in November 2022, Eutelsat and OneWeb entered into a combination agreement and, in December 2022, Maxar Technologies entered into a definitive agreement to be acquired by Advent International. As of today, the OneWeb and Eutelsat merger, the Maxar Technologies acquisition and the Inmarsat acquisition are still pending. The effects of these recent consolidations on us and our industry in general are still to be determined, but they may create unforeseeable dynamics giving advantages to our competitors. In addition, new entrants not currently considered competitors may enter our market through acquisitions, partnerships or strategic relationships. Potential entrants may have competitive advantages over us, such as greater name recognition, longer operating histories, more varied services and larger marketing budgets as well as greater financial, technical and other resources. Industry consolidation may result in practices that make it more difficult for us to compete effectively, including on the basis of price, sales and marketing programs, technology or services functionality. Continuing industry consolidation may give our competitors advantages over us which may result in decreased demand for our products or increased pressure to lower the prices for our products, each of which would negatively impact our revenue and consequently harm our results of operations and business prospects.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Risks Related to Our Products </w:t>
      </w:r>
    </w:p>
    <w:p>
      <w:pPr>
        <w:pStyle w:val="TextBody"/>
        <w:spacing w:before="120" w:after="0"/>
        <w:jc w:val="left"/>
        <w:rPr>
          <w:rFonts w:ascii="Times New Roman" w:hAnsi="Times New Roman"/>
          <w:b/>
          <w:i/>
          <w:sz w:val="20"/>
        </w:rPr>
      </w:pPr>
      <w:r>
        <w:rPr>
          <w:rFonts w:ascii="Times New Roman" w:hAnsi="Times New Roman"/>
          <w:b/>
          <w:i/>
          <w:sz w:val="20"/>
        </w:rPr>
        <w:t xml:space="preserve">We use innovative technologies and solutions in our products, which may not be fully functional, and the initial deployment of our products by customers could prove unsuccessful. </w:t>
      </w:r>
    </w:p>
    <w:p>
      <w:pPr>
        <w:pStyle w:val="TextBody"/>
        <w:spacing w:before="120" w:after="0"/>
        <w:jc w:val="both"/>
        <w:rPr>
          <w:rFonts w:ascii="Times New Roman" w:hAnsi="Times New Roman"/>
          <w:sz w:val="20"/>
        </w:rPr>
      </w:pPr>
      <w:r>
        <w:rPr>
          <w:rFonts w:ascii="Times New Roman" w:hAnsi="Times New Roman"/>
          <w:sz w:val="20"/>
        </w:rPr>
        <w:t xml:space="preserve">The functionality, usability and availability of our technology and products in daily use and at scale is, as of today, unproven. We cannot assure you that our technology or products will perform as expected under daily operating conditions or that we will be able to detect and fix weaknesses or flaws in our technology or products prior to commencing serial production. For example, we have designed and built the metal telescope that we use in our CONDOR terminal ourselves and this design has never been built at scale. Any of the technologies we intend to use or solutions we expect to offer may not be available or fully functional at the time of the first delivery of our products or at all, and this could have an adverse effect on our ability to grow our business. In addition, we may be required to develop new or to adapt our existing technologies and products in light of changing customer requirements. The development of new or adaptation of existing technologies and products may significantly impact our costs or our ability to retain or improve our competitive position. </w:t>
      </w:r>
    </w:p>
    <w:p>
      <w:pPr>
        <w:pStyle w:val="TextBody"/>
        <w:spacing w:before="240" w:after="0"/>
        <w:jc w:val="both"/>
        <w:rPr>
          <w:rFonts w:ascii="Times New Roman" w:hAnsi="Times New Roman"/>
          <w:sz w:val="20"/>
        </w:rPr>
      </w:pPr>
      <w:r>
        <w:rPr>
          <w:rFonts w:ascii="Times New Roman" w:hAnsi="Times New Roman"/>
          <w:sz w:val="20"/>
        </w:rPr>
        <w:t xml:space="preserve">If our customers are unsuccessful in the initial deployment of our products, this could be considered as indicative of future performance of our products and could significantly harm our reputation in the market. Potential difficulties in connection with meeting obligations under contracts with initial customers, such as delivery delays, technical performance or quality, could lead to a loss of the affected customer and other existing or potential customers. In such cases, it is unlikely that we would succeed in compensating for the related losses in revenues through new customers in the short to medium term. As a result, any failure in the initial deployment of our products by initial customers would have a materially adverse impact on our anticipated revenue and future prospects. </w:t>
      </w:r>
    </w:p>
    <w:p>
      <w:pPr>
        <w:pStyle w:val="TextBody"/>
        <w:spacing w:before="360" w:after="0"/>
        <w:jc w:val="left"/>
        <w:rPr>
          <w:rFonts w:ascii="Times New Roman" w:hAnsi="Times New Roman"/>
          <w:b/>
          <w:i/>
          <w:sz w:val="20"/>
        </w:rPr>
      </w:pPr>
      <w:r>
        <w:rPr>
          <w:rFonts w:ascii="Times New Roman" w:hAnsi="Times New Roman"/>
          <w:b/>
          <w:i/>
          <w:sz w:val="20"/>
        </w:rPr>
        <w:t xml:space="preserve">We depend on third-party suppliers to provide us with components for our products, and any interruptions in supplies provided by these third-party suppliers or any general disruptions to global supply chains may subject us to external procurement risks that negatively affect our business. </w:t>
      </w:r>
    </w:p>
    <w:p>
      <w:pPr>
        <w:pStyle w:val="TextBody"/>
        <w:spacing w:before="120" w:after="0"/>
        <w:jc w:val="both"/>
        <w:rPr>
          <w:rFonts w:ascii="Times New Roman" w:hAnsi="Times New Roman"/>
          <w:sz w:val="20"/>
        </w:rPr>
      </w:pPr>
      <w:r>
        <w:rPr>
          <w:rFonts w:ascii="Times New Roman" w:hAnsi="Times New Roman"/>
          <w:sz w:val="20"/>
        </w:rPr>
        <w:t xml:space="preserve">We depend on third-party suppliers to provide individual components such as optical components, special electronics and structural components for our products and we expect to continue to do so for future products. While some key components are manufactured to our specifications, many components are “off-the-shelf” and available commercially. </w:t>
      </w:r>
    </w:p>
    <w:p>
      <w:pPr>
        <w:pStyle w:val="TextBody"/>
        <w:spacing w:before="240" w:after="0"/>
        <w:jc w:val="both"/>
        <w:rPr>
          <w:rFonts w:ascii="Times New Roman" w:hAnsi="Times New Roman"/>
          <w:sz w:val="20"/>
        </w:rPr>
      </w:pPr>
      <w:r>
        <w:rPr>
          <w:rFonts w:ascii="Times New Roman" w:hAnsi="Times New Roman"/>
          <w:sz w:val="20"/>
        </w:rPr>
        <w:t xml:space="preserve">We typically do not maintain long-term supply contracts, but instead rely on informal arrangements and off-the-shelf purchases based on purchase orders. We do not carry a significant inventory of necessary components and our suppliers could discontinue the manufacture or supply of these components at any time. Establishing additional or replacement suppliers for any of these components, if required, or any supply interruption from our suppliers, could limit our ability to manufacture our products, result in production delays and increased costs and adversely affect our ability to deliver products to our customers on a timely basis, which could result in our failure to perform under customer contracts. If we are not able to identify alternate sources of supply for the components, we may need to modify our product to use substitute components, which could cause delays in shipments, increase design and manufacturing costs and increase prices for our products. Any such modified product might not be as effective as the predecessor product or might not gain market acceptance. This could lead to customer dissatisfaction, reputational harm and loss of customer orders. </w:t>
      </w:r>
    </w:p>
    <w:p>
      <w:pPr>
        <w:pStyle w:val="TextBody"/>
        <w:spacing w:before="240" w:after="0"/>
        <w:jc w:val="both"/>
        <w:rPr>
          <w:rFonts w:ascii="Times New Roman" w:hAnsi="Times New Roman"/>
          <w:sz w:val="20"/>
        </w:rPr>
      </w:pPr>
      <w:r>
        <w:rPr>
          <w:rFonts w:ascii="Times New Roman" w:hAnsi="Times New Roman"/>
          <w:sz w:val="20"/>
        </w:rPr>
        <w:t xml:space="preserve">In addition, some of our current suppliers are specialty suppliers providing components that are only available from a handful of suppliers worldwide (or in some cases a sole supplier), which means that off-the-shelf components may not be viable substitutes. It is therefore not always possible to adhere to our “second source strategy” (pursuant to which we always seek to have at least two qualified suppliers for every component). If these specialty suppliers become unable to deliver the required components, procuring these components from another supplier may only be possible at significant additional cost, if at all. As a result, there is a risk that we cannot obtain the components needed for manufacturing our products on a timely basis or at an economically viable cost, and, thus, become unable to deliver our products, resulting in reputational harm and loss of existing and future business. In addition, it is possible that certain components are ultimately not qualified for use, or may not function as intended. The particularly long development cycles in our business and lengthy qualification of individual components render quick replacement of individual suppliers difficult. Insourcing of certain components may require lengthy preparations, license negotiations or significant capital expenditures, or may not be possible at all. </w:t>
      </w:r>
    </w:p>
    <w:p>
      <w:pPr>
        <w:pStyle w:val="TextBody"/>
        <w:spacing w:before="240" w:after="0"/>
        <w:jc w:val="both"/>
        <w:rPr>
          <w:rFonts w:ascii="Times New Roman" w:hAnsi="Times New Roman"/>
          <w:sz w:val="20"/>
        </w:rPr>
      </w:pPr>
      <w:r>
        <w:rPr>
          <w:rFonts w:ascii="Times New Roman" w:hAnsi="Times New Roman"/>
          <w:sz w:val="20"/>
        </w:rPr>
        <w:t xml:space="preserve">Furthermore, any disruptions to our supply chain, significant increase in component costs, or shortages of critical components could adversely affect our business and result in increased costs or missed deliveries to our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customers. Such a disruption could occur as a result of any number of events, including, but not limited to, an extended closure of or any slowdown at any of our suppliers’ plants or shipping delays due to efforts to limit the spread of COVID-19 or implementation of post-COVID-19 policies or practices, war and economic sanctions against third parties, including those arising from the ongoing war between Russia and Ukraine, the implementation of tariffs, export controls or other actions by or against foreign nations (including China) and general market shortages due to surge in demand for any particular part or component. Any such disruption or shortage may be further driven by increases in prices or impact of inflation, labor stoppages, transportation delays or failures affecting the supply chain and shipment of materials and finished goods, the unavailability of raw materials, geopolitical developments, terrorism and disruptions in utilities, trade embargos and other services. For example, COVID-19 related lockdowns implemented in Asia in 2022 further exacerbated the global (semiconductor) chip shortage, and significant recent increases in energy prices, especially for natural gas, may further negatively impact worldwide supply chains and general economic conditions. In addition, certain countries have imposed or may impose in the future export restrictions with respect to certain electronic components, which may include components that we use in our manufacturing process. </w:t>
      </w:r>
    </w:p>
    <w:p>
      <w:pPr>
        <w:pStyle w:val="TextBody"/>
        <w:spacing w:before="240" w:after="0"/>
        <w:jc w:val="both"/>
        <w:rPr>
          <w:rFonts w:ascii="Times New Roman" w:hAnsi="Times New Roman"/>
          <w:sz w:val="20"/>
        </w:rPr>
      </w:pPr>
      <w:r>
        <w:rPr>
          <w:rFonts w:ascii="Times New Roman" w:hAnsi="Times New Roman"/>
          <w:sz w:val="20"/>
        </w:rPr>
        <w:t xml:space="preserve">In 2022 we were faced with supply chain problems that resulted in lower production volumes for a product version of our HAWK terminal than initially planned. Since then we have redesigned our HAWK product to avoid further supply chain constraints. Nevertheless, supply chain constraints may reemerge delaying production or the development of upcoming HAWK and CONDOR product versions. The high inflation environment could put pressure on our unit costs in the future and increased upfront payments to our suppliers and earlier phasing of those payments may put pressure on our non-recurring costs in future periods. In addition, any future updates or modifications to the anticipated design of our products may increase the number of parts and components we would be required to source and increase the complexity of our supply chain management. Failure to effectively manage the supply of parts and components could materially and adversely affect our production capacities and thus delay the shipment of our products as well as adversely affect market acceptance for our products. </w:t>
      </w:r>
    </w:p>
    <w:p>
      <w:pPr>
        <w:pStyle w:val="TextBody"/>
        <w:spacing w:before="360" w:after="0"/>
        <w:jc w:val="left"/>
        <w:rPr>
          <w:rFonts w:ascii="Times New Roman" w:hAnsi="Times New Roman"/>
          <w:b/>
          <w:i/>
          <w:sz w:val="20"/>
        </w:rPr>
      </w:pPr>
      <w:r>
        <w:rPr>
          <w:rFonts w:ascii="Times New Roman" w:hAnsi="Times New Roman"/>
          <w:b/>
          <w:i/>
          <w:sz w:val="20"/>
        </w:rPr>
        <w:t xml:space="preserve">Defects or performance problems in our products could result in a loss of customers, reputational damage, lawsuits and decreased revenue, and we may face warranty, indemnity and product liability claims arising from defective products. </w:t>
      </w:r>
    </w:p>
    <w:p>
      <w:pPr>
        <w:pStyle w:val="TextBody"/>
        <w:spacing w:before="120" w:after="0"/>
        <w:jc w:val="both"/>
        <w:rPr>
          <w:rFonts w:ascii="Times New Roman" w:hAnsi="Times New Roman"/>
          <w:sz w:val="20"/>
        </w:rPr>
      </w:pPr>
      <w:r>
        <w:rPr>
          <w:rFonts w:ascii="Times New Roman" w:hAnsi="Times New Roman"/>
          <w:sz w:val="20"/>
        </w:rPr>
        <w:t xml:space="preserve">To date, we have only delivered pre-serial and individual prototype versions of our products. Although we have implemented stringent quality controls, our products may contain undetected errors or defects, especially when first introduced, or may otherwise fail to meet our customers’ quality requirements. These errors, defects, product failures or poor performance can arise due to design flaws, defects in raw materials or components or manufacturing difficulties, which can affect both the quality and the performance of the product. </w:t>
      </w:r>
    </w:p>
    <w:p>
      <w:pPr>
        <w:pStyle w:val="TextBody"/>
        <w:spacing w:before="240" w:after="0"/>
        <w:jc w:val="both"/>
        <w:rPr>
          <w:rFonts w:ascii="Times New Roman" w:hAnsi="Times New Roman"/>
          <w:sz w:val="20"/>
        </w:rPr>
      </w:pPr>
      <w:r>
        <w:rPr>
          <w:rFonts w:ascii="Times New Roman" w:hAnsi="Times New Roman"/>
          <w:sz w:val="20"/>
        </w:rPr>
        <w:t xml:space="preserve">Any actual or perceived errors, defects or poor performance in our products could result in the replacement or rejection of our products, damage to our reputation, lost revenue, diversion of our engineering personnel from our product development efforts or increases in customer service and support costs. Furthermore, our customers may suffer consequential damages significantly exceeding the value of the products we sell to them if our products are defective or fail to meet their quality requirements. Defective components may give rise to warranty, indemnity or product liability claims against us that could significantly exceed any revenue or profit we receive from such products. Moreover, our insurance coverage may be inadequate to cover our liabilities related to such claims and we may not be able to maintain adequate insurance in the future at rates we consider reasonable and commercially justifiable, and insurance may not continue to be available on the same terms as our current arrangements. The occurrence of a significant uninsured claim, or a claim in excess of the insurance coverage limits maintained by us, could have a severe negative impact on our financial condition. </w:t>
      </w:r>
    </w:p>
    <w:p>
      <w:pPr>
        <w:pStyle w:val="TextBody"/>
        <w:spacing w:before="240" w:after="0"/>
        <w:jc w:val="both"/>
        <w:rPr>
          <w:rFonts w:ascii="Times New Roman" w:hAnsi="Times New Roman"/>
          <w:sz w:val="20"/>
        </w:rPr>
      </w:pPr>
      <w:r>
        <w:rPr>
          <w:rFonts w:ascii="Times New Roman" w:hAnsi="Times New Roman"/>
          <w:sz w:val="20"/>
        </w:rPr>
        <w:t xml:space="preserve">If one of our products causes bodily injury or property damage, including as a result of product malfunctions, defects or improper installation, then we could be exposed to product liability claims. We could incur significant costs and liabilities if we are sued and if damages are awarded against us. Further, any product liability claim we face could be expensive to defend and could divert management’s attention. </w:t>
      </w:r>
    </w:p>
    <w:p>
      <w:pPr>
        <w:pStyle w:val="TextBody"/>
        <w:spacing w:before="360" w:after="0"/>
        <w:jc w:val="left"/>
        <w:rPr>
          <w:rFonts w:ascii="Times New Roman" w:hAnsi="Times New Roman"/>
          <w:b/>
          <w:sz w:val="20"/>
        </w:rPr>
      </w:pPr>
      <w:r>
        <w:rPr>
          <w:rFonts w:ascii="Times New Roman" w:hAnsi="Times New Roman"/>
          <w:b/>
          <w:sz w:val="20"/>
        </w:rPr>
        <w:t xml:space="preserve">Risks Related to the Sale of Our Products </w:t>
      </w:r>
    </w:p>
    <w:p>
      <w:pPr>
        <w:pStyle w:val="TextBody"/>
        <w:spacing w:before="120" w:after="0"/>
        <w:jc w:val="left"/>
        <w:rPr>
          <w:rFonts w:ascii="Times New Roman" w:hAnsi="Times New Roman"/>
          <w:b/>
          <w:i/>
          <w:sz w:val="20"/>
        </w:rPr>
      </w:pPr>
      <w:r>
        <w:rPr>
          <w:rFonts w:ascii="Times New Roman" w:hAnsi="Times New Roman"/>
          <w:b/>
          <w:i/>
          <w:sz w:val="20"/>
        </w:rPr>
        <w:t xml:space="preserve">Our sales cycle can be long and sophisticated as well as requiring considerable time and expense. </w:t>
      </w:r>
    </w:p>
    <w:p>
      <w:pPr>
        <w:pStyle w:val="TextBody"/>
        <w:spacing w:before="120" w:after="0"/>
        <w:jc w:val="both"/>
        <w:rPr>
          <w:rFonts w:ascii="Times New Roman" w:hAnsi="Times New Roman"/>
          <w:sz w:val="20"/>
        </w:rPr>
      </w:pPr>
      <w:r>
        <w:rPr>
          <w:rFonts w:ascii="Times New Roman" w:hAnsi="Times New Roman"/>
          <w:sz w:val="20"/>
        </w:rPr>
        <w:t xml:space="preserve">The timing of our sales is difficult to predict because of the length of our sales cycle, particularly with respect to sales of our products in the government market. </w:t>
      </w:r>
    </w:p>
    <w:p>
      <w:pPr>
        <w:pStyle w:val="TextBody"/>
        <w:spacing w:before="240" w:after="0"/>
        <w:jc w:val="both"/>
        <w:rPr>
          <w:rFonts w:ascii="Times New Roman" w:hAnsi="Times New Roman"/>
          <w:sz w:val="20"/>
        </w:rPr>
      </w:pPr>
      <w:r>
        <w:rPr>
          <w:rFonts w:ascii="Times New Roman" w:hAnsi="Times New Roman"/>
          <w:sz w:val="20"/>
        </w:rPr>
        <w:t xml:space="preserve">The typical sales cycle for our products in the government market includes a pre-sale process to define a potential customer’s needs and budget. Certain customers may choose, or be required, to conduct a request for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information (“RfI”) or request for proposal (“RfP”) process, requiring us to openly bid for the project. In our response to these RfIs and RfPs, we offer potential customers specific commercial solutions covering detailed technical and commercial explanations as well as details on production capacities and ramp-up strategies. Proposals are evaluated based on various criteria, including technical requirements, reliability, associated risk and successful track-record of the manufacturer, and price. If we are selected, we enter into negotiations and, if successful, ultimately receive a purchase order from the customer. Many purchase orders allow for or require phased delivery of products over several months or years, with payments being made following order placement, achievement of other milestones and product delivery. The sales cycle for our products from initial contact with a potential customer in the government market varies widely, ranging from a few months to well over a year. The sales process for our products for commercial applications depends on the individual customer and the size and structure of a project. Our sales team often engages in detailed discussions with potential customers to define the customer’s needs and budget. Following these discussions, we sometimes either sign a memorandum of understanding (“MoU”) or a term sheet or directly negotiate long-form agreements but even then there is no guarantee that we will enter into final agreements. Accordingly, relationships and anticipated opportunities, in some of which we may invest considerable time and resources, might not come to fruition. From time to time, in particular with respect to large, established customers, we may also be required to participate in commercial RfI or RfP processes. As with sales in the government market, the entire commercial sales process may take from a few months to over a year. </w:t>
      </w:r>
    </w:p>
    <w:p>
      <w:pPr>
        <w:pStyle w:val="TextBody"/>
        <w:spacing w:before="240" w:after="0"/>
        <w:jc w:val="both"/>
        <w:rPr>
          <w:rFonts w:ascii="Times New Roman" w:hAnsi="Times New Roman"/>
          <w:sz w:val="20"/>
        </w:rPr>
      </w:pPr>
      <w:r>
        <w:rPr>
          <w:rFonts w:ascii="Times New Roman" w:hAnsi="Times New Roman"/>
          <w:sz w:val="20"/>
        </w:rPr>
        <w:t xml:space="preserve">There are many other factors specific to clients that contribute to the timing of their purchases, including budgetary constraints, funding authorization, changes in technical requirements and changes in their personnel. In addition, the significance and timing of our product enhancements, and the introduction of new products by our competitors, may also affect our customer’s purchases. As a result, even final purchase orders or definitive agreements relating to the development and delivery of laser communication products may be subject to change or cancelation. For all of these reasons, it is difficult to predict whether a sale will be completed or changed, the particular period in which a sale will be completed or the period in which revenue from a sale will be recognized. It is possible that in the future we may experience even longer sales cycles, more complex customer needs, higher upfront sales costs, and less predictability in completing some of our sales. Moreover, we may in the future enter into agreements under which we will not receive any payments or recognize any revenue until we complete a lengthy implementation cycle. </w:t>
      </w:r>
    </w:p>
    <w:p>
      <w:pPr>
        <w:pStyle w:val="TextBody"/>
        <w:spacing w:before="240" w:after="0"/>
        <w:jc w:val="both"/>
        <w:rPr>
          <w:rFonts w:ascii="Times New Roman" w:hAnsi="Times New Roman"/>
          <w:sz w:val="20"/>
        </w:rPr>
      </w:pPr>
      <w:r>
        <w:rPr>
          <w:rFonts w:ascii="Times New Roman" w:hAnsi="Times New Roman"/>
          <w:sz w:val="20"/>
        </w:rPr>
        <w:t xml:space="preserve">We have entered into and may in the future enter into strategic partnership agreements with key customers, which may include exclusivity arrangements and provisions that allow either party to terminate the relationship under certain specified circumstances. For example, on October 31, 2021, we entered into a strategic agreement (the “Strategic Agreement”) with NG pursuant to which we agreed to serve as a strategic supplier to NG and to exclusively develop and sell to NG customized laser communication solutions for use in or relating to space where the ultimate customer is a U.S. government customer. Under the Strategic Agreement, we may also collaborate on the development of laser communications for aerospace-based and defense applications outside the space sector. In return, NG has agreed to provide us with an annual minimum awards opportunity to sell and provide to NG customized products or off-the-shelf products and/or related services. Although NG was selected by the U.S. government to provide 42 satellites for the Tranche 1 Transport Layer program, making us the sole supplier of optical communication terminals, there is no guarantee that NG will present us with further opportunities in the anticipated annual amount. Even if they do, there is no guarantee that NG will be awarded the contracts. Furthermore, during the term of the Strategic Agreement, we will not be able to develop and sell customized products to any third party in the space sector where the ultimate customer is a U.S. government customer. Our failure to comply with this exclusivity obligation under the Strategic Agreement could result in NG terminating the Strategic Agreement. In July 2022, we agreed with L3Harris on a strategic cooperation framework pursuant to which we will serve as preferred provider of laser communication solutions to L3Harris and L3Harris, in return, was granted certain collaboration privileges. In connection therewith, L3Harris invested approximately €11.2 million by means of a capital increase from authorized capital in exchange for 409,294 new ordinary shares. While we intend to build on our existing collaboration with L3Harris in the airborne domain and widen the scope to cover all domains including space, air, maritime and ground, there is no guarantee that we will receive any purchase orders from L3Harris. </w:t>
      </w:r>
    </w:p>
    <w:p>
      <w:pPr>
        <w:pStyle w:val="TextBody"/>
        <w:spacing w:before="240" w:after="0"/>
        <w:jc w:val="both"/>
        <w:rPr>
          <w:rFonts w:ascii="Times New Roman" w:hAnsi="Times New Roman"/>
          <w:sz w:val="20"/>
        </w:rPr>
      </w:pPr>
      <w:r>
        <w:rPr>
          <w:rFonts w:ascii="Times New Roman" w:hAnsi="Times New Roman"/>
          <w:sz w:val="20"/>
        </w:rPr>
        <w:t xml:space="preserve">If our sales cycle lengthens or our substantial upfront sales and implementation investments do not result in sufficient sales to justify our investments, our revenue could be lower than expected and it could have a material adverse effect on our financial condition.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Orders included in our optical communications terminal backlog may not result in actual revenue and are an uncertain indicator of our future earnings. </w:t>
      </w:r>
    </w:p>
    <w:p>
      <w:pPr>
        <w:pStyle w:val="TextBody"/>
        <w:spacing w:before="120" w:after="0"/>
        <w:jc w:val="both"/>
        <w:rPr>
          <w:rFonts w:ascii="Times New Roman" w:hAnsi="Times New Roman"/>
          <w:sz w:val="20"/>
        </w:rPr>
      </w:pPr>
      <w:r>
        <w:rPr>
          <w:rFonts w:ascii="Times New Roman" w:hAnsi="Times New Roman"/>
          <w:sz w:val="20"/>
        </w:rPr>
        <w:t xml:space="preserve">Our optical communications terminal backlog grew significantly year-over-year from three terminal deliverables in backlog as of December 31, 2020 to 10 terminal deliverables in backlog as of December 31, 2021 and to 256 units as of December 31, 2022 (in each case, not taking into account the terminal deliverables under our contract with SpaceLink; see further information below). Optical communications terminal backlog represents the quantity of all open optical communications terminal deliverables in the context of signed customer programs at the end of a reporting period. Optical communications terminals are defined as the individual devices responsible for pointing the laser beam and capable of establishing a singular optical link. The optical communications terminal backlog includes (i) optical communications terminal deliverables related to customer purchase orders; and (ii) optical communications terminal deliverables in the context of other signed agreements. Backlog is calculated as the order backlog at the beginning of a reporting period plus the order intake within the reporting period minus terminal deliveries recognized as revenue within the reporting period and as adjusted for canceled orders, changes in scope and adjustments. If there are multiple options for deliveries under a particular purchase order or binding agreement, backlog only takes into account the most likely contract option based on management assessment and customer discussions. </w:t>
      </w:r>
    </w:p>
    <w:p>
      <w:pPr>
        <w:pStyle w:val="TextBody"/>
        <w:spacing w:before="240" w:after="0"/>
        <w:jc w:val="both"/>
        <w:rPr>
          <w:rFonts w:ascii="Times New Roman" w:hAnsi="Times New Roman"/>
          <w:sz w:val="20"/>
        </w:rPr>
      </w:pPr>
      <w:r>
        <w:rPr>
          <w:rFonts w:ascii="Times New Roman" w:hAnsi="Times New Roman"/>
          <w:sz w:val="20"/>
        </w:rPr>
        <w:t xml:space="preserve">Our optical communications terminal backlog is comprised of executed purchase orders from leading customers in the defense industries, customers with which we have had long-standing relationships and governmental agencies. We believe that the disclosure of backlog aids in the analysis of the demand for our products, as well as our ability to meet that demand. However, because revenue will not be recognized until we have fulfilled our obligations to a customer, there may be a significant amount of time between executing a contract with a customer and delivery of the product to the customer and revenue recognition. Any changes in government spending, the 2022 slowdown in economic activity, the ongoing supply chain disruptions (in particular, the global chip shortage) and/or any decreases and/or instability in commodity prices, generally increase the risk of backlog orders being delayed, suspended or canceled. Any such delays, suspensions or cancelations, or any scope changes could materially reduce or eliminate profits that we would otherwise realize from orders in optical communications terminal backlog. For example, in September / October 2022, Electro Optic Systems Holdings Ltd., the parent company of SpaceLink, announced that it will end its investment in U.S.-based satellite optical data-relay constellation startup SpaceLink due to the lack of an investment partner, thereby preparing SpaceLink for liquidation. SpaceLink, a former customer, is a commercial constellation builder seeking to develop a medium Earth orbit-based constellation that deploys optical-intersatellite links (“OISLs”) to relay data for space systems in low Earth orbit. While SpaceLink made several milestone payments throughout 2021 and 2022, it defaulted on its obligations in October 2022 as a result of which we decided to terminate our contract with SpaceLink with immediate effect in November 2022. Given the termination of the contract, we decided to no longer show any terminal deliverables under our SpaceLink contract in our backlog for the relevant periods. </w:t>
      </w:r>
    </w:p>
    <w:p>
      <w:pPr>
        <w:pStyle w:val="TextBody"/>
        <w:spacing w:before="240" w:after="0"/>
        <w:jc w:val="both"/>
        <w:rPr>
          <w:rFonts w:ascii="Times New Roman" w:hAnsi="Times New Roman"/>
          <w:sz w:val="20"/>
        </w:rPr>
      </w:pPr>
      <w:r>
        <w:rPr>
          <w:rFonts w:ascii="Times New Roman" w:hAnsi="Times New Roman"/>
          <w:sz w:val="20"/>
        </w:rPr>
        <w:t xml:space="preserve">Finally, poor contract performance could also result in cancelations and reduce or eliminate profits realized from orders in backlog. Such developments could have a material adverse effect on our business and our profits. In addition, our customers may order products from multiple sources to ensure timely delivery and may cancel or defer orders subject to penalties. Should any cancelations or deferrals occur, our optical communications terminal backlog and anticipated revenue would be reduced unless we were able to replace the canceled order. As a result, optical communications terminal backlog is not necessarily indicative of our revenues to be recognized in a specified future period and we cannot assure you that we will recognize revenue with respect to each order included in our backlog. </w:t>
      </w:r>
    </w:p>
    <w:p>
      <w:pPr>
        <w:pStyle w:val="TextBody"/>
        <w:spacing w:before="360" w:after="0"/>
        <w:jc w:val="left"/>
        <w:rPr>
          <w:rFonts w:ascii="Times New Roman" w:hAnsi="Times New Roman"/>
          <w:b/>
          <w:i/>
          <w:sz w:val="20"/>
        </w:rPr>
      </w:pPr>
      <w:r>
        <w:rPr>
          <w:rFonts w:ascii="Times New Roman" w:hAnsi="Times New Roman"/>
          <w:b/>
          <w:i/>
          <w:sz w:val="20"/>
        </w:rPr>
        <w:t xml:space="preserve">We have limited experience with order processing and are subject to internal order processing risks that could materially impact our ability to process orders. </w:t>
      </w:r>
    </w:p>
    <w:p>
      <w:pPr>
        <w:pStyle w:val="TextBody"/>
        <w:spacing w:before="120" w:after="0"/>
        <w:jc w:val="both"/>
        <w:rPr>
          <w:rFonts w:ascii="Times New Roman" w:hAnsi="Times New Roman"/>
          <w:sz w:val="20"/>
        </w:rPr>
      </w:pPr>
      <w:r>
        <w:rPr>
          <w:rFonts w:ascii="Times New Roman" w:hAnsi="Times New Roman"/>
          <w:sz w:val="20"/>
        </w:rPr>
        <w:t xml:space="preserve">We develop, manufacture and assemble our laser communication products in-house. As part of our order processing management, we must implement adequate internal logistical and technical production processes to minimize project-based risks. Once a customer orders our products, we are required to deliver such products to the customer on a mutually agreed date. Since we have only limited experience with order processing, serial production and delivery logistics, there is a risk that unexpected or spontaneous demand for our products could lead to delays in our internal logistical and technical production processes as well as delays in delivery. This is especially true in the space domain, in which potential customers may demand a steep production increase of laser communication equipment for the rapid deployment of constellations in order to minimize the time during which the constellation is only partially deployed and therefore of limited use. Unanticipated developments with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respect to component assembly, or inability to handle customer orders due to a lack of appropriate processes, structures or other factors, could materially impact our ability to process orders. This could lead to customer dissatisfaction, reputational harm and loss of customer orders. Issues related to order processing could also render the sourcing of future orders more difficult, thereby having an adverse effect on our business and our reputation as a reliable partner. </w:t>
      </w:r>
    </w:p>
    <w:p>
      <w:pPr>
        <w:pStyle w:val="TextBody"/>
        <w:spacing w:before="360" w:after="0"/>
        <w:jc w:val="left"/>
        <w:rPr>
          <w:rFonts w:ascii="Times New Roman" w:hAnsi="Times New Roman"/>
          <w:b/>
          <w:sz w:val="20"/>
        </w:rPr>
      </w:pPr>
      <w:r>
        <w:rPr>
          <w:rFonts w:ascii="Times New Roman" w:hAnsi="Times New Roman"/>
          <w:b/>
          <w:sz w:val="20"/>
        </w:rPr>
        <w:t xml:space="preserve">Risks Related to Our Financial Position </w:t>
      </w:r>
    </w:p>
    <w:p>
      <w:pPr>
        <w:pStyle w:val="TextBody"/>
        <w:spacing w:before="120" w:after="0"/>
        <w:jc w:val="left"/>
        <w:rPr>
          <w:rFonts w:ascii="Times New Roman" w:hAnsi="Times New Roman"/>
          <w:b/>
          <w:i/>
          <w:sz w:val="20"/>
        </w:rPr>
      </w:pPr>
      <w:r>
        <w:rPr>
          <w:rFonts w:ascii="Times New Roman" w:hAnsi="Times New Roman"/>
          <w:b/>
          <w:i/>
          <w:sz w:val="20"/>
        </w:rPr>
        <w:t xml:space="preserve">We may not be able to obtain sufficient financing for our operations and ongoing growth of our business. </w:t>
      </w:r>
    </w:p>
    <w:p>
      <w:pPr>
        <w:pStyle w:val="TextBody"/>
        <w:spacing w:before="120" w:after="0"/>
        <w:jc w:val="both"/>
        <w:rPr>
          <w:rFonts w:ascii="Times New Roman" w:hAnsi="Times New Roman"/>
          <w:sz w:val="20"/>
        </w:rPr>
      </w:pPr>
      <w:r>
        <w:rPr>
          <w:rFonts w:ascii="Times New Roman" w:hAnsi="Times New Roman"/>
          <w:sz w:val="20"/>
        </w:rPr>
        <w:t xml:space="preserve">The implementation of our business strategy requires significant capital outlays. The nature of our business also requires us to make capital expenditure decisions in anticipation of customer demand. To date, we have primarily raised capital and funded our operations with proceeds from the sale of our ordinary shares as well as debt financing. For example, in July 2022, L3Harris invested approximately €11.2 million by means of a capital increase from authorized capital in exchange for 409,294 new ordinary shares, which corresponded to 7.2% of our share capital at the time. On April 25, 2023, the Company, as guarantor, Mynaric USA Inc. (“Mynaric USA”), as the borrower, two funds affiliated with a U.S.-based global investment management firm, as lenders (the “Lenders”), and Alter Domus (US) LLC, as administrative agent, entered into a five-year, secured term loan credit agreement in an aggregate principal amount of $75 million (the “Credit Agreement 2023”). In addition to the loan, two affiliates of the Lenders agreed to subscribe for and acquire an aggregate of 565,224 new ordinary shares of the Company. The placement price for the new shares is €22.019 per ordinary share, resulting in aggregate proceeds raised of €12.4 million. </w:t>
      </w:r>
    </w:p>
    <w:p>
      <w:pPr>
        <w:pStyle w:val="TextBody"/>
        <w:spacing w:before="240" w:after="0"/>
        <w:jc w:val="both"/>
        <w:rPr>
          <w:rFonts w:ascii="Times New Roman" w:hAnsi="Times New Roman"/>
          <w:sz w:val="20"/>
        </w:rPr>
      </w:pPr>
      <w:r>
        <w:rPr>
          <w:rFonts w:ascii="Times New Roman" w:hAnsi="Times New Roman"/>
          <w:sz w:val="20"/>
        </w:rPr>
        <w:t xml:space="preserve">We anticipate that our future cash requirements will continue to be significant and that we will need to obtain additional financing to implement our business plan. The availability and cost of external financing depend on a number of factors, including our financial performance, general market conditions and, in the case of any debt financing, potentially our credit rating. This financing may not be available on acceptable terms, or at all, and our failure to raise capital when needed could harm our business. </w:t>
      </w:r>
    </w:p>
    <w:p>
      <w:pPr>
        <w:pStyle w:val="TextBody"/>
        <w:spacing w:before="240" w:after="0"/>
        <w:jc w:val="both"/>
        <w:rPr>
          <w:rFonts w:ascii="Times New Roman" w:hAnsi="Times New Roman"/>
          <w:sz w:val="20"/>
        </w:rPr>
      </w:pPr>
      <w:r>
        <w:rPr>
          <w:rFonts w:ascii="Times New Roman" w:hAnsi="Times New Roman"/>
          <w:sz w:val="20"/>
        </w:rPr>
        <w:t xml:space="preserve">Our ability to raise equity financing depends on our ability to convince investors to fund our operations and future growth, especially considering that we have not generated meaningful revenues to date and our market valuation is mostly based on our potential future financial performance rather than past or current financial performance. Our ability to raise financing will depend on the growth of the laser communication market, as well as our success in securing market share and implementing our business model. It is also dependent on our ability to position ourselves favorably to investors from different regions, with different investment focus and investment limitations. This is particularly relevant as our involvement in the government defense sector may make us unattractive to investors with certain environmental, social and corporate governance (ESG) requirements. Furthermore, our ability to raise equity financing depends on the general interest of investors in the aerospace sector and the sentiment of the financial markets at large, both of which are beyond our control. </w:t>
      </w:r>
    </w:p>
    <w:p>
      <w:pPr>
        <w:pStyle w:val="TextBody"/>
        <w:spacing w:before="240" w:after="0"/>
        <w:jc w:val="both"/>
        <w:rPr>
          <w:rFonts w:ascii="Times New Roman" w:hAnsi="Times New Roman"/>
          <w:sz w:val="20"/>
        </w:rPr>
      </w:pPr>
      <w:r>
        <w:rPr>
          <w:rFonts w:ascii="Times New Roman" w:hAnsi="Times New Roman"/>
          <w:sz w:val="20"/>
        </w:rPr>
        <w:t xml:space="preserve">Our ability to raise further debt financing, should we need or choose to do so, will largely depend on past financial results. Given that we and the industry in which we operate are still at a very early maturity stage and due to our intensive development activities over the last few years, we have consistently incurred significant losses, which have a negative impact on our creditworthiness to banks and lenders. We may fail to obtain debt financing due to a perceived low creditworthiness, a lack of credit ratings, our management’s ability to negotiate with existing or potential lenders, as well as external factors such as general market interest rates, banks’ and other lenders’ credit policies or changes in the legal environment. Furthermore, any debt financing, if available, may involve restrictive covenants that could reduce our operational flexibility or profitability. </w:t>
      </w:r>
    </w:p>
    <w:p>
      <w:pPr>
        <w:pStyle w:val="TextBody"/>
        <w:spacing w:before="240" w:after="0"/>
        <w:jc w:val="both"/>
        <w:rPr>
          <w:rFonts w:ascii="Times New Roman" w:hAnsi="Times New Roman"/>
          <w:sz w:val="20"/>
        </w:rPr>
      </w:pPr>
      <w:r>
        <w:rPr>
          <w:rFonts w:ascii="Times New Roman" w:hAnsi="Times New Roman"/>
          <w:sz w:val="20"/>
        </w:rPr>
        <w:t xml:space="preserve">In addition, long-term disruptions to the capital or credit markets as a result of uncertainty or recession, changing or increased regulation or failures of significant financial institutions could adversely affect our access to capital. If adequate funds are not available on a timely basis, we may be required to curtail the development of our technology or products, or materially delay, curtail, reduce or terminate our research and development and commercialization activities. We could be forced to sell or dispose of our rights or assets. Any inability to raise adequate funds on commercially reasonable terms could have a material adverse effect on our business, financial condition, results of operation and prospects, including the possibility that a lack of funds could cause our business to fail and liquidate with little or no return to investors.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b/>
          <w:i/>
          <w:sz w:val="20"/>
        </w:rPr>
      </w:pPr>
      <w:r>
        <w:rPr>
          <w:rFonts w:ascii="Times New Roman" w:hAnsi="Times New Roman"/>
          <w:b/>
          <w:i/>
          <w:sz w:val="20"/>
        </w:rPr>
        <w:t xml:space="preserve">The covenants under our Credit Agreement 2023 impose operating and financial restrictions on us that could significantly impact our ability to operate our business and a breach of which could result in a default under the terms of such agreement, which could accelerate the repayment of funds that we have borrowed. </w:t>
      </w:r>
    </w:p>
    <w:p>
      <w:pPr>
        <w:pStyle w:val="TextBody"/>
        <w:spacing w:before="240" w:after="0"/>
        <w:jc w:val="both"/>
        <w:rPr>
          <w:rFonts w:ascii="Times New Roman" w:hAnsi="Times New Roman"/>
          <w:sz w:val="20"/>
        </w:rPr>
      </w:pPr>
      <w:r>
        <w:rPr>
          <w:rFonts w:ascii="Times New Roman" w:hAnsi="Times New Roman"/>
          <w:sz w:val="20"/>
        </w:rPr>
        <w:t xml:space="preserve">The terms of the Credit Agreement 2023 impose, and future financial obligations may impose, operating and financial restrictions on us. These restrictions may prohibit or otherwise limit our ability to fund our operations or capital needs or to undertake certain other business activities or transactions without the consent of the Lenders, which in turn may adversely affect our financial condition. The Credit Agreement 2023 requires us to maintain a specified consolidated leverage ratio and a minimum amount of liquidity, which may require us to take action to reduce our debt, reserve cash amounts or to otherwise act in a manner contrary to our business objectives. The Credit Agreement 2023 also restricts our ability to, among other things, incur additional debt and guarantee indebtedness; pay dividends on or make distributions in respect of, or repurchase or redeem, our capital stock, or make other restricted payments; make loans or certain investments; sell certain assets; create liens on certain assets; consolidate, merge, sell, or otherwise dispose of all or substantially all of our assets; enter into certain transactions with our affiliates; alter the businesses we conduct; and enter into agreements restricting our subsidiaries’ ability to pay dividends. We could incur substantial indebtedness in the future, and the agreements governing any such indebtedness may provide further restrictions on our business. </w:t>
      </w:r>
    </w:p>
    <w:p>
      <w:pPr>
        <w:pStyle w:val="TextBody"/>
        <w:spacing w:before="240" w:after="0"/>
        <w:jc w:val="both"/>
        <w:rPr>
          <w:rFonts w:ascii="Times New Roman" w:hAnsi="Times New Roman"/>
          <w:sz w:val="20"/>
        </w:rPr>
      </w:pPr>
      <w:r>
        <w:rPr>
          <w:rFonts w:ascii="Times New Roman" w:hAnsi="Times New Roman"/>
          <w:sz w:val="20"/>
        </w:rPr>
        <w:t xml:space="preserve">As a result of these covenants, we are limited in the manner in which we conduct our business, and we may be unable to engage in favorable business activities or finance future operations or capital needs. These restrictive covenants may limit our ability to engage in activities that may be in our long-term best interest. The failure to comply with those covenants could result in an event of default which, if not cured or waived, could result in the acceleration of a substantial amount of our indebtedness. In addition, the Credit Agreement 2023 requires Mynaric USA to pay an exit fee to the Lenders at the time the loans are repaid, prepaid or accelerated. The exit fee is calculated as 200% of “invested capital” less the cumulative amount of principal repayments and cash interest payments on the loans received prior to the exit date, with “invested capital” defined to mean $74,250,000 plus the aggregate amount by which the principal amount of the loans is increased as a result of the payment of interest in kind. The exit fee percentage would be reduced to 185% if the exit fee is triggered prior to the fourth anniversary of the drawdown date and 180% if triggered prior to the third anniversary of the drawdown date. In addition, certain partial mandatory prepayments require the payment of a portion of the exit fee prior to the full repayment of the facility. In the event of an acceleration or mandatory prepayment, we may not have or be able to obtain sufficient funds to refinance our indebtedness or to make any accelerated payments or mandatory prepayment. Even if we were able to obtain new financing, we would not be able to guarantee that the new financing would be on commercially reasonable terms. If we default on our indebtedness, our business, financial condition and results of operation could suffer a material adverse effect. </w:t>
      </w:r>
    </w:p>
    <w:p>
      <w:pPr>
        <w:pStyle w:val="TextBody"/>
        <w:spacing w:before="360" w:after="0"/>
        <w:jc w:val="left"/>
        <w:rPr>
          <w:rFonts w:ascii="Times New Roman" w:hAnsi="Times New Roman"/>
          <w:b/>
          <w:i/>
          <w:sz w:val="20"/>
        </w:rPr>
      </w:pPr>
      <w:r>
        <w:rPr>
          <w:rFonts w:ascii="Times New Roman" w:hAnsi="Times New Roman"/>
          <w:b/>
          <w:i/>
          <w:sz w:val="20"/>
        </w:rPr>
        <w:t xml:space="preserve">A change of control could result in us facing substantial repayment obligations under the Credit Agreement 2023. </w:t>
      </w:r>
    </w:p>
    <w:p>
      <w:pPr>
        <w:pStyle w:val="TextBody"/>
        <w:spacing w:before="120" w:after="0"/>
        <w:jc w:val="both"/>
        <w:rPr>
          <w:rFonts w:ascii="Times New Roman" w:hAnsi="Times New Roman"/>
          <w:sz w:val="20"/>
        </w:rPr>
      </w:pPr>
      <w:r>
        <w:rPr>
          <w:rFonts w:ascii="Times New Roman" w:hAnsi="Times New Roman"/>
          <w:sz w:val="20"/>
        </w:rPr>
        <w:t xml:space="preserve">Certain events relating to a change of control of the Company and our subsidiaries would constitute an event of default under the Credit Agreement 2023. As a result, upon a change of control event, we may be required to immediately repay the outstanding principal, any accrued interest on and any other amounts owed by us under the Credit Agreement 2023. The source of funds for these repayments would be our available cash or cash generated from other sources and there can be no assurance that we would have, or be able to obtain, sufficient funds to repay such indebtedness and other payment obligations in full. </w:t>
      </w:r>
    </w:p>
    <w:p>
      <w:pPr>
        <w:pStyle w:val="TextBody"/>
        <w:spacing w:before="240" w:after="0"/>
        <w:jc w:val="both"/>
        <w:rPr>
          <w:rFonts w:ascii="Times New Roman" w:hAnsi="Times New Roman"/>
          <w:sz w:val="20"/>
        </w:rPr>
      </w:pPr>
      <w:r>
        <w:rPr>
          <w:rFonts w:ascii="Times New Roman" w:hAnsi="Times New Roman"/>
          <w:sz w:val="20"/>
        </w:rPr>
        <w:t xml:space="preserve">In addition, our obligations under the Credit Agreement 2023 are secured by a security interest in substantially all of the assets of the borrower and each of the guarantors. Future subsidiaries of the Company are also required to become guarantors of the loans and to grant a security interest in their assets as security for the loans. If we are unable to repay our indebtedness under the Credit Agreement 2023 or obtain waivers of such defaults, then the Lenders under the Credit Agreement 2023 would have the right to foreclose on those assets, which would have a material adverse effect on us. </w:t>
      </w:r>
    </w:p>
    <w:p>
      <w:pPr>
        <w:pStyle w:val="TextBody"/>
        <w:spacing w:before="360" w:after="0"/>
        <w:jc w:val="left"/>
        <w:rPr>
          <w:rFonts w:ascii="Times New Roman" w:hAnsi="Times New Roman"/>
          <w:b/>
          <w:i/>
          <w:sz w:val="20"/>
        </w:rPr>
      </w:pPr>
      <w:r>
        <w:rPr>
          <w:rFonts w:ascii="Times New Roman" w:hAnsi="Times New Roman"/>
          <w:b/>
          <w:i/>
          <w:sz w:val="20"/>
        </w:rPr>
        <w:t xml:space="preserve">We may not be able to obtain or agree on acceptable terms and conditions for all or a significant portion of the government grants, loans and other incentives for which we may apply, which may negatively affect our ability to reach funding goals. </w:t>
      </w:r>
    </w:p>
    <w:p>
      <w:pPr>
        <w:pStyle w:val="TextBody"/>
        <w:spacing w:before="120" w:after="0"/>
        <w:jc w:val="both"/>
        <w:rPr>
          <w:rFonts w:ascii="Times New Roman" w:hAnsi="Times New Roman"/>
          <w:sz w:val="20"/>
        </w:rPr>
      </w:pPr>
      <w:r>
        <w:rPr>
          <w:rFonts w:ascii="Times New Roman" w:hAnsi="Times New Roman"/>
          <w:sz w:val="20"/>
        </w:rPr>
        <w:t xml:space="preserve">We may apply for German and foreign federal and state grants, loans and tax incentives under various government programs designed to stimulate the economy of the relevant jurisdiction or to support the development of aerospace-based related technologies. We anticipate that there may be new opportunities for us to apply for grants, loans and other incentives from the German federal or state government(s), the European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Union or other governments or quasi-governmental organizations. Our ability to obtain funds or incentives from these sources is subject to the availability of funds under applicable programs and approval of our applications to participate in such programs. The application process for these funds and other incentives will likely be highly competitive. We cannot assure you that we will be successful in obtaining any of these grants, loans and other incentives. If we are not successful in obtaining any of these additional incentives and unable to find alternative sources of funding to meet our planned capital needs, our financial condition could be materially adversely affected and we may need to shift capital originally planned to be used in other parts of our business, which may harm the overall development of our business and the implementation of our growth strategy. </w:t>
      </w:r>
    </w:p>
    <w:p>
      <w:pPr>
        <w:pStyle w:val="TextBody"/>
        <w:spacing w:before="360" w:after="0"/>
        <w:jc w:val="left"/>
        <w:rPr>
          <w:rFonts w:ascii="Times New Roman" w:hAnsi="Times New Roman"/>
          <w:b/>
          <w:i/>
          <w:sz w:val="20"/>
        </w:rPr>
      </w:pPr>
      <w:r>
        <w:rPr>
          <w:rFonts w:ascii="Times New Roman" w:hAnsi="Times New Roman"/>
          <w:b/>
          <w:i/>
          <w:sz w:val="20"/>
        </w:rPr>
        <w:t xml:space="preserve">We are exposed to foreign currency exchange risk and our financial position and results of operations may be negatively affected by the fluctuation of different currencies. </w:t>
      </w:r>
    </w:p>
    <w:p>
      <w:pPr>
        <w:pStyle w:val="TextBody"/>
        <w:spacing w:before="120" w:after="0"/>
        <w:jc w:val="both"/>
        <w:rPr>
          <w:rFonts w:ascii="Times New Roman" w:hAnsi="Times New Roman"/>
          <w:sz w:val="20"/>
        </w:rPr>
      </w:pPr>
      <w:r>
        <w:rPr>
          <w:rFonts w:ascii="Times New Roman" w:hAnsi="Times New Roman"/>
          <w:sz w:val="20"/>
        </w:rPr>
        <w:t xml:space="preserve">We conduct business transactions in foreign currencies. Accordingly, exchange rate movements can have an adverse effect on our financial position and results of operations. Exposure to foreign currency exchange risk arises, for example, from purchases and sales transacted by one of our operating units in currencies other than the unit’s functional currency. We operate primarily in Europe and the U.S. Some sales are thus transacted in foreign currency (U.S. dollars). U.S. dollar cash inflows are partially used to finance the Company’s U.S. subsidiary. As of December 31, 2022, we had U.S. dollar receivables and cash at banks of $8.1 million. Any changes in foreign currency exchange rates may severely impact our net cash used in operating activities and our result of operations. </w:t>
      </w:r>
    </w:p>
    <w:p>
      <w:pPr>
        <w:pStyle w:val="TextBody"/>
        <w:spacing w:before="360" w:after="0"/>
        <w:jc w:val="left"/>
        <w:rPr>
          <w:rFonts w:ascii="Times New Roman" w:hAnsi="Times New Roman"/>
          <w:b/>
          <w:sz w:val="20"/>
        </w:rPr>
      </w:pPr>
      <w:r>
        <w:rPr>
          <w:rFonts w:ascii="Times New Roman" w:hAnsi="Times New Roman"/>
          <w:b/>
          <w:sz w:val="20"/>
        </w:rPr>
        <w:t xml:space="preserve">Other Risks Related to Our Operations </w:t>
      </w:r>
    </w:p>
    <w:p>
      <w:pPr>
        <w:pStyle w:val="TextBody"/>
        <w:spacing w:before="120" w:after="0"/>
        <w:jc w:val="left"/>
        <w:rPr>
          <w:rFonts w:ascii="Times New Roman" w:hAnsi="Times New Roman"/>
          <w:b/>
          <w:i/>
          <w:sz w:val="20"/>
        </w:rPr>
      </w:pPr>
      <w:r>
        <w:rPr>
          <w:rFonts w:ascii="Times New Roman" w:hAnsi="Times New Roman"/>
          <w:b/>
          <w:i/>
          <w:sz w:val="20"/>
        </w:rPr>
        <w:t xml:space="preserve">We are highly dependent on our senior management team and other highly qualified personnel, and if we are not successful in attracting or retaining highly qualified personnel, we may not be able to successfully implement our business strategy. </w:t>
      </w:r>
    </w:p>
    <w:p>
      <w:pPr>
        <w:pStyle w:val="TextBody"/>
        <w:spacing w:before="120" w:after="0"/>
        <w:jc w:val="both"/>
        <w:rPr>
          <w:rFonts w:ascii="Times New Roman" w:hAnsi="Times New Roman"/>
          <w:sz w:val="20"/>
        </w:rPr>
      </w:pPr>
      <w:r>
        <w:rPr>
          <w:rFonts w:ascii="Times New Roman" w:hAnsi="Times New Roman"/>
          <w:sz w:val="20"/>
        </w:rPr>
        <w:t xml:space="preserve">Our success depends, in significant part, on the continued services of our senior management team and on our ability to attract, motivate, develop and retain a sufficient number of other highly qualified engineering, design, manufacturing and quality assurance, finance, marketing, sales and support personnel. Certain members of our senior management team have extensive experience in the aerospace industry, and we believe that their depth of experience is instrumental to our continued success. The loss of any one or more members of our management team, for any reason, including resignation or retirement, could adversely affect our competitiveness and the implementation of our growth strategy. </w:t>
      </w:r>
    </w:p>
    <w:p>
      <w:pPr>
        <w:pStyle w:val="TextBody"/>
        <w:spacing w:before="240" w:after="0"/>
        <w:jc w:val="both"/>
        <w:rPr>
          <w:rFonts w:ascii="Times New Roman" w:hAnsi="Times New Roman"/>
          <w:sz w:val="20"/>
        </w:rPr>
      </w:pPr>
      <w:r>
        <w:rPr>
          <w:rFonts w:ascii="Times New Roman" w:hAnsi="Times New Roman"/>
          <w:sz w:val="20"/>
        </w:rPr>
        <w:t xml:space="preserve">Competition for qualified employees is intense, and our ability to hire, attract and retain such employees depends, among other things, on our ability to provide competitive compensation. In addition, there is only a small pool of potential replacement employees with adequate competencies and knowledge. Any inability to hire, attract, train and develop qualified employees may result in high employee turnover and may force us to pay significantly higher wages, which may harm our profitability. In addition, we may have to hire a significant additional number of employees in order to be able to finalize the development of our products and start serial production according to our currently envisaged timeline. Any deficiency in our ability to hire additional employees may harm the roll-out of our serial production. </w:t>
      </w:r>
    </w:p>
    <w:p>
      <w:pPr>
        <w:pStyle w:val="TextBody"/>
        <w:spacing w:before="360" w:after="0"/>
        <w:jc w:val="left"/>
        <w:rPr>
          <w:rFonts w:ascii="Times New Roman" w:hAnsi="Times New Roman"/>
          <w:b/>
          <w:i/>
          <w:sz w:val="20"/>
        </w:rPr>
      </w:pPr>
      <w:r>
        <w:rPr>
          <w:rFonts w:ascii="Times New Roman" w:hAnsi="Times New Roman"/>
          <w:b/>
          <w:i/>
          <w:sz w:val="20"/>
        </w:rPr>
        <w:t xml:space="preserve">Our business and operations would suffer in the event of computer system failures, cyber-attacks or deficiencies in our cyber-security. </w:t>
      </w:r>
    </w:p>
    <w:p>
      <w:pPr>
        <w:pStyle w:val="TextBody"/>
        <w:spacing w:before="120" w:after="0"/>
        <w:jc w:val="both"/>
        <w:rPr>
          <w:rFonts w:ascii="Times New Roman" w:hAnsi="Times New Roman"/>
          <w:sz w:val="20"/>
        </w:rPr>
      </w:pPr>
      <w:r>
        <w:rPr>
          <w:rFonts w:ascii="Times New Roman" w:hAnsi="Times New Roman"/>
          <w:sz w:val="20"/>
        </w:rPr>
        <w:t xml:space="preserve">Our ability to execute our business strategy depends, in part, on the continued and uninterrupted performance of our IT systems, which support our operations. Despite the implementation of security measures, our internal computer systems, and those of third parties on which we rely, are vulnerable to damage from, among other things, computer viruses, malware, natural disasters, terrorism, war, telecommunication and electrical failures, cyber-attacks or cyber-intrusions over the internet, attachments to emails, persons inside our organization, or persons with access to systems inside our organization or similar disruptive problems.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development programs. Furthermore, foreign governments may target us given our involvement in government programs, including because we may be in possession of national security information and involved in the development of advanced technology systems. If we are unable to protect sensitive information, governmental authorities could question the adequacy of our security measures.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Our disaster recovery planning cannot account for all eventualities. Our business and operations could be adversely affected if, as a result of a significant cyber event or otherwise, our operations are disrupted or shut down, confidential or proprietary information of ours, our employees, our customers or other third parties such as suppliers is stolen, lost or disclosed, we lose customers, we incur costs or are required to pay fines in connection with confidential or export-controlled information that is disclosed, we must dedicate significant resources to system repairs or increase cyber security protection or we otherwise incur significant litigation or other costs as a result of any such event. Furthermore, negative publicity arising from these types of events could damage our reputation. A serious disruption to our systems could significantly limit our ability to manage and operate our business efficiently, which in turn could have a material adverse effect on our business, results of operations and financial condition. In addition, our products can be exposed to cyber-security risks, such as the risk of being breached or failure to detect, prevent or combat attacks, which could result in losses to our customers and claims against us. A cybersecurity breach could also damage our reputation by adversely affecting our customers’ perception of the security of their information. </w:t>
      </w:r>
    </w:p>
    <w:p>
      <w:pPr>
        <w:pStyle w:val="TextBody"/>
        <w:spacing w:before="360" w:after="0"/>
        <w:jc w:val="left"/>
        <w:rPr>
          <w:rFonts w:ascii="Times New Roman" w:hAnsi="Times New Roman"/>
          <w:b/>
          <w:i/>
          <w:sz w:val="20"/>
        </w:rPr>
      </w:pPr>
      <w:r>
        <w:rPr>
          <w:rFonts w:ascii="Times New Roman" w:hAnsi="Times New Roman"/>
          <w:b/>
          <w:i/>
          <w:sz w:val="20"/>
        </w:rPr>
        <w:t xml:space="preserve">We are a supplier for government programs, which subjects us to risks including early termination, audits, investigations, sanctions and penalties. </w:t>
      </w:r>
    </w:p>
    <w:p>
      <w:pPr>
        <w:pStyle w:val="TextBody"/>
        <w:spacing w:before="120" w:after="0"/>
        <w:jc w:val="both"/>
        <w:rPr>
          <w:rFonts w:ascii="Times New Roman" w:hAnsi="Times New Roman"/>
          <w:sz w:val="20"/>
        </w:rPr>
      </w:pPr>
      <w:r>
        <w:rPr>
          <w:rFonts w:ascii="Times New Roman" w:hAnsi="Times New Roman"/>
          <w:sz w:val="20"/>
        </w:rPr>
        <w:t xml:space="preserve">Within the value chain for the government aerospace-based communication industry, we are a sub-system supplier for system primes such as aircraft and satellite manufacturers. We have entered into contracts as a sub-system supplier with counterparties that are prime contractors for the U.S. government who have development contracts directly with the U.S. government and may also do so with non-U.S. governments in the future. As a result, we are and may in the future be subject to statutes and regulations applicable to companies doing business with the relevant government. Government contracts may contain provisions that give the government substantial rights and remedies, many of which are not typically found in commercial contracts with private sector counterparts and which are unfavorable to the contractors. For example, most U.S. government agencies include provisions that allow the government to unilaterally terminate or modify contracts for convenience, and in that event, the counterparty to the contract may generally recover only its incurred or committed costs and settlement expenses and profit on work completed prior to the termination. </w:t>
      </w:r>
    </w:p>
    <w:p>
      <w:pPr>
        <w:pStyle w:val="TextBody"/>
        <w:spacing w:before="240" w:after="0"/>
        <w:jc w:val="both"/>
        <w:rPr>
          <w:rFonts w:ascii="Times New Roman" w:hAnsi="Times New Roman"/>
          <w:sz w:val="20"/>
        </w:rPr>
      </w:pPr>
      <w:r>
        <w:rPr>
          <w:rFonts w:ascii="Times New Roman" w:hAnsi="Times New Roman"/>
          <w:sz w:val="20"/>
        </w:rPr>
        <w:t xml:space="preserve">In addition, government contracts may contain additional requirements that may increase our costs of doing business, reduce our profits, and expose us to liability for failure to comply with these terms and conditions. These requirements include, for example: </w:t>
      </w:r>
    </w:p>
    <w:p>
      <w:pPr>
        <w:pStyle w:val="TextBody"/>
        <w:spacing w:before="0" w:after="0"/>
        <w:jc w:val="left"/>
        <w:rPr/>
      </w:pPr>
      <w:r>
        <w:rPr/>
        <w:t> </w:t>
      </w:r>
    </w:p>
    <w:tbl>
      <w:tblPr>
        <w:tblW w:w="7195" w:type="dxa"/>
        <w:jc w:val="left"/>
        <w:tblInd w:w="0" w:type="dxa"/>
        <w:tblCellMar>
          <w:top w:w="0" w:type="dxa"/>
          <w:left w:w="0" w:type="dxa"/>
          <w:bottom w:w="0" w:type="dxa"/>
          <w:right w:w="0" w:type="dxa"/>
        </w:tblCellMar>
      </w:tblPr>
      <w:tblGrid>
        <w:gridCol w:w="75"/>
        <w:gridCol w:w="110"/>
        <w:gridCol w:w="60"/>
        <w:gridCol w:w="69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95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specialized disclosure and accounting requirements unique to government contracts;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 </w:t>
            </w:r>
          </w:p>
        </w:tc>
      </w:tr>
    </w:tbl>
    <w:p>
      <w:pPr>
        <w:pStyle w:val="TextBody"/>
        <w:spacing w:before="0" w:after="0"/>
        <w:jc w:val="left"/>
        <w:rPr/>
      </w:pPr>
      <w:r>
        <w:rPr/>
        <w:t> </w:t>
      </w:r>
    </w:p>
    <w:tbl>
      <w:tblPr>
        <w:tblW w:w="5860" w:type="dxa"/>
        <w:jc w:val="left"/>
        <w:tblInd w:w="0" w:type="dxa"/>
        <w:tblCellMar>
          <w:top w:w="0" w:type="dxa"/>
          <w:left w:w="0" w:type="dxa"/>
          <w:bottom w:w="0" w:type="dxa"/>
          <w:right w:w="0" w:type="dxa"/>
        </w:tblCellMar>
      </w:tblPr>
      <w:tblGrid>
        <w:gridCol w:w="75"/>
        <w:gridCol w:w="110"/>
        <w:gridCol w:w="60"/>
        <w:gridCol w:w="56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1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public disclosures of certain contract and company information;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mandatory socioeconomic compliance requirements, including labor requirements, non-discrimination and affirmative action programs and environmental compliance requirements. </w:t>
            </w:r>
          </w:p>
        </w:tc>
      </w:tr>
    </w:tbl>
    <w:p>
      <w:pPr>
        <w:pStyle w:val="TextBody"/>
        <w:spacing w:before="240" w:after="0"/>
        <w:jc w:val="both"/>
        <w:rPr>
          <w:rFonts w:ascii="Times New Roman" w:hAnsi="Times New Roman"/>
          <w:sz w:val="20"/>
        </w:rPr>
      </w:pPr>
      <w:r>
        <w:rPr>
          <w:rFonts w:ascii="Times New Roman" w:hAnsi="Times New Roman"/>
          <w:sz w:val="20"/>
        </w:rPr>
        <w:t xml:space="preserve">If we fail to comply with government contracting laws, regulations and contract requirements, our government contracts may be subject to termination, and we may become subject to financial and/or other liability under our contracts or criminal law. </w:t>
      </w:r>
    </w:p>
    <w:p>
      <w:pPr>
        <w:pStyle w:val="TextBody"/>
        <w:spacing w:before="360" w:after="0"/>
        <w:jc w:val="left"/>
        <w:rPr>
          <w:rFonts w:ascii="Times New Roman" w:hAnsi="Times New Roman"/>
          <w:b/>
          <w:i/>
          <w:sz w:val="20"/>
        </w:rPr>
      </w:pPr>
      <w:r>
        <w:rPr>
          <w:rFonts w:ascii="Times New Roman" w:hAnsi="Times New Roman"/>
          <w:b/>
          <w:i/>
          <w:sz w:val="20"/>
        </w:rPr>
        <w:t xml:space="preserve">Our operations, or those of our suppliers and other business partners, could be adversely affected as a result of disasters or unpredictable events. </w:t>
      </w:r>
    </w:p>
    <w:p>
      <w:pPr>
        <w:pStyle w:val="TextBody"/>
        <w:spacing w:before="120" w:after="0"/>
        <w:jc w:val="both"/>
        <w:rPr>
          <w:rFonts w:ascii="Times New Roman" w:hAnsi="Times New Roman"/>
          <w:sz w:val="20"/>
        </w:rPr>
      </w:pPr>
      <w:r>
        <w:rPr>
          <w:rFonts w:ascii="Times New Roman" w:hAnsi="Times New Roman"/>
          <w:sz w:val="20"/>
        </w:rPr>
        <w:t xml:space="preserve">Our operations, or those of our suppliers and other business partners, could be disrupted by natural disasters such as earthquakes, fires or explosions, pandemics and epidemics, power outages, terrorist attacks, cyberattacks, war or other critical events. Some of our existing or future production sites, or those of our suppliers and other business partners, may be in regions that could be affected by natural disasters such as flooding or earthquakes. Disruptions may also result from possible regulatory or legislative changes in the relevant jurisdictions of our, our suppliers’ or our business partners’ operations. For example, due to efforts of several governments to limit the spread of COVID-19 or implementation of post-COVID-19 protection measures, global supply chains experienced severe disruptions, which have impacted, and continue to impact, semiconductor supply chains. </w:t>
      </w:r>
    </w:p>
    <w:p>
      <w:pPr>
        <w:pStyle w:val="TextBody"/>
        <w:spacing w:before="240" w:after="0"/>
        <w:jc w:val="both"/>
        <w:rPr>
          <w:rFonts w:ascii="Times New Roman" w:hAnsi="Times New Roman"/>
          <w:sz w:val="20"/>
        </w:rPr>
      </w:pPr>
      <w:r>
        <w:rPr>
          <w:rFonts w:ascii="Times New Roman" w:hAnsi="Times New Roman"/>
          <w:sz w:val="20"/>
        </w:rPr>
        <w:t xml:space="preserve">Furthermore, the United States and global markets have experienced, and continue to experience, volatility and disruption following the escalation of geopolitical tensions such as the invasion of Ukraine by Russia 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February 2022. In response to this invasion, the North Atlantic Treaty Organization (NATO) deployed additional military forces to Eastern Europe, and the United States, the United Kingdom, the European Union and other countries have announced and implemented sanctions and restrictive actions against Russia and related individuals and entities. The invasion of Ukraine by Russia and the resulting measures that have been taken, and could be taken in the future, have created global security concerns that could have a lasting impact on regional and global economies. Although the length and impact of the ongoing military conflict in Ukraine is highly unpredictable, the conflict could lead to market disruptions, including significant volatility in commodity prices, credit and capital markets, and could further drive supply chain interruptions. Additionally, Russian military actions and the resulting sanctions could adversely affect the global economy and financial markets and lead to instability and lack of liquidity in capital markets, which, in the end, may make it more difficult for us to obtain equity or debt financing and negatively impact demand for our products. </w:t>
      </w:r>
    </w:p>
    <w:p>
      <w:pPr>
        <w:pStyle w:val="TextBody"/>
        <w:spacing w:before="360" w:after="0"/>
        <w:jc w:val="left"/>
        <w:rPr>
          <w:rFonts w:ascii="Times New Roman" w:hAnsi="Times New Roman"/>
          <w:b/>
          <w:i/>
          <w:sz w:val="20"/>
        </w:rPr>
      </w:pPr>
      <w:r>
        <w:rPr>
          <w:rFonts w:ascii="Times New Roman" w:hAnsi="Times New Roman"/>
          <w:b/>
          <w:i/>
          <w:sz w:val="20"/>
        </w:rPr>
        <w:t xml:space="preserve">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 </w:t>
      </w:r>
    </w:p>
    <w:p>
      <w:pPr>
        <w:pStyle w:val="TextBody"/>
        <w:spacing w:before="120" w:after="0"/>
        <w:jc w:val="both"/>
        <w:rPr>
          <w:rFonts w:ascii="Times New Roman" w:hAnsi="Times New Roman"/>
          <w:sz w:val="20"/>
        </w:rPr>
      </w:pPr>
      <w:r>
        <w:rPr>
          <w:rFonts w:ascii="Times New Roman" w:hAnsi="Times New Roman"/>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Since that time, there have been reports of instability at other U.S. banks, including First Republic Bank. At December 31, 2022, we held approximately $2.8 million of our cash in non-interest bearing bank accounts at First Republic Bank. Although we are not a borrower or party to any such instruments with SVB, Signature or any other financial institution currently in receivership, if any of our lenders or counterparties to any financial instruments (such as letters of credit) were to be placed into receivership, we may be unable to access such funds.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w:t>
      </w:r>
    </w:p>
    <w:p>
      <w:pPr>
        <w:pStyle w:val="TextBody"/>
        <w:spacing w:before="240" w:after="0"/>
        <w:jc w:val="both"/>
        <w:rPr>
          <w:rFonts w:ascii="Times New Roman" w:hAnsi="Times New Roman"/>
          <w:sz w:val="20"/>
        </w:rPr>
      </w:pPr>
      <w:r>
        <w:rPr>
          <w:rFonts w:ascii="Times New Roman" w:hAnsi="Times New Roman"/>
          <w:sz w:val="20"/>
        </w:rPr>
        <w:t xml:space="preserve">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government securities with interest rates below current market interest rates,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 </w:t>
      </w:r>
    </w:p>
    <w:p>
      <w:pPr>
        <w:pStyle w:val="TextBody"/>
        <w:spacing w:before="240" w:after="0"/>
        <w:jc w:val="both"/>
        <w:rPr>
          <w:rFonts w:ascii="Times New Roman" w:hAnsi="Times New Roman"/>
          <w:sz w:val="20"/>
        </w:rPr>
      </w:pPr>
      <w:r>
        <w:rPr>
          <w:rFonts w:ascii="Times New Roman" w:hAnsi="Times New Roman"/>
          <w:sz w:val="20"/>
        </w:rPr>
        <w:t xml:space="preserve">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and in turn, us.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 </w:t>
      </w:r>
    </w:p>
    <w:p>
      <w:pPr>
        <w:pStyle w:val="TextBody"/>
        <w:spacing w:before="240" w:after="0"/>
        <w:jc w:val="both"/>
        <w:rPr>
          <w:rFonts w:ascii="Times New Roman" w:hAnsi="Times New Roman"/>
          <w:sz w:val="20"/>
        </w:rPr>
      </w:pPr>
      <w:r>
        <w:rPr>
          <w:rFonts w:ascii="Times New Roman" w:hAnsi="Times New Roman"/>
          <w:sz w:val="20"/>
        </w:rPr>
        <w:t xml:space="preserve">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 </w:t>
      </w:r>
    </w:p>
    <w:p>
      <w:pPr>
        <w:pStyle w:val="TextBody"/>
        <w:spacing w:before="240" w:after="0"/>
        <w:jc w:val="both"/>
        <w:rPr>
          <w:rFonts w:ascii="Times New Roman" w:hAnsi="Times New Roman"/>
          <w:sz w:val="20"/>
        </w:rPr>
      </w:pPr>
      <w:r>
        <w:rPr>
          <w:rFonts w:ascii="Times New Roman" w:hAnsi="Times New Roman"/>
          <w:sz w:val="20"/>
        </w:rPr>
        <w:t xml:space="preserve">In addition, a critical supplier or business partner could be adversely affected by any of the liquidity or other risks that are described above as factors, which in turn, could have a material adverse effect on our current and/or projected business operations and results of operations and financial condition. Any business partner or supplier bankruptcy or insolvency, or any breach or default by a business partner, or supplier, or the loss of any significant supplier relationships, could result in material adverse impacts on our current and/or projected business operations and financial condition. </w:t>
      </w:r>
    </w:p>
    <w:p>
      <w:pPr>
        <w:pStyle w:val="TextBody"/>
        <w:spacing w:before="360" w:after="0"/>
        <w:jc w:val="left"/>
        <w:rPr>
          <w:rFonts w:ascii="Times New Roman" w:hAnsi="Times New Roman"/>
          <w:b/>
          <w:sz w:val="20"/>
        </w:rPr>
      </w:pPr>
      <w:r>
        <w:rPr>
          <w:rFonts w:ascii="Times New Roman" w:hAnsi="Times New Roman"/>
          <w:b/>
          <w:sz w:val="20"/>
        </w:rPr>
        <w:t xml:space="preserve">Regulatory Risks </w:t>
      </w:r>
    </w:p>
    <w:p>
      <w:pPr>
        <w:pStyle w:val="TextBody"/>
        <w:spacing w:before="120" w:after="0"/>
        <w:jc w:val="left"/>
        <w:rPr>
          <w:rFonts w:ascii="Times New Roman" w:hAnsi="Times New Roman"/>
          <w:b/>
          <w:i/>
          <w:sz w:val="20"/>
        </w:rPr>
      </w:pPr>
      <w:r>
        <w:rPr>
          <w:rFonts w:ascii="Times New Roman" w:hAnsi="Times New Roman"/>
          <w:b/>
          <w:i/>
          <w:sz w:val="20"/>
        </w:rPr>
        <w:t xml:space="preserve">We are subject to regulatory risks, in particular related to evolving sanctions laws as well as governmental export controls, in a number of jurisdictions that could limit our customer base and result in higher compliance costs. </w:t>
      </w:r>
    </w:p>
    <w:p>
      <w:pPr>
        <w:pStyle w:val="TextBody"/>
        <w:spacing w:before="120" w:after="0"/>
        <w:jc w:val="both"/>
        <w:rPr>
          <w:rFonts w:ascii="Times New Roman" w:hAnsi="Times New Roman"/>
          <w:sz w:val="20"/>
        </w:rPr>
      </w:pPr>
      <w:r>
        <w:rPr>
          <w:rFonts w:ascii="Times New Roman" w:hAnsi="Times New Roman"/>
          <w:sz w:val="20"/>
        </w:rPr>
        <w:t xml:space="preserve">We are subject to regulatory risks, in particular related to complex and evolving export control and economic sanctions laws in certain of the markets in which we operate, including the United States and the European Union. Export control laws impose controls, export license requirements and restrictions on the export of certain products and technology. Any changes to our products or changes in export regulations may limit our ability to export our products and provide our services (such as product maintenance or installation services) in certain countries, or may require export authorizations, including by license, license exception or other appropriate government authorizations. </w:t>
      </w:r>
    </w:p>
    <w:p>
      <w:pPr>
        <w:pStyle w:val="TextBody"/>
        <w:spacing w:before="240" w:after="0"/>
        <w:jc w:val="both"/>
        <w:rPr>
          <w:rFonts w:ascii="Times New Roman" w:hAnsi="Times New Roman"/>
          <w:sz w:val="20"/>
        </w:rPr>
      </w:pPr>
      <w:r>
        <w:rPr>
          <w:rFonts w:ascii="Times New Roman" w:hAnsi="Times New Roman"/>
          <w:sz w:val="20"/>
        </w:rPr>
        <w:t>Export control and economic sanctions laws may include prohibitions on the sale or supply of certain products to embargoed or sanctioned countries and regions, governments, persons and entities. For example, while spaceborne laser communication terminals initially did not qualify as a dual use item under applicable German or European Union regulations, in July 2020, the German government issued a so-called single intervention (</w:t>
      </w:r>
      <w:r>
        <w:rPr>
          <w:rFonts w:ascii="Times New Roman" w:hAnsi="Times New Roman"/>
          <w:i/>
          <w:sz w:val="20"/>
        </w:rPr>
        <w:t>Einzeleingriff</w:t>
      </w:r>
      <w:r>
        <w:rPr>
          <w:rFonts w:ascii="Times New Roman" w:hAnsi="Times New Roman"/>
          <w:sz w:val="20"/>
        </w:rPr>
        <w:t>) banning the shipment of spaceborne laser communication terminals to customers in China, which included the shipment of our laser communication products to a Chinese customer. As a result of this decision, we decided to withdraw from the Chinese market. Subsequently, the German legislature amended the national export list (</w:t>
      </w:r>
      <w:r>
        <w:rPr>
          <w:rFonts w:ascii="Times New Roman" w:hAnsi="Times New Roman"/>
          <w:i/>
          <w:sz w:val="20"/>
        </w:rPr>
        <w:t>Ausfuhrliste</w:t>
      </w:r>
      <w:r>
        <w:rPr>
          <w:rFonts w:ascii="Times New Roman" w:hAnsi="Times New Roman"/>
          <w:sz w:val="20"/>
        </w:rPr>
        <w:t>) and specifically categorized spaceborne laser communication terminals as a dual-use item, requiring prior governmental approval before exportation. However, due to the further enhancement of our products, our CONDOR laser terminal now also qualifies as a dual-use item under the European Union’s Council Regulation (EC) No 428/2009 of 5 May 2009, as most recently amended by Commission Delegated Regulation (EU) 2021/1528 of 8 June 2021, which established a community regime for the control of exports and the transfer, brokering and transit of Dual-Use Items (the “Dual-Use Regulation”), which supersedes the national dual-use regulations of the European Union member states. Although the export of our CONDOR laser communication terminals is covered by the European Union’s general export authorization (</w:t>
      </w:r>
      <w:r>
        <w:rPr>
          <w:rFonts w:ascii="Times New Roman" w:hAnsi="Times New Roman"/>
          <w:i/>
          <w:sz w:val="20"/>
        </w:rPr>
        <w:t>EU-Allgemeingenehmigung</w:t>
      </w:r>
      <w:r>
        <w:rPr>
          <w:rFonts w:ascii="Times New Roman" w:hAnsi="Times New Roman"/>
          <w:sz w:val="20"/>
        </w:rPr>
        <w:t xml:space="preserve">), we nevertheless will be required to obtain an (individual) export authorization if we export dual-use products to countries that are not covered by the European Union’s general export authorization. In a number of other jurisdictions relevant to our operations, laser communication has not yet been specifically categorized as dual-use goods. If laser communication products were categorized as dual-use goods in other jurisdictions, our ability to sell products to certain markets could be adversely affected or we may be required to obtain export licenses. If we fail to obtain such licenses, our business and operations could be adversely affected. </w:t>
      </w:r>
    </w:p>
    <w:p>
      <w:pPr>
        <w:pStyle w:val="TextBody"/>
        <w:spacing w:before="240" w:after="0"/>
        <w:jc w:val="both"/>
        <w:rPr>
          <w:rFonts w:ascii="Times New Roman" w:hAnsi="Times New Roman"/>
          <w:sz w:val="20"/>
        </w:rPr>
      </w:pPr>
      <w:r>
        <w:rPr>
          <w:rFonts w:ascii="Times New Roman" w:hAnsi="Times New Roman"/>
          <w:sz w:val="20"/>
        </w:rPr>
        <w:t xml:space="preserve">In addition, various countries regulate the importation of certain products, through import permitting and licensing requirements, and have enacted laws that could limit our ability to distribute our products. Since laser communication is a new technology, import regulations that govern the operation of terminals may be issued and change over time. As of today, we are required to obtain approval for imports to the United States (in the form of what is known as an accession number) under certain performance standards issued by the U.S. Food and Drug Administration, which we have obtained. In addition, while we are currently not subject to the regulation and license requirements of the U.S. Federal Aviation Administration (FAA) or the European Aviation Safety Agency (EASA), we may become subject to such regulations and license requirements in the future. Violations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of applicable export control laws and related regulations could result in criminal or administrative penalties, including fines, denial of export privileges, and debarment, which could have a material adverse impact on our business, including our ability to enter into contracts or subcontracts with U.S. or other government customers. </w:t>
      </w:r>
    </w:p>
    <w:p>
      <w:pPr>
        <w:pStyle w:val="TextBody"/>
        <w:spacing w:before="240" w:after="0"/>
        <w:jc w:val="both"/>
        <w:rPr>
          <w:rFonts w:ascii="Times New Roman" w:hAnsi="Times New Roman"/>
          <w:sz w:val="20"/>
        </w:rPr>
      </w:pPr>
      <w:r>
        <w:rPr>
          <w:rFonts w:ascii="Times New Roman" w:hAnsi="Times New Roman"/>
          <w:sz w:val="20"/>
        </w:rPr>
        <w:t xml:space="preserve">Currently, our largest potential customer base is located in the United States and Canada. We believe that further potential markets may develop in certain Asian (except China) and Middle Eastern, as well as a number of European, countries. Our products could, therefore, become subject to international trade restrictions in these markets. For example, with respect to the United States, there is a risk that our products may become restricted under arms control provisions, such as the International Traffic in Arms Regulations (“ITAR”). To the best of our knowledge, none of the components we currently use in our products is subject to arms regulations and, thus, our products are not restricted under arms control provisions in the U.S., such as the ITAR. We have also implemented a strict non-ITAR procurement policy that requires us to procure components that are not subject to ITAR. However, we cannot assure you that in the future all required parts can be obtained under this strict policy. If our products become subject to the ITAR, we may experience lower customer demand for our products. To the extent that certain required parts can only be obtained in compliance with arms control regulations our products could also become subject to arms control regulations, which could have a significant negative effect on the marketability of our products. This would limit our potential customer base to a very limited number of potential customers who are able to import and purchase arms products in accordance with applicable regulations, which could have a material adverse effect on our commercialization plans. </w:t>
      </w:r>
    </w:p>
    <w:p>
      <w:pPr>
        <w:pStyle w:val="TextBody"/>
        <w:spacing w:before="360" w:after="0"/>
        <w:jc w:val="left"/>
        <w:rPr>
          <w:rFonts w:ascii="Times New Roman" w:hAnsi="Times New Roman"/>
          <w:b/>
          <w:i/>
          <w:sz w:val="20"/>
        </w:rPr>
      </w:pPr>
      <w:r>
        <w:rPr>
          <w:rFonts w:ascii="Times New Roman" w:hAnsi="Times New Roman"/>
          <w:b/>
          <w:i/>
          <w:sz w:val="20"/>
        </w:rPr>
        <w:t xml:space="preserve">If we do not maintain required security clearances from, and comply with our security agreements with, the U.S. government, we may not be able to enter into future contracts with the U.S. government requiring such clearance. </w:t>
      </w:r>
    </w:p>
    <w:p>
      <w:pPr>
        <w:pStyle w:val="TextBody"/>
        <w:spacing w:before="120" w:after="0"/>
        <w:jc w:val="both"/>
        <w:rPr>
          <w:rFonts w:ascii="Times New Roman" w:hAnsi="Times New Roman"/>
          <w:sz w:val="20"/>
        </w:rPr>
      </w:pPr>
      <w:r>
        <w:rPr>
          <w:rFonts w:ascii="Times New Roman" w:hAnsi="Times New Roman"/>
          <w:sz w:val="20"/>
        </w:rPr>
        <w:t xml:space="preserve">To participate in certain U.S. government programs, we expect to seek and obtain security clearances from the DoD, including by establishing a U.S. entity cleared for access to classified information. For example, certain contracts with the U.S. government may require us to be issued facility security clearances under the National Industrial Security Program. The National Industrial Security Program requires that a corporation maintaining a facility security clearance be effectively insulated from foreign ownership, control or influence (“FOCI”). In anticipation of potential future U.S. government contracts, in April 2022, we established a new U.S. subsidiary, Mynaric Government Solutions, Inc., and have commenced the process of insulating this entity from FOCI. This process includes recruiting directors and employees dedicated to that entity and any U.S. governmental agency projects to be serviced by the entity. So far, we have not recruited any directors or employees. Failure to obtain and maintain a required FOCI mitigation agreement with the DoD and to comply with such agreement and applicable U.S. government industrial security regulations could result in invalidation or termination of the facility security clearances, which in turn would mean that we would not be able to enter into future contracts with the U.S. government requiring facility security clearances. </w:t>
      </w:r>
    </w:p>
    <w:p>
      <w:pPr>
        <w:pStyle w:val="TextBody"/>
        <w:spacing w:before="240" w:after="0"/>
        <w:jc w:val="both"/>
        <w:rPr>
          <w:rFonts w:ascii="Times New Roman" w:hAnsi="Times New Roman"/>
          <w:sz w:val="20"/>
        </w:rPr>
      </w:pPr>
      <w:r>
        <w:rPr>
          <w:rFonts w:ascii="Times New Roman" w:hAnsi="Times New Roman"/>
          <w:sz w:val="20"/>
        </w:rPr>
        <w:t xml:space="preserve">If we or our employees are unable to obtain or retain any necessary security clearances, we may not be able to win new business, bid on new contracts or effectively rebid on expiring contracts. As a result, our business could be materially adversely affected. Further, if we violate the terms of any special security agreement or if we are found to have materially violated U.S. law, we may be suspended or barred from participating in any government contracts, whether classified or unclassified, and we could be subject to civil or criminal penalties. </w:t>
      </w:r>
    </w:p>
    <w:p>
      <w:pPr>
        <w:pStyle w:val="TextBody"/>
        <w:spacing w:before="360" w:after="0"/>
        <w:jc w:val="left"/>
        <w:rPr>
          <w:rFonts w:ascii="Times New Roman" w:hAnsi="Times New Roman"/>
          <w:b/>
          <w:i/>
          <w:sz w:val="20"/>
        </w:rPr>
      </w:pPr>
      <w:r>
        <w:rPr>
          <w:rFonts w:ascii="Times New Roman" w:hAnsi="Times New Roman"/>
          <w:b/>
          <w:i/>
          <w:sz w:val="20"/>
        </w:rPr>
        <w:t xml:space="preserve">Our business is and could become subject to a wide variety of extensive and evolving government laws and regulations. Failure to comply with such laws and regulations could have a material adverse effect on our business. </w:t>
      </w:r>
    </w:p>
    <w:p>
      <w:pPr>
        <w:pStyle w:val="TextBody"/>
        <w:spacing w:before="120" w:after="0"/>
        <w:jc w:val="both"/>
        <w:rPr>
          <w:rFonts w:ascii="Times New Roman" w:hAnsi="Times New Roman"/>
          <w:sz w:val="20"/>
        </w:rPr>
      </w:pPr>
      <w:r>
        <w:rPr>
          <w:rFonts w:ascii="Times New Roman" w:hAnsi="Times New Roman"/>
          <w:sz w:val="20"/>
        </w:rPr>
        <w:t xml:space="preserve">We are subject to a wide variety of laws and regulations relating to various aspects of our business, including with respect to our technology and products, employment and labor, health care, tax, privacy and data security, health and safety, and environmental issues. Laws and regulations at the German and foreign, federal, state and local levels frequently change, especially in relation to new and emerging industries, and we cannot always reasonably predict the impact of, or the ultimate cost of compliance with, current or future regulatory or administrative changes. For example, the implementation of satellite internet via radio frequency generally requires a license, which will only allot a fraction of the available spectrum and requires a costly and time-consuming application process. Laser communication is currently not regulated by the International Telecommunication Union and can therefore be used without restrictions. However, we cannot assure you that comparable regulatory provisions applicable to laser communication will not be introduced. If laser communication becomes subject to extensive regulations, this could have a material adverse effect on our business and prospects.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Changes in law or the imposition of new or additional regulations that apply to our business could negatively impact our performance in various ways, including by limiting our ability to collaborate with partners or customers or by increasing our costs and the time necessary to obtain required authorization. We monitor new developments and devote a significant amount of management’s time and external resources to compliance with these laws and regulations. We cannot assure you, however, that we are and will remain in compliance with all such requirements and, even when we believe we are in compliance, a regulatory agency may determine that we are not. Failure by us, our employees, affiliates, partners or others with whom we work to comply with applicable laws and regulations could result in administrative, civil, commercial or criminal liabilities, including suspension or debarment from government contracts or suspension of our export/import privileges. </w:t>
      </w:r>
    </w:p>
    <w:p>
      <w:pPr>
        <w:pStyle w:val="TextBody"/>
        <w:spacing w:before="360" w:after="0"/>
        <w:jc w:val="left"/>
        <w:rPr>
          <w:rFonts w:ascii="Times New Roman" w:hAnsi="Times New Roman"/>
          <w:b/>
          <w:i/>
          <w:sz w:val="20"/>
        </w:rPr>
      </w:pPr>
      <w:r>
        <w:rPr>
          <w:rFonts w:ascii="Times New Roman" w:hAnsi="Times New Roman"/>
          <w:b/>
          <w:i/>
          <w:sz w:val="20"/>
        </w:rPr>
        <w:t xml:space="preserve">Positive market developments in the area of wireless laser communication could lead to increasingly intense political interest and influence impacting our business. </w:t>
      </w:r>
    </w:p>
    <w:p>
      <w:pPr>
        <w:pStyle w:val="TextBody"/>
        <w:spacing w:before="120" w:after="0"/>
        <w:jc w:val="both"/>
        <w:rPr>
          <w:rFonts w:ascii="Times New Roman" w:hAnsi="Times New Roman"/>
          <w:sz w:val="20"/>
        </w:rPr>
      </w:pPr>
      <w:r>
        <w:rPr>
          <w:rFonts w:ascii="Times New Roman" w:hAnsi="Times New Roman"/>
          <w:sz w:val="20"/>
        </w:rPr>
        <w:t>The reliable provision and expansion of critical infrastructure such as communication networks is at the core of national interests. Constellations (</w:t>
      </w:r>
      <w:r>
        <w:rPr>
          <w:rFonts w:ascii="Times New Roman" w:hAnsi="Times New Roman"/>
          <w:i/>
          <w:sz w:val="20"/>
        </w:rPr>
        <w:t>i.e.</w:t>
      </w:r>
      <w:r>
        <w:rPr>
          <w:rFonts w:ascii="Times New Roman" w:hAnsi="Times New Roman"/>
          <w:sz w:val="20"/>
        </w:rPr>
        <w:t xml:space="preserve">, communication networks consisting of a large volume of satellite or aircraft platforms) could, if successful, become a cornerstone of the communication landscape of the future and we believe that laser communication technology will play a key role in these constellations. A positive development in the constellations and laser communication market could, therefore, lead to increasing political interest and influence impacting our business including, but not limited to, influence from the United States, which we consider our most important market. </w:t>
      </w:r>
    </w:p>
    <w:p>
      <w:pPr>
        <w:pStyle w:val="TextBody"/>
        <w:spacing w:before="240" w:after="0"/>
        <w:jc w:val="both"/>
        <w:rPr>
          <w:rFonts w:ascii="Times New Roman" w:hAnsi="Times New Roman"/>
          <w:sz w:val="20"/>
        </w:rPr>
      </w:pPr>
      <w:r>
        <w:rPr>
          <w:rFonts w:ascii="Times New Roman" w:hAnsi="Times New Roman"/>
          <w:sz w:val="20"/>
        </w:rPr>
        <w:t xml:space="preserve">Changes in laws, regulations, political leadership and environment, and/or security risks may dramatically affect our ability to conduct business in international markets, including sales to customers and purchases from suppliers. In particular, our operations may be impacted by German, U.S. or other national policies and priorities, political decisions and geopolitical relationships, any of which may be influenced by changes in the threat environment, political leadership, geopolitical uncertainties, world events, bilateral and multi-lateral relationships and economic and political factors. This is particularly relevant in light of the decision by the German government in July 2020 to ban the shipment of spaceborne laser communication terminals to customers in China, which included the shipment of our laser communication products to a Chinese customer, as a result of which we decided to exit the Chinese market. Due to the German government’s export ban, we lost a potential major market for our products and, if we do not prevail in our lawsuit before the Administrative Court of Berlin challenging the export ban, we are at significant risk of not being adequately compensated for the loss of business or at all. See “Item 4. Information on the Company—B. Business—Legal Proceedings.” We have only limited options for containing these risks and the occurrence and impact of any of these factors is difficult to predict, but one or more of them could have a material adverse effect on our financial position, results of operations and/or cash flows. </w:t>
      </w:r>
    </w:p>
    <w:p>
      <w:pPr>
        <w:pStyle w:val="TextBody"/>
        <w:spacing w:before="240" w:after="0"/>
        <w:jc w:val="both"/>
        <w:rPr>
          <w:rFonts w:ascii="Times New Roman" w:hAnsi="Times New Roman"/>
          <w:sz w:val="20"/>
        </w:rPr>
      </w:pPr>
      <w:r>
        <w:rPr>
          <w:rFonts w:ascii="Times New Roman" w:hAnsi="Times New Roman"/>
          <w:sz w:val="20"/>
        </w:rPr>
        <w:t xml:space="preserve">In addition, due to the significant increase in both government and commercial space activities in recent years, in particular the number of constellations that are expected to be deployed, industry experts are increasingly concerned that there is a potential for LEO to become overcrowded and polluted with both active satellites and space debris such that future space endeavors could be more difficult, if not impossible. Outer space remains largely unregulated and there is little to no consensus on standards for space situational awareness, space traffic management, space debris mitigation or space sustainability. A new treaty-like mechanism will be difficult to achieve given the lack of political will and the inability to develop consensus among major governmental space powers. Equally challenging are definitional issues and the dual-use nature of outer space, which makes it difficult to frame appropriate rules. Without coherent international actions to address the risk of debris, it falls on private space companies to adopt responsible satellite design and operational practices to ensure a sustainable space environment. If the risk of increasing satellite collisions materializes, there could be a statutory limit on the number of constellations that can actually be deployed, which would in turn significantly increase competition. </w:t>
      </w:r>
    </w:p>
    <w:p>
      <w:pPr>
        <w:pStyle w:val="TextBody"/>
        <w:spacing w:before="360" w:after="0"/>
        <w:jc w:val="left"/>
        <w:rPr>
          <w:rFonts w:ascii="Times New Roman" w:hAnsi="Times New Roman"/>
          <w:b/>
          <w:i/>
          <w:sz w:val="20"/>
        </w:rPr>
      </w:pPr>
      <w:r>
        <w:rPr>
          <w:rFonts w:ascii="Times New Roman" w:hAnsi="Times New Roman"/>
          <w:b/>
          <w:i/>
          <w:sz w:val="20"/>
        </w:rPr>
        <w:t xml:space="preserve">Regulations related to conflict minerals and other supply chain regulations such as the German Supply Chain Act may cause us to incur additional expenses and could limit the supply and increase the costs of certain metals and other materials used in the manufacturing of our products. </w:t>
      </w:r>
    </w:p>
    <w:p>
      <w:pPr>
        <w:pStyle w:val="TextBody"/>
        <w:spacing w:before="120" w:after="0"/>
        <w:jc w:val="both"/>
        <w:rPr>
          <w:rFonts w:ascii="Times New Roman" w:hAnsi="Times New Roman"/>
          <w:sz w:val="20"/>
        </w:rPr>
      </w:pPr>
      <w:r>
        <w:rPr>
          <w:rFonts w:ascii="Times New Roman" w:hAnsi="Times New Roman"/>
          <w:sz w:val="20"/>
        </w:rPr>
        <w:t xml:space="preserve">We may be required under the Dodd-Frank Wall Street Reform and Consumer Protection Act of 2010 (Dodd-Frank Act) to determine, disclose and report whether our products contain “conflict minerals” (tin, tungsten, tantalum and gold). Regulation (EU) 2017/821 of the European Parliament and of the Council of 17 May 2017, setting forth supply chain due diligence obligations for European Union importers of tin, tantalum and tungsten, their ores, and gold originating from conflict-affected and high-risk areas, contains similar obligations (European Union Conflict Minerals Regulation).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Even though our production is not dependent on such minerals and we do not import such minerals directly, the electronic components we use in our products may contain such minerals and, as a consequence, we may be required to comply with these requirements and procedures. The implementation of these requirements could adversely affect the sourcing, availability and pricing of the materials used in the manufacture of components used in our products. In addition, we may incur additional costs to comply with the disclosure requirements, including costs related to conducting diligence procedures to determine the sources of conflict minerals that may be used in or necessary to the production of our products and, if applicable, potential changes to products, processes, or sources of supply as a consequence of such verification activities. We may also face reputational challenges if we determine that certain of our products contain minerals that are not determined to be conflict-free. </w:t>
      </w:r>
    </w:p>
    <w:p>
      <w:pPr>
        <w:pStyle w:val="TextBody"/>
        <w:spacing w:before="240" w:after="0"/>
        <w:jc w:val="both"/>
        <w:rPr>
          <w:rFonts w:ascii="Times New Roman" w:hAnsi="Times New Roman"/>
          <w:sz w:val="20"/>
        </w:rPr>
      </w:pPr>
      <w:r>
        <w:rPr>
          <w:rFonts w:ascii="Times New Roman" w:hAnsi="Times New Roman"/>
          <w:sz w:val="20"/>
        </w:rPr>
        <w:t>In addition, in June 2021, the German legislature passed the Supply Chain Act (</w:t>
      </w:r>
      <w:r>
        <w:rPr>
          <w:rFonts w:ascii="Times New Roman" w:hAnsi="Times New Roman"/>
          <w:i/>
          <w:sz w:val="20"/>
        </w:rPr>
        <w:t>Lieferkettensorgfaltspflichtengesetz</w:t>
      </w:r>
      <w:r>
        <w:rPr>
          <w:rFonts w:ascii="Times New Roman" w:hAnsi="Times New Roman"/>
          <w:sz w:val="20"/>
        </w:rPr>
        <w:t xml:space="preserve">), which came into force on January 1, 2023. The Supply Chain Act imposes significant obligations on companies that source their products and services through supply chains from developing and emerging countries and sell them in Germany to comply with human rights and environmental standards, and exposes them to potentially serious liability in the event of violations. The Supply Chain Act currently does not apply to us because we have less than 1,000 employees in Germany. </w:t>
      </w:r>
    </w:p>
    <w:p>
      <w:pPr>
        <w:pStyle w:val="TextBody"/>
        <w:spacing w:before="360" w:after="0"/>
        <w:jc w:val="left"/>
        <w:rPr>
          <w:rFonts w:ascii="Times New Roman" w:hAnsi="Times New Roman"/>
          <w:b/>
          <w:sz w:val="20"/>
        </w:rPr>
      </w:pPr>
      <w:r>
        <w:rPr>
          <w:rFonts w:ascii="Times New Roman" w:hAnsi="Times New Roman"/>
          <w:b/>
          <w:sz w:val="20"/>
        </w:rPr>
        <w:t xml:space="preserve">Legal and Tax Risks </w:t>
      </w:r>
    </w:p>
    <w:p>
      <w:pPr>
        <w:pStyle w:val="TextBody"/>
        <w:spacing w:before="120" w:after="0"/>
        <w:jc w:val="left"/>
        <w:rPr>
          <w:rFonts w:ascii="Times New Roman" w:hAnsi="Times New Roman"/>
          <w:b/>
          <w:i/>
          <w:sz w:val="20"/>
        </w:rPr>
      </w:pPr>
      <w:r>
        <w:rPr>
          <w:rFonts w:ascii="Times New Roman" w:hAnsi="Times New Roman"/>
          <w:b/>
          <w:i/>
          <w:sz w:val="20"/>
        </w:rPr>
        <w:t xml:space="preserve">We may be unable to adequately protect our intellectual property and proprietary rights and prevent others from making unauthorized use of our products and technology. </w:t>
      </w:r>
    </w:p>
    <w:p>
      <w:pPr>
        <w:pStyle w:val="TextBody"/>
        <w:spacing w:before="120" w:after="0"/>
        <w:jc w:val="both"/>
        <w:rPr>
          <w:rFonts w:ascii="Times New Roman" w:hAnsi="Times New Roman"/>
          <w:sz w:val="20"/>
        </w:rPr>
      </w:pPr>
      <w:r>
        <w:rPr>
          <w:rFonts w:ascii="Times New Roman" w:hAnsi="Times New Roman"/>
          <w:sz w:val="20"/>
        </w:rPr>
        <w:t xml:space="preserve">Our success and competitiveness depends, in significant part, on our ability to protect our intellectual property rights, including our laser communication technology and certain other practices, tools, technologies and technical expertise we utilize in designing, developing, implementing and maintaining applications and processes used in our products. To date, we have relied exclusively on trade secrets and other intellectual property laws, non-disclosure agreements with our employees, consultants, vendors, customers and other relevant persons and other measures to protect our intellectual property, and intend to continue to rely on these and other means. </w:t>
      </w:r>
    </w:p>
    <w:p>
      <w:pPr>
        <w:pStyle w:val="TextBody"/>
        <w:spacing w:before="240" w:after="0"/>
        <w:jc w:val="both"/>
        <w:rPr>
          <w:rFonts w:ascii="Times New Roman" w:hAnsi="Times New Roman"/>
          <w:sz w:val="20"/>
        </w:rPr>
      </w:pPr>
      <w:r>
        <w:rPr>
          <w:rFonts w:ascii="Times New Roman" w:hAnsi="Times New Roman"/>
          <w:sz w:val="20"/>
        </w:rPr>
        <w:t xml:space="preserve">For strategic reasons, we do not protect our intellectual property by filing patent applications related to our technology, inventions and improvements. Even if we filed patent applications and patents were granted, we cannot assure you we would be fully protected against third parties as those patents may not be sufficiently broad in their coverage, may not be economically significant, or may not provide us with any competitive advantage. Competitors may be able to design around any patents and develop products that provide outcomes comparable or superior to ours. Furthermore, the filing of a patent would entail the disclosure of our know-how, and breaches of patent rights related to a wrongful use of this know-how would be difficult to enforce in the international landscape. We believe that our intellectual property strategy differs significantly from the strategies of others involved in the laser communication market, many of whom have extensive patent portfolios and rely heavily on intellectual property registrations to enforce their intellectual property rights. As a result of this discrepancy in strategy, we may be at a competitive disadvantage with respect to the strength of our intellectual property protection. Unlike others involved in the laser communication market, who generally have patents providing exclusive control over their innovations, we have no recourse against any entity that independently creates the same technology as ours or legitimately reverse-engineers our technology. </w:t>
      </w:r>
    </w:p>
    <w:p>
      <w:pPr>
        <w:pStyle w:val="TextBody"/>
        <w:spacing w:before="240" w:after="0"/>
        <w:jc w:val="both"/>
        <w:rPr>
          <w:rFonts w:ascii="Times New Roman" w:hAnsi="Times New Roman"/>
          <w:sz w:val="20"/>
        </w:rPr>
      </w:pPr>
      <w:r>
        <w:rPr>
          <w:rFonts w:ascii="Times New Roman" w:hAnsi="Times New Roman"/>
          <w:sz w:val="20"/>
        </w:rPr>
        <w:t xml:space="preserve">We generally enter into non-disclosure agreements with our employees, consultants and other parties with whom we have strategic relationships and business alliances. We have also entered into license agreements with various collaboration partners. We cannot, however, assure you that these agreements will be effective in controlling access to and distribution of our technology and proprietary information. Since we do not protect our intellectual property by filing patent applications, we rely on our personnel to protect our trade secrets, know-how and other proprietary information to a greater degree than we would if we had patent protection for our intellectual property. In jurisdictions in which our research and development is not protected by similar agreements, there is no protection against the manufacture and marketing of identical or comparable research and development by third parties, who are generally free to use, independently develop, and sell our developments and technologies without paying license or royalty fees. Furthermore, our former employees may perform work for our competitors and use our know-how in performing this work. As we scale our business to support serial production of our laser communication products for new customers by hiring personnel and entering into contracts with third parties, the risks associated with breaches of non-disclosure agreements, confidentiality agreements and other agreements pertaining to our technology and proprietary information will increase.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We may come to believe that third parties are infringing on, or otherwise violating, our intellectual property or other proprietary rights. To prevent infringement or unauthorized use, we may need to file infringement and/or misappropriation suits, which are expensive and time-consuming, could result in meritorious counterclaims against us and would distract management’s attention. In addition, in an infringement or misappropriation proceeding, a court may decide that one or more of our intellectual property rights is invalid, unenforceable, or both, in which case third parties may be able to use our technology without paying license fees or royalties. If we are unable to protect our intellectual property and proprietary rights, we may be unable to prevent competitors from using our own inventions and intellectual property to compete against us, and our competitive position may be harmed. </w:t>
      </w:r>
    </w:p>
    <w:p>
      <w:pPr>
        <w:pStyle w:val="TextBody"/>
        <w:spacing w:before="360" w:after="0"/>
        <w:jc w:val="left"/>
        <w:rPr>
          <w:rFonts w:ascii="Times New Roman" w:hAnsi="Times New Roman"/>
          <w:b/>
          <w:i/>
          <w:sz w:val="20"/>
        </w:rPr>
      </w:pPr>
      <w:r>
        <w:rPr>
          <w:rFonts w:ascii="Times New Roman" w:hAnsi="Times New Roman"/>
          <w:b/>
          <w:i/>
          <w:sz w:val="20"/>
        </w:rPr>
        <w:t xml:space="preserve">We may be involved in legal proceedings based on the alleged violation of intellectual property rights, such as patent or trademark infringement claims, which may be time-consuming and incur substantial costs. </w:t>
      </w:r>
    </w:p>
    <w:p>
      <w:pPr>
        <w:pStyle w:val="TextBody"/>
        <w:spacing w:before="120" w:after="0"/>
        <w:jc w:val="both"/>
        <w:rPr>
          <w:rFonts w:ascii="Times New Roman" w:hAnsi="Times New Roman"/>
          <w:sz w:val="20"/>
        </w:rPr>
      </w:pPr>
      <w:r>
        <w:rPr>
          <w:rFonts w:ascii="Times New Roman" w:hAnsi="Times New Roman"/>
          <w:sz w:val="20"/>
        </w:rPr>
        <w:t xml:space="preserve">Our industry is characterized by competing intellectual property. We may, therefore, be subject to legal actions for violating intellectual property rights of others, including claims that competitors, collaborators or former employees have an interest in our trade secrets or other intellectual property, and as a result could be subject to significant litigation or licensing costs or face obstacles to selling our products. </w:t>
      </w:r>
    </w:p>
    <w:p>
      <w:pPr>
        <w:pStyle w:val="TextBody"/>
        <w:spacing w:before="240" w:after="0"/>
        <w:jc w:val="both"/>
        <w:rPr>
          <w:rFonts w:ascii="Times New Roman" w:hAnsi="Times New Roman"/>
          <w:sz w:val="20"/>
        </w:rPr>
      </w:pPr>
      <w:r>
        <w:rPr>
          <w:rFonts w:ascii="Times New Roman" w:hAnsi="Times New Roman"/>
          <w:sz w:val="20"/>
        </w:rPr>
        <w:t xml:space="preserve">As the number of competitors in the market for laser communication grows, the possibility of infringement claims against us increases. Established market players may invest significant resources and capital to protect their intellectual property and scan the market for potential violations, and in many cases our competitors have well-developed patent and intellectual property rights strategies in place. There is generally a heightened risk that inquiries or legal proceedings based on the alleged violation of intellectual property rights are initiated by competitors that develop and test technologies similar to ours, particularly because our competitors may easily determine that we lack the ability to make counter-assertions because of our intellectual property strategy. Some of our competitors may be able to sustain the costs of complex intellectual property litigation more effectively than we can, particularly if they have substantially greater resources. Defending against such litigation is costly and time consuming due to the complexity of our technology and the uncertainty of intellectual property litigation, and would distract our management from our business. Without the protection afforded by patents, the costs we incur defending against such litigation may be greater than the costs incurred by our competitors who have received patent protection for their technologies. Furthermore, we may be required to incur greater costs than our competitors who have received patent protection for their technologies, as we lack the ability to offer cross-licensing arrangements for patents of our own. In addition, any uncertainties resulting from the initiation and continuation of any litigation could have a material adverse effect on our ability to raise the funds necessary to continue our operations. </w:t>
      </w:r>
    </w:p>
    <w:p>
      <w:pPr>
        <w:pStyle w:val="TextBody"/>
        <w:spacing w:before="240" w:after="0"/>
        <w:jc w:val="both"/>
        <w:rPr>
          <w:rFonts w:ascii="Times New Roman" w:hAnsi="Times New Roman"/>
          <w:sz w:val="20"/>
        </w:rPr>
      </w:pPr>
      <w:r>
        <w:rPr>
          <w:rFonts w:ascii="Times New Roman" w:hAnsi="Times New Roman"/>
          <w:sz w:val="20"/>
        </w:rPr>
        <w:t xml:space="preserve">In the event that we become subject to a patent infringement or other intellectual property lawsuit and if the relevant patents or other intellectual property were upheld as valid and enforceable and we were found to infringe or violate those rights or the terms of a license to which we are a party, we could be prevented from selling any infringing products of ours unless we could obtain a license or were able to redesign the product to avoid infringement. If we are unable to obtain a license or successfully redesign, we might be prevented from selling our technology or products. If we are able to redesign, we may need to invest substantial resources in the redesign process. If there is an allegation or determination that we have infringed the intellectual property rights of a competitor or other person, we may be required to pay damages, a settlement or ongoing royalties, or we may be required to enter into cross-licenses with our competitors or we may be required to cease using certain technologies or abruptly change the focus of our development efforts so as to avoid infringing the rights of third parties. In any of these circumstances, we may be unable to sell our products at competitive prices or at all and our financial condition, results of operations, prospects and reputation could be harmed. </w:t>
      </w:r>
    </w:p>
    <w:p>
      <w:pPr>
        <w:pStyle w:val="TextBody"/>
        <w:spacing w:before="240" w:after="0"/>
        <w:jc w:val="both"/>
        <w:rPr>
          <w:rFonts w:ascii="Times New Roman" w:hAnsi="Times New Roman"/>
          <w:sz w:val="20"/>
        </w:rPr>
      </w:pPr>
      <w:r>
        <w:rPr>
          <w:rFonts w:ascii="Times New Roman" w:hAnsi="Times New Roman"/>
          <w:sz w:val="20"/>
        </w:rPr>
        <w:t xml:space="preserve">Furthermore, a licensor, collaborator, employee, consultant, adviser or other third party may dispute our or our licensor’s ownership of certain intellectual property rights. We seek to address these concerns in our contractual agreements; however, we may not have contractual arrangements with the party in question or these provisions may not be effective. If these provisions prove to be ineffective or if we or our licensors fail in defending any such claims, we may have to pay monetary damages and may lose valuable intellectual property rights, such as ownership of, or right to use, intellectual property, which could adversely impact our business, financial condition and results of operations. </w:t>
      </w:r>
    </w:p>
    <w:p>
      <w:pPr>
        <w:pStyle w:val="TextBody"/>
        <w:spacing w:before="240" w:after="0"/>
        <w:jc w:val="both"/>
        <w:rPr>
          <w:rFonts w:ascii="Times New Roman" w:hAnsi="Times New Roman"/>
          <w:sz w:val="20"/>
        </w:rPr>
      </w:pPr>
      <w:r>
        <w:rPr>
          <w:rFonts w:ascii="Times New Roman" w:hAnsi="Times New Roman"/>
          <w:sz w:val="20"/>
        </w:rPr>
        <w:t xml:space="preserve">In addition, we may be required to indemnify our customers against claims relating to the infringement of intellectual property rights of third parties related to our products. Third parties may assert infringement claims against our customers. These claims may require us to initiate or defend protracted and costly litigation on behalf of our customers, regardless of the merits of these claims. If any of these claims succeed, we may be forced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pay damages on behalf of our customers, or may be required to obtain licenses for the products or services they use. If we cannot obtain all necessary licenses on commercially reasonable terms, our customers may be forced to stop using our products. </w:t>
      </w:r>
    </w:p>
    <w:p>
      <w:pPr>
        <w:pStyle w:val="TextBody"/>
        <w:spacing w:before="240" w:after="0"/>
        <w:jc w:val="both"/>
        <w:rPr>
          <w:rFonts w:ascii="Times New Roman" w:hAnsi="Times New Roman"/>
          <w:sz w:val="20"/>
        </w:rPr>
      </w:pPr>
      <w:r>
        <w:rPr>
          <w:rFonts w:ascii="Times New Roman" w:hAnsi="Times New Roman"/>
          <w:sz w:val="20"/>
        </w:rPr>
        <w:t xml:space="preserve">Due to the substantial amount of discovery required in connection with intellectual property litigation, there is a risk that some of our confidential information could be compromised by disclosure during discovery. There could also be public announcements of the results of hearings, motions or other interim proceedings or developments, which could have a material adverse effect on the price of the American Depositary Shares (“ADSs”). If securities analysts or investors perceive these results to be negative, it could have a material adverse effect on the price of the ADSs. </w:t>
      </w:r>
    </w:p>
    <w:p>
      <w:pPr>
        <w:pStyle w:val="TextBody"/>
        <w:spacing w:before="360" w:after="0"/>
        <w:jc w:val="left"/>
        <w:rPr>
          <w:rFonts w:ascii="Times New Roman" w:hAnsi="Times New Roman"/>
          <w:b/>
          <w:i/>
          <w:sz w:val="20"/>
        </w:rPr>
      </w:pPr>
      <w:r>
        <w:rPr>
          <w:rFonts w:ascii="Times New Roman" w:hAnsi="Times New Roman"/>
          <w:b/>
          <w:i/>
          <w:sz w:val="20"/>
        </w:rPr>
        <w:t xml:space="preserve">We have been and may become involved in litigation and administrative and regulatory proceedings, which require significant attention from our management and could result in significant expense to us and disruptions to our business. </w:t>
      </w:r>
    </w:p>
    <w:p>
      <w:pPr>
        <w:pStyle w:val="TextBody"/>
        <w:spacing w:before="120" w:after="0"/>
        <w:jc w:val="both"/>
        <w:rPr>
          <w:rFonts w:ascii="Times New Roman" w:hAnsi="Times New Roman"/>
          <w:sz w:val="20"/>
        </w:rPr>
      </w:pPr>
      <w:r>
        <w:rPr>
          <w:rFonts w:ascii="Times New Roman" w:hAnsi="Times New Roman"/>
          <w:sz w:val="20"/>
        </w:rPr>
        <w:t>We have been and may become involved in lawsuits and administrative and regulatory proceedings relating to our business, such as commercial contract claims, labor disputes with our employees, proceedings initiated by public authorities or other examinations and investigations. For example, in 2020 the German Federal Financial Supervisory Authority (</w:t>
      </w:r>
      <w:r>
        <w:rPr>
          <w:rFonts w:ascii="Times New Roman" w:hAnsi="Times New Roman"/>
          <w:i/>
          <w:sz w:val="20"/>
        </w:rPr>
        <w:t>Bundesanstalt für Finanzdienstleistungsaufsicht</w:t>
      </w:r>
      <w:r>
        <w:rPr>
          <w:rFonts w:ascii="Times New Roman" w:hAnsi="Times New Roman"/>
          <w:sz w:val="20"/>
        </w:rPr>
        <w:t xml:space="preserve">, “BaFin”) initiated an investigation against us on the grounds of the alleged omission of an ad hoc disclosure under the ad hoc disclosure obligation of Article 17 para. 1 of the European Market Abuse Regulation (“MAR”). On January 14, 2020, we had announced, by means of a press release published on our website, that we had entered into a new multi-million Euro contract with a space customer. BaFin argued that the conclusion of this contract would have fallen under the ad hoc disclosure obligation of Article 17 para. 1 MAR, and that the publication on our website did not satisfy this obligation. On March 20, 2023, BaFin imposed an administrative fine amounting to €150,000 in this matter. The administrative fine order is final and binding. In 2021, we received two additional notifications from BaFin relating to the alleged delay of an ad hoc disclosure under the ad hoc disclosure obligation of Article 17 para. 1 MAR both of which were dropped. See “Item 4. Information on the Company—B. Business Overview—Legal Proceedings.” </w:t>
      </w:r>
    </w:p>
    <w:p>
      <w:pPr>
        <w:pStyle w:val="TextBody"/>
        <w:spacing w:before="240" w:after="0"/>
        <w:jc w:val="both"/>
        <w:rPr>
          <w:rFonts w:ascii="Times New Roman" w:hAnsi="Times New Roman"/>
          <w:sz w:val="20"/>
        </w:rPr>
      </w:pPr>
      <w:r>
        <w:rPr>
          <w:rFonts w:ascii="Times New Roman" w:hAnsi="Times New Roman"/>
          <w:sz w:val="20"/>
        </w:rPr>
        <w:t>Furthermore, we are currently subject to a German wage tax audit (</w:t>
      </w:r>
      <w:r>
        <w:rPr>
          <w:rFonts w:ascii="Times New Roman" w:hAnsi="Times New Roman"/>
          <w:i/>
          <w:sz w:val="20"/>
        </w:rPr>
        <w:t>Lohnsteuerprüfung</w:t>
      </w:r>
      <w:r>
        <w:rPr>
          <w:rFonts w:ascii="Times New Roman" w:hAnsi="Times New Roman"/>
          <w:sz w:val="20"/>
        </w:rPr>
        <w:t xml:space="preserve">) for the years 2017 to August 2021, in particular with respect to the compensation of a former member of our management board. We believe that the ultimate outcome of this audit will not have a material adverse effect on our financial position, cash flows or overall trends in results of operations. The maximum potential total tax liability related to these matters is estimated to be approximately €240 thousand, plus interest and penalties. </w:t>
      </w:r>
    </w:p>
    <w:p>
      <w:pPr>
        <w:pStyle w:val="TextBody"/>
        <w:spacing w:before="240" w:after="0"/>
        <w:jc w:val="both"/>
        <w:rPr>
          <w:rFonts w:ascii="Times New Roman" w:hAnsi="Times New Roman"/>
          <w:sz w:val="20"/>
        </w:rPr>
      </w:pPr>
      <w:r>
        <w:rPr>
          <w:rFonts w:ascii="Times New Roman" w:hAnsi="Times New Roman"/>
          <w:sz w:val="20"/>
        </w:rPr>
        <w:t xml:space="preserve">Some of these proceedings may result in significant monetary damages or cause reputational harm. Due to the inherent uncertainties of litigation and regulatory proceedings, we cannot accurately predict the ultimate outcome of any proceeding. An unfavorable outcome could materially adversely affect our business, financial condition and results of operations or limit our ability to engage in certain of our business activities. In addition, regardless of the outcome of any litigation, administrative or regulatory proceeding, such proceedings may be expensive, time-consuming, disruptive to normal business operations and require significant attention from our management. </w:t>
      </w:r>
    </w:p>
    <w:p>
      <w:pPr>
        <w:pStyle w:val="TextBody"/>
        <w:spacing w:before="360" w:after="0"/>
        <w:jc w:val="left"/>
        <w:rPr>
          <w:rFonts w:ascii="Times New Roman" w:hAnsi="Times New Roman"/>
          <w:b/>
          <w:i/>
          <w:sz w:val="20"/>
        </w:rPr>
      </w:pPr>
      <w:r>
        <w:rPr>
          <w:rFonts w:ascii="Times New Roman" w:hAnsi="Times New Roman"/>
          <w:b/>
          <w:i/>
          <w:sz w:val="20"/>
        </w:rPr>
        <w:t xml:space="preserve">We may be subject to claims that our employees, consultants or advisers have wrongfully used or disclosed alleged trade secrets of their former employers. </w:t>
      </w:r>
    </w:p>
    <w:p>
      <w:pPr>
        <w:pStyle w:val="TextBody"/>
        <w:spacing w:before="120" w:after="0"/>
        <w:jc w:val="both"/>
        <w:rPr>
          <w:rFonts w:ascii="Times New Roman" w:hAnsi="Times New Roman"/>
          <w:sz w:val="20"/>
        </w:rPr>
      </w:pPr>
      <w:r>
        <w:rPr>
          <w:rFonts w:ascii="Times New Roman" w:hAnsi="Times New Roman"/>
          <w:sz w:val="20"/>
        </w:rPr>
        <w:t xml:space="preserve">Some of our employees, consultants and advisers, including our senior management, were previously employed at other companies that are engaged in the development or production of laser communication technology or products. Some of these employees, consultants and advisers, including members of our senior management, may have executed proprietary rights, nondisclosure and/or non-competition agreements in connection with their previous employment. We try to ensure that these individuals do not use the proprietary information or know-how of others in their work for us. However, we may be subject to claims that we or these employees have used or disclosed intellectual property, including trade secrets or other proprietary information, of any such former employer. We are not aware of any such disclosures, or threatened or pending claims related to these matters, but in the future, litigation may be necessary to defend against such claims. Even if we are successful in defending against such claims, litigation could result in substantial costs and be a distraction to our management. If we fail in defending any such claims, we may lose valuable intellectual property rights or personnel, in addition to possibly paying monetary damages or being enjoined from conducting our business as contemplated.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We may become exposed to unforeseen tax consequences as a result of operating across borders and in multiple jurisdictions. </w:t>
      </w:r>
    </w:p>
    <w:p>
      <w:pPr>
        <w:pStyle w:val="TextBody"/>
        <w:spacing w:before="120" w:after="0"/>
        <w:jc w:val="both"/>
        <w:rPr>
          <w:rFonts w:ascii="Times New Roman" w:hAnsi="Times New Roman"/>
          <w:sz w:val="20"/>
        </w:rPr>
      </w:pPr>
      <w:r>
        <w:rPr>
          <w:rFonts w:ascii="Times New Roman" w:hAnsi="Times New Roman"/>
          <w:sz w:val="20"/>
        </w:rPr>
        <w:t xml:space="preserve">The more markets in which we operate, the greater our exposure to unforeseen tax consequences. Any expansion internationally would increase the tax risks we face associated with international operations, including expanded compliance with potentially conflicting and changing laws of taxing jurisdictions where we do business such as Germany and the United States, the complexity and adverse consequences of such tax laws, and potentially adverse tax consequences due to changes in such tax laws. Any changes in applicable tax laws and tax rates in the jurisdictions we are operating in, in particular Germany and the United States, would have a material adverse effect on our results of operations and harm our profitability. </w:t>
      </w:r>
    </w:p>
    <w:p>
      <w:pPr>
        <w:pStyle w:val="TextBody"/>
        <w:spacing w:before="360" w:after="0"/>
        <w:jc w:val="left"/>
        <w:rPr>
          <w:rFonts w:ascii="Times New Roman" w:hAnsi="Times New Roman"/>
          <w:b/>
          <w:sz w:val="20"/>
        </w:rPr>
      </w:pPr>
      <w:r>
        <w:rPr>
          <w:rFonts w:ascii="Times New Roman" w:hAnsi="Times New Roman"/>
          <w:b/>
          <w:sz w:val="20"/>
        </w:rPr>
        <w:t xml:space="preserve">Compliance Risks </w:t>
      </w:r>
    </w:p>
    <w:p>
      <w:pPr>
        <w:pStyle w:val="TextBody"/>
        <w:spacing w:before="120" w:after="0"/>
        <w:jc w:val="left"/>
        <w:rPr>
          <w:rFonts w:ascii="Times New Roman" w:hAnsi="Times New Roman"/>
          <w:b/>
          <w:i/>
          <w:sz w:val="20"/>
        </w:rPr>
      </w:pPr>
      <w:r>
        <w:rPr>
          <w:rFonts w:ascii="Times New Roman" w:hAnsi="Times New Roman"/>
          <w:b/>
          <w:i/>
          <w:sz w:val="20"/>
        </w:rPr>
        <w:t xml:space="preserve">We have identified material weaknesses in our internal control over financial reporting. If we are unable to successfully remediate these material weaknesses and to maintain an effective system of internal control over financial reporting, we may not be able to accurately report our financial results or prevent fraud. </w:t>
      </w:r>
    </w:p>
    <w:p>
      <w:pPr>
        <w:pStyle w:val="TextBody"/>
        <w:spacing w:before="120" w:after="0"/>
        <w:jc w:val="both"/>
        <w:rPr>
          <w:rFonts w:ascii="Times New Roman" w:hAnsi="Times New Roman"/>
          <w:sz w:val="20"/>
        </w:rPr>
      </w:pPr>
      <w:r>
        <w:rPr>
          <w:rFonts w:ascii="Times New Roman" w:hAnsi="Times New Roman"/>
          <w:sz w:val="20"/>
        </w:rPr>
        <w:t xml:space="preserve">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connection with our listing on The Nasdaq Stock Market LLC (“Nasdaq”), we are subject to Section 404 of the Sarbanes-Oxley Act, which requires the management of U.S. public companies to develop and implement internal control over financial reporting and to evaluate their effectiveness. </w:t>
      </w:r>
    </w:p>
    <w:p>
      <w:pPr>
        <w:pStyle w:val="TextBody"/>
        <w:spacing w:before="240" w:after="0"/>
        <w:jc w:val="both"/>
        <w:rPr>
          <w:rFonts w:ascii="Times New Roman" w:hAnsi="Times New Roman"/>
          <w:sz w:val="20"/>
        </w:rPr>
      </w:pPr>
      <w:r>
        <w:rPr>
          <w:rFonts w:ascii="Times New Roman" w:hAnsi="Times New Roman"/>
          <w:sz w:val="20"/>
        </w:rPr>
        <w:t xml:space="preserve">Our management assessed the effectiveness of our internal control over financial reporting based on the criteria established in the SEC guidance on conducting such assessments as of December 31, 2022. Our management conducted the assessment based on certain criteria established in the Internal Control Integrated Framework issued by the Committee of Sponsoring Organizations (COSO) of the Treadway Commission in 2013. Based on such evaluation, our co-chief executive officers and chief financial officer have concluded that as of December 31, 2022, our internal controls over financial reporting were not effective. </w:t>
      </w:r>
    </w:p>
    <w:p>
      <w:pPr>
        <w:pStyle w:val="TextBody"/>
        <w:spacing w:before="240" w:after="0"/>
        <w:jc w:val="both"/>
        <w:rPr>
          <w:rFonts w:ascii="Times New Roman" w:hAnsi="Times New Roman"/>
          <w:sz w:val="20"/>
        </w:rPr>
      </w:pPr>
      <w:r>
        <w:rPr>
          <w:rFonts w:ascii="Times New Roman" w:hAnsi="Times New Roman"/>
          <w:sz w:val="20"/>
        </w:rPr>
        <w:t xml:space="preserve">We have remediated a previously reported material weakness in our internal controls relating to a lack of effective communication and information flows which allows the accounting department to be aware of details of relevant material transactions/agreements. However, the following material weaknesses in our internal controls existed as of December 31, 2022: (i) a lack of sufficient resources with an appropriate level of technical accounting and SEC reporting experience and clearly defined roles within the finance and accounting functions, (ii) insufficient risk assessment procedures necessary to ensure the completeness of processes and identification of required internal controls over financial reporting, (iii) a lack of design and operating effectiveness of controls in accounting process which can prevent material misstatements in a timely manner, (iv) a lack of controls related to inventory valuation, (v) a lack of design and operating effectiveness of general information technology controls (GITC) for information systems that are relevant to the preparation of the consolidated financial statements and (vi) a failure to implement sufficient monitoring controls ensuring that corrective action is taken when implemented controls do not operate as designed. </w:t>
      </w:r>
    </w:p>
    <w:p>
      <w:pPr>
        <w:pStyle w:val="TextBody"/>
        <w:spacing w:before="240" w:after="0"/>
        <w:jc w:val="both"/>
        <w:rPr>
          <w:rFonts w:ascii="Times New Roman" w:hAnsi="Times New Roman"/>
          <w:sz w:val="20"/>
        </w:rPr>
      </w:pPr>
      <w:r>
        <w:rPr>
          <w:rFonts w:ascii="Times New Roman" w:hAnsi="Times New Roman"/>
          <w:sz w:val="20"/>
        </w:rPr>
        <w:t xml:space="preserve">While we have developed a remediation plan to address our material weaknesses, this remediation plan or any additional plan we plan to implement may be insufficient to address our material weaknesses and additional material weaknesses may be discovered in the future. As part of this plan, we engaged and continue to engage in the following remediation efforts: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hired additional resources to support our accounting and financial reporting functions in Germany and the United States (US), including a Head of Accounting Principles, a SOX Manager and a Head of Accounting in the US, who each have the requisite background and knowledge in the application of IFRS. We will continue to hire additional staff, accountants and controller with the IFRS knowledge and additional resources with an appropriate level of SEC reporting experience in 2023. In 2022, we hired external consultants dedicated to managing complex accounting topics with experience in IFRS who will continue to support our accounting and financial reporting functions in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key components of our remediation plans in fiscal 2023 are as follows: (i) enhance the execution of our risk assessment activities by evaluating whether the design of our internal controls appropriately addresses the risks in our business processes and changes in the business (including changes to people, processes and systems) that could impact our system of internal controls; (ii) review our current processes, procedures and systems to identify opportunities to enhance the design of each process and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to design and implement additional control activities that can prevent material misstatements; (iii) develop and roll-out a process to manage the valuation of inventory in combination with quarterly meetings with all stakeholders to agree on production and forecasts. Design and implement controls that address the valuation of inventory, including control activities associated with the review of data used and the appropriateness of the assumptions and methodology used to determine the net realizable value; (iv) create greater awareness and continuously improve the system of internal control over financial reporting by: (x) investments in state-of-the-art tools to support internal controls over financial reporting on the software / IT side and financial statement closing and reporting, (y) establishing an “Internal Controls Manual” (including communication and training) and continuous monitoring of defined controls, and (z) implementation of a global “Ethics Hotline.”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finalized the implementation of SAP ERP S4/HANA for the German and U.S. based group companies in April 2022 and initiated a project to formalize policies and procedures and finalize the design and implementation of internal controls relating to GITCs for our IT systems. </w:t>
            </w:r>
          </w:p>
        </w:tc>
      </w:tr>
    </w:tbl>
    <w:p>
      <w:pPr>
        <w:pStyle w:val="TextBody"/>
        <w:spacing w:before="240" w:after="0"/>
        <w:jc w:val="both"/>
        <w:rPr>
          <w:rFonts w:ascii="Times New Roman" w:hAnsi="Times New Roman"/>
          <w:sz w:val="20"/>
        </w:rPr>
      </w:pPr>
      <w:r>
        <w:rPr>
          <w:rFonts w:ascii="Times New Roman" w:hAnsi="Times New Roman"/>
          <w:sz w:val="20"/>
        </w:rPr>
        <w:t xml:space="preserve">While we are working to remediate the weaknesses as quickly and efficiently as possible, we cannot at this time provide an estimate of the timeframe for implementing our plan to remediate these material weaknesses. These remediation measures may be time consuming and costly, and might place significant demands on our financial and operational resources. As we continue with the remediation of our material weaknesses, we may determine that additional or other measures may be necessary to address and remediate the material weaknesses, depending on the circumstances and our needs. We will not be able to fully remediate these material weaknesses until these steps have been completed and have been operating effectively. </w:t>
      </w:r>
    </w:p>
    <w:p>
      <w:pPr>
        <w:pStyle w:val="TextBody"/>
        <w:spacing w:before="240" w:after="0"/>
        <w:jc w:val="both"/>
        <w:rPr>
          <w:rFonts w:ascii="Times New Roman" w:hAnsi="Times New Roman"/>
          <w:sz w:val="20"/>
        </w:rPr>
      </w:pPr>
      <w:r>
        <w:rPr>
          <w:rFonts w:ascii="Times New Roman" w:hAnsi="Times New Roman"/>
          <w:sz w:val="20"/>
        </w:rPr>
        <w:t xml:space="preserve">While we are required to disclose material changes in, and are now required to conduct an annual assessment of, our internal control over financial reporting, our independent registered public accounting firm has not been, and will not be, required to attest to the effectiveness of our internal control over financial reporting for as long as we are an “emerging growth company” under the Jumpstart Our Business Startups Act (JOBS Act). We could be an “emerging growth company” until December 31, 2026 (the last day of our financial year following the fifth anniversary of our initial public offering in November 2021). The rules governing the standards that must be met for management to assess our internal control over financial reporting are complex and require significant documentation, testing and possible remediation. Our management may not be able to effectively and timely implement controls and procedures that adequately respond to the increased regulatory compliance and reporting requirements that are applicable to us as a U.S. public company and an assessment of the effectiveness of our internal control over financial reporting by an independent registered public accounting firm in accordance with the provisions of Section 404 could detect additional significant deficiencies or material weaknesses that our management’s assessment might not. Undetected material weaknesses in our internal controls could lead to financial statement restatements, require us to incur the expense of remediation and investors may lose confidence in the accuracy and completeness of our financial reports which could cause the market price of our ordinary shares to decline and also restrict our future access to the capital markets. We could be also subject to sanctions or investigations by Nasdaq, the SEC or other regulatory authorities. </w:t>
      </w:r>
    </w:p>
    <w:p>
      <w:pPr>
        <w:pStyle w:val="TextBody"/>
        <w:spacing w:before="360" w:after="0"/>
        <w:jc w:val="left"/>
        <w:rPr>
          <w:rFonts w:ascii="Times New Roman" w:hAnsi="Times New Roman"/>
          <w:b/>
          <w:i/>
          <w:sz w:val="20"/>
        </w:rPr>
      </w:pPr>
      <w:r>
        <w:rPr>
          <w:rFonts w:ascii="Times New Roman" w:hAnsi="Times New Roman"/>
          <w:b/>
          <w:i/>
          <w:sz w:val="20"/>
        </w:rPr>
        <w:t xml:space="preserve">Our risk management and internal control procedures may not prevent or detect violations of law. </w:t>
      </w:r>
    </w:p>
    <w:p>
      <w:pPr>
        <w:pStyle w:val="TextBody"/>
        <w:spacing w:before="120" w:after="0"/>
        <w:jc w:val="both"/>
        <w:rPr>
          <w:rFonts w:ascii="Times New Roman" w:hAnsi="Times New Roman"/>
          <w:sz w:val="20"/>
        </w:rPr>
      </w:pPr>
      <w:r>
        <w:rPr>
          <w:rFonts w:ascii="Times New Roman" w:hAnsi="Times New Roman"/>
          <w:sz w:val="20"/>
        </w:rPr>
        <w:t xml:space="preserve">Our business may or will be subject to various laws and regulations relating to, among other things, bribery and corruption, money laundering, antitrust and data protection, as well as export control regulations, trade and economic sanctions and embargoes on certain countries, persons, groups and/or entities, projects and/or activities. Our existing risk management and compliance processes and controls may not be sufficient to effectively prevent or detect inadequate practices, fraud and violations of law or group-wide policies by our subsidiaries, intermediaries, sales agents, employees, directors and officers. As a result, we may be exposed to legal sanctions, penalties and loss of orders as well as material harm to our reputation. </w:t>
      </w:r>
    </w:p>
    <w:p>
      <w:pPr>
        <w:pStyle w:val="TextBody"/>
        <w:spacing w:before="240" w:after="0"/>
        <w:jc w:val="both"/>
        <w:rPr>
          <w:rFonts w:ascii="Times New Roman" w:hAnsi="Times New Roman"/>
          <w:sz w:val="20"/>
        </w:rPr>
      </w:pPr>
      <w:r>
        <w:rPr>
          <w:rFonts w:ascii="Times New Roman" w:hAnsi="Times New Roman"/>
          <w:sz w:val="20"/>
        </w:rPr>
        <w:t xml:space="preserve">We have procedures in place designed to ensure compliance with sanctions and other trade controls and we monitor our product developments closely regarding any further regulatory implications. However, we cannot assure you that our sanctions compliance procedures and trade controls policies will effectively prevent us from violating such laws and regulations. Unanticipated developments such as Germany’s decision to categorize our spaceborne laser communication terminals as dual-use goods (i.e., products that may have both civil and military applications) may require us to obtain new governmental approvals or licenses, which we have not anticipated, for the export of our products to countries which are not covered by the European Union’s general export authorization. In addition, we cannot assure you that our compliance processes will be efficiently implemented in the future or that our subsidiaries, intermediaries, sales agents, employees, directors and officers will effectively follow these processes.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Our failure to maintain adequate internal controls, including in relation to the handling of conflicts of interest, the prevention of bribery, corruption, violations of sanctions and other trade control laws and regulations, and the handling of confidential information and information technology security, as the applicable standards regulating such internal control requirements are modified or amended from time to time, could result in violations of applicable laws, rules or regulations and adversely affect our business, financial condition and results of operations, and in particular on costs. </w:t>
      </w:r>
    </w:p>
    <w:p>
      <w:pPr>
        <w:pStyle w:val="TextBody"/>
        <w:spacing w:before="360" w:after="0"/>
        <w:jc w:val="left"/>
        <w:rPr>
          <w:rFonts w:ascii="Times New Roman" w:hAnsi="Times New Roman"/>
          <w:b/>
          <w:sz w:val="20"/>
        </w:rPr>
      </w:pPr>
      <w:r>
        <w:rPr>
          <w:rFonts w:ascii="Times New Roman" w:hAnsi="Times New Roman"/>
          <w:b/>
          <w:sz w:val="20"/>
        </w:rPr>
        <w:t xml:space="preserve">Risks Related to the ADSs </w:t>
      </w:r>
    </w:p>
    <w:p>
      <w:pPr>
        <w:pStyle w:val="TextBody"/>
        <w:spacing w:before="120" w:after="0"/>
        <w:jc w:val="left"/>
        <w:rPr>
          <w:rFonts w:ascii="Times New Roman" w:hAnsi="Times New Roman"/>
          <w:b/>
          <w:i/>
          <w:sz w:val="20"/>
        </w:rPr>
      </w:pPr>
      <w:r>
        <w:rPr>
          <w:rFonts w:ascii="Times New Roman" w:hAnsi="Times New Roman"/>
          <w:b/>
          <w:i/>
          <w:sz w:val="20"/>
        </w:rPr>
        <w:t xml:space="preserve">The market price of the ADSs has fluctuated significantly in the past and may continue to do so in the future and any such fluctuations could result in substantial losses for holders of the ADSs. </w:t>
      </w:r>
    </w:p>
    <w:p>
      <w:pPr>
        <w:pStyle w:val="TextBody"/>
        <w:spacing w:before="120" w:after="0"/>
        <w:jc w:val="both"/>
        <w:rPr>
          <w:rFonts w:ascii="Times New Roman" w:hAnsi="Times New Roman"/>
          <w:sz w:val="20"/>
        </w:rPr>
      </w:pPr>
      <w:r>
        <w:rPr>
          <w:rFonts w:ascii="Times New Roman" w:hAnsi="Times New Roman"/>
          <w:sz w:val="20"/>
        </w:rPr>
        <w:t xml:space="preserve">The market price of the ADSs is affected by the supply and demand for the ADSs, which may be influenced by numerous factors, many of which are beyond our control, including: </w:t>
      </w:r>
    </w:p>
    <w:p>
      <w:pPr>
        <w:pStyle w:val="TextBody"/>
        <w:spacing w:before="0" w:after="0"/>
        <w:jc w:val="left"/>
        <w:rPr/>
      </w:pPr>
      <w:r>
        <w:rPr/>
        <w:t> </w:t>
      </w:r>
    </w:p>
    <w:tbl>
      <w:tblPr>
        <w:tblW w:w="4735" w:type="dxa"/>
        <w:jc w:val="left"/>
        <w:tblInd w:w="0" w:type="dxa"/>
        <w:tblCellMar>
          <w:top w:w="0" w:type="dxa"/>
          <w:left w:w="0" w:type="dxa"/>
          <w:bottom w:w="0" w:type="dxa"/>
          <w:right w:w="0" w:type="dxa"/>
        </w:tblCellMar>
      </w:tblPr>
      <w:tblGrid>
        <w:gridCol w:w="75"/>
        <w:gridCol w:w="110"/>
        <w:gridCol w:w="60"/>
        <w:gridCol w:w="44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49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fluctuation in actual or projected results of operations; </w:t>
            </w:r>
          </w:p>
        </w:tc>
      </w:tr>
    </w:tbl>
    <w:p>
      <w:pPr>
        <w:pStyle w:val="TextBody"/>
        <w:spacing w:before="0" w:after="0"/>
        <w:jc w:val="left"/>
        <w:rPr/>
      </w:pPr>
      <w:r>
        <w:rPr/>
        <w:t> </w:t>
      </w:r>
    </w:p>
    <w:tbl>
      <w:tblPr>
        <w:tblW w:w="7615" w:type="dxa"/>
        <w:jc w:val="left"/>
        <w:tblInd w:w="0" w:type="dxa"/>
        <w:tblCellMar>
          <w:top w:w="0" w:type="dxa"/>
          <w:left w:w="0" w:type="dxa"/>
          <w:bottom w:w="0" w:type="dxa"/>
          <w:right w:w="0" w:type="dxa"/>
        </w:tblCellMar>
      </w:tblPr>
      <w:tblGrid>
        <w:gridCol w:w="75"/>
        <w:gridCol w:w="110"/>
        <w:gridCol w:w="60"/>
        <w:gridCol w:w="73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7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changes in projected earnings or failure to meet securities analysts’ earnings expectations; </w:t>
            </w:r>
          </w:p>
        </w:tc>
      </w:tr>
    </w:tbl>
    <w:p>
      <w:pPr>
        <w:pStyle w:val="TextBody"/>
        <w:spacing w:before="0" w:after="0"/>
        <w:jc w:val="left"/>
        <w:rPr/>
      </w:pPr>
      <w:r>
        <w:rPr/>
        <w:t> </w:t>
      </w:r>
    </w:p>
    <w:tbl>
      <w:tblPr>
        <w:tblW w:w="2950" w:type="dxa"/>
        <w:jc w:val="left"/>
        <w:tblInd w:w="0" w:type="dxa"/>
        <w:tblCellMar>
          <w:top w:w="0" w:type="dxa"/>
          <w:left w:w="0" w:type="dxa"/>
          <w:bottom w:w="0" w:type="dxa"/>
          <w:right w:w="0" w:type="dxa"/>
        </w:tblCellMar>
      </w:tblPr>
      <w:tblGrid>
        <w:gridCol w:w="75"/>
        <w:gridCol w:w="110"/>
        <w:gridCol w:w="60"/>
        <w:gridCol w:w="27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70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absence of analyst coverage; </w:t>
            </w:r>
          </w:p>
        </w:tc>
      </w:tr>
    </w:tbl>
    <w:p>
      <w:pPr>
        <w:pStyle w:val="TextBody"/>
        <w:spacing w:before="0" w:after="0"/>
        <w:jc w:val="left"/>
        <w:rPr/>
      </w:pPr>
      <w:r>
        <w:rPr/>
        <w:t> </w:t>
      </w:r>
    </w:p>
    <w:tbl>
      <w:tblPr>
        <w:tblW w:w="3205" w:type="dxa"/>
        <w:jc w:val="left"/>
        <w:tblInd w:w="0" w:type="dxa"/>
        <w:tblCellMar>
          <w:top w:w="0" w:type="dxa"/>
          <w:left w:w="0" w:type="dxa"/>
          <w:bottom w:w="0" w:type="dxa"/>
          <w:right w:w="0" w:type="dxa"/>
        </w:tblCellMar>
      </w:tblPr>
      <w:tblGrid>
        <w:gridCol w:w="75"/>
        <w:gridCol w:w="110"/>
        <w:gridCol w:w="60"/>
        <w:gridCol w:w="2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negative analyst recommendations;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changes in trading volumes in the ADSs (including by the sale of shares or ADSs granted to our employees under employee participation programs); </w:t>
            </w:r>
          </w:p>
        </w:tc>
      </w:tr>
    </w:tbl>
    <w:p>
      <w:pPr>
        <w:pStyle w:val="TextBody"/>
        <w:spacing w:before="0" w:after="0"/>
        <w:jc w:val="left"/>
        <w:rPr/>
      </w:pPr>
      <w:r>
        <w:rPr/>
        <w:t> </w:t>
      </w:r>
    </w:p>
    <w:tbl>
      <w:tblPr>
        <w:tblW w:w="4675" w:type="dxa"/>
        <w:jc w:val="left"/>
        <w:tblInd w:w="0" w:type="dxa"/>
        <w:tblCellMar>
          <w:top w:w="0" w:type="dxa"/>
          <w:left w:w="0" w:type="dxa"/>
          <w:bottom w:w="0" w:type="dxa"/>
          <w:right w:w="0" w:type="dxa"/>
        </w:tblCellMar>
      </w:tblPr>
      <w:tblGrid>
        <w:gridCol w:w="75"/>
        <w:gridCol w:w="110"/>
        <w:gridCol w:w="60"/>
        <w:gridCol w:w="44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43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large-volume or targeted transactions by short-sellers; </w:t>
            </w:r>
          </w:p>
        </w:tc>
      </w:tr>
    </w:tbl>
    <w:p>
      <w:pPr>
        <w:pStyle w:val="TextBody"/>
        <w:spacing w:before="0" w:after="0"/>
        <w:jc w:val="left"/>
        <w:rPr/>
      </w:pPr>
      <w:r>
        <w:rPr/>
        <w:t> </w:t>
      </w:r>
    </w:p>
    <w:tbl>
      <w:tblPr>
        <w:tblW w:w="3310" w:type="dxa"/>
        <w:jc w:val="left"/>
        <w:tblInd w:w="0" w:type="dxa"/>
        <w:tblCellMar>
          <w:top w:w="0" w:type="dxa"/>
          <w:left w:w="0" w:type="dxa"/>
          <w:bottom w:w="0" w:type="dxa"/>
          <w:right w:w="0" w:type="dxa"/>
        </w:tblCellMar>
      </w:tblPr>
      <w:tblGrid>
        <w:gridCol w:w="75"/>
        <w:gridCol w:w="110"/>
        <w:gridCol w:w="60"/>
        <w:gridCol w:w="30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06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changes in our shareholder structure; </w:t>
            </w:r>
          </w:p>
        </w:tc>
      </w:tr>
    </w:tbl>
    <w:p>
      <w:pPr>
        <w:pStyle w:val="TextBody"/>
        <w:spacing w:before="0" w:after="0"/>
        <w:jc w:val="left"/>
        <w:rPr/>
      </w:pPr>
      <w:r>
        <w:rPr/>
        <w:t> </w:t>
      </w:r>
    </w:p>
    <w:tbl>
      <w:tblPr>
        <w:tblW w:w="3505" w:type="dxa"/>
        <w:jc w:val="left"/>
        <w:tblInd w:w="0" w:type="dxa"/>
        <w:tblCellMar>
          <w:top w:w="0" w:type="dxa"/>
          <w:left w:w="0" w:type="dxa"/>
          <w:bottom w:w="0" w:type="dxa"/>
          <w:right w:w="0" w:type="dxa"/>
        </w:tblCellMar>
      </w:tblPr>
      <w:tblGrid>
        <w:gridCol w:w="75"/>
        <w:gridCol w:w="110"/>
        <w:gridCol w:w="60"/>
        <w:gridCol w:w="32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2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changes in macroeconomic conditions; </w:t>
            </w:r>
          </w:p>
        </w:tc>
      </w:tr>
    </w:tbl>
    <w:p>
      <w:pPr>
        <w:pStyle w:val="TextBody"/>
        <w:spacing w:before="0" w:after="0"/>
        <w:jc w:val="left"/>
        <w:rPr/>
      </w:pPr>
      <w:r>
        <w:rPr/>
        <w:t> </w:t>
      </w:r>
    </w:p>
    <w:tbl>
      <w:tblPr>
        <w:tblW w:w="3550" w:type="dxa"/>
        <w:jc w:val="left"/>
        <w:tblInd w:w="0" w:type="dxa"/>
        <w:tblCellMar>
          <w:top w:w="0" w:type="dxa"/>
          <w:left w:w="0" w:type="dxa"/>
          <w:bottom w:w="0" w:type="dxa"/>
          <w:right w:w="0" w:type="dxa"/>
        </w:tblCellMar>
      </w:tblPr>
      <w:tblGrid>
        <w:gridCol w:w="75"/>
        <w:gridCol w:w="110"/>
        <w:gridCol w:w="60"/>
        <w:gridCol w:w="33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30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activities of competitors and sellers; </w:t>
            </w:r>
          </w:p>
        </w:tc>
      </w:tr>
    </w:tbl>
    <w:p>
      <w:pPr>
        <w:pStyle w:val="TextBody"/>
        <w:spacing w:before="0" w:after="0"/>
        <w:jc w:val="left"/>
        <w:rPr/>
      </w:pPr>
      <w:r>
        <w:rPr/>
        <w:t> </w:t>
      </w:r>
    </w:p>
    <w:tbl>
      <w:tblPr>
        <w:tblW w:w="5170" w:type="dxa"/>
        <w:jc w:val="left"/>
        <w:tblInd w:w="0" w:type="dxa"/>
        <w:tblCellMar>
          <w:top w:w="0" w:type="dxa"/>
          <w:left w:w="0" w:type="dxa"/>
          <w:bottom w:w="0" w:type="dxa"/>
          <w:right w:w="0" w:type="dxa"/>
        </w:tblCellMar>
      </w:tblPr>
      <w:tblGrid>
        <w:gridCol w:w="75"/>
        <w:gridCol w:w="110"/>
        <w:gridCol w:w="60"/>
        <w:gridCol w:w="49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92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changes in the market valuations of comparable companies; </w:t>
            </w:r>
          </w:p>
        </w:tc>
      </w:tr>
    </w:tbl>
    <w:p>
      <w:pPr>
        <w:pStyle w:val="TextBody"/>
        <w:spacing w:before="0" w:after="0"/>
        <w:jc w:val="left"/>
        <w:rPr/>
      </w:pPr>
      <w:r>
        <w:rPr/>
        <w:t> </w:t>
      </w:r>
    </w:p>
    <w:tbl>
      <w:tblPr>
        <w:tblW w:w="7750" w:type="dxa"/>
        <w:jc w:val="left"/>
        <w:tblInd w:w="0" w:type="dxa"/>
        <w:tblCellMar>
          <w:top w:w="0" w:type="dxa"/>
          <w:left w:w="0" w:type="dxa"/>
          <w:bottom w:w="0" w:type="dxa"/>
          <w:right w:w="0" w:type="dxa"/>
        </w:tblCellMar>
      </w:tblPr>
      <w:tblGrid>
        <w:gridCol w:w="75"/>
        <w:gridCol w:w="110"/>
        <w:gridCol w:w="60"/>
        <w:gridCol w:w="75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50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our ability to successfully finalize development of, market and commercialize our products; </w:t>
            </w:r>
          </w:p>
        </w:tc>
      </w:tr>
    </w:tbl>
    <w:p>
      <w:pPr>
        <w:pStyle w:val="TextBody"/>
        <w:spacing w:before="0" w:after="0"/>
        <w:jc w:val="left"/>
        <w:rPr/>
      </w:pPr>
      <w:r>
        <w:rPr/>
        <w:t> </w:t>
      </w:r>
    </w:p>
    <w:tbl>
      <w:tblPr>
        <w:tblW w:w="8050" w:type="dxa"/>
        <w:jc w:val="left"/>
        <w:tblInd w:w="0" w:type="dxa"/>
        <w:tblCellMar>
          <w:top w:w="0" w:type="dxa"/>
          <w:left w:w="0" w:type="dxa"/>
          <w:bottom w:w="0" w:type="dxa"/>
          <w:right w:w="0" w:type="dxa"/>
        </w:tblCellMar>
      </w:tblPr>
      <w:tblGrid>
        <w:gridCol w:w="75"/>
        <w:gridCol w:w="110"/>
        <w:gridCol w:w="60"/>
        <w:gridCol w:w="78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0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recruitment or departure of key management or scientific personnel or other key employees; </w:t>
            </w:r>
          </w:p>
        </w:tc>
      </w:tr>
    </w:tbl>
    <w:p>
      <w:pPr>
        <w:pStyle w:val="TextBody"/>
        <w:spacing w:before="0" w:after="0"/>
        <w:jc w:val="left"/>
        <w:rPr/>
      </w:pPr>
      <w:r>
        <w:rPr/>
        <w:t> </w:t>
      </w:r>
    </w:p>
    <w:tbl>
      <w:tblPr>
        <w:tblW w:w="6235" w:type="dxa"/>
        <w:jc w:val="left"/>
        <w:tblInd w:w="0" w:type="dxa"/>
        <w:tblCellMar>
          <w:top w:w="0" w:type="dxa"/>
          <w:left w:w="0" w:type="dxa"/>
          <w:bottom w:w="0" w:type="dxa"/>
          <w:right w:w="0" w:type="dxa"/>
        </w:tblCellMar>
      </w:tblPr>
      <w:tblGrid>
        <w:gridCol w:w="75"/>
        <w:gridCol w:w="110"/>
        <w:gridCol w:w="60"/>
        <w:gridCol w:w="59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9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significant lawsuits, including patent, shareholder or customer litigation; </w:t>
            </w:r>
          </w:p>
        </w:tc>
      </w:tr>
    </w:tbl>
    <w:p>
      <w:pPr>
        <w:pStyle w:val="TextBody"/>
        <w:spacing w:before="0" w:after="0"/>
        <w:jc w:val="left"/>
        <w:rPr/>
      </w:pPr>
      <w:r>
        <w:rPr/>
        <w:t> </w:t>
      </w:r>
    </w:p>
    <w:tbl>
      <w:tblPr>
        <w:tblW w:w="8560" w:type="dxa"/>
        <w:jc w:val="left"/>
        <w:tblInd w:w="0" w:type="dxa"/>
        <w:tblCellMar>
          <w:top w:w="0" w:type="dxa"/>
          <w:left w:w="0" w:type="dxa"/>
          <w:bottom w:w="0" w:type="dxa"/>
          <w:right w:w="0" w:type="dxa"/>
        </w:tblCellMar>
      </w:tblPr>
      <w:tblGrid>
        <w:gridCol w:w="75"/>
        <w:gridCol w:w="110"/>
        <w:gridCol w:w="60"/>
        <w:gridCol w:w="83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31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changes in investor and analyst perception with respect to our business or the industry in general; and </w:t>
            </w:r>
          </w:p>
        </w:tc>
      </w:tr>
    </w:tbl>
    <w:p>
      <w:pPr>
        <w:pStyle w:val="TextBody"/>
        <w:spacing w:before="0" w:after="0"/>
        <w:jc w:val="left"/>
        <w:rPr/>
      </w:pPr>
      <w:r>
        <w:rPr/>
        <w:t> </w:t>
      </w:r>
    </w:p>
    <w:tbl>
      <w:tblPr>
        <w:tblW w:w="5365" w:type="dxa"/>
        <w:jc w:val="left"/>
        <w:tblInd w:w="0" w:type="dxa"/>
        <w:tblCellMar>
          <w:top w:w="0" w:type="dxa"/>
          <w:left w:w="0" w:type="dxa"/>
          <w:bottom w:w="0" w:type="dxa"/>
          <w:right w:w="0" w:type="dxa"/>
        </w:tblCellMar>
      </w:tblPr>
      <w:tblGrid>
        <w:gridCol w:w="75"/>
        <w:gridCol w:w="110"/>
        <w:gridCol w:w="60"/>
        <w:gridCol w:w="51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12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changes in the statutory framework applicable to our business. </w:t>
            </w:r>
          </w:p>
        </w:tc>
      </w:tr>
    </w:tbl>
    <w:p>
      <w:pPr>
        <w:pStyle w:val="TextBody"/>
        <w:spacing w:before="240" w:after="0"/>
        <w:jc w:val="both"/>
        <w:rPr>
          <w:rFonts w:ascii="Times New Roman" w:hAnsi="Times New Roman"/>
          <w:sz w:val="20"/>
        </w:rPr>
      </w:pPr>
      <w:r>
        <w:rPr>
          <w:rFonts w:ascii="Times New Roman" w:hAnsi="Times New Roman"/>
          <w:sz w:val="20"/>
        </w:rPr>
        <w:t xml:space="preserve">As a result, the market price of the ADSs may be subject to substantial fluctuation. </w:t>
      </w:r>
    </w:p>
    <w:p>
      <w:pPr>
        <w:pStyle w:val="TextBody"/>
        <w:spacing w:before="240" w:after="0"/>
        <w:jc w:val="both"/>
        <w:rPr>
          <w:rFonts w:ascii="Times New Roman" w:hAnsi="Times New Roman"/>
          <w:sz w:val="20"/>
        </w:rPr>
      </w:pPr>
      <w:r>
        <w:rPr>
          <w:rFonts w:ascii="Times New Roman" w:hAnsi="Times New Roman"/>
          <w:sz w:val="20"/>
        </w:rPr>
        <w:t xml:space="preserve">In addition, general market conditions and fluctuation of share prices and trading volumes could lead to pressure on the market price of the ADSs, even if there may not be a reason for this based on our business performance or earnings outlook. The stock market in general and the market for smaller technology companies in particular have experienced extreme volatility that has often been unrelated to the operating performance of particular companies. In addition, prices for companies with a limited operating history may be more volatile compared to share prices for established companies or companies from other industries. </w:t>
      </w:r>
    </w:p>
    <w:p>
      <w:pPr>
        <w:pStyle w:val="TextBody"/>
        <w:spacing w:before="240" w:after="0"/>
        <w:jc w:val="both"/>
        <w:rPr>
          <w:rFonts w:ascii="Times New Roman" w:hAnsi="Times New Roman"/>
          <w:sz w:val="20"/>
        </w:rPr>
      </w:pPr>
      <w:r>
        <w:rPr>
          <w:rFonts w:ascii="Times New Roman" w:hAnsi="Times New Roman"/>
          <w:sz w:val="20"/>
        </w:rPr>
        <w:t xml:space="preserve">If the market price of the ADSs declines as a result of the realization of any of these risks, investors could lose part or all of their investment in the ADSs. </w:t>
      </w:r>
    </w:p>
    <w:p>
      <w:pPr>
        <w:pStyle w:val="TextBody"/>
        <w:spacing w:before="240" w:after="0"/>
        <w:jc w:val="both"/>
        <w:rPr>
          <w:rFonts w:ascii="Times New Roman" w:hAnsi="Times New Roman"/>
          <w:sz w:val="20"/>
        </w:rPr>
      </w:pPr>
      <w:r>
        <w:rPr>
          <w:rFonts w:ascii="Times New Roman" w:hAnsi="Times New Roman"/>
          <w:sz w:val="20"/>
        </w:rPr>
        <w:t xml:space="preserve">Additionally, in the past, when the market price of a stock has been volatile, holders of that stock have sometimes instituted securities class action litigation against the company that issued the shares. If any of our shareholders brought a lawsuit against us, we could incur substantial costs defending the lawsuit. Such a lawsuit could also divert the time and attention of our management from our business, which could significantly harm our profitability and reputation. </w:t>
      </w:r>
    </w:p>
    <w:p>
      <w:pPr>
        <w:pStyle w:val="TextBody"/>
        <w:spacing w:before="360" w:after="0"/>
        <w:jc w:val="left"/>
        <w:rPr>
          <w:rFonts w:ascii="Times New Roman" w:hAnsi="Times New Roman"/>
          <w:b/>
          <w:i/>
          <w:sz w:val="20"/>
        </w:rPr>
      </w:pPr>
      <w:r>
        <w:rPr>
          <w:rFonts w:ascii="Times New Roman" w:hAnsi="Times New Roman"/>
          <w:b/>
          <w:i/>
          <w:sz w:val="20"/>
        </w:rPr>
        <w:t xml:space="preserve">The acquisition of a 20% or more voting interest in us by foreign investors requires governmental approval, which may restrict certain investments in and limit demand for the ADSs. </w:t>
      </w:r>
    </w:p>
    <w:p>
      <w:pPr>
        <w:pStyle w:val="TextBody"/>
        <w:spacing w:before="120" w:after="0"/>
        <w:jc w:val="both"/>
        <w:rPr>
          <w:rFonts w:ascii="Times New Roman" w:hAnsi="Times New Roman"/>
          <w:sz w:val="20"/>
        </w:rPr>
      </w:pPr>
      <w:r>
        <w:rPr>
          <w:rFonts w:ascii="Times New Roman" w:hAnsi="Times New Roman"/>
          <w:sz w:val="20"/>
        </w:rPr>
        <w:t>Pursuant to the cross-sectoral examination in Section 55 et seq. of the German Foreign Trade and Payments Ordinance (</w:t>
      </w:r>
      <w:r>
        <w:rPr>
          <w:rFonts w:ascii="Times New Roman" w:hAnsi="Times New Roman"/>
          <w:i/>
          <w:sz w:val="20"/>
        </w:rPr>
        <w:t>Außenwirtschaftsverordnung</w:t>
      </w:r>
      <w:r>
        <w:rPr>
          <w:rFonts w:ascii="Times New Roman" w:hAnsi="Times New Roman"/>
          <w:sz w:val="20"/>
        </w:rPr>
        <w:t xml:space="preserve">, “AWV”), the German Federal Ministry for Economic Affairs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Energy (</w:t>
      </w:r>
      <w:r>
        <w:rPr>
          <w:rFonts w:ascii="Times New Roman" w:hAnsi="Times New Roman"/>
          <w:i/>
          <w:sz w:val="20"/>
        </w:rPr>
        <w:t>Bundesministerium für Wirtschaft und Energie</w:t>
      </w:r>
      <w:r>
        <w:rPr>
          <w:rFonts w:ascii="Times New Roman" w:hAnsi="Times New Roman"/>
          <w:sz w:val="20"/>
        </w:rPr>
        <w:t>, “BMWi”) may prohibit or restrict the acquisition of our shares or ADSs by a foreign acquirer (</w:t>
      </w:r>
      <w:r>
        <w:rPr>
          <w:rFonts w:ascii="Times New Roman" w:hAnsi="Times New Roman"/>
          <w:i/>
          <w:sz w:val="20"/>
        </w:rPr>
        <w:t>i.e.</w:t>
      </w:r>
      <w:r>
        <w:rPr>
          <w:rFonts w:ascii="Times New Roman" w:hAnsi="Times New Roman"/>
          <w:sz w:val="20"/>
        </w:rPr>
        <w:t>, an investor that is resident or based outside the European Union (</w:t>
      </w:r>
      <w:r>
        <w:rPr>
          <w:rFonts w:ascii="Times New Roman" w:hAnsi="Times New Roman"/>
          <w:i/>
          <w:sz w:val="20"/>
        </w:rPr>
        <w:t>Unionsfremder</w:t>
      </w:r>
      <w:r>
        <w:rPr>
          <w:rFonts w:ascii="Times New Roman" w:hAnsi="Times New Roman"/>
          <w:sz w:val="20"/>
        </w:rPr>
        <w:t xml:space="preserve">)) if it endangers the public order or the security of Germany. According to an amendment to the AWV, which came into force on May 1, 2021, statutory notification requirements apply, </w:t>
      </w:r>
      <w:r>
        <w:rPr>
          <w:rFonts w:ascii="Times New Roman" w:hAnsi="Times New Roman"/>
          <w:i/>
          <w:sz w:val="20"/>
        </w:rPr>
        <w:t>inter alia</w:t>
      </w:r>
      <w:r>
        <w:rPr>
          <w:rFonts w:ascii="Times New Roman" w:hAnsi="Times New Roman"/>
          <w:sz w:val="20"/>
        </w:rPr>
        <w:t xml:space="preserve">, to any acquisition by a foreign acquirer of 20% or more of the voting rights of a company that develops or manufactures, among other things, goods intended for use in space or for use in space infrastructure systems as well as goods specifically required for the operation of laser communication networks, including the Company. If grounds for an objection exist, the BMWi may prohibit the direct acquirer of the ADSs from making such an acquisition within two months of the receipt of the approval request in writing or issue instructions in order to ensure the public order or security in Germany. See “Item 4. Information on the Company—B. Business Overview—Regulatory Environment—German Foreign Investment Regime.” As a result, any such requirement to obtain governmental approval or the issuance of an objection by the BMWi may restrict certain investments in the ADSs, limit demand for the ADSs, and have negative impact on the stock exchange price of the ADSs. </w:t>
      </w:r>
    </w:p>
    <w:p>
      <w:pPr>
        <w:pStyle w:val="TextBody"/>
        <w:spacing w:before="360" w:after="0"/>
        <w:jc w:val="left"/>
        <w:rPr>
          <w:rFonts w:ascii="Times New Roman" w:hAnsi="Times New Roman"/>
          <w:b/>
          <w:i/>
          <w:sz w:val="20"/>
        </w:rPr>
      </w:pPr>
      <w:r>
        <w:rPr>
          <w:rFonts w:ascii="Times New Roman" w:hAnsi="Times New Roman"/>
          <w:b/>
          <w:i/>
          <w:sz w:val="20"/>
        </w:rPr>
        <w:t xml:space="preserve">Future offerings of debt or equity securities by us could adversely affect the market price of the ADSs, and future issuances of equity securities could lead to a substantial dilution of our shareholders. </w:t>
      </w:r>
    </w:p>
    <w:p>
      <w:pPr>
        <w:pStyle w:val="TextBody"/>
        <w:spacing w:before="120" w:after="0"/>
        <w:jc w:val="both"/>
        <w:rPr>
          <w:rFonts w:ascii="Times New Roman" w:hAnsi="Times New Roman"/>
          <w:sz w:val="20"/>
        </w:rPr>
      </w:pPr>
      <w:r>
        <w:rPr>
          <w:rFonts w:ascii="Times New Roman" w:hAnsi="Times New Roman"/>
          <w:sz w:val="20"/>
        </w:rPr>
        <w:t>We will require additional capital in the future to finance our business operations and growth. We may seek to raise such capital through the issuance of additional equity or debt securities with conversion rights (</w:t>
      </w:r>
      <w:r>
        <w:rPr>
          <w:rFonts w:ascii="Times New Roman" w:hAnsi="Times New Roman"/>
          <w:i/>
          <w:sz w:val="20"/>
        </w:rPr>
        <w:t>e.g.</w:t>
      </w:r>
      <w:r>
        <w:rPr>
          <w:rFonts w:ascii="Times New Roman" w:hAnsi="Times New Roman"/>
          <w:sz w:val="20"/>
        </w:rPr>
        <w:t xml:space="preserve">, convertible bonds and option rights). An issuance of additional equity or debt securities with conversion rights could potentially reduce the market price of the ADSs. We currently cannot predict the amounts and terms of such future offerings. </w:t>
      </w:r>
    </w:p>
    <w:p>
      <w:pPr>
        <w:pStyle w:val="TextBody"/>
        <w:spacing w:before="240" w:after="0"/>
        <w:jc w:val="both"/>
        <w:rPr>
          <w:rFonts w:ascii="Times New Roman" w:hAnsi="Times New Roman"/>
          <w:sz w:val="20"/>
        </w:rPr>
      </w:pPr>
      <w:r>
        <w:rPr>
          <w:rFonts w:ascii="Times New Roman" w:hAnsi="Times New Roman"/>
          <w:sz w:val="20"/>
        </w:rPr>
        <w:t xml:space="preserve">If offerings of equity or debt securities with conversion rights are made without granting preemptive rights to our existing shareholders, these offerings will dilute the economic and voting rights of our existing shareholders. Preemptive rights may be restricted or excluded by a resolution of our shareholders’ meeting or by another corporate body designated by our shareholders’ meeting. Our management board is authorized until May 13, 2026 to issue shares or grant rights to subscribe for shares up to our authorized share capital from time to time and to limit or exclude preemptive rights in connection therewith. This could cause existing shareholders to experience substantial dilution of their interest in us. </w:t>
      </w:r>
    </w:p>
    <w:p>
      <w:pPr>
        <w:pStyle w:val="TextBody"/>
        <w:spacing w:before="240" w:after="0"/>
        <w:jc w:val="both"/>
        <w:rPr>
          <w:rFonts w:ascii="Times New Roman" w:hAnsi="Times New Roman"/>
          <w:sz w:val="20"/>
        </w:rPr>
      </w:pPr>
      <w:r>
        <w:rPr>
          <w:rFonts w:ascii="Times New Roman" w:hAnsi="Times New Roman"/>
          <w:sz w:val="20"/>
        </w:rPr>
        <w:t xml:space="preserve">In addition, dilution may arise from the acquisition or investment by us in companies in exchange, fully or in part, for newly issued ADSs or shares, share options or conversion rights granted to our business partners or our customers as well as from the exercise of share options or conversion rights granted to our employees in the context of existing or future share option programs or the issuance of ADSs or shares to employees in the context of existing or future employee participation programs. Any future issuance of ADSs or shares could reduce the market price of the ADSs and dilute the holdings of existing shareholders, which may have a negative effect on any dividend payments. </w:t>
      </w:r>
    </w:p>
    <w:p>
      <w:pPr>
        <w:pStyle w:val="TextBody"/>
        <w:spacing w:before="360" w:after="0"/>
        <w:jc w:val="left"/>
        <w:rPr>
          <w:rFonts w:ascii="Times New Roman" w:hAnsi="Times New Roman"/>
          <w:b/>
          <w:i/>
          <w:sz w:val="20"/>
        </w:rPr>
      </w:pPr>
      <w:r>
        <w:rPr>
          <w:rFonts w:ascii="Times New Roman" w:hAnsi="Times New Roman"/>
          <w:b/>
          <w:i/>
          <w:sz w:val="20"/>
        </w:rPr>
        <w:t xml:space="preserve">Future sales by major shareholders, or the perception of future sales, could materially adversely affect the market price of the ADSs. </w:t>
      </w:r>
    </w:p>
    <w:p>
      <w:pPr>
        <w:pStyle w:val="TextBody"/>
        <w:spacing w:before="120" w:after="0"/>
        <w:jc w:val="both"/>
        <w:rPr>
          <w:rFonts w:ascii="Times New Roman" w:hAnsi="Times New Roman"/>
          <w:sz w:val="20"/>
        </w:rPr>
      </w:pPr>
      <w:r>
        <w:rPr>
          <w:rFonts w:ascii="Times New Roman" w:hAnsi="Times New Roman"/>
          <w:sz w:val="20"/>
        </w:rPr>
        <w:t xml:space="preserve">For various reasons, shareholders may sell all or some of their shares or ADSs, including in order to diversify their investments, subject to certain restrictions described below. Certain of our existing shareholders hold a substantial number of our shares, and may acquire a substantial number of the ADSs in the future. Sales of a substantial number of our shares or ADSs in the public market, or the perception that such sales or issuances might occur, could depress the market price of the ADSs and could impair our ability to raise capital through the sale of additional equity securities. </w:t>
      </w:r>
    </w:p>
    <w:p>
      <w:pPr>
        <w:pStyle w:val="TextBody"/>
        <w:spacing w:before="360" w:after="0"/>
        <w:jc w:val="left"/>
        <w:rPr>
          <w:rFonts w:ascii="Times New Roman" w:hAnsi="Times New Roman"/>
          <w:b/>
          <w:i/>
          <w:sz w:val="20"/>
        </w:rPr>
      </w:pPr>
      <w:r>
        <w:rPr>
          <w:rFonts w:ascii="Times New Roman" w:hAnsi="Times New Roman"/>
          <w:b/>
          <w:i/>
          <w:sz w:val="20"/>
        </w:rPr>
        <w:t xml:space="preserve">If securities or industry analysts do not publish research or publish inaccurate or unfavorable research about our business, the market price for the ADSs and trading volume could decline. </w:t>
      </w:r>
    </w:p>
    <w:p>
      <w:pPr>
        <w:pStyle w:val="TextBody"/>
        <w:spacing w:before="120" w:after="0"/>
        <w:jc w:val="both"/>
        <w:rPr>
          <w:rFonts w:ascii="Times New Roman" w:hAnsi="Times New Roman"/>
          <w:sz w:val="20"/>
        </w:rPr>
      </w:pPr>
      <w:r>
        <w:rPr>
          <w:rFonts w:ascii="Times New Roman" w:hAnsi="Times New Roman"/>
          <w:sz w:val="20"/>
        </w:rPr>
        <w:t xml:space="preserve">The trading market for the ADSs will depend in part on the research and other reports that securities or industry analysts publish about us or our business. If one or more of the analysts who covers us downgrades our shares or ADSs or publishes inaccurate or unfavorable research about our business, the trading price of the ADSs may decline. If one or more of these analysts ceases coverage of our company or fails to publish reports on us regularly, demand for the ADSs could decrease, which might cause the ADS price and trading volume to decline. </w:t>
      </w:r>
    </w:p>
    <w:p>
      <w:pPr>
        <w:pStyle w:val="TextBody"/>
        <w:spacing w:before="360" w:after="0"/>
        <w:jc w:val="left"/>
        <w:rPr>
          <w:rFonts w:ascii="Times New Roman" w:hAnsi="Times New Roman"/>
          <w:b/>
          <w:i/>
          <w:sz w:val="20"/>
        </w:rPr>
      </w:pPr>
      <w:r>
        <w:rPr>
          <w:rFonts w:ascii="Times New Roman" w:hAnsi="Times New Roman"/>
          <w:b/>
          <w:i/>
          <w:sz w:val="20"/>
        </w:rPr>
        <w:t xml:space="preserve">We do not expect to pay any dividends in the foreseeable future. </w:t>
      </w:r>
    </w:p>
    <w:p>
      <w:pPr>
        <w:pStyle w:val="TextBody"/>
        <w:spacing w:before="120" w:after="0"/>
        <w:jc w:val="both"/>
        <w:rPr>
          <w:rFonts w:ascii="Times New Roman" w:hAnsi="Times New Roman"/>
          <w:sz w:val="20"/>
        </w:rPr>
      </w:pPr>
      <w:r>
        <w:rPr>
          <w:rFonts w:ascii="Times New Roman" w:hAnsi="Times New Roman"/>
          <w:sz w:val="20"/>
        </w:rPr>
        <w:t xml:space="preserve">We have not yet paid any dividends to our shareholders and do not currently intend to pay dividends for the foreseeable future. Under German law, dividends may only be distributed from our distributable profit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w:t>
      </w:r>
      <w:r>
        <w:rPr>
          <w:rFonts w:ascii="Times New Roman" w:hAnsi="Times New Roman"/>
          <w:i/>
          <w:sz w:val="20"/>
        </w:rPr>
        <w:t>Bilanzgewinn</w:t>
      </w:r>
      <w:r>
        <w:rPr>
          <w:rFonts w:ascii="Times New Roman" w:hAnsi="Times New Roman"/>
          <w:sz w:val="20"/>
        </w:rPr>
        <w:t>) or distributable reserves reflected in our unconsolidated financial statements (as opposed to the consolidated financial statements for us and our subsidiaries) prepared in accordance with German generally accepted accounting principles of the German Commercial Code (</w:t>
      </w:r>
      <w:r>
        <w:rPr>
          <w:rFonts w:ascii="Times New Roman" w:hAnsi="Times New Roman"/>
          <w:i/>
          <w:sz w:val="20"/>
        </w:rPr>
        <w:t>Handelsgesetzbuch</w:t>
      </w:r>
      <w:r>
        <w:rPr>
          <w:rFonts w:ascii="Times New Roman" w:hAnsi="Times New Roman"/>
          <w:sz w:val="20"/>
        </w:rPr>
        <w:t xml:space="preserve">). Such accounting principles differ from IFRS as issued by the IASB in material respects. </w:t>
      </w:r>
    </w:p>
    <w:p>
      <w:pPr>
        <w:pStyle w:val="TextBody"/>
        <w:spacing w:before="240" w:after="0"/>
        <w:jc w:val="both"/>
        <w:rPr>
          <w:rFonts w:ascii="Times New Roman" w:hAnsi="Times New Roman"/>
          <w:sz w:val="20"/>
        </w:rPr>
      </w:pPr>
      <w:r>
        <w:rPr>
          <w:rFonts w:ascii="Times New Roman" w:hAnsi="Times New Roman"/>
          <w:sz w:val="20"/>
        </w:rPr>
        <w:t xml:space="preserve">Our ability to pay dividends therefore depends upon the availability of sufficient net retained profits. In addition, future financing arrangements may contain covenants that impose restrictions on our ability to pay dividends. Any determination to pay dividends in the future will be at the discretion of our management board and will depend upon our results of operations, financial condition, contractual restrictions, including restrictions imposed by existing or future financing agreements, restrictions imposed by applicable laws and other factors management deems relevant. </w:t>
      </w:r>
    </w:p>
    <w:p>
      <w:pPr>
        <w:pStyle w:val="TextBody"/>
        <w:spacing w:before="240" w:after="0"/>
        <w:jc w:val="both"/>
        <w:rPr>
          <w:rFonts w:ascii="Times New Roman" w:hAnsi="Times New Roman"/>
          <w:sz w:val="20"/>
        </w:rPr>
      </w:pPr>
      <w:r>
        <w:rPr>
          <w:rFonts w:ascii="Times New Roman" w:hAnsi="Times New Roman"/>
          <w:sz w:val="20"/>
        </w:rPr>
        <w:t xml:space="preserve">Consequently, we do not expect to pay dividends in the foreseeable future, and as a result any return on an investment in the ADSs will be solely dependent upon the appreciation of the trading price of the ADSs, which may not occur. See “Item 8. Financial Information—A. Consolidated Statements and Other Financial Information—Dividends.” </w:t>
      </w:r>
    </w:p>
    <w:p>
      <w:pPr>
        <w:pStyle w:val="TextBody"/>
        <w:spacing w:before="360" w:after="0"/>
        <w:jc w:val="left"/>
        <w:rPr>
          <w:rFonts w:ascii="Times New Roman" w:hAnsi="Times New Roman"/>
          <w:b/>
          <w:i/>
          <w:sz w:val="20"/>
        </w:rPr>
      </w:pPr>
      <w:r>
        <w:rPr>
          <w:rFonts w:ascii="Times New Roman" w:hAnsi="Times New Roman"/>
          <w:b/>
          <w:i/>
          <w:sz w:val="20"/>
        </w:rPr>
        <w:t xml:space="preserve">Holders of the ADSs may be subject to limitations on transfer of their ADSs. </w:t>
      </w:r>
    </w:p>
    <w:p>
      <w:pPr>
        <w:pStyle w:val="TextBody"/>
        <w:spacing w:before="120" w:after="0"/>
        <w:jc w:val="both"/>
        <w:rPr>
          <w:rFonts w:ascii="Times New Roman" w:hAnsi="Times New Roman"/>
          <w:sz w:val="20"/>
        </w:rPr>
      </w:pPr>
      <w:r>
        <w:rPr>
          <w:rFonts w:ascii="Times New Roman" w:hAnsi="Times New Roman"/>
          <w:sz w:val="20"/>
        </w:rPr>
        <w:t xml:space="preserve">The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As a result, you may not be able to trade or otherwise transfer your ADSs in the manner or at the time you choose. </w:t>
      </w:r>
    </w:p>
    <w:p>
      <w:pPr>
        <w:pStyle w:val="TextBody"/>
        <w:spacing w:before="360" w:after="0"/>
        <w:jc w:val="left"/>
        <w:rPr>
          <w:rFonts w:ascii="Times New Roman" w:hAnsi="Times New Roman"/>
          <w:b/>
          <w:i/>
          <w:sz w:val="20"/>
        </w:rPr>
      </w:pPr>
      <w:r>
        <w:rPr>
          <w:rFonts w:ascii="Times New Roman" w:hAnsi="Times New Roman"/>
          <w:b/>
          <w:i/>
          <w:sz w:val="20"/>
        </w:rPr>
        <w:t xml:space="preserve">Holders of ADSs are not treated as shareholders of our company and the exercise of voting rights by holders of the ADSs is limited by the terms of the deposit agreement. </w:t>
      </w:r>
    </w:p>
    <w:p>
      <w:pPr>
        <w:pStyle w:val="TextBody"/>
        <w:spacing w:before="120" w:after="0"/>
        <w:jc w:val="both"/>
        <w:rPr>
          <w:rFonts w:ascii="Times New Roman" w:hAnsi="Times New Roman"/>
          <w:sz w:val="20"/>
        </w:rPr>
      </w:pPr>
      <w:r>
        <w:rPr>
          <w:rFonts w:ascii="Times New Roman" w:hAnsi="Times New Roman"/>
          <w:sz w:val="20"/>
        </w:rPr>
        <w:t xml:space="preserve">Holders of ADSs are not treated as our shareholders, unless they withdraw the shares underlying the ADSs from the depositary. The depositary and the custodian for the depositary are the holders of the ordinary shares underlying the ADSs. Holders of ADSs, therefore, do not have any rights as shareholders of our company, other than the rights that they have pursuant to the deposit agreement. </w:t>
      </w:r>
    </w:p>
    <w:p>
      <w:pPr>
        <w:pStyle w:val="TextBody"/>
        <w:spacing w:before="240" w:after="0"/>
        <w:jc w:val="both"/>
        <w:rPr>
          <w:rFonts w:ascii="Times New Roman" w:hAnsi="Times New Roman"/>
          <w:sz w:val="20"/>
        </w:rPr>
      </w:pPr>
      <w:r>
        <w:rPr>
          <w:rFonts w:ascii="Times New Roman" w:hAnsi="Times New Roman"/>
          <w:sz w:val="20"/>
        </w:rPr>
        <w:t xml:space="preserve">Holders of the ADSs may exercise their voting rights with respect to the ordinary shares underlying their ADSs only in accordance with the provisions of the deposit agreement. If we ask the depositary to solicit your instructions, then upon receipt of voting instructions from a holder of the ADSs in the manner set forth in the deposit agreement, the depositary for the ADSs will endeavor to vote such holder’s underlying ordinary shares in accordance with those instructions. Under our articles of association, the minimum notice period required for convening a shareholders’ meeting corresponds to the statutory minimum period, which is currently 36 days. When a shareholders’ meeting is convened, a holder of the ADSs may not receive notice of a shareholders’ meeting sufficiently in advance of the meeting to permit such holder to withdraw the ordinary shares underlying its ADSs from the depositary to allow the holder to cast its vote with respect to any specific matter at the meeting. In addition, the depositary and its agents may not be able to send voting instructions to a holder of the ADSs or carry out such holder’s voting instructions in a timely manner. We will make all reasonable efforts to cause the depositary to extend voting rights to a holder of the ADSs in a timely manner, but such holder may not receive the voting materials in time to ensure that such holder can instruct the depositary to vote the shares underlying its ADSs. Furthermore, the depositary and its agents will not be responsible for any failure to carry out any instructions to vote, for the manner in which any vote is cast or for the effect of any such vote. As a result, a holder of the ADSs may not be able to exercise its right to vote and may lack recourse if the ordinary shares are not voted as requested by such holder. </w:t>
      </w:r>
    </w:p>
    <w:p>
      <w:pPr>
        <w:pStyle w:val="TextBody"/>
        <w:spacing w:before="360" w:after="0"/>
        <w:jc w:val="left"/>
        <w:rPr>
          <w:rFonts w:ascii="Times New Roman" w:hAnsi="Times New Roman"/>
          <w:b/>
          <w:i/>
          <w:sz w:val="20"/>
        </w:rPr>
      </w:pPr>
      <w:r>
        <w:rPr>
          <w:rFonts w:ascii="Times New Roman" w:hAnsi="Times New Roman"/>
          <w:b/>
          <w:i/>
          <w:sz w:val="20"/>
        </w:rPr>
        <w:t xml:space="preserve">The rights of shareholders in companies subject to German corporate law differ in material respects from the rights of shareholders of U.S. corporations. </w:t>
      </w:r>
    </w:p>
    <w:p>
      <w:pPr>
        <w:pStyle w:val="TextBody"/>
        <w:spacing w:before="120" w:after="0"/>
        <w:jc w:val="both"/>
        <w:rPr>
          <w:rFonts w:ascii="Times New Roman" w:hAnsi="Times New Roman"/>
          <w:sz w:val="20"/>
        </w:rPr>
      </w:pPr>
      <w:r>
        <w:rPr>
          <w:rFonts w:ascii="Times New Roman" w:hAnsi="Times New Roman"/>
          <w:sz w:val="20"/>
        </w:rPr>
        <w:t>We are a stock corporation (</w:t>
      </w:r>
      <w:r>
        <w:rPr>
          <w:rFonts w:ascii="Times New Roman" w:hAnsi="Times New Roman"/>
          <w:i/>
          <w:sz w:val="20"/>
        </w:rPr>
        <w:t>Aktiengesellschaft</w:t>
      </w:r>
      <w:r>
        <w:rPr>
          <w:rFonts w:ascii="Times New Roman" w:hAnsi="Times New Roman"/>
          <w:sz w:val="20"/>
        </w:rPr>
        <w:t xml:space="preserve"> or </w:t>
      </w:r>
      <w:r>
        <w:rPr>
          <w:rFonts w:ascii="Times New Roman" w:hAnsi="Times New Roman"/>
          <w:i/>
          <w:sz w:val="20"/>
        </w:rPr>
        <w:t>AG</w:t>
      </w:r>
      <w:r>
        <w:rPr>
          <w:rFonts w:ascii="Times New Roman" w:hAnsi="Times New Roman"/>
          <w:sz w:val="20"/>
        </w:rPr>
        <w:t xml:space="preserve">) incorporated under German law. Our corporate affairs are governed by our articles of association and by the laws governing stock corporations incorporated in Germany. You should be aware that the rights of shareholders of a German stock corporation under German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differ in important respects from those of shareholders of a U.S. corporation. These differences include, in particular: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Under German law, certain important resolutions, including, for example, capital decreases, measures under the German Transformation Act (</w:t>
            </w:r>
            <w:r>
              <w:rPr>
                <w:rFonts w:ascii="Times New Roman" w:hAnsi="Times New Roman"/>
                <w:i/>
                <w:sz w:val="20"/>
              </w:rPr>
              <w:t>Umwandlungsgesetz</w:t>
            </w:r>
            <w:r>
              <w:rPr>
                <w:rFonts w:ascii="Times New Roman" w:hAnsi="Times New Roman"/>
                <w:sz w:val="20"/>
              </w:rPr>
              <w:t>), such as mergers, conversions and spin-offs, the issuance of convertible bonds or bonds with warrants attached and the dissolution of the German stock corporation apart from insolvency and certain other proceedings, require the vote of a 75% majority of the capital represented at the relevant shareholders’ meeting (</w:t>
            </w:r>
            <w:r>
              <w:rPr>
                <w:rFonts w:ascii="Times New Roman" w:hAnsi="Times New Roman"/>
                <w:i/>
                <w:sz w:val="20"/>
              </w:rPr>
              <w:t>Hauptversammlung</w:t>
            </w:r>
            <w:r>
              <w:rPr>
                <w:rFonts w:ascii="Times New Roman" w:hAnsi="Times New Roman"/>
                <w:sz w:val="20"/>
              </w:rPr>
              <w:t xml:space="preserve">). Therefore, the holder or holders of a blocking minority of more than 25% or, depending on the attendance level at the shareholders’ meeting, the holder or holders of a smaller percentage of the shares in a German stock corporation may be able to block any such votes, possibly to our detriment or the detriment of our other shareholders.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As a general rule under German law, a shareholder has no direct recourse against the members of the management board (</w:t>
            </w:r>
            <w:r>
              <w:rPr>
                <w:rFonts w:ascii="Times New Roman" w:hAnsi="Times New Roman"/>
                <w:i/>
                <w:sz w:val="20"/>
              </w:rPr>
              <w:t>Vorstand</w:t>
            </w:r>
            <w:r>
              <w:rPr>
                <w:rFonts w:ascii="Times New Roman" w:hAnsi="Times New Roman"/>
                <w:sz w:val="20"/>
              </w:rPr>
              <w:t>) or supervisory board (</w:t>
            </w:r>
            <w:r>
              <w:rPr>
                <w:rFonts w:ascii="Times New Roman" w:hAnsi="Times New Roman"/>
                <w:i/>
                <w:sz w:val="20"/>
              </w:rPr>
              <w:t>Aufsichtsrat</w:t>
            </w:r>
            <w:r>
              <w:rPr>
                <w:rFonts w:ascii="Times New Roman" w:hAnsi="Times New Roman"/>
                <w:sz w:val="20"/>
              </w:rPr>
              <w:t xml:space="preserve">) of a German stock corporation in the event that they have breached their duty of loyalty or duty of care to the German stock corporation. Apart from insolvency or other special circumstances, only the German stock corporation itself has the right to claim damages from members of the management board or the supervisory board. A German stock corporation may waive or settle such damage claims only if at least three years have passed since the violation of a duty occurred and the shareholders approve the waiver or settlement at the shareholders’ meeting with a simple majority of the share capital represented at such meeting, unless a minority holding, in the aggregate, 10% or more of the German stock corporation’s share capital objects to the shareholder resolution approving the waiver or settlement and has its objection formally recorded in the minutes of the shareholder meeting by a German civil law notary. </w:t>
            </w:r>
          </w:p>
        </w:tc>
      </w:tr>
    </w:tbl>
    <w:p>
      <w:pPr>
        <w:pStyle w:val="TextBody"/>
        <w:spacing w:before="240" w:after="0"/>
        <w:jc w:val="both"/>
        <w:rPr>
          <w:rFonts w:ascii="Times New Roman" w:hAnsi="Times New Roman"/>
          <w:sz w:val="20"/>
        </w:rPr>
      </w:pPr>
      <w:r>
        <w:rPr>
          <w:rFonts w:ascii="Times New Roman" w:hAnsi="Times New Roman"/>
          <w:sz w:val="20"/>
        </w:rPr>
        <w:t xml:space="preserve">For more information, we have provided summaries of relevant German corporate law and of our articles of association in Exhibit 2.3 to this Annual Report. </w:t>
      </w:r>
    </w:p>
    <w:p>
      <w:pPr>
        <w:pStyle w:val="TextBody"/>
        <w:spacing w:before="240" w:after="0"/>
        <w:jc w:val="both"/>
        <w:rPr>
          <w:rFonts w:ascii="Times New Roman" w:hAnsi="Times New Roman"/>
          <w:sz w:val="20"/>
        </w:rPr>
      </w:pPr>
      <w:r>
        <w:rPr>
          <w:rFonts w:ascii="Times New Roman" w:hAnsi="Times New Roman"/>
          <w:sz w:val="20"/>
        </w:rPr>
        <w:t xml:space="preserve">In addition, the responsibilities of members of our management board and supervisory board may be different from the management or directors of those corporations. In the performance of their duties, our management board and supervisory board are required by German law to consider the interests of our company, its shareholders, its employees and other stakeholders. It is possible that some of these parties will have interests that are different from, or in addition to, your interests as an ADS holder. </w:t>
      </w:r>
    </w:p>
    <w:p>
      <w:pPr>
        <w:pStyle w:val="TextBody"/>
        <w:spacing w:before="360" w:after="0"/>
        <w:jc w:val="left"/>
        <w:rPr>
          <w:rFonts w:ascii="Times New Roman" w:hAnsi="Times New Roman"/>
          <w:b/>
          <w:i/>
          <w:sz w:val="20"/>
        </w:rPr>
      </w:pPr>
      <w:r>
        <w:rPr>
          <w:rFonts w:ascii="Times New Roman" w:hAnsi="Times New Roman"/>
          <w:b/>
          <w:i/>
          <w:sz w:val="20"/>
        </w:rPr>
        <w:t xml:space="preserve">Holders of the ADSs may not be able to participate in any future preemptive subscription rights issues or elect to receive dividends in shares, which may cause additional dilution to their holdings. </w:t>
      </w:r>
    </w:p>
    <w:p>
      <w:pPr>
        <w:pStyle w:val="TextBody"/>
        <w:spacing w:before="120" w:after="0"/>
        <w:jc w:val="both"/>
        <w:rPr>
          <w:rFonts w:ascii="Times New Roman" w:hAnsi="Times New Roman"/>
          <w:sz w:val="20"/>
        </w:rPr>
      </w:pPr>
      <w:r>
        <w:rPr>
          <w:rFonts w:ascii="Times New Roman" w:hAnsi="Times New Roman"/>
          <w:sz w:val="20"/>
        </w:rPr>
        <w:t xml:space="preserve">Under German law, the existing shareholders of a stock corporation generally have a preemptive right to subscribe for shares, in proportion to the amount of shares they hold, in connection with any issuance of ordinary shares, convertible bonds, bonds with warrants, profit participation rights and participating bonds. However, a shareholders’ meeting may vote, by a majority representing at least three-quarters of the share capital represented at the meeting, to waive, or authorize the management of the company to waive (with the approval of the supervisory board), for a capital increase from authorized capital, this preemptive right provided that, from the company’s perspective, there exists good and objective cause for such waiver, especially for a capital increase of up to 10% of the share capital if the issue price of the new shares is not significantly lower than their market price. </w:t>
      </w:r>
    </w:p>
    <w:p>
      <w:pPr>
        <w:pStyle w:val="TextBody"/>
        <w:spacing w:before="240" w:after="0"/>
        <w:jc w:val="both"/>
        <w:rPr>
          <w:rFonts w:ascii="Times New Roman" w:hAnsi="Times New Roman"/>
          <w:sz w:val="20"/>
        </w:rPr>
      </w:pPr>
      <w:r>
        <w:rPr>
          <w:rFonts w:ascii="Times New Roman" w:hAnsi="Times New Roman"/>
          <w:sz w:val="20"/>
        </w:rPr>
        <w:t xml:space="preserve">Certain non-German shareholders may not be able to exercise their preemptive subscription rights in our future offerings due to the legislation and regulations of their home country. For example, ADS holders in the U.S. will not be entitled to exercise or sell such rights unless we register the rights and the securities to which the rights relate under the Securities Act or an exemption from the registration requirements is available. In addition, the deposit agreement provides that the depositary need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Investors may have difficulty enforcing civil liabilities against us, our management board members, our supervisory board members. </w:t>
      </w:r>
    </w:p>
    <w:p>
      <w:pPr>
        <w:pStyle w:val="TextBody"/>
        <w:spacing w:before="120" w:after="0"/>
        <w:jc w:val="both"/>
        <w:rPr>
          <w:rFonts w:ascii="Times New Roman" w:hAnsi="Times New Roman"/>
          <w:sz w:val="20"/>
        </w:rPr>
      </w:pPr>
      <w:r>
        <w:rPr>
          <w:rFonts w:ascii="Times New Roman" w:hAnsi="Times New Roman"/>
          <w:sz w:val="20"/>
        </w:rPr>
        <w:t xml:space="preserve">Certain members of our supervisory board and management board are non-residents of the United States, and all or a substantial portion of the assets of such persons are located outside the United States. As a result, it may not be possible, or may be very difficult, to serve process on such persons or us in the United States or to enforce judgments obtained in U.S. courts against them or us based on civil liability provisions of the securities laws of the United States. In addition, awards of punitive damages in actions brought in the United States or elsewhere may be unenforceable in Germany. An award for monetary damages under the U.S. securities laws would be considered punitive if it does not seek to compensate the claimant for loss or damage suffered and is intended to punish the defendant. The enforceability of any judgment in Germany will depend on the particular facts of the case as well as the laws and treaties in effect at the time. Litigation in Germany is also subject to rules of procedure that differ from the U.S. rules, including with respect to the taking and admissibility of evidence, the conduct of the proceedings and the allocation of costs. With very narrow exceptions, proceedings in Germany would need to be conducted in the German language, and all documents submitted to the court would, in principle, have to be translated into German. For these reasons, it may be difficult for a U.S. investor to bring an original action based upon the civil liability provisions of the U.S. federal securities laws against us, certain members of our supervisory board and management board in a German court. The United States and Germany do not currently have a treaty providing for recognition and enforcement of judgments (other than arbitration awards) in civil and commercial matters, though recognition and enforcement of foreign judgments in Germany is possible in accordance with applicable German laws. </w:t>
      </w:r>
    </w:p>
    <w:p>
      <w:pPr>
        <w:pStyle w:val="TextBody"/>
        <w:spacing w:before="360" w:after="0"/>
        <w:jc w:val="left"/>
        <w:rPr>
          <w:rFonts w:ascii="Times New Roman" w:hAnsi="Times New Roman"/>
          <w:b/>
          <w:i/>
          <w:sz w:val="20"/>
        </w:rPr>
      </w:pPr>
      <w:r>
        <w:rPr>
          <w:rFonts w:ascii="Times New Roman" w:hAnsi="Times New Roman"/>
          <w:b/>
          <w:i/>
          <w:sz w:val="20"/>
        </w:rPr>
        <w:t xml:space="preserve">German and European insolvency laws are substantially different from U.S. insolvency laws and may offer our shareholders less protection than they would have under U.S. insolvency laws. </w:t>
      </w:r>
    </w:p>
    <w:p>
      <w:pPr>
        <w:pStyle w:val="TextBody"/>
        <w:spacing w:before="120" w:after="0"/>
        <w:jc w:val="both"/>
        <w:rPr>
          <w:rFonts w:ascii="Times New Roman" w:hAnsi="Times New Roman"/>
          <w:sz w:val="20"/>
        </w:rPr>
      </w:pPr>
      <w:r>
        <w:rPr>
          <w:rFonts w:ascii="Times New Roman" w:hAnsi="Times New Roman"/>
          <w:sz w:val="20"/>
        </w:rPr>
        <w:t xml:space="preserve">As a company with its registered office in Germany, we are subject to German insolvency laws in the event any insolvency proceedings are initiated against us including, among other things, Regulation (EU) 2015/848 of the European Parliament and of the Council of May 20, 2015 on insolvency proceedings as of June 2017. Should courts in another European country determine that the insolvency laws of that country apply to us in accordance with and subject to such EU regulations, the courts in that country could have jurisdiction over the insolvency proceedings initiated against us. Insolvency laws in Germany or the relevant other European country, if any, may offer our shareholders less protection than they would have under U.S. insolvency laws and make it more difficult for our shareholders to recover the amount they could expect to recover in a liquidation under U.S. insolvency laws. </w:t>
      </w:r>
    </w:p>
    <w:p>
      <w:pPr>
        <w:pStyle w:val="TextBody"/>
        <w:spacing w:before="360" w:after="0"/>
        <w:jc w:val="left"/>
        <w:rPr>
          <w:rFonts w:ascii="Times New Roman" w:hAnsi="Times New Roman"/>
          <w:b/>
          <w:i/>
          <w:sz w:val="20"/>
        </w:rPr>
      </w:pPr>
      <w:r>
        <w:rPr>
          <w:rFonts w:ascii="Times New Roman" w:hAnsi="Times New Roman"/>
          <w:b/>
          <w:i/>
          <w:sz w:val="20"/>
        </w:rPr>
        <w:t xml:space="preserve">We are an emerging growth company, as defined in the Securities Act, and we cannot be certain whether the reduced disclosure requirements applicable to emerging growth companies will make the ADSs less attractive to investors, given that we may rely on these exemptions. </w:t>
      </w:r>
    </w:p>
    <w:p>
      <w:pPr>
        <w:pStyle w:val="TextBody"/>
        <w:spacing w:before="120" w:after="0"/>
        <w:jc w:val="both"/>
        <w:rPr>
          <w:rFonts w:ascii="Times New Roman" w:hAnsi="Times New Roman"/>
          <w:sz w:val="20"/>
        </w:rPr>
      </w:pPr>
      <w:r>
        <w:rPr>
          <w:rFonts w:ascii="Times New Roman" w:hAnsi="Times New Roman"/>
          <w:sz w:val="20"/>
        </w:rPr>
        <w:t xml:space="preserve">We are an “emerging growth company,” as defined in Section 2(a) of the Securities Act, as modified by the JOBS Act, and therefore we may take advantage of certain exemptions from reporting requirements that are applicable to public companies that are not “emerging growth companies,” including, but not limited to, presenting only limited selected financial data in this Annual Report, not being required to comply with the auditor attestation requirements of Section 404 in this Annual Report or subsequent Annual Reports filed on Form 20-F and not being required to comply with any requirement that may be adopted by the Public Company Accounting Oversight Board regarding mandatory audit firm rotation or a supplement to the auditor’s report providing additional information about the audit and the financial statements. As a result, our shareholders may not have access to certain information that they may deem important. In addition, the JOBS Act provides that an emerging growth company may take advantage of an extended transition period for complying with new or revised accounting standards, which allows an emerging growth company to delay the adoption of certain accounting standards until those standards would otherwise apply to private companies. Such provisions are only applicable under U.S. GAAP. We currently prepare our financial statements in accordance with IFRS as issued by the IASB, which do not have separate provisions for publicly traded and private companies. However, in the event we convert to U.S. GAAP while we are still an “emerging growth company,” we may be able to take advantage of the benefits of this extended transition period. We could be an emerging growth company for up to five years, although circumstances could cause us to lose that status earlier, including if our total annual gross revenue exceeds $1.235 billion , if we issue more than $1.00 billion in non-convertible debt securities during any three-year period, or if we are a large accelerated filer and the market value of the ADSs held by non-affiliates exceeds $700 million as of the end of any second quarter before that time. Investors may find the ADSs less attractive because we have relied on the reporting requirement exemptions described above. If some investors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find the ADSs less attractive, there may be a less active trading market for the ADSs and the price of the ADSs may become more volatile. </w:t>
      </w:r>
    </w:p>
    <w:p>
      <w:pPr>
        <w:pStyle w:val="TextBody"/>
        <w:spacing w:before="360" w:after="0"/>
        <w:jc w:val="left"/>
        <w:rPr>
          <w:rFonts w:ascii="Times New Roman" w:hAnsi="Times New Roman"/>
          <w:b/>
          <w:i/>
          <w:sz w:val="20"/>
        </w:rPr>
      </w:pPr>
      <w:r>
        <w:rPr>
          <w:rFonts w:ascii="Times New Roman" w:hAnsi="Times New Roman"/>
          <w:b/>
          <w:i/>
          <w:sz w:val="20"/>
        </w:rPr>
        <w:t xml:space="preserve">As a foreign private issuer, we are not subject to U.S. proxy rules and are subject to Exchange Act reporting obligations that, to some extent, are more lenient than those of a U.S. domestic public company. </w:t>
      </w:r>
    </w:p>
    <w:p>
      <w:pPr>
        <w:pStyle w:val="TextBody"/>
        <w:spacing w:before="120" w:after="0"/>
        <w:jc w:val="both"/>
        <w:rPr>
          <w:rFonts w:ascii="Times New Roman" w:hAnsi="Times New Roman"/>
          <w:sz w:val="20"/>
        </w:rPr>
      </w:pPr>
      <w:r>
        <w:rPr>
          <w:rFonts w:ascii="Times New Roman" w:hAnsi="Times New Roman"/>
          <w:sz w:val="20"/>
        </w:rPr>
        <w:t xml:space="preserve">As of the date of this Annual Report, we report under the Securities Exchange Act of 1934, as amended (“Exchange Act”), as a non-U.S. company with foreign private issuer status. Because we qualify as a foreign private issuer under the Exchange Act and although we are subject to German laws and regulations with regard to such matters and intend to furnish half year interim reports to the SEC, we are exempt from certain provisions of the Exchange Act that are applicable to U.S. domestic public companies, including (1) the sections of the Exchange Act regulating the solicitation of proxies, consents or authorizations in respect of a security registered under the Exchange Act, (2) the sections of the Exchange Act requiring insiders to file public reports with respect to their share ownership and trading activities and liability for insiders who profit from trades made in a short period of time and (3) the rules under the Exchange Act requiring the filing with the SEC of quarterly reports on Form 10-Q containing unaudited financial and other specified information. In addition, foreign private issuers are required to file their annual report on Form 20-F within four months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holders of the ADSs may not have the same protections afforded to shareholders of a company that is not a foreign private issuer. </w:t>
      </w:r>
    </w:p>
    <w:p>
      <w:pPr>
        <w:pStyle w:val="TextBody"/>
        <w:spacing w:before="360" w:after="0"/>
        <w:jc w:val="left"/>
        <w:rPr>
          <w:rFonts w:ascii="Times New Roman" w:hAnsi="Times New Roman"/>
          <w:b/>
          <w:i/>
          <w:sz w:val="20"/>
        </w:rPr>
      </w:pPr>
      <w:r>
        <w:rPr>
          <w:rFonts w:ascii="Times New Roman" w:hAnsi="Times New Roman"/>
          <w:b/>
          <w:i/>
          <w:sz w:val="20"/>
        </w:rPr>
        <w:t xml:space="preserve">We may lose our foreign private issuer status in the future, which could result in significant additional costs and expenses. </w:t>
      </w:r>
    </w:p>
    <w:p>
      <w:pPr>
        <w:pStyle w:val="TextBody"/>
        <w:spacing w:before="120" w:after="0"/>
        <w:jc w:val="both"/>
        <w:rPr>
          <w:rFonts w:ascii="Times New Roman" w:hAnsi="Times New Roman"/>
          <w:sz w:val="20"/>
        </w:rPr>
      </w:pPr>
      <w:r>
        <w:rPr>
          <w:rFonts w:ascii="Times New Roman" w:hAnsi="Times New Roman"/>
          <w:sz w:val="20"/>
        </w:rPr>
        <w:t xml:space="preserve">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2022. </w:t>
      </w:r>
    </w:p>
    <w:p>
      <w:pPr>
        <w:pStyle w:val="TextBody"/>
        <w:spacing w:before="240" w:after="0"/>
        <w:jc w:val="both"/>
        <w:rPr>
          <w:rFonts w:ascii="Times New Roman" w:hAnsi="Times New Roman"/>
          <w:sz w:val="20"/>
        </w:rPr>
      </w:pPr>
      <w:r>
        <w:rPr>
          <w:rFonts w:ascii="Times New Roman" w:hAnsi="Times New Roman"/>
          <w:sz w:val="20"/>
        </w:rPr>
        <w:t xml:space="preserve">In the future,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 If we lose our foreign private issuer status, we will be required to file with the SEC periodic reports and registration statements on U.S. domestic issuer forms, which would be required to include financial statements prepared under U.S. GAAP, and which would be more detailed and extensive than the forms available to a foreign private issuer. We will also have to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listing rules of Nasdaq. As a U.S. listed public company that is not a foreign private issuer, we would incur significant additional legal, accounting and other expenses that we would not incur as a foreign private issuer. These expenses would relate to, among other things, the obligation to present our financial information in accordance with U.S. GAAP in the future. Additionally, a loss of our foreign private issuer status would divert our management’s attention from other business concerns, which could have a material adverse effect on our business, financial condition, results of operations and prospects. </w:t>
      </w:r>
    </w:p>
    <w:p>
      <w:pPr>
        <w:pStyle w:val="TextBody"/>
        <w:spacing w:before="360" w:after="0"/>
        <w:jc w:val="left"/>
        <w:rPr>
          <w:rFonts w:ascii="Times New Roman" w:hAnsi="Times New Roman"/>
          <w:b/>
          <w:i/>
          <w:sz w:val="20"/>
        </w:rPr>
      </w:pPr>
      <w:r>
        <w:rPr>
          <w:rFonts w:ascii="Times New Roman" w:hAnsi="Times New Roman"/>
          <w:b/>
          <w:i/>
          <w:sz w:val="20"/>
        </w:rPr>
        <w:t xml:space="preserve">As we are a foreign private issuer and intend to follow certain home country corporate governance practices, holders of the ADSs may not have the same protections afforded to shareholders of companies that are subject to all Nasdaq corporate governance requirements. </w:t>
      </w:r>
    </w:p>
    <w:p>
      <w:pPr>
        <w:pStyle w:val="TextBody"/>
        <w:spacing w:before="120" w:after="0"/>
        <w:jc w:val="both"/>
        <w:rPr>
          <w:rFonts w:ascii="Times New Roman" w:hAnsi="Times New Roman"/>
          <w:sz w:val="20"/>
        </w:rPr>
      </w:pPr>
      <w:r>
        <w:rPr>
          <w:rFonts w:ascii="Times New Roman" w:hAnsi="Times New Roman"/>
          <w:sz w:val="20"/>
        </w:rPr>
        <w:t xml:space="preserve">As a foreign private issuer, we have the option to follow certain home country corporate governance practices rather than those of Nasdaq, provided that we disclose the requirements we are not following and describe the home country practices we are following. The standards applicable to us are considerably different than the standards applied to domestic U.S. issuers. For instance, we are not required to: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have a majority of the board be independent (although all of the members of the audit committee must be independent under the Exchange Act);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have a compensation committee or a nominating or corporate governance committee consisting entirely of independent directors; </w:t>
            </w:r>
          </w:p>
        </w:tc>
      </w:tr>
    </w:tbl>
    <w:p>
      <w:pPr>
        <w:pStyle w:val="TextBody"/>
        <w:spacing w:before="0" w:after="0"/>
        <w:jc w:val="left"/>
        <w:rPr/>
      </w:pPr>
      <w:r>
        <w:rPr/>
        <w:t> </w:t>
      </w:r>
    </w:p>
    <w:tbl>
      <w:tblPr>
        <w:tblW w:w="6820" w:type="dxa"/>
        <w:jc w:val="left"/>
        <w:tblInd w:w="0" w:type="dxa"/>
        <w:tblCellMar>
          <w:top w:w="0" w:type="dxa"/>
          <w:left w:w="0" w:type="dxa"/>
          <w:bottom w:w="0" w:type="dxa"/>
          <w:right w:w="0" w:type="dxa"/>
        </w:tblCellMar>
      </w:tblPr>
      <w:tblGrid>
        <w:gridCol w:w="75"/>
        <w:gridCol w:w="110"/>
        <w:gridCol w:w="60"/>
        <w:gridCol w:w="65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57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have regularly scheduled executive sessions with only independent directors; or </w:t>
            </w:r>
          </w:p>
        </w:tc>
      </w:tr>
    </w:tbl>
    <w:p>
      <w:pPr>
        <w:pStyle w:val="TextBody"/>
        <w:spacing w:before="0" w:after="0"/>
        <w:jc w:val="left"/>
        <w:rPr/>
      </w:pPr>
      <w:r>
        <w:rPr/>
        <w:t> </w:t>
      </w:r>
    </w:p>
    <w:tbl>
      <w:tblPr>
        <w:tblW w:w="6160" w:type="dxa"/>
        <w:jc w:val="left"/>
        <w:tblInd w:w="0" w:type="dxa"/>
        <w:tblCellMar>
          <w:top w:w="0" w:type="dxa"/>
          <w:left w:w="0" w:type="dxa"/>
          <w:bottom w:w="0" w:type="dxa"/>
          <w:right w:w="0" w:type="dxa"/>
        </w:tblCellMar>
      </w:tblPr>
      <w:tblGrid>
        <w:gridCol w:w="75"/>
        <w:gridCol w:w="110"/>
        <w:gridCol w:w="60"/>
        <w:gridCol w:w="59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adopt and disclose a code of ethics for directors, officers and employees. </w:t>
            </w:r>
          </w:p>
        </w:tc>
      </w:tr>
    </w:tbl>
    <w:p>
      <w:pPr>
        <w:pStyle w:val="TextBody"/>
        <w:spacing w:before="240" w:after="0"/>
        <w:jc w:val="both"/>
        <w:rPr>
          <w:rFonts w:ascii="Times New Roman" w:hAnsi="Times New Roman"/>
          <w:sz w:val="20"/>
        </w:rPr>
      </w:pPr>
      <w:r>
        <w:rPr>
          <w:rFonts w:ascii="Times New Roman" w:hAnsi="Times New Roman"/>
          <w:sz w:val="20"/>
        </w:rPr>
        <w:t xml:space="preserve">We have relied on and intend to continue to rely on some of these exemptions. As a result, holders of the ADSs may not have the same protections afforded to shareholders of companies that are subject to all Nasdaq corporate governance requirements. </w:t>
      </w:r>
    </w:p>
    <w:p>
      <w:pPr>
        <w:pStyle w:val="TextBody"/>
        <w:spacing w:before="360" w:after="0"/>
        <w:jc w:val="left"/>
        <w:rPr>
          <w:rFonts w:ascii="Times New Roman" w:hAnsi="Times New Roman"/>
          <w:b/>
          <w:i/>
          <w:sz w:val="20"/>
        </w:rPr>
      </w:pPr>
      <w:r>
        <w:rPr>
          <w:rFonts w:ascii="Times New Roman" w:hAnsi="Times New Roman"/>
          <w:b/>
          <w:i/>
          <w:sz w:val="20"/>
        </w:rPr>
        <w:t xml:space="preserve">Our ADSs and ordinary shares are listed on two separate stock markets and investors seeking to take advantage of price differences between such markets may create unexpected volatility in the price of the ADSs. </w:t>
      </w:r>
    </w:p>
    <w:p>
      <w:pPr>
        <w:pStyle w:val="TextBody"/>
        <w:spacing w:before="120" w:after="0"/>
        <w:jc w:val="both"/>
        <w:rPr>
          <w:rFonts w:ascii="Times New Roman" w:hAnsi="Times New Roman"/>
          <w:sz w:val="20"/>
        </w:rPr>
      </w:pPr>
      <w:r>
        <w:rPr>
          <w:rFonts w:ascii="Times New Roman" w:hAnsi="Times New Roman"/>
          <w:sz w:val="20"/>
        </w:rPr>
        <w:t xml:space="preserve">Our ordinary shares are listed and traded on the XETRA trading system of the Frankfurt Stock Exchange and our ADSs are listed and traded on Nasdaq. While our ordinary shares and ADSs are traded on these markets, respectively, price and volume levels for our ordinary shares or ADSs could fluctuate significantly, independent of the price of the ADSs or trading volume on either market. Investors could seek to sell or buy our ordinary shares or ADSs to take advantage of any price differences between the two markets through a practice referred to as arbitrage. Any arbitrage activity could create unexpected volatility in the price of the ADSs and in the volumes of ADSs available for trading. In addition, we may explore a delisting of our ordinary shares from the Frankfurt Stock Exchange in the medium term taking into consideration future trading volumes, administrative costs and other factors. In case of a delisting of our ordinary shares from the Frankfurt Stock Exchange, our shareholders may seek to sell their ordinary shares on the Frankfurt Stock Exchange or deposit their ordinary shares with the depositary or the custodian for the depositary in exchange for ADSs as the date for our delisting on the Frankfurt Stock Exchange draws near, which could result in volatility in the trading price of the ADSs. Furthermore, following such delisting, trading in our equity securities will be available only on Nasdaq in the form of trading in the ADSs. If we are unable to continue to meet the regulatory requirements for listing on Nasdaq, we may lose our listing on the exchange, which could further impair the liquidity of the ADSs. </w:t>
      </w:r>
    </w:p>
    <w:p>
      <w:pPr>
        <w:pStyle w:val="TextBody"/>
        <w:spacing w:before="360" w:after="0"/>
        <w:jc w:val="left"/>
        <w:rPr>
          <w:rFonts w:ascii="Times New Roman" w:hAnsi="Times New Roman"/>
          <w:b/>
          <w:i/>
          <w:sz w:val="20"/>
        </w:rPr>
      </w:pPr>
      <w:r>
        <w:rPr>
          <w:rFonts w:ascii="Times New Roman" w:hAnsi="Times New Roman"/>
          <w:b/>
          <w:i/>
          <w:sz w:val="20"/>
        </w:rPr>
        <w:t xml:space="preserve">If we were to pay dividends, holders of the ADSs may be unable to claim tax credits with respect to, or tax refunds to reduce German withholding tax applicable to, the payment of such dividends, or such dividends may effectively be taxed twice. </w:t>
      </w:r>
    </w:p>
    <w:p>
      <w:pPr>
        <w:pStyle w:val="TextBody"/>
        <w:spacing w:before="120" w:after="0"/>
        <w:jc w:val="both"/>
        <w:rPr>
          <w:rFonts w:ascii="Times New Roman" w:hAnsi="Times New Roman"/>
          <w:sz w:val="20"/>
        </w:rPr>
      </w:pPr>
      <w:r>
        <w:rPr>
          <w:rFonts w:ascii="Times New Roman" w:hAnsi="Times New Roman"/>
          <w:sz w:val="20"/>
        </w:rPr>
        <w:t>As a German tax resident company, if we were to pay dividends, such dividends will be subject to German withholding tax. Currently, the applicable aggregate German withholding tax rate is 26.375% of the gross dividend (25% income tax plus 5.5% solidarity surcharge thereon). This German tax can be reduced to the applicable rate under the Treaty (as defined in “E. Taxation—German Taxation of ADSs—Taxation of Non-German Resident U.S. Holders”), which is generally 15%, if the applicable taxpayer is eligible for such Treaty rate and files an application containing a specific German tax certificate with the German Federal Central Tax Office (</w:t>
      </w:r>
      <w:r>
        <w:rPr>
          <w:rFonts w:ascii="Times New Roman" w:hAnsi="Times New Roman"/>
          <w:i/>
          <w:sz w:val="20"/>
        </w:rPr>
        <w:t>Bundeszentralamt für Steuern</w:t>
      </w:r>
      <w:r>
        <w:rPr>
          <w:rFonts w:ascii="Times New Roman" w:hAnsi="Times New Roman"/>
          <w:sz w:val="20"/>
        </w:rPr>
        <w:t>). If such a tax certificate cannot be delivered to the ADS holder due to applicable settlement mechanics or lack of information regarding the ADS holder, holders of the ADSs may be unable to benefit from the double tax treaty relief (including “Eligible U.S. Holders” as defined under the Treaty) and may be unable to file for a credit of such withholding tax in its jurisdiction of residence. Further, the payment made to the ADS holder equal to the net dividend may, under the tax law applicable to the ADS holder, qualify as taxable income that is in turn subject to withholding, which could mean that a dividend is effectively taxed twice. There can be no guarantee that the information delivery requirement can be satisfied in all cases, which could result in adverse tax consequences for affected ADS holders. ADS holders should note that the applicable interpretation circular (</w:t>
      </w:r>
      <w:r>
        <w:rPr>
          <w:rFonts w:ascii="Times New Roman" w:hAnsi="Times New Roman"/>
          <w:i/>
          <w:sz w:val="20"/>
        </w:rPr>
        <w:t>Besteuerung von American Depositary Receipts (ADR) auf inländische Aktien</w:t>
      </w:r>
      <w:r>
        <w:rPr>
          <w:rFonts w:ascii="Times New Roman" w:hAnsi="Times New Roman"/>
          <w:sz w:val="20"/>
        </w:rPr>
        <w:t>) issued by the German Federal Ministry of Finance (</w:t>
      </w:r>
      <w:r>
        <w:rPr>
          <w:rFonts w:ascii="Times New Roman" w:hAnsi="Times New Roman"/>
          <w:i/>
          <w:sz w:val="20"/>
        </w:rPr>
        <w:t>Bundesministerium der Finanzen</w:t>
      </w:r>
      <w:r>
        <w:rPr>
          <w:rFonts w:ascii="Times New Roman" w:hAnsi="Times New Roman"/>
          <w:sz w:val="20"/>
        </w:rPr>
        <w:t xml:space="preserve">), dated May 24, 2013 (reference number IV C 1-S2204/12/10003), as amended by the circular dated December 18, 2018 (reference number IV C 1-S2204/12/10003), (the “ADR Tax Circular”), is not binding on German courts, and there is no certainty as to whether a German tax court will follow the ADR Tax Circular in determining the German tax treatment of the ADSs. In addition, the ADR Tax Circular does not include details on how an ADR program should be designed. If the ADSs were determined not to fall within the scope of application of the ADR Tax Circular, or a German tax court did not follow the ADR Tax Circular, and profit distributions made with respect to the ADSs were not treated as a dividend for German tax purposes, a holder of the ADSs would not be entitled to a refund of any taxes withheld on the dividends under German tax law and profit distributions made with respect to the ADSs may be effectively taxed twice.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The interpretation of the treatment of ADSs by the German tax authorities is subject to change. </w:t>
      </w:r>
    </w:p>
    <w:p>
      <w:pPr>
        <w:pStyle w:val="TextBody"/>
        <w:spacing w:before="120" w:after="0"/>
        <w:jc w:val="both"/>
        <w:rPr>
          <w:rFonts w:ascii="Times New Roman" w:hAnsi="Times New Roman"/>
          <w:sz w:val="20"/>
        </w:rPr>
      </w:pPr>
      <w:r>
        <w:rPr>
          <w:rFonts w:ascii="Times New Roman" w:hAnsi="Times New Roman"/>
          <w:sz w:val="20"/>
        </w:rPr>
        <w:t>The specific treatment of ADSs under German tax law is based on administrative provisions issued by the fiscal authorities, which are not codified law and are subject to change. Tax authorities may modify their interpretation and the current treatment of ADSs may change. According to the circular issued by the German Federal Ministry of Finance (</w:t>
      </w:r>
      <w:r>
        <w:rPr>
          <w:rFonts w:ascii="Times New Roman" w:hAnsi="Times New Roman"/>
          <w:i/>
          <w:sz w:val="20"/>
        </w:rPr>
        <w:t>BMF-Schreiben</w:t>
      </w:r>
      <w:r>
        <w:rPr>
          <w:rFonts w:ascii="Times New Roman" w:hAnsi="Times New Roman"/>
          <w:sz w:val="20"/>
        </w:rPr>
        <w:t>), dated May 21, 2019, (reference number IV C 1 – S 1980-1/16/10010 :001), ADSs are not treated as capital participation (</w:t>
      </w:r>
      <w:r>
        <w:rPr>
          <w:rFonts w:ascii="Times New Roman" w:hAnsi="Times New Roman"/>
          <w:i/>
          <w:sz w:val="20"/>
        </w:rPr>
        <w:t>Kapitalbeteiligung</w:t>
      </w:r>
      <w:r>
        <w:rPr>
          <w:rFonts w:ascii="Times New Roman" w:hAnsi="Times New Roman"/>
          <w:sz w:val="20"/>
        </w:rPr>
        <w:t>) within the meaning of Section 2 para. 8 of the Investment Tax Code (</w:t>
      </w:r>
      <w:r>
        <w:rPr>
          <w:rFonts w:ascii="Times New Roman" w:hAnsi="Times New Roman"/>
          <w:i/>
          <w:sz w:val="20"/>
        </w:rPr>
        <w:t>Investmentsteuergesetz</w:t>
      </w:r>
      <w:r>
        <w:rPr>
          <w:rFonts w:ascii="Times New Roman" w:hAnsi="Times New Roman"/>
          <w:sz w:val="20"/>
        </w:rPr>
        <w:t xml:space="preserve">). This interpretation by the fiscal authorities may have adverse effects on the taxation of investors. For example, an investment fund may no longer be considered an equity fund or mixed fund within the meaning of Section 2 para. 6 and 7 of the Investment Tax Code if such fund acquires ADSs and, as result, has invested less than 50% or 25% of its assets, respectively, in capital participations. </w:t>
      </w:r>
    </w:p>
    <w:p>
      <w:pPr>
        <w:pStyle w:val="TextBody"/>
        <w:spacing w:before="360" w:after="0"/>
        <w:jc w:val="left"/>
        <w:rPr>
          <w:rFonts w:ascii="Times New Roman" w:hAnsi="Times New Roman"/>
          <w:b/>
          <w:i/>
          <w:sz w:val="20"/>
        </w:rPr>
      </w:pPr>
      <w:r>
        <w:rPr>
          <w:rFonts w:ascii="Times New Roman" w:hAnsi="Times New Roman"/>
          <w:b/>
          <w:i/>
          <w:sz w:val="20"/>
        </w:rPr>
        <w:t xml:space="preserve">ADS holders may not be entitled to a jury trial with respect to claims arising under the deposit agreement, which could result in less favorable outcomes to the plaintiffs in an action of that kind. </w:t>
      </w:r>
    </w:p>
    <w:p>
      <w:pPr>
        <w:pStyle w:val="TextBody"/>
        <w:spacing w:before="120" w:after="0"/>
        <w:jc w:val="both"/>
        <w:rPr>
          <w:rFonts w:ascii="Times New Roman" w:hAnsi="Times New Roman"/>
          <w:sz w:val="20"/>
        </w:rPr>
      </w:pPr>
      <w:r>
        <w:rPr>
          <w:rFonts w:ascii="Times New Roman" w:hAnsi="Times New Roman"/>
          <w:sz w:val="20"/>
        </w:rPr>
        <w:t xml:space="preserve">The deposit agreement governing the ADSs representing our ordinary shares provides that, to the fullest extent permitted by law, ADS holders waive the right to a jury trial of any claim they may have against us or the depositary arising out of or relating to our ordinary shares, the ADSs or the deposit agreement, including any claim under U.S. federal securities laws. </w:t>
      </w:r>
    </w:p>
    <w:p>
      <w:pPr>
        <w:pStyle w:val="TextBody"/>
        <w:spacing w:before="240" w:after="0"/>
        <w:jc w:val="both"/>
        <w:rPr>
          <w:rFonts w:ascii="Times New Roman" w:hAnsi="Times New Roman"/>
          <w:sz w:val="20"/>
        </w:rPr>
      </w:pPr>
      <w:r>
        <w:rPr>
          <w:rFonts w:ascii="Times New Roman" w:hAnsi="Times New Roman"/>
          <w:sz w:val="20"/>
        </w:rPr>
        <w:t xml:space="preserve">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 </w:t>
      </w:r>
    </w:p>
    <w:p>
      <w:pPr>
        <w:pStyle w:val="TextBody"/>
        <w:spacing w:before="240" w:after="0"/>
        <w:jc w:val="both"/>
        <w:rPr>
          <w:rFonts w:ascii="Times New Roman" w:hAnsi="Times New Roman"/>
          <w:sz w:val="20"/>
        </w:rPr>
      </w:pPr>
      <w:r>
        <w:rPr>
          <w:rFonts w:ascii="Times New Roman" w:hAnsi="Times New Roman"/>
          <w:sz w:val="20"/>
        </w:rPr>
        <w:t xml:space="preserve">If you or any other ADS holders bring a claim against us or the depositary in connection with matters arising under the deposit agreement or relating to the ADSs, including claims under federal securities laws, you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that action. </w:t>
      </w:r>
    </w:p>
    <w:p>
      <w:pPr>
        <w:pStyle w:val="TextBody"/>
        <w:spacing w:before="240" w:after="0"/>
        <w:jc w:val="both"/>
        <w:rPr>
          <w:rFonts w:ascii="Times New Roman" w:hAnsi="Times New Roman"/>
          <w:sz w:val="20"/>
        </w:rPr>
      </w:pPr>
      <w:r>
        <w:rPr>
          <w:rFonts w:ascii="Times New Roman" w:hAnsi="Times New Roman"/>
          <w:sz w:val="20"/>
        </w:rPr>
        <w:t xml:space="preserve">Nevertheless, if this jury trial waiver provision is not permitted by applicable law, an action could proceed under the terms of the deposit agreement with a jury trial. </w:t>
      </w:r>
    </w:p>
    <w:p>
      <w:pPr>
        <w:pStyle w:val="TextBody"/>
        <w:spacing w:before="240" w:after="0"/>
        <w:jc w:val="both"/>
        <w:rPr>
          <w:rFonts w:ascii="Times New Roman" w:hAnsi="Times New Roman"/>
          <w:sz w:val="20"/>
        </w:rPr>
      </w:pPr>
      <w:r>
        <w:rPr>
          <w:rFonts w:ascii="Times New Roman" w:hAnsi="Times New Roman"/>
          <w:sz w:val="20"/>
        </w:rPr>
        <w:t xml:space="preserve">No condition, stipulation or provision of the deposit agreement or the ADSs serves as a waiver by any ADS holder or by us or the depositary of compliance with any substantive provision of the U.S. federal securities laws and the rules and regulations promulgated thereunder. </w:t>
      </w:r>
    </w:p>
    <w:p>
      <w:pPr>
        <w:pStyle w:val="TextBody"/>
        <w:spacing w:before="360" w:after="0"/>
        <w:jc w:val="left"/>
        <w:rPr>
          <w:rFonts w:ascii="Times New Roman" w:hAnsi="Times New Roman"/>
          <w:b/>
          <w:sz w:val="20"/>
        </w:rPr>
      </w:pPr>
      <w:bookmarkStart w:id="19" w:name="tx497326_17"/>
      <w:bookmarkEnd w:id="19"/>
      <w:r>
        <w:rPr>
          <w:rFonts w:ascii="Times New Roman" w:hAnsi="Times New Roman"/>
          <w:b/>
          <w:sz w:val="20"/>
        </w:rPr>
        <w:t xml:space="preserve">ITEM 4. INFORMATION ON THE COMPANY </w:t>
      </w:r>
    </w:p>
    <w:p>
      <w:pPr>
        <w:pStyle w:val="TextBody"/>
        <w:spacing w:before="120" w:after="0"/>
        <w:jc w:val="left"/>
        <w:rPr>
          <w:rFonts w:ascii="Times New Roman" w:hAnsi="Times New Roman"/>
          <w:b/>
          <w:sz w:val="20"/>
        </w:rPr>
      </w:pPr>
      <w:bookmarkStart w:id="20" w:name="tx497326_18"/>
      <w:bookmarkEnd w:id="20"/>
      <w:r>
        <w:rPr>
          <w:rFonts w:ascii="Times New Roman" w:hAnsi="Times New Roman"/>
          <w:b/>
          <w:sz w:val="20"/>
        </w:rPr>
        <w:t xml:space="preserve">A. Corporate History </w:t>
      </w:r>
    </w:p>
    <w:p>
      <w:pPr>
        <w:pStyle w:val="TextBody"/>
        <w:spacing w:before="120" w:after="0"/>
        <w:jc w:val="both"/>
        <w:rPr>
          <w:rFonts w:ascii="Times New Roman" w:hAnsi="Times New Roman"/>
          <w:sz w:val="20"/>
        </w:rPr>
      </w:pPr>
      <w:r>
        <w:rPr>
          <w:rFonts w:ascii="Times New Roman" w:hAnsi="Times New Roman"/>
          <w:sz w:val="20"/>
        </w:rPr>
        <w:t>We initially conducted our business through ViaLight Communications GmbH, a limited liability company (</w:t>
      </w:r>
      <w:r>
        <w:rPr>
          <w:rFonts w:ascii="Times New Roman" w:hAnsi="Times New Roman"/>
          <w:i/>
          <w:sz w:val="20"/>
        </w:rPr>
        <w:t>Gesellschaft mit beschränkter Haftung</w:t>
      </w:r>
      <w:r>
        <w:rPr>
          <w:rFonts w:ascii="Times New Roman" w:hAnsi="Times New Roman"/>
          <w:sz w:val="20"/>
        </w:rPr>
        <w:t>) under German law, which was incorporated on June 15, 2009. In preparation for our initial public offering on the Frankfurt Stock Exchange, the shareholders of ViaLight Communications GmbH decided to incorporate a new entity in the form of a German stock corporation (</w:t>
      </w:r>
      <w:r>
        <w:rPr>
          <w:rFonts w:ascii="Times New Roman" w:hAnsi="Times New Roman"/>
          <w:i/>
          <w:sz w:val="20"/>
        </w:rPr>
        <w:t>Aktiengesellschaft</w:t>
      </w:r>
      <w:r>
        <w:rPr>
          <w:rFonts w:ascii="Times New Roman" w:hAnsi="Times New Roman"/>
          <w:sz w:val="20"/>
        </w:rPr>
        <w:t>) to serve as a holding company for the Mynaric group (formerly ViaLight Communications group). Accordingly, in August 2017, the initial shareholders of ViaLight Communications GmbH, through a series of transactions, contributed their equity interests in ViaLight Communications GmbH and its subsidiaries to Blitz 17-625 AG, a German stock corporation (</w:t>
      </w:r>
      <w:r>
        <w:rPr>
          <w:rFonts w:ascii="Times New Roman" w:hAnsi="Times New Roman"/>
          <w:i/>
          <w:sz w:val="20"/>
        </w:rPr>
        <w:t>Aktiengesellschaft</w:t>
      </w:r>
      <w:r>
        <w:rPr>
          <w:rFonts w:ascii="Times New Roman" w:hAnsi="Times New Roman"/>
          <w:sz w:val="20"/>
        </w:rPr>
        <w:t xml:space="preserve">), against the issuance of new ordinary shares in Blitz 17-625 AG. Subsequently, in August 2017, our general shareholders’ meeting resolved to change our legal name from Blitz 17-625 AG to Mynaric AG.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We are registered with the commercial register (</w:t>
      </w:r>
      <w:r>
        <w:rPr>
          <w:rFonts w:ascii="Times New Roman" w:hAnsi="Times New Roman"/>
          <w:i/>
          <w:sz w:val="20"/>
        </w:rPr>
        <w:t>Handelsregister</w:t>
      </w:r>
      <w:r>
        <w:rPr>
          <w:rFonts w:ascii="Times New Roman" w:hAnsi="Times New Roman"/>
          <w:sz w:val="20"/>
        </w:rPr>
        <w:t xml:space="preserve">) of the local court of Munich under docket number HRB 232763.l Our principal executive offices are located at Dornierstraße 19, 82205 Gilching, Federal Republic of Germany. Our telephone number is +49 (0) 8105 79990. Our website address is www.mynaric.com. The information contained on, or that can be accessed through, our website is not incorporated by reference into this Annual Report, and you should not consider any information contained on, or that can be accessed through, our website as part of this Annual Report or in deciding whether to purchase our ADSs. </w:t>
      </w:r>
    </w:p>
    <w:p>
      <w:pPr>
        <w:pStyle w:val="TextBody"/>
        <w:spacing w:before="240" w:after="0"/>
        <w:jc w:val="both"/>
        <w:rPr>
          <w:rFonts w:ascii="Times New Roman" w:hAnsi="Times New Roman"/>
          <w:sz w:val="20"/>
        </w:rPr>
      </w:pPr>
      <w:r>
        <w:rPr>
          <w:rFonts w:ascii="Times New Roman" w:hAnsi="Times New Roman"/>
          <w:sz w:val="20"/>
        </w:rPr>
        <w:t xml:space="preserve">On November 12, 2021, our ADSs commenced trading on the Nasdaq Global Select market under the symbol “MYNA.” We received approximately €58.2 million (US$66.04 million based on the spot exchange rate as of December 31, 2021 of US$1.00 = €0.88292) in net proceeds from our initial public offering in the U.S., after deducting underwriting commissions and discounts and the offering expenses payable by us. Our ordinary shares are listed on the Frankfurt Stock Exchange under the symbol “M0Y.” </w:t>
      </w:r>
    </w:p>
    <w:p>
      <w:pPr>
        <w:pStyle w:val="TextBody"/>
        <w:spacing w:before="240" w:after="0"/>
        <w:jc w:val="both"/>
        <w:rPr>
          <w:rFonts w:ascii="Times New Roman" w:hAnsi="Times New Roman"/>
          <w:sz w:val="20"/>
        </w:rPr>
      </w:pPr>
      <w:r>
        <w:rPr>
          <w:rFonts w:ascii="Times New Roman" w:hAnsi="Times New Roman"/>
          <w:sz w:val="20"/>
        </w:rPr>
        <w:t xml:space="preserve">The SEC maintains an internet site at http://www.sec.gov that contains reports, information statements, and other information regarding issuers that file electronically with the SEC. </w:t>
      </w:r>
    </w:p>
    <w:p>
      <w:pPr>
        <w:pStyle w:val="TextBody"/>
        <w:spacing w:before="360" w:after="0"/>
        <w:jc w:val="left"/>
        <w:rPr>
          <w:rFonts w:ascii="Times New Roman" w:hAnsi="Times New Roman"/>
          <w:b/>
          <w:sz w:val="20"/>
        </w:rPr>
      </w:pPr>
      <w:bookmarkStart w:id="21" w:name="tx497326_19"/>
      <w:bookmarkEnd w:id="21"/>
      <w:r>
        <w:rPr>
          <w:rFonts w:ascii="Times New Roman" w:hAnsi="Times New Roman"/>
          <w:b/>
          <w:sz w:val="20"/>
        </w:rPr>
        <w:t xml:space="preserve">B. Business Overview </w:t>
      </w:r>
    </w:p>
    <w:p>
      <w:pPr>
        <w:pStyle w:val="TextBody"/>
        <w:spacing w:before="480" w:after="0"/>
        <w:jc w:val="center"/>
        <w:rPr>
          <w:rFonts w:ascii="Times New Roman" w:hAnsi="Times New Roman"/>
          <w:b/>
          <w:sz w:val="20"/>
        </w:rPr>
      </w:pPr>
      <w:r>
        <w:rPr>
          <w:rFonts w:ascii="Times New Roman" w:hAnsi="Times New Roman"/>
          <w:b/>
          <w:sz w:val="20"/>
        </w:rPr>
        <w:t xml:space="preserve">BUSINESS </w:t>
      </w:r>
    </w:p>
    <w:p>
      <w:pPr>
        <w:pStyle w:val="TextBody"/>
        <w:spacing w:before="240" w:after="0"/>
        <w:jc w:val="left"/>
        <w:rPr>
          <w:rFonts w:ascii="Times New Roman" w:hAnsi="Times New Roman"/>
          <w:b/>
          <w:sz w:val="20"/>
        </w:rPr>
      </w:pPr>
      <w:r>
        <w:rPr>
          <w:rFonts w:ascii="Times New Roman" w:hAnsi="Times New Roman"/>
          <w:b/>
          <w:sz w:val="20"/>
        </w:rPr>
        <w:t xml:space="preserve">Overview </w:t>
      </w:r>
    </w:p>
    <w:p>
      <w:pPr>
        <w:pStyle w:val="TextBody"/>
        <w:spacing w:before="120" w:after="0"/>
        <w:jc w:val="both"/>
        <w:rPr>
          <w:rFonts w:ascii="Times New Roman" w:hAnsi="Times New Roman"/>
          <w:sz w:val="20"/>
        </w:rPr>
      </w:pPr>
      <w:r>
        <w:rPr>
          <w:rFonts w:ascii="Times New Roman" w:hAnsi="Times New Roman"/>
          <w:sz w:val="20"/>
        </w:rPr>
        <w:t xml:space="preserve">We believe we are a leading developer and manufacturer (in terms of production capacity) of advanced laser communication technology for aerospace-based communication networks in government and commercial markets. Laser communication networks provide connectivity from the sky, allowing for high data rates and secure, long-distance data transmission between moving objects for wireless terrestrial, airborne- and space-based applications. Our technology and products are designed to provide the secure wireless backbone for connectivity to link satellites, high-altitude platforms, unmanned aerial vehicles and aircraft with potential future use on ships, mobility platforms and fixed locations on the ground. We aim to industrialize laser communication by focusing on standardization and cost-efficiency. We believe that we are one of the first companies to develop laser communication technology at commercially attractive price points for use in both government and commercial markets. By leveraging our deep technical expertise and early mover advantage, we aim to become the go-to supplier for the “internet above the clouds.” </w:t>
      </w:r>
    </w:p>
    <w:p>
      <w:pPr>
        <w:pStyle w:val="TextBody"/>
        <w:spacing w:before="240" w:after="0"/>
        <w:jc w:val="both"/>
        <w:rPr>
          <w:rFonts w:ascii="Times New Roman" w:hAnsi="Times New Roman"/>
          <w:sz w:val="20"/>
        </w:rPr>
      </w:pPr>
      <w:r>
        <w:rPr>
          <w:rFonts w:ascii="Times New Roman" w:hAnsi="Times New Roman"/>
          <w:sz w:val="20"/>
        </w:rPr>
        <w:t xml:space="preserve">Laser communication offers significant technical and operational advantages for wireless data transmission compared to other wireless communication systems, which mostly use RF technologies to transmit information. RF-based communication is generally characterized by lower bandwidth, significant license requirements and a wide beam divergence, which makes it much more susceptible to interception. Laser communication, on the other hand, benefits from its higher bandwidth capacity, lower latency, improved security, lower power requirements and a license-free spectrum. Laser communication has achieved world record transmission rates of 13.16 terabits per second, as compared to RF’s maximum transmission rate of 36 gigabits per second (according to the Facebook Connectivity Lab). Current demand for laser communication is predominantly driven by government applications in defense, surveillance, intelligence and border control, which seek to leverage the superior capabilities of laser communication. With its significant advantages and wide range of applications, laser communication is highly attractive for the development of next-generation communication networks, in particular for space and airborne applications. </w:t>
      </w:r>
    </w:p>
    <w:p>
      <w:pPr>
        <w:pStyle w:val="TextBody"/>
        <w:spacing w:before="240" w:after="0"/>
        <w:jc w:val="both"/>
        <w:rPr>
          <w:rFonts w:ascii="Times New Roman" w:hAnsi="Times New Roman"/>
          <w:sz w:val="20"/>
        </w:rPr>
      </w:pPr>
      <w:r>
        <w:rPr>
          <w:rFonts w:ascii="Times New Roman" w:hAnsi="Times New Roman"/>
          <w:sz w:val="20"/>
        </w:rPr>
        <w:t xml:space="preserve">We were founded in 2009 by former scientists of the DLR and have invested in developing and optimizing our laser communication technology, which we are now commercializing. We have developed pre-serial product versions of our CONDOR inter-satellite link terminal and our HAWK airborne terminal, and are currently ramping up serial production to enable customers to deploy our technology at scale. We believe that we are one of a few companies offering a commercially viable laser communication terminal solution combining light weight, robustness, high data rate and high-power efficiency at attractive prices. We aim to industrialize laser communication by focusing on developing standardized and modularized products suitable for a wide array of customers and applications. We have benefited from advancing on the learning curve with the development of the pre-serial product versions of our CONDOR and HAWK terminals, as we continuously seek to decrease the costs of deploying laser communication. By moving from singular prototype production to pre-serial production levels, we have already reduced our material costs per unit for our CONDOR terminals by around 80% compared to previous versions. We are currently ramping up serial production targeting a per year production rate capacity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of up to 2,000 units in the medium term. We expect to continue to incur significant expenses related to the ramp-up of serial production, the further development of our technology and products as well as the expansion of our sales and marketing activities. </w:t>
      </w:r>
    </w:p>
    <w:p>
      <w:pPr>
        <w:pStyle w:val="TextBody"/>
        <w:spacing w:before="240" w:after="0"/>
        <w:jc w:val="both"/>
        <w:rPr>
          <w:rFonts w:ascii="Times New Roman" w:hAnsi="Times New Roman"/>
          <w:sz w:val="20"/>
        </w:rPr>
      </w:pPr>
      <w:r>
        <w:rPr>
          <w:rFonts w:ascii="Times New Roman" w:hAnsi="Times New Roman"/>
          <w:sz w:val="20"/>
        </w:rPr>
        <w:t xml:space="preserve">Over the past few years, our technology has gained significant traction in the space industry and we have been successful in attracting initial customers, in particular in the government sector. For example, in 2020, we were awarded contracts by Telesat and another customer for our CONDOR terminals in connection with two separate U.S. governmental programs launched by DARPA and the SDA, respectively. On October 31, 2021, we entered into a Strategic Agreement with NG under which we agreed to serve as a strategic supplier to NG and to exclusively develop and sell to NG customized laser communication solutions for use in or relating to space where the ultimate customer is a U.S. government customer. In connection with the Strategic Agreement, we entered into a definitive agreement with NG in March 2022 for the delivery of optical communication terminals for the transport layer Tranche 1 of the SDA’s PWSA satellite constellation. The agreement has an initial value of $36 million and provides for performance-based payment milestones throughout 2022, 2023 and 2024 and product deliveries mostly in 2023 and 2024. Furthermore, in October 2022, we received an additional order from NG for 42 CONDOR terminals as part of the SDA’s Tranche 1 tracking layer program. In January 2023, we entered into a definitive agreement with a new, undisclosed U.S.-based customer for the delivery of CONDOR terminals. The agreement with such undisclosed customer has a value of approximately $24 million and provides for payment milestones in the first and second half of 2023 and product deliveries in the second half of 2023. </w:t>
      </w:r>
    </w:p>
    <w:p>
      <w:pPr>
        <w:pStyle w:val="TextBody"/>
        <w:spacing w:before="240" w:after="0"/>
        <w:jc w:val="both"/>
        <w:rPr>
          <w:rFonts w:ascii="Times New Roman" w:hAnsi="Times New Roman"/>
          <w:sz w:val="20"/>
        </w:rPr>
      </w:pPr>
      <w:r>
        <w:rPr>
          <w:rFonts w:ascii="Times New Roman" w:hAnsi="Times New Roman"/>
          <w:sz w:val="20"/>
        </w:rPr>
        <w:t xml:space="preserve">With respect to our HAWK terminals, we initially received an order for two terminals from an affiliate of L3Harris (which we previously announced as an undisclosed commercial customer) in 2020. Following delivery of the pre-serial product versions of our HAWK terminals, successful flight tests were conducted since then and further demonstrations and tests with increasing mission scope are planned going forward. Through this partnership, we believe that we are well-positioned to successfully introduce our HAWK terminal to certain customers in the U.S. government market. In July 2022, we agreed with L3Harris on a strategic cooperation framework pursuant to which we will serve as preferred provider of laser communication solutions to L3Harris and L3Harris, in return, was granted certain collaboration privileges. In connection therewith, L3Harris invested approximately €11.2 million and acquired approximately 7.2% of our share capital at the time. With this strategic cooperation framework, we and L3Harris seek to build on our existing collaboration in the airborne domain and widen the scope to cover all domains including space, air, maritime and ground. More recently, in November 2022, we delivered a set of multiple HAWK terminals for an initial test campaign to a new commercial U.S.-based energy customer. The terminals are intended to be utilized as part of disaster recovery missions where satellite or terrestrial communications infrastructure has been compromised. In addition, we delivered a small number of HAWK terminals to a U.S.-based government customer in 2022. We see sizeable demand for laser communication capabilities by customers focusing on maritime applications and mobility platforms on the ground for which the HAWK terminal, while primarily developed for airborne applications, may function as a satisfactory demonstration system to evaluate our product’s performance and define upcoming product needs. </w:t>
      </w:r>
    </w:p>
    <w:p>
      <w:pPr>
        <w:pStyle w:val="TextBody"/>
        <w:spacing w:before="240" w:after="0"/>
        <w:jc w:val="both"/>
        <w:rPr>
          <w:rFonts w:ascii="Times New Roman" w:hAnsi="Times New Roman"/>
          <w:sz w:val="20"/>
        </w:rPr>
      </w:pPr>
      <w:r>
        <w:rPr>
          <w:rFonts w:ascii="Times New Roman" w:hAnsi="Times New Roman"/>
          <w:sz w:val="20"/>
        </w:rPr>
        <w:t xml:space="preserve">We believe that our existing customer relationships will significantly help us win additional business in the context of current and future government and commercial programs. We also believe that the introduction of laser communication technology at commercially attractive price points has the potential to create a significant market for laser communication for years to come. </w:t>
      </w:r>
    </w:p>
    <w:p>
      <w:pPr>
        <w:pStyle w:val="TextBody"/>
        <w:spacing w:before="240" w:after="0"/>
        <w:jc w:val="both"/>
        <w:rPr>
          <w:rFonts w:ascii="Times New Roman" w:hAnsi="Times New Roman"/>
          <w:sz w:val="20"/>
        </w:rPr>
      </w:pPr>
      <w:r>
        <w:rPr>
          <w:rFonts w:ascii="Times New Roman" w:hAnsi="Times New Roman"/>
          <w:sz w:val="20"/>
        </w:rPr>
        <w:t xml:space="preserve">We are currently in the early phases of serial production and have only recently begun to monetize our technology. Our revenue amounted to €4,422 thousand for the year ended December 31, 2022 (compared to €2,355 thousand in 2021). Our operating loss amounted to €73,790 thousand for the year ended December 31, 2022 and we reported a net loss of €73,782 thousand for the same period (compared to an operating loss of €42,364 thousand and a net loss of €45,477 thousand in 2021). We manage our business based on our two operating segments, which are also our reportable segments in accordance with IFRS 8. Our two reportable segments include our Space segment, which currently comprises our CONDOR terminals, and our Air segment, which currently comprises our HAWK terminal. Our measure of segment profitability for each reportable segment is operating profit / (loss). We are headquartered in Gilching, near Munich, Germany, with additional offices in Los Angeles and the Washington D.C. area, and had more than 300 full-time equivalent employees (“FTEs”) as of December 31, 2022. </w:t>
      </w:r>
    </w:p>
    <w:p>
      <w:pPr>
        <w:pStyle w:val="TextBody"/>
        <w:spacing w:before="360" w:after="0"/>
        <w:jc w:val="left"/>
        <w:rPr>
          <w:rFonts w:ascii="Times New Roman" w:hAnsi="Times New Roman"/>
          <w:b/>
          <w:sz w:val="20"/>
        </w:rPr>
      </w:pPr>
      <w:r>
        <w:rPr>
          <w:rFonts w:ascii="Times New Roman" w:hAnsi="Times New Roman"/>
          <w:b/>
          <w:sz w:val="20"/>
        </w:rPr>
        <w:t xml:space="preserve">Our Market Opportunity </w:t>
      </w:r>
    </w:p>
    <w:p>
      <w:pPr>
        <w:pStyle w:val="TextBody"/>
        <w:spacing w:before="120" w:after="0"/>
        <w:jc w:val="both"/>
        <w:rPr>
          <w:rFonts w:ascii="Times New Roman" w:hAnsi="Times New Roman"/>
          <w:sz w:val="20"/>
        </w:rPr>
      </w:pPr>
      <w:r>
        <w:rPr>
          <w:rFonts w:ascii="Times New Roman" w:hAnsi="Times New Roman"/>
          <w:sz w:val="20"/>
        </w:rPr>
        <w:t xml:space="preserve">Globally, the need for fast, secure and ubiquitous network connectivity continues to grow – a trend that has been reinforced by the COVID-19 pandemic and geopolitical conflicts such as the ongoing war in Ukraine.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Existing data networks, like the internet, are largely based on terrestrial infrastructure such as fiber optic networks, which provide for excellent connectivity in urban, densely populated areas and suburban areas, but cannot be expanded infinitely, resulting in rural and remote areas often lacking reliable or secure terrestrial infrastructure access. Current alternative connectivity solutions, such as RF-based network connectivity provided by satellites in geostationary orbit, are expensive and characterized by relatively low bandwidth and high latency connectivity, as well as limited security from hacking and spoofing. Even where broadband connectivity is available, many existing network technologies are reaching their capacity limits. Over the past decade, internet traffic has grown significantly, and this growth is expected to continue, driven largely by the increase in mobile internet usage and the proliferation of internet-connected devices including the internet of things (“IoT”), which are to be supported by high speed, high bandwidth networks. </w:t>
      </w:r>
    </w:p>
    <w:p>
      <w:pPr>
        <w:pStyle w:val="TextBody"/>
        <w:spacing w:before="240" w:after="0"/>
        <w:jc w:val="both"/>
        <w:rPr>
          <w:rFonts w:ascii="Times New Roman" w:hAnsi="Times New Roman"/>
          <w:sz w:val="20"/>
        </w:rPr>
      </w:pPr>
      <w:r>
        <w:rPr>
          <w:rFonts w:ascii="Times New Roman" w:hAnsi="Times New Roman"/>
          <w:sz w:val="20"/>
        </w:rPr>
        <w:t xml:space="preserve">The increased market demand for internet connectivity across the globe requires network operators to look beyond existing communication infrastructure, with a particular focus on aerospace-based communication networks. Aerospace-based communication networks will consist of a large number of interconnected network nodes established by various platforms in air and space (such as satellites, high-altitude platforms, unmanned aerial vehicles and aircraft). We believe that laser communication will play a key role in connecting these platforms, as it offers significant advantages over traditional wireless communication technologies, including higher bandwidth capacity, low latency, improved security, lower power requirements and license-free spectrum. </w:t>
      </w:r>
    </w:p>
    <w:p>
      <w:pPr>
        <w:pStyle w:val="TextBody"/>
        <w:spacing w:before="240" w:after="0"/>
        <w:jc w:val="both"/>
        <w:rPr>
          <w:rFonts w:ascii="Times New Roman" w:hAnsi="Times New Roman"/>
          <w:sz w:val="20"/>
        </w:rPr>
      </w:pPr>
      <w:r>
        <w:rPr>
          <w:rFonts w:ascii="Times New Roman" w:hAnsi="Times New Roman"/>
          <w:sz w:val="20"/>
        </w:rPr>
        <w:t xml:space="preserve">Over the past decade, the laser communication market has started to develop from an experimental phase to a scale-deployment phase, driven predominantly by rapid technological developments in the space industry. While government-backed programs remain a critical driver for further expansion of global space activities, well-funded technology-focused service providers companies have developed formidable commercial, space-based communication capabilities. At the same time, as private sector space capabilities increase, governments have begun to realize the value of the private commercial space industry and have become increasingly supportive and reliant on private companies to catalyze innovation and advance national space objectives. The combination of increased access to capital, economies of scale, and open innovation models has driven rapid growth in the commercial space market in recent years. We believe that the global space industry is at an inflection point today, transitioning from a phase of discovery to a phase of scale deployment and commercialization. We consider these developments in the broader space economy as crucial for the market for our industrialized laser communication equipment to take shape and fully materialize. </w:t>
      </w:r>
    </w:p>
    <w:p>
      <w:pPr>
        <w:pStyle w:val="TextBody"/>
        <w:spacing w:before="240" w:after="0"/>
        <w:jc w:val="both"/>
        <w:rPr>
          <w:rFonts w:ascii="Times New Roman" w:hAnsi="Times New Roman"/>
          <w:sz w:val="20"/>
        </w:rPr>
      </w:pPr>
      <w:r>
        <w:rPr>
          <w:rFonts w:ascii="Times New Roman" w:hAnsi="Times New Roman"/>
          <w:sz w:val="20"/>
        </w:rPr>
        <w:t xml:space="preserve">Current demand for laser communication is predominantly driven by both government organizations and commercial players seeking to establish LEO satellite-based space communication networks. The U.S. government has been the strongest proponent to date of aerospace-based network capabilities and has made the development of government space architectures using large-scale LEO constellations a priority. As such, the DoD budget for the fiscal year 2023 includes $26.3 billion for the U.S. Space Force and the SDA, which is $1.7 billion more than the DoD requested and larger than the budget request for NASA. As fast and secure military communication is a critical requirement for defense communications, governments seek to leverage the superior capabilities of laser communication to enable secure and stealth data exchange, battlefield connectivity, intelligence, surveillance and reconnaissance (“ISR”) data distribution and teamed systems of systems. In the future, such government space architectures are expected to move to multi-orbit “proliferated” constellations (i.e., large constellations of small satellites), particularly those based in LEO, but also including laser-linked satellites in higher orbits. </w:t>
      </w:r>
    </w:p>
    <w:p>
      <w:pPr>
        <w:pStyle w:val="TextBody"/>
        <w:spacing w:before="240" w:after="0"/>
        <w:jc w:val="both"/>
        <w:rPr>
          <w:rFonts w:ascii="Times New Roman" w:hAnsi="Times New Roman"/>
          <w:sz w:val="20"/>
        </w:rPr>
      </w:pPr>
      <w:r>
        <w:rPr>
          <w:rFonts w:ascii="Times New Roman" w:hAnsi="Times New Roman"/>
          <w:sz w:val="20"/>
        </w:rPr>
        <w:t xml:space="preserve">Over the past years the number of active satellites in orbit increased significantly from around 950 in late 2010 to 2,000 satellites in late 2019 to around 5,500 satellites as of April 30, 2022. The number of communication constellation satellites increased by more than a factor of ten between late 2019 and mid-2022 driven significantly by the start of satellite deployments as part of commercial mega-constellations. Given these growth dynamics, we expect a continued rapid increase in active satellites in orbit. Going forward, Beyond Earth Institute estimates that by 2030 there could be as many as 100,000 satellites in orbit. We believe the vast majority of these satellites will be part of communication constellations with each satellite in the constellation potentially requiring at least two and often four optical communications terminals. </w:t>
      </w:r>
    </w:p>
    <w:p>
      <w:pPr>
        <w:pStyle w:val="TextBody"/>
        <w:spacing w:before="240" w:after="0"/>
        <w:jc w:val="both"/>
        <w:rPr>
          <w:rFonts w:ascii="Times New Roman" w:hAnsi="Times New Roman"/>
          <w:sz w:val="20"/>
        </w:rPr>
      </w:pPr>
      <w:r>
        <w:rPr>
          <w:rFonts w:ascii="Times New Roman" w:hAnsi="Times New Roman"/>
          <w:sz w:val="20"/>
        </w:rPr>
        <w:t xml:space="preserve">Just as the internet was initially developed as a defense communication network before evolving into a diversified, commercial application network, we believe aerospace-based communication networks will serve not only government but also industry and consumer needs over the medium-term, presenting a significant market opportunity. We believe that we are currently in the early phase of a multi-decade rollout of laser communication capabilities in aerospace-based communication networks, which will lead to more widespread use across commercial applications such as broadband satellite, data relay, Earth observation and in-orbit data processing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services. As a result, we believe that the initial deployment of our products in the government market provides a foundation for our presence in the commercial market, and believe that validation from our government customers will help position our products for future large-scale deployment. </w:t>
      </w:r>
    </w:p>
    <w:p>
      <w:pPr>
        <w:pStyle w:val="TextBody"/>
        <w:spacing w:before="360" w:after="0"/>
        <w:jc w:val="left"/>
        <w:rPr>
          <w:rFonts w:ascii="Times New Roman" w:hAnsi="Times New Roman"/>
          <w:b/>
          <w:sz w:val="20"/>
        </w:rPr>
      </w:pPr>
      <w:r>
        <w:rPr>
          <w:rFonts w:ascii="Times New Roman" w:hAnsi="Times New Roman"/>
          <w:b/>
          <w:sz w:val="20"/>
        </w:rPr>
        <w:t xml:space="preserve">Our Value Proposition </w:t>
      </w:r>
    </w:p>
    <w:p>
      <w:pPr>
        <w:pStyle w:val="TextBody"/>
        <w:spacing w:before="120" w:after="0"/>
        <w:jc w:val="both"/>
        <w:rPr>
          <w:rFonts w:ascii="Times New Roman" w:hAnsi="Times New Roman"/>
          <w:sz w:val="20"/>
        </w:rPr>
      </w:pPr>
      <w:r>
        <w:rPr>
          <w:rFonts w:ascii="Times New Roman" w:hAnsi="Times New Roman"/>
          <w:sz w:val="20"/>
        </w:rPr>
        <w:t xml:space="preserve">Our laser communication technology and products are designed to overcome the current limitations of existing communication systems in air and space. By leveraging our technical expertise and first mover advantage, we believe that we are well-positioned to take advantage of the current market opportunity in government driven end-markets, by building key relationships which will position us for wider deployment as technologies are adopted at scale. </w:t>
      </w:r>
    </w:p>
    <w:p>
      <w:pPr>
        <w:pStyle w:val="TextBody"/>
        <w:spacing w:before="240" w:after="0"/>
        <w:jc w:val="both"/>
        <w:rPr>
          <w:rFonts w:ascii="Times New Roman" w:hAnsi="Times New Roman"/>
          <w:sz w:val="20"/>
        </w:rPr>
      </w:pPr>
      <w:r>
        <w:rPr>
          <w:rFonts w:ascii="Times New Roman" w:hAnsi="Times New Roman"/>
          <w:sz w:val="20"/>
        </w:rPr>
        <w:t xml:space="preserve">Our value proposition to customers comprises the following: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b/>
                <w:i/>
                <w:sz w:val="20"/>
              </w:rPr>
              <w:t>Serial Production</w:t>
            </w:r>
            <w:r>
              <w:rPr>
                <w:rFonts w:ascii="Times New Roman" w:hAnsi="Times New Roman"/>
                <w:sz w:val="20"/>
              </w:rPr>
              <w:t>: Our dedicated serial production facility in Oberpfaffenhofen (near Munich), Germany, allows us to test and optimize production processes and quickly scale up production. Its size, layout and processes have been set up with a specific focus on scalable production which is adaptable to the dynamic developments expected from the laser communications market and the demand across distinct market verticals. Lean manufacturing principles drove the design of the 1,600 square meters facility with component part flow, workstations, final assembly, and testing capabilities optimized for efficiency and high throughput production. It is designed to function as a sandbox (</w:t>
            </w:r>
            <w:r>
              <w:rPr>
                <w:rFonts w:ascii="Times New Roman" w:hAnsi="Times New Roman"/>
                <w:i/>
                <w:sz w:val="20"/>
              </w:rPr>
              <w:t>i.e.</w:t>
            </w:r>
            <w:r>
              <w:rPr>
                <w:rFonts w:ascii="Times New Roman" w:hAnsi="Times New Roman"/>
                <w:sz w:val="20"/>
              </w:rPr>
              <w:t xml:space="preserve">, a testing environment) to establish production capabilities and allow us to ramp up our production as dictated by market demand.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b/>
                <w:i/>
                <w:sz w:val="20"/>
              </w:rPr>
              <w:t>Cost-efficiency/Affordability</w:t>
            </w:r>
            <w:r>
              <w:rPr>
                <w:rFonts w:ascii="Times New Roman" w:hAnsi="Times New Roman"/>
                <w:sz w:val="20"/>
              </w:rPr>
              <w:t xml:space="preserve">: We aim to industrialize laser communication by focusing on cost-efficient solutions to decrease the costs of deploying laser communication for our customers and target markets. To this end, we seek to leverage proven industrialized processes and supply chain strategies from other industries, including the use of commercial off-the-shelf components originally developed and utilized by the automotive, medical device, telecommunication and other established industries. At the same time, we have decided to insource optics production such as our metal telescope. Telescopes are a key component of optical communication terminals but those qualified for operation in space and featuring the required performance typically come at significant costs. We utilize telescopes made from metal rather than the typical but more expensive materials used for space products. We have already insourced most production steps, including diamond-turning and magnetorheological finishing and we are expanding our capabilities, further allowing us to go from raw material to finished optical telescope entirely in-house at significantly reduced cost. In addition, we have developed an extensive parts qualification program to identify and select commercial off-the-shelf electronics components suitable for operation and withstanding the radiative environment in space. By advancing on the learning curve from singular prototype production to pre-serial production levels, we have already reduced our material costs per unit for our CONDOR terminals by around 80% compared to previous versions. We expect to be able to further reduce both material costs and assembly costs in connection with the commencement of serial production.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b/>
                <w:i/>
                <w:sz w:val="20"/>
              </w:rPr>
              <w:t>Reliability / Simplicity</w:t>
            </w:r>
            <w:r>
              <w:rPr>
                <w:rFonts w:ascii="Times New Roman" w:hAnsi="Times New Roman"/>
                <w:sz w:val="20"/>
              </w:rPr>
              <w:t xml:space="preserve">: We conduct extensive testing of our products and components to eliminate faults early in the manufacturing process and to make the use of our products as reliable as possible. For example, we operate vibration tables to stress-test our products’ resilience in different vibration environments and a moving hexapod test platform to emulate satellite or aircraft movements. Multiple thermal chambers are used to simulate varying temperatures typically encountered by our products when in operation and we utilize a thermal vacuum chamber to test the combined effects of varying temperatures with different pressures. In addition, we believe that the ability to simply integrate our products in target platforms is a key differentiator, which is why we continuously conduct outdoor tests and flight campaigns to optimize and gain insights into the usability of our products in typical real-world scenarios. For example, we have established a remote-controlled outdoor testbed and routinely operate terrestrial outdoor links subject to the influence of atmospheric effects. We also regularly conduct flight campaigns with different airframes such as ultra-lights and high-altitude long-endurance aircraft.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b/>
                <w:i/>
                <w:sz w:val="20"/>
              </w:rPr>
              <w:t>Standardization</w:t>
            </w:r>
            <w:r>
              <w:rPr>
                <w:rFonts w:ascii="Times New Roman" w:hAnsi="Times New Roman"/>
                <w:sz w:val="20"/>
              </w:rPr>
              <w:t xml:space="preserve">: Unlike traditional key suppliers to the air and space industries, which historically focused on developing bespoke solutions for individual customers, we seek to offer standardized and modularized products suitable for a wide array of customers and applications. Our technology is designed to serve multiple use cases and potential markets, extending beyond government to commercial and industrial use. As the market for laser communication develops over the medium- to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long-term, we believe our technology will be extensible across applications, domains, and target platforms. We actively support cross-vendor interoperability of laser communication systems and were the first company to successfully demonstrate implementation of SDA’s OISL industry standard. Our own interoperability labs in Germany and the United States allow us to spearhead standardization efforts in the industry. These interoperability labs are equipped with link testbeds that allow data transmission testing over different (simulated) link distances while replicating various environmental effects typically encountered in air and space. Our labs allow for testing of various parameters including motion, micro-vibration, acquisition, and point-ahead and associated effects thereby creating an environment to verify interoperability and allow cross-testing with other vendors. </w:t>
            </w:r>
          </w:p>
        </w:tc>
      </w:tr>
    </w:tbl>
    <w:p>
      <w:pPr>
        <w:pStyle w:val="TextBody"/>
        <w:spacing w:before="360" w:after="0"/>
        <w:jc w:val="left"/>
        <w:rPr>
          <w:rFonts w:ascii="Times New Roman" w:hAnsi="Times New Roman"/>
          <w:b/>
          <w:sz w:val="20"/>
        </w:rPr>
      </w:pPr>
      <w:r>
        <w:rPr>
          <w:rFonts w:ascii="Times New Roman" w:hAnsi="Times New Roman"/>
          <w:b/>
          <w:sz w:val="20"/>
        </w:rPr>
        <w:t xml:space="preserve">Key Investment Highlights </w:t>
      </w:r>
    </w:p>
    <w:p>
      <w:pPr>
        <w:pStyle w:val="TextBody"/>
        <w:spacing w:before="120" w:after="0"/>
        <w:jc w:val="left"/>
        <w:rPr>
          <w:rFonts w:ascii="Times New Roman" w:hAnsi="Times New Roman"/>
          <w:b/>
          <w:i/>
          <w:sz w:val="20"/>
        </w:rPr>
      </w:pPr>
      <w:r>
        <w:rPr>
          <w:rFonts w:ascii="Times New Roman" w:hAnsi="Times New Roman"/>
          <w:b/>
          <w:i/>
          <w:sz w:val="20"/>
        </w:rPr>
        <w:t xml:space="preserve">Significant growth potential for laser communication in government and commercial markets </w:t>
      </w:r>
    </w:p>
    <w:p>
      <w:pPr>
        <w:pStyle w:val="TextBody"/>
        <w:spacing w:before="120" w:after="0"/>
        <w:jc w:val="both"/>
        <w:rPr>
          <w:rFonts w:ascii="Times New Roman" w:hAnsi="Times New Roman"/>
          <w:sz w:val="20"/>
        </w:rPr>
      </w:pPr>
      <w:r>
        <w:rPr>
          <w:rFonts w:ascii="Times New Roman" w:hAnsi="Times New Roman"/>
          <w:sz w:val="20"/>
        </w:rPr>
        <w:t xml:space="preserve">We believe that the increasing need for fast, secure and ubiquitous network connectivity opens up significant growth potential for laser communication in the near- to medium-term. Current demand for laser communication is predominantly driven by government needs, with the U.S. government spearheading the adoption of laser communication technology. U.S. allies and other governments are also evaluating new technologies as part of their national objectives to modernize their space capabilities. As privacy and security of military communication is a critical requirement for defense communications, governments seek to leverage the superior capabilities of laser communication to enable secure and stealth data exchange, battlefield connectivity as well as ISR data distribution. The U.S. government has invested significantly in research and development as well as deployment of laser communication and other technologies. MarketsandMarkets estimates that the military communications market, one of the fastest growing defense segments, is expected to account for approximately $40.6 billion in spending by 2025 up from $33.4 billion in 2020, with total global defense spending reaching more than $2.1 trillion by 2025 from $2 trillion in 2020 (based on our assumption of a compound annual growth rate of 2%, based on historical growth rates published by the Stockholm International Peace Research Institute). </w:t>
      </w:r>
    </w:p>
    <w:p>
      <w:pPr>
        <w:pStyle w:val="TextBody"/>
        <w:spacing w:before="240" w:after="0"/>
        <w:jc w:val="both"/>
        <w:rPr>
          <w:rFonts w:ascii="Times New Roman" w:hAnsi="Times New Roman"/>
          <w:sz w:val="20"/>
        </w:rPr>
      </w:pPr>
      <w:r>
        <w:rPr>
          <w:rFonts w:ascii="Times New Roman" w:hAnsi="Times New Roman"/>
          <w:sz w:val="20"/>
        </w:rPr>
        <w:t>While government funding is currently driving laser communication demand, we see increasing activity in the commercial market. In particular, we expect the space segment to grow, as space-enabled broadband connectivity has become central to businesses and individuals and the need to stay connected has spread to locations that cannot readily access existing terrestrial networks. To keep pace with growing demand from underserved regions and an increasing number of applications, network operators will need to look beyond terrestrial infrastructure. The inherent capabilities of laser communication technology can help network operators address these key challenges. According to Grand View Research, the aggregate telecommunication services market is expected to increase to approximately $2.2 trillion by 2025 (based on a compound annual growth rate of 5.4%) up from $1.7 trillion in 2020 and, according to investment manager ArkInvest, the satellite broadband market is expected to reach $50 to $100 billion in the medium term. We believe that laser communication will enable aerospace-based constellations in the commercial market to serve cellular backhaul (</w:t>
      </w:r>
      <w:r>
        <w:rPr>
          <w:rFonts w:ascii="Times New Roman" w:hAnsi="Times New Roman"/>
          <w:i/>
          <w:sz w:val="20"/>
        </w:rPr>
        <w:t>e.g.</w:t>
      </w:r>
      <w:r>
        <w:rPr>
          <w:rFonts w:ascii="Times New Roman" w:hAnsi="Times New Roman"/>
          <w:sz w:val="20"/>
        </w:rPr>
        <w:t xml:space="preserve">, 4G/5G/6G), automotive, infrastructure, maritime and consumer applications. For example, by establishing laser-enabled optical mesh networks through satellites in LEO or MEO, laser communication may enable such satellites to perform as virtual cell towers connecting various devices, such as ships, aircraft, cars, satellites, trains and even terrestrial cell towers that may be too difficult or costly to connect via existing terrestrial network connections, providing hundreds of kilometers of coverage radius per network node compared to only a few kilometers provided by terrestrial cell towers. </w:t>
      </w:r>
    </w:p>
    <w:p>
      <w:pPr>
        <w:pStyle w:val="TextBody"/>
        <w:spacing w:before="240" w:after="0"/>
        <w:jc w:val="both"/>
        <w:rPr>
          <w:rFonts w:ascii="Times New Roman" w:hAnsi="Times New Roman"/>
          <w:sz w:val="20"/>
        </w:rPr>
      </w:pPr>
      <w:r>
        <w:rPr>
          <w:rFonts w:ascii="Times New Roman" w:hAnsi="Times New Roman"/>
          <w:sz w:val="20"/>
        </w:rPr>
        <w:t xml:space="preserve">We believe that laser communication will eventually be attractive to a wide range of diversified markets across a number of industries. For example, we believe that laser communication will offer significant advantages for high quantity IoT connectivity involving significant volumes of devices and for private optical mesh networks and backbone connectivity for industries such as aviation. In addition, laser-enabled quantum key distribution (QKD) from space to on premise optical ground terminals may offer widely accessible data security. Laser communication may also play a key role for broadband connectivity through high-altitude platforms (including balloons and drones) functioning as semi-permanent telecommunication platforms in the stratosphere providing regionally limited and/or temporary broadband services comparable to Facebook’s Project Aquila or Google’s Project Loon. </w:t>
      </w:r>
    </w:p>
    <w:p>
      <w:pPr>
        <w:pStyle w:val="TextBody"/>
        <w:spacing w:before="240" w:after="0"/>
        <w:jc w:val="both"/>
        <w:rPr>
          <w:rFonts w:ascii="Times New Roman" w:hAnsi="Times New Roman"/>
          <w:sz w:val="20"/>
        </w:rPr>
      </w:pPr>
      <w:r>
        <w:rPr>
          <w:rFonts w:ascii="Times New Roman" w:hAnsi="Times New Roman"/>
          <w:sz w:val="20"/>
        </w:rPr>
        <w:t xml:space="preserve">Based on the ongoing and expected developments in the government, commercial and diversified markets and based on market data available to us, we believe, based on industry studies available to us, that the market for air and space communications equipment (including laser communication) will reach more than $25 billion by 2030 up from $16 billion in 2020.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Multi-year government programs driving near-term adoption and technology validation </w:t>
      </w:r>
    </w:p>
    <w:p>
      <w:pPr>
        <w:pStyle w:val="TextBody"/>
        <w:spacing w:before="120" w:after="0"/>
        <w:jc w:val="both"/>
        <w:rPr>
          <w:rFonts w:ascii="Times New Roman" w:hAnsi="Times New Roman"/>
          <w:sz w:val="20"/>
        </w:rPr>
      </w:pPr>
      <w:r>
        <w:rPr>
          <w:rFonts w:ascii="Times New Roman" w:hAnsi="Times New Roman"/>
          <w:sz w:val="20"/>
        </w:rPr>
        <w:t xml:space="preserve">The government sector has historically been a first mover in deploying next generation technologies and has been an early adopter of laser communication in both the space and airborne markets. In the United States, recent government efforts to develop and deploy laser communication are driven by the U.S. government’s vision of a Combined Joint All-Domain Command and Control (“CJADC2”), the ultimate goal of which is to digitally connect all elements of the U.S. military across all five warfighting domains, consisting of air, land, sea, space and cyberspace. </w:t>
      </w:r>
    </w:p>
    <w:p>
      <w:pPr>
        <w:pStyle w:val="TextBody"/>
        <w:spacing w:before="240" w:after="0"/>
        <w:jc w:val="both"/>
        <w:rPr>
          <w:rFonts w:ascii="Times New Roman" w:hAnsi="Times New Roman"/>
          <w:sz w:val="20"/>
        </w:rPr>
      </w:pPr>
      <w:r>
        <w:rPr>
          <w:rFonts w:ascii="Times New Roman" w:hAnsi="Times New Roman"/>
          <w:sz w:val="20"/>
        </w:rPr>
        <w:t xml:space="preserve">The most prominent government projects currently deploying laser communication are the SDA’s PWSA, a proposed multi-layered network of small satellite constellations primarily in LEO, and DARPA’s Blackjack program, which aims to develop and validate the critical elements for a global high-speed network in LEO providing for highly connected and resilient coverage, both of which are part of the CJADC2: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SDA’s PWSA: The PWSA will be comprised of seven layers of satellite constellations each providing a unique capability. These layers will all be tied together by a so-called “transport layer,” a low-latency data and communications proliferated “mesh network” of satellites (i.e., a decentralized network comprising various wireless nodes with each node acting as a forwarding node to transfer the data) connected through OISLs. In addition to the transport layer, the PWSA will include a “tracking layer” comprised of sensor satellites to detect and track missiles, which also will use OISLs to connect to SDA’s transport layer satellites. Laser communication is one of the most critical technologies the SDA is evaluating in connection with the PWSA, as OISLs are key to making LEO communication satellites useful. The constellation will be launched in “Tranches” starting with “Tranche 0.” According to the SDA, Tranche 0 will consist of 20 transport layer satellites, and eight missile tracking layer satellites. On April 2, 2023, the SDA announced the successful initial launch of Tranche 0 of the PWSA. In August 2020, the SDA awarded Lockheed Martin and York Space Systems with contracts to build ten satellites each for the transport layer. In October 2020, the SDA awarded SpaceX and L3Harris with contracts to build four Overhead Persistent Infrared Imaging (OPIR) satellites for the tracking layer. The Tranche 0 constellation is designed to serve as the prototype for a number of subsequent tranches, with current plans to launch a new tranche every two years. In March 2022, the SDA awarded Lockheed Martin, NG and York Space Systems with contracts for a total of 126 laser-linked satellites for the transport layer “Tranche 1” of its satellite constellation. Tranche 1 is expected to launch in late 2024. In July 2022, the SDA awarded L3Harris and NG with contracts for a total of 28 satellites equipped with OISLs for the Tranche 1 tracking layer.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DARPA’s Blackjack program: Much of the technology that the SDA needs for its constellations is being co-developed under DARPA’s Blackjack program. Blackjack seeks to incorporate and capitalize on commercial sector advances in LEO, including the design of LEO constellations intended for broadband internet service that are designed and manufactured with previously unavailable economies of scale. DARPA has awarded more than a dozen contracts to large defense contractors and start-up companies, each working on a different technology set. As part of Phase 2 of the Blackjack program, which is currently ongoing, DARPA plans to launch several “risk reduction” flights to test laser communication with government payloads in orbit and to demonstrate OISL interoperability with different hardware. </w:t>
            </w:r>
          </w:p>
        </w:tc>
      </w:tr>
    </w:tbl>
    <w:p>
      <w:pPr>
        <w:pStyle w:val="TextBody"/>
        <w:spacing w:before="240" w:after="0"/>
        <w:jc w:val="both"/>
        <w:rPr>
          <w:rFonts w:ascii="Times New Roman" w:hAnsi="Times New Roman"/>
          <w:sz w:val="20"/>
        </w:rPr>
      </w:pPr>
      <w:r>
        <w:rPr>
          <w:rFonts w:ascii="Times New Roman" w:hAnsi="Times New Roman"/>
          <w:sz w:val="20"/>
        </w:rPr>
        <w:t xml:space="preserve">There are numerous additional government programs in the airborne market focusing on the development of connected systems and shared networks based on different communication technologies, including laser communication. These programs include, most notably, the U.S. military’s Advanced Battle Management System (“ABMS”), a military IoT being developed as one of the core elements of the CJADC2, which will enable the joint force to quickly collect, analyze and transmit data at machine speeds. The ABMS is designed to securely connect sensors, data, decision-makers and weapons across multiple domains and to enable ubiquitous connectivity and availability offering powerful capabilities for command and control. As another example, under Project Skyborg, the U.S. Air Force aims to develop a digital artificial intelligence architecture to support a family of low-cost, modular unmanned aerial vehicles (“UAVs”) that can communicate via a network shared with manned aircraft, enabling so-called Manned-Unmanned Teaming (MUM-T). In Europe, Airbus Defense and Space and its French partner Dassault Aviation are currently working on the Future Combat Air System (FCAS), a program aiming to develop a family of air systems connected by an advanced air combat cloud network. This cloud network will be designed to deliver common situational awareness by instantaneously capturing, sharing, merging and processing large amounts of data from all connected core air vehicles and unmanned platforms. New programs are regularly introduced as the importance of information supremacy in the defense context and the reliance on data for civil purposes continues to grow.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We believe that these government programs, most of which are driven by the U.S. government, are crucial for the ongoing development and implementation of aerospace-based communication networks in general, and laser communication systems specifically. In addition, most recently, we were selected for three technology development projects related to quantum communication, which are part of the second phase of the QuNET initiative funded by Germany’s Federal Ministry of Education and Research. Our technology development will be co-funded with a total amount of up to €5.6 million between 2023 and 2025. </w:t>
      </w:r>
    </w:p>
    <w:p>
      <w:pPr>
        <w:pStyle w:val="TextBody"/>
        <w:spacing w:before="360" w:after="0"/>
        <w:jc w:val="left"/>
        <w:rPr>
          <w:rFonts w:ascii="Times New Roman" w:hAnsi="Times New Roman"/>
          <w:b/>
          <w:i/>
          <w:sz w:val="20"/>
        </w:rPr>
      </w:pPr>
      <w:r>
        <w:rPr>
          <w:rFonts w:ascii="Times New Roman" w:hAnsi="Times New Roman"/>
          <w:b/>
          <w:i/>
          <w:sz w:val="20"/>
        </w:rPr>
        <w:t xml:space="preserve">Deeply engaged with customers in the government market through highly attractive contract awards within initial government programs </w:t>
      </w:r>
    </w:p>
    <w:p>
      <w:pPr>
        <w:pStyle w:val="TextBody"/>
        <w:spacing w:before="120" w:after="0"/>
        <w:jc w:val="both"/>
        <w:rPr>
          <w:rFonts w:ascii="Times New Roman" w:hAnsi="Times New Roman"/>
          <w:sz w:val="20"/>
        </w:rPr>
      </w:pPr>
      <w:r>
        <w:rPr>
          <w:rFonts w:ascii="Times New Roman" w:hAnsi="Times New Roman"/>
          <w:sz w:val="20"/>
        </w:rPr>
        <w:t xml:space="preserve">While laser communication is in the early stages of development, we expect to benefit from our deep technical expertise and first mover advantage in industrializing laser communication technology, paving the way for large-scale deployment. As we are deeply engaged with pioneering customers, we believe that we are well-positioned in the government market with respect to both of our products, our CONDOR inter-satellite link terminal and HAWK airborne terminal. </w:t>
      </w:r>
    </w:p>
    <w:p>
      <w:pPr>
        <w:pStyle w:val="TextBody"/>
        <w:spacing w:before="240" w:after="0"/>
        <w:jc w:val="both"/>
        <w:rPr>
          <w:rFonts w:ascii="Times New Roman" w:hAnsi="Times New Roman"/>
          <w:sz w:val="20"/>
        </w:rPr>
      </w:pPr>
      <w:r>
        <w:rPr>
          <w:rFonts w:ascii="Times New Roman" w:hAnsi="Times New Roman"/>
          <w:sz w:val="20"/>
        </w:rPr>
        <w:t xml:space="preserve">Most notably, in connection with the SDA’s PWSA, in September 2020, we were awarded the first part of a contract for the delivery of our CONDOR terminals to a customer for its work on Tranche 0. Initial delivery of equipment to this customer took place in first half of 2021. As part of our engagement in the PWSA, in May 2021, we successfully demonstrated the industry’s first over-the-air transmission using an OISL terminal communicating with an independently built testbed, both of which are compliant with the SDA’s OISL industry standard. The demonstration was composed of a set of optical and electronic tests characterizing our CONDOR optical inter-satellite link product. We believe that this demonstration marks a crucial milestone in the industrialization of laser communication and, as such, a first step in the technology’s widespread adoption within the satellite industry and beyond. </w:t>
      </w:r>
    </w:p>
    <w:p>
      <w:pPr>
        <w:pStyle w:val="TextBody"/>
        <w:spacing w:before="240" w:after="0"/>
        <w:jc w:val="both"/>
        <w:rPr>
          <w:rFonts w:ascii="Times New Roman" w:hAnsi="Times New Roman"/>
          <w:sz w:val="20"/>
        </w:rPr>
      </w:pPr>
      <w:r>
        <w:rPr>
          <w:rFonts w:ascii="Times New Roman" w:hAnsi="Times New Roman"/>
          <w:sz w:val="20"/>
        </w:rPr>
        <w:t xml:space="preserve">In October 2020, we were selected by Telesat to supply multiple units of our CONDOR terminals for Telesat’s work on DARPA’s Blackjack program. We delivered the terminals to Telesat’s system integrator in the second half of 2022. As part of our engagement in the Blackjack program, we established the industry’s first laser communication interoperability laboratory in Los Angeles that simulates conditions in space to test interoperability between different vendors’ terminals. </w:t>
      </w:r>
    </w:p>
    <w:p>
      <w:pPr>
        <w:pStyle w:val="TextBody"/>
        <w:spacing w:before="240" w:after="0"/>
        <w:jc w:val="both"/>
        <w:rPr>
          <w:rFonts w:ascii="Times New Roman" w:hAnsi="Times New Roman"/>
          <w:sz w:val="20"/>
        </w:rPr>
      </w:pPr>
      <w:r>
        <w:rPr>
          <w:rFonts w:ascii="Times New Roman" w:hAnsi="Times New Roman"/>
          <w:sz w:val="20"/>
        </w:rPr>
        <w:t xml:space="preserve">In late October 2021, we entered into the Strategic Agreement with NG under which we agreed to serve as a strategic supplier to NG and to exclusively develop and sell to NG customized laser communication solutions for use in or relating to space where the ultimate customer is a U.S. government customer. We may also collaborate on the development of laser communications for aerospace-based and defense applications outside the space sector. In connection with the Strategic Agreement, we entered into a definitive agreement with NG in March 2022 for the delivery of optical communication terminals for Tranche 1 of the SDA’s PWSA satellite constellation. The agreement has an initial value of $36 million and provides for performance-based payment milestones throughout 2022, 2023 and 2024 and product deliveries mostly in 2023 and 2024. Our ability to generate additional revenue from the Strategic Agreement will depend on NG being awarded the relevant government contracts. For more information, see “Our Operations—Our Go-To-Market Strategy—Customer Awards—Strategic Agreement with Northrop Grumman.” In October 2022, we received an additional order from NG for 42 CONDOR terminals as part of the SDA’s Tranche 1 tracking layer program. </w:t>
      </w:r>
    </w:p>
    <w:p>
      <w:pPr>
        <w:pStyle w:val="TextBody"/>
        <w:spacing w:before="240" w:after="0"/>
        <w:jc w:val="both"/>
        <w:rPr>
          <w:rFonts w:ascii="Times New Roman" w:hAnsi="Times New Roman"/>
          <w:sz w:val="20"/>
        </w:rPr>
      </w:pPr>
      <w:r>
        <w:rPr>
          <w:rFonts w:ascii="Times New Roman" w:hAnsi="Times New Roman"/>
          <w:sz w:val="20"/>
        </w:rPr>
        <w:t xml:space="preserve">More recently, on January 9, 2023, we entered into a definitive agreement with a new, undisclosed U.S.-based customer for the delivery of CONDOR terminals. The agreement has a value of approximately $24 million and provides for payment milestones in the first and second half of 2023 and product deliveries in the second half of 2023. </w:t>
      </w:r>
    </w:p>
    <w:p>
      <w:pPr>
        <w:pStyle w:val="TextBody"/>
        <w:spacing w:before="240" w:after="0"/>
        <w:jc w:val="both"/>
        <w:rPr>
          <w:rFonts w:ascii="Times New Roman" w:hAnsi="Times New Roman"/>
          <w:sz w:val="20"/>
        </w:rPr>
      </w:pPr>
      <w:r>
        <w:rPr>
          <w:rFonts w:ascii="Times New Roman" w:hAnsi="Times New Roman"/>
          <w:sz w:val="20"/>
        </w:rPr>
        <w:t xml:space="preserve">In 2021 and 2022, we were awarded additional contracts by different government agencies relating to the design, development, production and testing of initial demonstrators for end-to-end optical communication systems: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 early December 2021, our co-led consortium UN:IO was selected by the European Commission for initial work on an independent European satellite network. Our initial work includes the development of a detailed technical concept for the proposed European constellation architecture.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 late December 2021, we were selected to work on the architectural design of a next-generation optical communications terminal as part of phase 0 of DARPA’s Space-BACN program. This program envisions an optical communications terminal that could be reconfigured to work with most of today’s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optical intersatellite link standards allowing seamless communication among government and private-sector proprietary satellites and satellite constellations.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 February 2022, we were awarded a contract by the European Space Agency (“ESA”) to analyze, design, build and test on a laboratory model an end-to-end optical communication system that can achieve data transmission speeds of up to 1 Terabit per second (Tbps).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 August 2022, we were selected as a key development partner to create a benchtop model of a next-generation optical communications terminal as part of Phase 1 of DARPA’s Space-BACN; DARPA’s Space-BACN program envisions a low-cost, scalable optical communications terminal that could be reconfigured to work with various optical intersatellite link standards allowing seamless communication among government and private-sector proprietary satellites. </w:t>
            </w:r>
          </w:p>
        </w:tc>
      </w:tr>
    </w:tbl>
    <w:p>
      <w:pPr>
        <w:pStyle w:val="TextBody"/>
        <w:spacing w:before="240" w:after="0"/>
        <w:jc w:val="both"/>
        <w:rPr>
          <w:rFonts w:ascii="Times New Roman" w:hAnsi="Times New Roman"/>
          <w:sz w:val="20"/>
        </w:rPr>
      </w:pPr>
      <w:r>
        <w:rPr>
          <w:rFonts w:ascii="Times New Roman" w:hAnsi="Times New Roman"/>
          <w:sz w:val="20"/>
        </w:rPr>
        <w:t xml:space="preserve">With respect to our HAWK terminals, we initially received an order for two terminals from an affiliate of L3Harris (which we previously announced as an undisclosed commercial customer) in 2020. Following delivery of the pre-serial product versions of our HAWK terminals, successful flight tests were conducted since then and further demonstrations and tests with increasing mission scope are planned going forward. Through this partnership, we believe that we are well-positioned to successfully introduce our HAWK terminal to certain customers in the U.S. government market. In July 2022, we agreed with L3Harris on a strategic cooperation framework pursuant to which we will serve as preferred provider of laser communication solutions to L3Harris and L3Harris, in return, was granted certain collaboration privileges, including our already established interoperability labs and testbeds to emulate the link environment to be expected in space on the ground, as well as access to upcoming laser communication assets to be deployed by us on the International Space Station (ISS). In connection therewith, L3Harris invested approximately €11.2 million and acquired approximately 7.2% of our then share capital. With this strategic framework, we and L3Harris seek to build on our existing collaboration in the airborne domain and widen the scope to cover all domains including space, air, maritime and ground. More recently, in November 2022, we delivered a set of multiple HAWK terminals for an initial test campaign to a new commercial U.S.-based energy customer. The terminals are intended to be utilized as part of disaster recovery missions where satellite or terrestrial communications infrastructure has been compromised. In addition, we delivered a small number of HAWK terminals to a U.S.-based government customer in 2022. </w:t>
      </w:r>
    </w:p>
    <w:p>
      <w:pPr>
        <w:pStyle w:val="TextBody"/>
        <w:spacing w:before="240" w:after="0"/>
        <w:jc w:val="both"/>
        <w:rPr>
          <w:rFonts w:ascii="Times New Roman" w:hAnsi="Times New Roman"/>
          <w:sz w:val="20"/>
        </w:rPr>
      </w:pPr>
      <w:r>
        <w:rPr>
          <w:rFonts w:ascii="Times New Roman" w:hAnsi="Times New Roman"/>
          <w:sz w:val="20"/>
        </w:rPr>
        <w:t xml:space="preserve">In October 2021, we and H3 HATS GmbH (“H3 HATS”) announced the successful start of a joint demonstration campaign to showcase laser communication capabilities for high-altitude long endurance aircraft using industrialized optical communications terminals. Initial flights of the campaign demonstrated key performance criteria of our HAWK terminal in pre-series production onboard one of H3 HATS’ aircraft. Our partnership with H3 HATS provides for the expansion of HAWK’s suitable mission envelope in upcoming flights and joint customer demonstrations going forward. </w:t>
      </w:r>
    </w:p>
    <w:p>
      <w:pPr>
        <w:pStyle w:val="TextBody"/>
        <w:spacing w:before="240" w:after="0"/>
        <w:jc w:val="both"/>
        <w:rPr>
          <w:rFonts w:ascii="Times New Roman" w:hAnsi="Times New Roman"/>
          <w:sz w:val="20"/>
        </w:rPr>
      </w:pPr>
      <w:r>
        <w:rPr>
          <w:rFonts w:ascii="Times New Roman" w:hAnsi="Times New Roman"/>
          <w:sz w:val="20"/>
        </w:rPr>
        <w:t xml:space="preserve">We believe that by our early traction with these contract awards within initial government programs in both the space and airborne markets, we will be poised to take advantage of future government initiatives in the U.S. and the other geographies in which we operate. </w:t>
      </w:r>
    </w:p>
    <w:p>
      <w:pPr>
        <w:pStyle w:val="TextBody"/>
        <w:spacing w:before="360" w:after="0"/>
        <w:jc w:val="left"/>
        <w:rPr>
          <w:rFonts w:ascii="Times New Roman" w:hAnsi="Times New Roman"/>
          <w:b/>
          <w:i/>
          <w:sz w:val="20"/>
        </w:rPr>
      </w:pPr>
      <w:r>
        <w:rPr>
          <w:rFonts w:ascii="Times New Roman" w:hAnsi="Times New Roman"/>
          <w:b/>
          <w:i/>
          <w:sz w:val="20"/>
        </w:rPr>
        <w:t xml:space="preserve">Strong position in the commercial market, leveraging government track record </w:t>
      </w:r>
    </w:p>
    <w:p>
      <w:pPr>
        <w:pStyle w:val="TextBody"/>
        <w:spacing w:before="120" w:after="0"/>
        <w:jc w:val="both"/>
        <w:rPr>
          <w:rFonts w:ascii="Times New Roman" w:hAnsi="Times New Roman"/>
          <w:sz w:val="20"/>
        </w:rPr>
      </w:pPr>
      <w:r>
        <w:rPr>
          <w:rFonts w:ascii="Times New Roman" w:hAnsi="Times New Roman"/>
          <w:sz w:val="20"/>
        </w:rPr>
        <w:t xml:space="preserve">While the initial development and implementation of aerospace-based communication networks in general, and laser communication systems specifically, are driven by government programs, in recent years large commercial companies have emerged seeking to build satellite mega-constellations for establishing alternative communication networks. For example, well-funded aerospace companies such as SpaceX, OneWeb, Telesat and Kuiper (Amazon) have committed substantial resources to deploying satellite mega-constellations, which are expected to be connected with each other through OISLs. SpaceX already has hundreds of Starlink satellites equipped with OISLs in orbit and aims to continue the global rollout of its Starlink satellite internet network throughout 2023. OneWeb announced in March 2021 that its second generation of satellites will use OISLs for interconnection. In July 2022, OneWeb agreed to be acquired by one of its largest shareholders, Eutelsat S.A., with a focus on launching its second generation constellation. SpaceX and OneWeb combined are responsible for over 70% of small satellites launched to orbit over the last two years creating significant momentum for satellite constellations. Canadian-based Telesat, an established satellite operator, and Kuiper (Amazon), have also announced that they are working on high-speed, low-latency broadband satellite networks in LEO. While a few of these companies may develop laser communication capabilities in-house, we believe that most will rely on third-party suppliers, such as us, capable of providing laser communication products that are affordable, scalable and interoperable. We regularly engage in discussions with key players in the market, whether or not they seek to rely on third-party suppliers, aiming to strengthen our network of potential industry partners. We believe that by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establishing strong relationships with these market participants, we can develop significant potential for future partnerships or collaborations that will utilize our products or components. </w:t>
      </w:r>
    </w:p>
    <w:p>
      <w:pPr>
        <w:pStyle w:val="TextBody"/>
        <w:spacing w:before="240" w:after="0"/>
        <w:jc w:val="both"/>
        <w:rPr>
          <w:rFonts w:ascii="Times New Roman" w:hAnsi="Times New Roman"/>
          <w:sz w:val="20"/>
        </w:rPr>
      </w:pPr>
      <w:r>
        <w:rPr>
          <w:rFonts w:ascii="Times New Roman" w:hAnsi="Times New Roman"/>
          <w:sz w:val="20"/>
        </w:rPr>
        <w:t xml:space="preserve">As a result of our government track record and our first mover advantage, we have also been able to secure initial wins in the commercial market. For example, in August 2021, we received a purchase order from Capella Space (which we previously announced as an undisclosed commercial customer), under which we will deliver up to 20 CONDOR terminals over a period of four years. More recently, on January 24, 2023, we announced an order for a small number of CONDOR terminals by Japan-based Warpspace Inc. The terminals will be used by Warpspace Inc. to establish a commercial optical data relay network for Earth observation satellites. Product deliveries are scheduled for 2025. </w:t>
      </w:r>
    </w:p>
    <w:p>
      <w:pPr>
        <w:pStyle w:val="TextBody"/>
        <w:spacing w:before="240" w:after="0"/>
        <w:jc w:val="both"/>
        <w:rPr>
          <w:rFonts w:ascii="Times New Roman" w:hAnsi="Times New Roman"/>
          <w:sz w:val="20"/>
        </w:rPr>
      </w:pPr>
      <w:r>
        <w:rPr>
          <w:rFonts w:ascii="Times New Roman" w:hAnsi="Times New Roman"/>
          <w:sz w:val="20"/>
        </w:rPr>
        <w:t xml:space="preserve">Beyond communication, commercial constellation operators are targeting several additional applications, including Earth observation and IoT, which may result in a number of smaller companies seeking to provide data relay, secure storage or intelligence services in this market segment. We believe that laser communication is in the early phases of widespread use across commercial applications, and we believe we are well-positioned to serve this market. </w:t>
      </w:r>
    </w:p>
    <w:p>
      <w:pPr>
        <w:pStyle w:val="TextBody"/>
        <w:spacing w:before="360" w:after="0"/>
        <w:jc w:val="left"/>
        <w:rPr>
          <w:rFonts w:ascii="Times New Roman" w:hAnsi="Times New Roman"/>
          <w:b/>
          <w:i/>
          <w:sz w:val="20"/>
        </w:rPr>
      </w:pPr>
      <w:r>
        <w:rPr>
          <w:rFonts w:ascii="Times New Roman" w:hAnsi="Times New Roman"/>
          <w:b/>
          <w:i/>
          <w:sz w:val="20"/>
        </w:rPr>
        <w:t xml:space="preserve">Industry leading production capabilities with flexibility to scale </w:t>
      </w:r>
    </w:p>
    <w:p>
      <w:pPr>
        <w:pStyle w:val="TextBody"/>
        <w:spacing w:before="120" w:after="0"/>
        <w:jc w:val="both"/>
        <w:rPr>
          <w:rFonts w:ascii="Times New Roman" w:hAnsi="Times New Roman"/>
          <w:sz w:val="20"/>
        </w:rPr>
      </w:pPr>
      <w:r>
        <w:rPr>
          <w:rFonts w:ascii="Times New Roman" w:hAnsi="Times New Roman"/>
          <w:sz w:val="20"/>
        </w:rPr>
        <w:t xml:space="preserve">We believe that the ability to manufacture laser communication terminals at scale will be a key differentiator as laser communication proliferates. We have made significant investments in our manufacturing infrastructure and have demonstrated a proven ability to manufacture both our CONDOR and HAWK terminals. Our production facility in Oberpfaffenhofen, Germany, has state-of-the-art capabilities, which we believe provide an advantage versus our competitors. Our production facility is designed to function as a sandbox (i.e., a testing environment) to establish production capabilities and allow us to ramp up our production as dictated by market demand. Going forward, we expect to be able to increase production output targeting a per year production rate capacity of up to 2,000 units in the medium term. </w:t>
      </w:r>
    </w:p>
    <w:p>
      <w:pPr>
        <w:pStyle w:val="TextBody"/>
        <w:spacing w:before="360" w:after="0"/>
        <w:jc w:val="left"/>
        <w:rPr>
          <w:rFonts w:ascii="Times New Roman" w:hAnsi="Times New Roman"/>
          <w:b/>
          <w:i/>
          <w:sz w:val="20"/>
        </w:rPr>
      </w:pPr>
      <w:r>
        <w:rPr>
          <w:rFonts w:ascii="Times New Roman" w:hAnsi="Times New Roman"/>
          <w:b/>
          <w:i/>
          <w:sz w:val="20"/>
        </w:rPr>
        <w:t xml:space="preserve">Learning curve benefits driving continued cost reductions over time </w:t>
      </w:r>
    </w:p>
    <w:p>
      <w:pPr>
        <w:pStyle w:val="TextBody"/>
        <w:spacing w:before="120" w:after="0"/>
        <w:jc w:val="both"/>
        <w:rPr>
          <w:rFonts w:ascii="Times New Roman" w:hAnsi="Times New Roman"/>
          <w:sz w:val="20"/>
        </w:rPr>
      </w:pPr>
      <w:r>
        <w:rPr>
          <w:rFonts w:ascii="Times New Roman" w:hAnsi="Times New Roman"/>
          <w:sz w:val="20"/>
        </w:rPr>
        <w:t xml:space="preserve">By realizing learning curve benefits as we have scaled from singular prototype production to pre-serial production, we have already reduced our material costs per unit for our CONDOR terminals by around 80% compared to previous versions. We expect to be able to further reduce both material costs and assembly costs in connection with the commencement of serial production. We believe that by focusing on cost-efficient solutions and by improving our superior production capabilities, we will be able to significantly decrease the costs of deploying laser communication for our customers and target markets. </w:t>
      </w:r>
    </w:p>
    <w:p>
      <w:pPr>
        <w:pStyle w:val="TextBody"/>
        <w:spacing w:before="360" w:after="0"/>
        <w:jc w:val="left"/>
        <w:rPr>
          <w:rFonts w:ascii="Times New Roman" w:hAnsi="Times New Roman"/>
          <w:b/>
          <w:i/>
          <w:sz w:val="20"/>
        </w:rPr>
      </w:pPr>
      <w:r>
        <w:rPr>
          <w:rFonts w:ascii="Times New Roman" w:hAnsi="Times New Roman"/>
          <w:b/>
          <w:i/>
          <w:sz w:val="20"/>
        </w:rPr>
        <w:t xml:space="preserve">Dedicated management team with relevant industry expertise </w:t>
      </w:r>
    </w:p>
    <w:p>
      <w:pPr>
        <w:pStyle w:val="TextBody"/>
        <w:spacing w:before="120" w:after="0"/>
        <w:jc w:val="both"/>
        <w:rPr>
          <w:rFonts w:ascii="Times New Roman" w:hAnsi="Times New Roman"/>
          <w:sz w:val="20"/>
        </w:rPr>
      </w:pPr>
      <w:r>
        <w:rPr>
          <w:rFonts w:ascii="Times New Roman" w:hAnsi="Times New Roman"/>
          <w:sz w:val="20"/>
        </w:rPr>
        <w:t xml:space="preserve">We are led by a dedicated senior management team with significant industry experience, including at SpaceX, SA Photonics, Boeing, SES, Iridium, Siemens, Panasonic and, in the case of our co-founder and Chief Technology Officer, at the DLR. In addition, we have assembled a world-class team of engineers and manufacturing experts who comprise our industry leading research and development team. We believe that the technological expertise and talent of our team allows us to industrialize and commercialize our technology and products, and that this team will provide us with a sustainable competitive advantage over time. </w:t>
      </w:r>
    </w:p>
    <w:p>
      <w:pPr>
        <w:pStyle w:val="TextBody"/>
        <w:spacing w:before="360" w:after="0"/>
        <w:jc w:val="left"/>
        <w:rPr>
          <w:rFonts w:ascii="Times New Roman" w:hAnsi="Times New Roman"/>
          <w:b/>
          <w:sz w:val="20"/>
        </w:rPr>
      </w:pPr>
      <w:r>
        <w:rPr>
          <w:rFonts w:ascii="Times New Roman" w:hAnsi="Times New Roman"/>
          <w:b/>
          <w:sz w:val="20"/>
        </w:rPr>
        <w:t xml:space="preserve">Our Operations </w:t>
      </w:r>
    </w:p>
    <w:p>
      <w:pPr>
        <w:pStyle w:val="TextBody"/>
        <w:spacing w:before="120" w:after="0"/>
        <w:jc w:val="both"/>
        <w:rPr>
          <w:rFonts w:ascii="Times New Roman" w:hAnsi="Times New Roman"/>
          <w:sz w:val="20"/>
        </w:rPr>
      </w:pPr>
      <w:r>
        <w:rPr>
          <w:rFonts w:ascii="Times New Roman" w:hAnsi="Times New Roman"/>
          <w:sz w:val="20"/>
        </w:rPr>
        <w:t xml:space="preserve">Our laser communication technology and products are designed to provide the secure wireless backbone for connectivity to link satellites, aircraft, UAVs and high-altitude platform stations to the ground. We have introduced two distinct product families for laser-enabled communication in air and space, our CONDOR inter-satellite link flight terminal and our HAWK airborne flight terminal. We have a highly qualified research and development team committed to enhancing our current product portfolio and to developing our pipeline of new and complementary products. We manufacture our own products in our customized facility in southern Germany, which boasts state-of-the-art production capabilities. While we sourced the majority of the components for our products from third-party suppliers in the past, in 2021, we started to insource important components such as the production of the metal telescope. Although some components are manufactured to our specifications, many of our components are commercial off-the-shelf and are available from multiple sources.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Our Products </w:t>
      </w:r>
    </w:p>
    <w:p>
      <w:pPr>
        <w:pStyle w:val="TextBody"/>
        <w:spacing w:before="120" w:after="0"/>
        <w:jc w:val="both"/>
        <w:rPr>
          <w:rFonts w:ascii="Times New Roman" w:hAnsi="Times New Roman"/>
          <w:sz w:val="20"/>
        </w:rPr>
      </w:pPr>
      <w:r>
        <w:rPr>
          <w:rFonts w:ascii="Times New Roman" w:hAnsi="Times New Roman"/>
          <w:sz w:val="20"/>
        </w:rPr>
        <w:t xml:space="preserve">We have two principal product families: CONDOR, an optical inter-satellite link flight terminal providing for satellite-to-satellite communications in space, and HAWK, an airborne flight terminal providing for air-to-air and air-to-ground links of airborne vehicles. We have developed and delivered pre-serial production versions of each of these products to initial customers and are currently ramping up initial serial production. In addition to our space- and airborne products, we developed demonstration prototypes of our ARMADILLO and RHINO ground terminals in 2017 and 2018, respectively, and have recently restarted related product development activities for our ground terminals as use cases and demand are emerging. Our ARMADILLO and RHINO ground terminals are designed to offer high-speed access points for air-to-ground and space-to-ground communication scenarios, respectively. </w:t>
      </w:r>
    </w:p>
    <w:p>
      <w:pPr>
        <w:pStyle w:val="TextBody"/>
        <w:spacing w:before="360" w:after="0"/>
        <w:jc w:val="left"/>
        <w:rPr>
          <w:rFonts w:ascii="Times New Roman" w:hAnsi="Times New Roman"/>
          <w:i/>
          <w:sz w:val="20"/>
        </w:rPr>
      </w:pPr>
      <w:r>
        <w:rPr>
          <w:rFonts w:ascii="Times New Roman" w:hAnsi="Times New Roman"/>
          <w:i/>
          <w:sz w:val="20"/>
        </w:rPr>
        <w:t xml:space="preserve">Product Roadmap </w:t>
      </w:r>
    </w:p>
    <w:p>
      <w:pPr>
        <w:pStyle w:val="TextBody"/>
        <w:spacing w:before="120" w:after="0"/>
        <w:jc w:val="both"/>
        <w:rPr>
          <w:rFonts w:ascii="Times New Roman" w:hAnsi="Times New Roman"/>
          <w:sz w:val="20"/>
        </w:rPr>
      </w:pPr>
      <w:r>
        <w:rPr>
          <w:rFonts w:ascii="Times New Roman" w:hAnsi="Times New Roman"/>
          <w:sz w:val="20"/>
        </w:rPr>
        <w:t xml:space="preserve">We believe that we have a strong track record of designing and manufacturing space and airborne laser communication terminals that deliver superior technological results and performance. In 2012, we developed an initial prototype of an airborne laser terminal. With this initial prototype, we successfully demonstrated, together with Airbus, the maturity and readiness of laser communication in an air-to-ground scenario in 2013, reaching a data rate of 1.25 Gbit/s—a world record in data transmission via laser communication technology. We continuously developed and tested a variety of components and specifications to further improve our technology and completed our second prototype in 2014, with which we conducted several internal test and demonstration missions. As a result of our continuous efforts, we developed our first demonstration prototype of our airborne laser terminal, of which we sold a number of units to initial customers, including Facebook. Following further refinement of our technology and components, we completed the development of pre-serial product versions of our CONDOR and HAWK terminals in 2021 and 2020, respectively. </w:t>
      </w:r>
    </w:p>
    <w:p>
      <w:pPr>
        <w:pStyle w:val="TextBody"/>
        <w:spacing w:before="360" w:after="0"/>
        <w:jc w:val="left"/>
        <w:rPr>
          <w:rFonts w:ascii="Times New Roman" w:hAnsi="Times New Roman"/>
          <w:i/>
          <w:sz w:val="20"/>
        </w:rPr>
      </w:pPr>
      <w:r>
        <w:rPr>
          <w:rFonts w:ascii="Times New Roman" w:hAnsi="Times New Roman"/>
          <w:i/>
          <w:sz w:val="20"/>
        </w:rPr>
        <w:t xml:space="preserve">Space Terminals </w:t>
      </w:r>
    </w:p>
    <w:p>
      <w:pPr>
        <w:pStyle w:val="TextBody"/>
        <w:spacing w:before="120" w:after="0"/>
        <w:jc w:val="both"/>
        <w:rPr>
          <w:rFonts w:ascii="Times New Roman" w:hAnsi="Times New Roman"/>
          <w:sz w:val="20"/>
        </w:rPr>
      </w:pPr>
      <w:r>
        <w:rPr>
          <w:rFonts w:ascii="Times New Roman" w:hAnsi="Times New Roman"/>
          <w:sz w:val="20"/>
        </w:rPr>
        <w:t xml:space="preserve">In our Space segment, we currently offer our CONDOR terminals which are designed to be attached to satellites in order to establish connections between satellites. Our CONDOR terminals designed for LEO provides the backbone for inter-satellite connectivity in LEO. It is capable of establishing links for inter-plane scenarios independent of satellite motion with coarse pointing assembly as well as intra-plane connections without coarse pointing assembly. Use cases for our CONDOR terminals include, among others, government and military secured communication, backbone connectivity for optical mesh networks for commercial satellite constellations and in-orbit optical relay links for surveillance and Earth observation satellites. </w:t>
      </w:r>
    </w:p>
    <w:p>
      <w:pPr>
        <w:pStyle w:val="TextBody"/>
        <w:spacing w:before="360" w:after="0"/>
        <w:jc w:val="left"/>
        <w:rPr>
          <w:rFonts w:ascii="Times New Roman" w:hAnsi="Times New Roman"/>
          <w:i/>
          <w:sz w:val="20"/>
        </w:rPr>
      </w:pPr>
      <w:r>
        <w:rPr>
          <w:rFonts w:ascii="Times New Roman" w:hAnsi="Times New Roman"/>
          <w:i/>
          <w:sz w:val="20"/>
        </w:rPr>
        <w:t xml:space="preserve">Air Terminals </w:t>
      </w:r>
    </w:p>
    <w:p>
      <w:pPr>
        <w:pStyle w:val="TextBody"/>
        <w:spacing w:before="120" w:after="0"/>
        <w:jc w:val="both"/>
        <w:rPr>
          <w:rFonts w:ascii="Times New Roman" w:hAnsi="Times New Roman"/>
          <w:sz w:val="20"/>
        </w:rPr>
      </w:pPr>
      <w:r>
        <w:rPr>
          <w:rFonts w:ascii="Times New Roman" w:hAnsi="Times New Roman"/>
          <w:sz w:val="20"/>
        </w:rPr>
        <w:t xml:space="preserve">In our Air segment, we currently offer our HAWK terminal for air operations, which is designed to be installed on airborne vehicles and provides high-speed laser connections between aircraft, balloons, drones and other UAVs. Our HAWK terminal is designed for air-to-air and air-to-ground scenarios by using advanced sensor technology. Use cases include, among others, ultra-secure connectivity for intelligence, surveillance, and reconnaissance (ISR) missions of UAVs in defense theaters, the establishment of temporary or regionally limited optical mesh networks to provide broadband connectivity and general high-speed UAV connectivity for government and commercial applications. </w:t>
      </w:r>
    </w:p>
    <w:p>
      <w:pPr>
        <w:pStyle w:val="TextBody"/>
        <w:spacing w:before="360" w:after="0"/>
        <w:jc w:val="left"/>
        <w:rPr>
          <w:rFonts w:ascii="Times New Roman" w:hAnsi="Times New Roman"/>
          <w:i/>
          <w:sz w:val="20"/>
        </w:rPr>
      </w:pPr>
      <w:r>
        <w:rPr>
          <w:rFonts w:ascii="Times New Roman" w:hAnsi="Times New Roman"/>
          <w:i/>
          <w:sz w:val="20"/>
        </w:rPr>
        <w:t xml:space="preserve">Ground Terminals </w:t>
      </w:r>
    </w:p>
    <w:p>
      <w:pPr>
        <w:pStyle w:val="TextBody"/>
        <w:spacing w:before="120" w:after="0"/>
        <w:jc w:val="both"/>
        <w:rPr>
          <w:rFonts w:ascii="Times New Roman" w:hAnsi="Times New Roman"/>
          <w:sz w:val="20"/>
        </w:rPr>
      </w:pPr>
      <w:r>
        <w:rPr>
          <w:rFonts w:ascii="Times New Roman" w:hAnsi="Times New Roman"/>
          <w:sz w:val="20"/>
        </w:rPr>
        <w:t xml:space="preserve">Our ARMADILLO and RHINO ground terminals are designed to offer high-speed access points for air-to-ground and space-to-ground communication scenarios, respectively. We sold both our ARMADILLO and RHINO prototypes to initial customers, including Facebook, for testing and demonstration purposes. In 2017, we tested, in collaboration with Facebook, our HAWK prototype in combination with our ARMADILLO prototype and beat our own previously established world record by successfully demonstrating the viability of our technology through a series of tests culminating in a 10 Gbps air-to-ground transmission from a moving aircraft. While we have not actively promoted or marketed our ARMADILLO and RHINO ground terminals as much as our CONDOR and HAWK products over the last few years, we have restarted related product development activities for our ground terminals as use cases and demand are emerging. As the market evolves, we believe that ground terminals will play a vital role in the further development and deployment of aerospace-based communication networks. In the future, we may, therefore, engage in further development activities with respect to our ground terminals.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Our Go-To-Market Strategy </w:t>
      </w:r>
    </w:p>
    <w:p>
      <w:pPr>
        <w:pStyle w:val="TextBody"/>
        <w:spacing w:before="120" w:after="0"/>
        <w:jc w:val="both"/>
        <w:rPr>
          <w:rFonts w:ascii="Times New Roman" w:hAnsi="Times New Roman"/>
          <w:sz w:val="20"/>
        </w:rPr>
      </w:pPr>
      <w:r>
        <w:rPr>
          <w:rFonts w:ascii="Times New Roman" w:hAnsi="Times New Roman"/>
          <w:sz w:val="20"/>
        </w:rPr>
        <w:t xml:space="preserve">We are a sub-system supplier in the aerospace-based communication industry providing products to system primes, such as aircraft and satellite manufacturers, and in certain cases to system operators. We aim to influence both the system primes who build the satellite constellations and the system operators who make the ultimate decisions to deploy laser terminals. </w:t>
      </w:r>
    </w:p>
    <w:p>
      <w:pPr>
        <w:pStyle w:val="TextBody"/>
        <w:spacing w:before="240" w:after="0"/>
        <w:jc w:val="both"/>
        <w:rPr>
          <w:rFonts w:ascii="Times New Roman" w:hAnsi="Times New Roman"/>
          <w:sz w:val="20"/>
        </w:rPr>
      </w:pPr>
      <w:r>
        <w:rPr>
          <w:rFonts w:ascii="Times New Roman" w:hAnsi="Times New Roman"/>
          <w:sz w:val="20"/>
        </w:rPr>
        <w:t xml:space="preserve">The following graphic illustrates our position as sub-system supplier in the aerospace-based communication industry: </w:t>
      </w:r>
    </w:p>
    <w:p>
      <w:pPr>
        <w:pStyle w:val="TextBody"/>
        <w:spacing w:before="0" w:after="0"/>
        <w:jc w:val="left"/>
        <w:rPr/>
      </w:pPr>
      <w:r>
        <w:rPr/>
        <w:t> </w:t>
      </w:r>
    </w:p>
    <w:p>
      <w:pPr>
        <w:pStyle w:val="TextBody"/>
        <w:spacing w:before="0" w:after="0"/>
        <w:jc w:val="center"/>
        <w:rPr/>
      </w:pPr>
      <w:r>
        <w:rPr/>
        <w:drawing>
          <wp:inline distT="0" distB="0" distL="0" distR="0">
            <wp:extent cx="575945" cy="95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5945" cy="95250"/>
                    </a:xfrm>
                    <a:prstGeom prst="rect">
                      <a:avLst/>
                    </a:prstGeom>
                  </pic:spPr>
                </pic:pic>
              </a:graphicData>
            </a:graphic>
          </wp:inline>
        </w:drawing>
      </w:r>
      <w:r>
        <w:rPr/>
        <w:t xml:space="preserve"> </w:t>
      </w:r>
    </w:p>
    <w:p>
      <w:pPr>
        <w:pStyle w:val="TextBody"/>
        <w:spacing w:before="240" w:after="0"/>
        <w:jc w:val="both"/>
        <w:rPr>
          <w:rFonts w:ascii="Times New Roman" w:hAnsi="Times New Roman"/>
          <w:sz w:val="20"/>
        </w:rPr>
      </w:pPr>
      <w:r>
        <w:rPr>
          <w:rFonts w:ascii="Times New Roman" w:hAnsi="Times New Roman"/>
          <w:sz w:val="20"/>
        </w:rPr>
        <w:t xml:space="preserve">Currently, our largest market is North America, specifically the United States and Canada. We also focus on selling our products into select other countries such as Israel, Japan, South Korea, India and Western European countries. Over time, we believe that additional potential markets may develop across the globe. </w:t>
      </w:r>
    </w:p>
    <w:p>
      <w:pPr>
        <w:pStyle w:val="TextBody"/>
        <w:spacing w:before="240" w:after="0"/>
        <w:jc w:val="both"/>
        <w:rPr>
          <w:rFonts w:ascii="Times New Roman" w:hAnsi="Times New Roman"/>
          <w:sz w:val="20"/>
        </w:rPr>
      </w:pPr>
      <w:r>
        <w:rPr>
          <w:rFonts w:ascii="Times New Roman" w:hAnsi="Times New Roman"/>
          <w:sz w:val="20"/>
        </w:rPr>
        <w:t xml:space="preserve">Due to the expected average lifetime of LEO and MEO satellites, we expect demand for space products to be subject to cyclical developments with significantly shorter replacement cycles for LEO and MEO satellites relative to GEO satellites. For our products in our Air segment, we are able to offer maintenance services, allowing us to generate recurring revenues from such services over the lifetime of the terminal. </w:t>
      </w:r>
    </w:p>
    <w:p>
      <w:pPr>
        <w:pStyle w:val="TextBody"/>
        <w:spacing w:before="360" w:after="0"/>
        <w:jc w:val="left"/>
        <w:rPr>
          <w:rFonts w:ascii="Times New Roman" w:hAnsi="Times New Roman"/>
          <w:i/>
          <w:sz w:val="20"/>
        </w:rPr>
      </w:pPr>
      <w:r>
        <w:rPr>
          <w:rFonts w:ascii="Times New Roman" w:hAnsi="Times New Roman"/>
          <w:i/>
          <w:sz w:val="20"/>
        </w:rPr>
        <w:t xml:space="preserve">Customer Acquisition </w:t>
      </w:r>
    </w:p>
    <w:p>
      <w:pPr>
        <w:pStyle w:val="TextBody"/>
        <w:spacing w:before="120" w:after="0"/>
        <w:jc w:val="both"/>
        <w:rPr>
          <w:rFonts w:ascii="Times New Roman" w:hAnsi="Times New Roman"/>
          <w:sz w:val="20"/>
        </w:rPr>
      </w:pPr>
      <w:r>
        <w:rPr>
          <w:rFonts w:ascii="Times New Roman" w:hAnsi="Times New Roman"/>
          <w:sz w:val="20"/>
        </w:rPr>
        <w:t xml:space="preserve">We seek to generate sales leads and acquire new customers through our established relationships in the industry, direct sales efforts, trade show attendance, general marketing efforts and public relations. We generally aim to establish relationships with potential customers early in their decision-making processes through our participation in test or demonstration missions, as we believe that this will provide us early insights into customer needs and market developments. </w:t>
      </w:r>
    </w:p>
    <w:p>
      <w:pPr>
        <w:pStyle w:val="TextBody"/>
        <w:spacing w:before="240" w:after="0"/>
        <w:jc w:val="both"/>
        <w:rPr>
          <w:rFonts w:ascii="Times New Roman" w:hAnsi="Times New Roman"/>
          <w:sz w:val="20"/>
        </w:rPr>
      </w:pPr>
      <w:r>
        <w:rPr>
          <w:rFonts w:ascii="Times New Roman" w:hAnsi="Times New Roman"/>
          <w:sz w:val="20"/>
        </w:rPr>
        <w:t xml:space="preserve">We have a diverse network across the government market, including relationships with a number of system primes who contract with government agencies for the installation and integration of large space- and airborne-based communication systems. To participate in certain U.S. government programs, in April 2022, we established a new U.S. subsidiary, Mynaric Government Solutions, Inc., and have recently commenced the process of insulating this entity from foreign ownership, control or influence (FOCI) to be able to receive access to U.S. classified information. We believe that our recent government and commercial contract wins and the successful demonstration of OISL interoperability in accordance with the SDA’s industry standard will help us further deepen our network and enable us to engage in leading government projects aiming to develop and deploy laser communication networks. </w:t>
      </w:r>
    </w:p>
    <w:p>
      <w:pPr>
        <w:pStyle w:val="TextBody"/>
        <w:spacing w:before="240" w:after="0"/>
        <w:jc w:val="both"/>
        <w:rPr>
          <w:rFonts w:ascii="Times New Roman" w:hAnsi="Times New Roman"/>
          <w:sz w:val="20"/>
        </w:rPr>
      </w:pPr>
      <w:r>
        <w:rPr>
          <w:rFonts w:ascii="Times New Roman" w:hAnsi="Times New Roman"/>
          <w:sz w:val="20"/>
        </w:rPr>
        <w:t xml:space="preserve">We also seek to leverage our established government relationships to drive engagement with potential commercial customers. In the commercial market, we target companies aiming to establish smaller Earth observation and surveillance constellations for our CONDOR terminals. For our HAWK terminals, we focus on UAV and unmanned aircraft system builders who work with customers requiring significant data and increased bandwidth for their applications as well as on other markets for which the current HAWK terminal version serves as a satisfactory demonstration system of our product’s capabilities. As in the government market, we also seek to establish and advance our relationships with system primes, which focus on integrating new technologies and products into vehicles manufactured by third parties, and with system integrators, which focus on equipping existing platforms with novel capabilities. </w:t>
      </w:r>
    </w:p>
    <w:p>
      <w:pPr>
        <w:pStyle w:val="TextBody"/>
        <w:spacing w:before="240" w:after="0"/>
        <w:jc w:val="both"/>
        <w:rPr>
          <w:rFonts w:ascii="Times New Roman" w:hAnsi="Times New Roman"/>
          <w:sz w:val="20"/>
        </w:rPr>
      </w:pPr>
      <w:r>
        <w:rPr>
          <w:rFonts w:ascii="Times New Roman" w:hAnsi="Times New Roman"/>
          <w:sz w:val="20"/>
        </w:rPr>
        <w:t xml:space="preserve">In addition to our direct sales and marketing activities, we have developed a global network of distributors for our airborne laser-based communication products. For example, for our HAWK terminal, we have distribution relationships in Australia, Israel and Japan and we are actively working to establish additional partnerships in other jurisdictions, such as India and South America. </w:t>
      </w:r>
    </w:p>
    <w:p>
      <w:pPr>
        <w:pStyle w:val="TextBody"/>
        <w:spacing w:before="360" w:after="0"/>
        <w:jc w:val="left"/>
        <w:rPr>
          <w:rFonts w:ascii="Times New Roman" w:hAnsi="Times New Roman"/>
          <w:i/>
          <w:sz w:val="20"/>
        </w:rPr>
      </w:pPr>
      <w:r>
        <w:rPr>
          <w:rFonts w:ascii="Times New Roman" w:hAnsi="Times New Roman"/>
          <w:i/>
          <w:sz w:val="20"/>
        </w:rPr>
        <w:t xml:space="preserve">Sales Cycle </w:t>
      </w:r>
    </w:p>
    <w:p>
      <w:pPr>
        <w:pStyle w:val="TextBody"/>
        <w:spacing w:before="120" w:after="0"/>
        <w:jc w:val="both"/>
        <w:rPr>
          <w:rFonts w:ascii="Times New Roman" w:hAnsi="Times New Roman"/>
          <w:sz w:val="20"/>
        </w:rPr>
      </w:pPr>
      <w:r>
        <w:rPr>
          <w:rFonts w:ascii="Times New Roman" w:hAnsi="Times New Roman"/>
          <w:sz w:val="20"/>
        </w:rPr>
        <w:t xml:space="preserve">The typical sales cycle for our products in the government market includes a pre-sale process to define a potential customer’s needs and budget. While certain customers may choose, or be required, to conduct a RfI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RfP process, allowing several companies to openly bid for the project, we focus on developing relationships with potential customers early in their decision-making processes, positioning us to avoid RfP processes where possible. In case of government space programs, we typically engage with potential customers in the form of a customer-initiated RfI process, which may take up to six months. During this phase our business development and sales teams provide the potential customer with preliminary information about our products’ suitability in the context of the particular program. This phase is followed by an RfP campaign that includes further refinements of specific program requirements and generally results in an actual firm bid. Such bid is typically composed of, among others, unit volumes, prices, delivery times and payment milestones. </w:t>
      </w:r>
    </w:p>
    <w:p>
      <w:pPr>
        <w:pStyle w:val="TextBody"/>
        <w:spacing w:before="240" w:after="0"/>
        <w:jc w:val="both"/>
        <w:rPr>
          <w:rFonts w:ascii="Times New Roman" w:hAnsi="Times New Roman"/>
          <w:sz w:val="20"/>
        </w:rPr>
      </w:pPr>
      <w:r>
        <w:rPr>
          <w:rFonts w:ascii="Times New Roman" w:hAnsi="Times New Roman"/>
          <w:sz w:val="20"/>
        </w:rPr>
        <w:t xml:space="preserve">The sales process for our products for commercial applications depends on the individual customer and the size and structure of a project. Our sales team often engages in detailed discussions with potential customers to define the customer’s needs and budget. Following these discussions, we typically either sign an MoU or a term sheet or directly negotiate long-form agreements. From time to time, in particular with respect to large, established customers, we may also be required to participate in RfI or RfP processes. As with sales in the government market, the entire commercial sales process may take from a few months to over a year. </w:t>
      </w:r>
    </w:p>
    <w:p>
      <w:pPr>
        <w:pStyle w:val="TextBody"/>
        <w:spacing w:before="240" w:after="0"/>
        <w:jc w:val="both"/>
        <w:rPr>
          <w:rFonts w:ascii="Times New Roman" w:hAnsi="Times New Roman"/>
          <w:sz w:val="20"/>
        </w:rPr>
      </w:pPr>
      <w:r>
        <w:rPr>
          <w:rFonts w:ascii="Times New Roman" w:hAnsi="Times New Roman"/>
          <w:sz w:val="20"/>
        </w:rPr>
        <w:t xml:space="preserve">If we are selected, we enter into negotiations and, if successful, typically receive a purchase order from the customer. Many purchase orders allow for or require phased delivery of products over several months or years, with payments being made following delivery or achievement of other milestones. Following acceptance of our bid, we move to the integration phase. During the integration phase our team engages closely with the customer to prepare frictionless integration of our products onto the customer’s platform along a predefined milestone plan. This stage of the engagement may take up to a year. We often ship small quantities of our products to such customer for testing and demonstration campaigns that typically occur during this phase as the insights and documentation created during these milestones are critical for the program’s success. Finally, once integration work is mostly concluded, we move to the product delivery phase that may stretch from as little as a few months to years depending on the scale of the customer program. Through our participation in these processes, we have developed an extensive library of materials and processes for responding effectively and efficiently in a timely manner. The entire sales process can take anywhere from a few months to over a year. </w:t>
      </w:r>
    </w:p>
    <w:p>
      <w:pPr>
        <w:pStyle w:val="TextBody"/>
        <w:spacing w:before="360" w:after="0"/>
        <w:jc w:val="left"/>
        <w:rPr>
          <w:rFonts w:ascii="Times New Roman" w:hAnsi="Times New Roman"/>
          <w:i/>
          <w:sz w:val="20"/>
        </w:rPr>
      </w:pPr>
      <w:r>
        <w:rPr>
          <w:rFonts w:ascii="Times New Roman" w:hAnsi="Times New Roman"/>
          <w:i/>
          <w:sz w:val="20"/>
        </w:rPr>
        <w:t xml:space="preserve">Customer Awards </w:t>
      </w:r>
    </w:p>
    <w:p>
      <w:pPr>
        <w:pStyle w:val="TextBody"/>
        <w:spacing w:before="120" w:after="0"/>
        <w:jc w:val="both"/>
        <w:rPr>
          <w:rFonts w:ascii="Times New Roman" w:hAnsi="Times New Roman"/>
          <w:sz w:val="20"/>
        </w:rPr>
      </w:pPr>
      <w:r>
        <w:rPr>
          <w:rFonts w:ascii="Times New Roman" w:hAnsi="Times New Roman"/>
          <w:sz w:val="20"/>
          <w:u w:val="single"/>
        </w:rPr>
        <w:t>Government Market</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 w:hAnsi="Times New Roman"/>
          <w:sz w:val="20"/>
        </w:rPr>
        <w:t xml:space="preserve">In connection with the SDA’s PWSA, in September 2020, we were awarded the first part of a contract for the delivery of our CONDOR terminals to a customer for its work on Tranche 0. Initial delivery of equipment to this customer took place in first half of 2021. As part of our engagement in the PWSA, in May 2021, we successfully demonstrated the industry’s first over-the-air transmission using an OISL terminal communicating with an independently built testbed, both of which are compliant with the SDA’s OISL industry standard. The demonstration was composed of a set of optical and electronic tests characterizing our CONDOR optical inter-satellite link product. We believe that this demonstration marks a crucial milestone in the industrialization of laser communication and, as such, a first step in the technology’s widespread adoption within the satellite industry and beyond. </w:t>
      </w:r>
    </w:p>
    <w:p>
      <w:pPr>
        <w:pStyle w:val="TextBody"/>
        <w:spacing w:before="240" w:after="0"/>
        <w:jc w:val="both"/>
        <w:rPr>
          <w:rFonts w:ascii="Times New Roman" w:hAnsi="Times New Roman"/>
          <w:sz w:val="20"/>
        </w:rPr>
      </w:pPr>
      <w:r>
        <w:rPr>
          <w:rFonts w:ascii="Times New Roman" w:hAnsi="Times New Roman"/>
          <w:sz w:val="20"/>
        </w:rPr>
        <w:t xml:space="preserve">Additionally, in October 2020, we were selected by Telesat to supply multiple units of our CONDOR terminals for Telesat’s work (as system operator) on DARPA’s Blackjack program. We delivered the terminals to Telesat’s system integrator in the second half of 2022. As part of our engagement in the Blackjack program, we established the industry’s first laser communication interoperability laboratory in Los Angeles that simulates conditions in space to test interoperability between different vendors’ terminals. </w:t>
      </w:r>
    </w:p>
    <w:p>
      <w:pPr>
        <w:pStyle w:val="TextBody"/>
        <w:spacing w:before="240" w:after="0"/>
        <w:jc w:val="both"/>
        <w:rPr>
          <w:rFonts w:ascii="Times New Roman" w:hAnsi="Times New Roman"/>
          <w:sz w:val="20"/>
        </w:rPr>
      </w:pPr>
      <w:r>
        <w:rPr>
          <w:rFonts w:ascii="Times New Roman" w:hAnsi="Times New Roman"/>
          <w:sz w:val="20"/>
        </w:rPr>
        <w:t xml:space="preserve">In October 2021, we entered into the Strategic Agreement with NG under which we agreed to serve as a strategic supplier to NG and to exclusively develop and sell to NG customized laser communication solutions for use in or relating to space where the ultimate customer is a U.S. government customer. We may also collaborate on the development of laser communications for aerospace-based and defense applications outside the space sector. In connection with the Strategic Agreement, we entered into a definitive agreement with NG in March 2022 for the delivery of optical communication terminals for Tranche 1 of the SDA’s PWSA satellite constellation. The Tranche 1 order has an initial value of $36 million and provides for performance-based payment milestones throughout 2022, 2023 and 2024 and product deliveries mostly in 2023 and 2024. Any milestone payments under the SDA Order will count towards the $35 million revenue opportunity under our Strategic Agreement with NG, subject to such milestone payments actually being made. Our ability to generate additional revenue from the Strategic Agreement will depend on NG being awarded the relevant government contracts. For more information,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see “—Strategic Agreement with Northrop Grumman.” In October 2022, we received an additional order from NG for 42 CONDOR terminals as part of the SDA’s Tranche 1 tracking layer program. </w:t>
      </w:r>
    </w:p>
    <w:p>
      <w:pPr>
        <w:pStyle w:val="TextBody"/>
        <w:spacing w:before="240" w:after="0"/>
        <w:jc w:val="both"/>
        <w:rPr>
          <w:rFonts w:ascii="Times New Roman" w:hAnsi="Times New Roman"/>
          <w:sz w:val="20"/>
        </w:rPr>
      </w:pPr>
      <w:r>
        <w:rPr>
          <w:rFonts w:ascii="Times New Roman" w:hAnsi="Times New Roman"/>
          <w:sz w:val="20"/>
        </w:rPr>
        <w:t xml:space="preserve">More recently, on January 9, 2023, we entered into a definitive agreement with a new, undisclosed U.S.-based customer for the delivery of CONDOR terminals. The agreement has a value of approximately $24 million and provides for payment milestones in the first and second half of 2023 and product deliveries in the second half of 2023. </w:t>
      </w:r>
    </w:p>
    <w:p>
      <w:pPr>
        <w:pStyle w:val="TextBody"/>
        <w:spacing w:before="240" w:after="0"/>
        <w:jc w:val="both"/>
        <w:rPr>
          <w:rFonts w:ascii="Times New Roman" w:hAnsi="Times New Roman"/>
          <w:sz w:val="20"/>
        </w:rPr>
      </w:pPr>
      <w:r>
        <w:rPr>
          <w:rFonts w:ascii="Times New Roman" w:hAnsi="Times New Roman"/>
          <w:sz w:val="20"/>
        </w:rPr>
        <w:t xml:space="preserve">In 2021 and 2022, we were awarded additional contracts by different government agencies relating to the design, development, production and testing of initial demonstrators for end-to-end optical communication systems: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 early December 2021, our co-led consortium UN:IO was selected by the European Commission for initial work on an independent European satellite network. Our initial work includes the development of a detailed technical concept for the proposed European constellation architecture.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 late December 2021, we were selected to work on the architectural design of a next-generation optical communications terminal as part of phase 0 of DARPA’s Space-BACN program. This program envisions an optical communications terminal that could be reconfigured to work with most of today’s optical intersatellite link standards allowing seamless communication among government and private-sector proprietary satellites and satellite constellations.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 February 2022, we were awarded a contract by the ESA to analyze, design, build and test on a laboratory model an end-to-end optical communication system that can achieve data transmission speeds of up to 1 Terabit per second (Tbps).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 August 2022, we were selected as a key development partner to create a benchtop model of a next-generation optical communications terminal as part of Phase 1 of DARPA’s Space-BACN.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 March 2023, we were selected for three technology development projects related to quantum communication, which are part of the second phase of the QuNET initiative funded by Germany’s Federal Ministry of Education and Research. Our technology development will be co-funded with a total amount of up to €5.6 million between 2023 and 2025. </w:t>
            </w:r>
          </w:p>
        </w:tc>
      </w:tr>
    </w:tbl>
    <w:p>
      <w:pPr>
        <w:pStyle w:val="TextBody"/>
        <w:spacing w:before="240" w:after="0"/>
        <w:jc w:val="both"/>
        <w:rPr>
          <w:rFonts w:ascii="Times New Roman" w:hAnsi="Times New Roman"/>
          <w:sz w:val="20"/>
        </w:rPr>
      </w:pPr>
      <w:r>
        <w:rPr>
          <w:rFonts w:ascii="Times New Roman" w:hAnsi="Times New Roman"/>
          <w:sz w:val="20"/>
        </w:rPr>
        <w:t xml:space="preserve">With respect to our HAWK terminals, we initially received an order for two terminals from an affiliate of L3Harris (which we previously disclosed as an undisclosed commercial customer) in 2020. Through this partnership, we believe that we are well-positioned to successfully introduce our HAWK terminal to certain customers in the U.S. government market. Following delivery of the pre-serial product versions of our HAWK terminals, successful flight tests were conducted since then and further demonstrations and tests with increasing mission scope are planned going forward. In July 2022, we agreed with L3Harris on a strategic cooperation framework pursuant to which we will serve as preferred provider of laser communication solutions to L3Harris. Under the strategic framework, L3Harris completed an equity investment corresponding to 7.2% of our then share capital. For more information, see “—Strategic Cooperation Framework with L3Harris.” More recently, in November 2022, we delivered a set of multiple HAWK terminals for an initial test campaign to a new commercial U.S.-based energy customer. The terminals are intended to be utilized as part of disaster recovery missions where satellite or terrestrial communications infrastructure has been compromised. In addition, we delivered a small number of HAWK terminals to a U.S.-based government customer in 2022. </w:t>
      </w:r>
    </w:p>
    <w:p>
      <w:pPr>
        <w:pStyle w:val="TextBody"/>
        <w:spacing w:before="240" w:after="0"/>
        <w:jc w:val="both"/>
        <w:rPr>
          <w:rFonts w:ascii="Times New Roman" w:hAnsi="Times New Roman"/>
          <w:sz w:val="20"/>
        </w:rPr>
      </w:pPr>
      <w:r>
        <w:rPr>
          <w:rFonts w:ascii="Times New Roman" w:hAnsi="Times New Roman"/>
          <w:sz w:val="20"/>
        </w:rPr>
        <w:t xml:space="preserve">In October 2021, we and H3 HATS announced the successful start of a joint demonstration campaign to showcase laser communication capabilities for high-altitude long endurance aircraft using industrialized optical communications terminals. Initial flights of the campaign demonstrated key performance criteria of our HAWK terminal in pre-series production onboard one of H3 HATS’ aircraft. Our partnership with H3 HATS provides for the expansion of HAWK’s suitable mission envelope in upcoming flights and joint customer demonstrations going forward. </w:t>
      </w:r>
    </w:p>
    <w:p>
      <w:pPr>
        <w:pStyle w:val="TextBody"/>
        <w:spacing w:before="360" w:after="0"/>
        <w:jc w:val="both"/>
        <w:rPr>
          <w:rFonts w:ascii="Times New Roman" w:hAnsi="Times New Roman"/>
          <w:sz w:val="20"/>
        </w:rPr>
      </w:pPr>
      <w:r>
        <w:rPr>
          <w:rFonts w:ascii="Times New Roman" w:hAnsi="Times New Roman"/>
          <w:sz w:val="20"/>
          <w:u w:val="single"/>
        </w:rPr>
        <w:t>Commercial Market</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 w:hAnsi="Times New Roman"/>
          <w:sz w:val="20"/>
        </w:rPr>
        <w:t xml:space="preserve">As a result of our government track record and our first mover advantage, we have also been able to secure initial wins in the commercial market: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i/>
                <w:sz w:val="20"/>
              </w:rPr>
              <w:t>Capella Space</w:t>
            </w:r>
            <w:r>
              <w:rPr>
                <w:rFonts w:ascii="Times New Roman" w:hAnsi="Times New Roman"/>
                <w:sz w:val="20"/>
              </w:rPr>
              <w:t xml:space="preserve">: In August 2021, we received a purchase order from Capella Space (which we previously announced as an undisclosed commercial customer), under which we will deliver up to 20 CONDOR terminals over a period of four years.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i/>
                <w:sz w:val="20"/>
              </w:rPr>
              <w:t>Airbus U.S. Space</w:t>
            </w:r>
            <w:r>
              <w:rPr>
                <w:rFonts w:ascii="Times New Roman" w:hAnsi="Times New Roman"/>
                <w:sz w:val="20"/>
              </w:rPr>
              <w:t> </w:t>
            </w:r>
            <w:r>
              <w:rPr>
                <w:rFonts w:ascii="Times New Roman" w:hAnsi="Times New Roman"/>
                <w:i/>
                <w:sz w:val="20"/>
              </w:rPr>
              <w:t>&amp; Defense</w:t>
            </w:r>
            <w:r>
              <w:rPr>
                <w:rFonts w:ascii="Times New Roman" w:hAnsi="Times New Roman"/>
                <w:sz w:val="20"/>
              </w:rPr>
              <w:t xml:space="preserve">: In May 2022, we entered into a paid for agreement with Airbus to host our CONDOR terminal on the International Space Station’s (ISS) functional testbed, Bartolomeo. We plan to operate our industrialized optical communications terminal on the ISS, with the aim of demonstrating the CONDOR terminal’s capabilities in LEO and providing our customers with an extended range of experimental mission scenarios.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i/>
                <w:sz w:val="20"/>
              </w:rPr>
              <w:t>Undisclosed Customer</w:t>
            </w:r>
            <w:r>
              <w:rPr>
                <w:rFonts w:ascii="Times New Roman" w:hAnsi="Times New Roman"/>
                <w:sz w:val="20"/>
              </w:rPr>
              <w:t xml:space="preserve">: In November 2022, we delivered a set of multiple HAWK terminals for an initial test campaign to a new commercial U.S.-based energy customer. The terminals are intended to be utilized as part of disaster recovery missions where satellite or terrestrial communications infrastructure has been compromised.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i/>
                <w:sz w:val="20"/>
              </w:rPr>
              <w:t>Warpspace</w:t>
            </w:r>
            <w:r>
              <w:rPr>
                <w:rFonts w:ascii="Times New Roman" w:hAnsi="Times New Roman"/>
                <w:sz w:val="20"/>
              </w:rPr>
              <w:t xml:space="preserve">: More recently, on January 24, 2023, we announced an order for a small number of CONDOR terminals by Japan-based Warpspace Inc. The terminals will be used by Warpspace Inc to establish a commercial optical data relay network for Earth observation satellites. Product deliveries are scheduled for 2025. </w:t>
            </w:r>
          </w:p>
        </w:tc>
      </w:tr>
    </w:tbl>
    <w:p>
      <w:pPr>
        <w:pStyle w:val="TextBody"/>
        <w:spacing w:before="360" w:after="0"/>
        <w:jc w:val="left"/>
        <w:rPr>
          <w:rFonts w:ascii="Times New Roman" w:hAnsi="Times New Roman"/>
          <w:i/>
          <w:sz w:val="20"/>
        </w:rPr>
      </w:pPr>
      <w:r>
        <w:rPr>
          <w:rFonts w:ascii="Times New Roman" w:hAnsi="Times New Roman"/>
          <w:i/>
          <w:sz w:val="20"/>
        </w:rPr>
        <w:t xml:space="preserve">Strategic Agreement with Northrop Grumman </w:t>
      </w:r>
    </w:p>
    <w:p>
      <w:pPr>
        <w:pStyle w:val="TextBody"/>
        <w:spacing w:before="120" w:after="0"/>
        <w:jc w:val="both"/>
        <w:rPr>
          <w:rFonts w:ascii="Times New Roman" w:hAnsi="Times New Roman"/>
          <w:sz w:val="20"/>
        </w:rPr>
      </w:pPr>
      <w:r>
        <w:rPr>
          <w:rFonts w:ascii="Times New Roman" w:hAnsi="Times New Roman"/>
          <w:sz w:val="20"/>
        </w:rPr>
        <w:t xml:space="preserve">On October 31, 2021, we entered into the Strategic Agreement with Northrop Grumman (NG) setting forth the terms for a strategic collaboration primarily in the space arena. We and NG signed the Strategic Agreement based upon a shared interest in accelerating the growth, development, adoption and innovation of laser communication solutions primarily for aerospace and defense applications, including air, space, ground, maritime, and undersea with a near-term emphasis on the space arena for the U.S. government’s needs and missions. Under the Strategic Agreement, we serve as a strategic supplier to NG, granting NG assured and preferred access and pricing to our products and services. </w:t>
      </w:r>
    </w:p>
    <w:p>
      <w:pPr>
        <w:pStyle w:val="TextBody"/>
        <w:spacing w:before="240" w:after="0"/>
        <w:jc w:val="both"/>
        <w:rPr>
          <w:rFonts w:ascii="Times New Roman" w:hAnsi="Times New Roman"/>
          <w:sz w:val="20"/>
        </w:rPr>
      </w:pPr>
      <w:r>
        <w:rPr>
          <w:rFonts w:ascii="Times New Roman" w:hAnsi="Times New Roman"/>
          <w:sz w:val="20"/>
        </w:rPr>
        <w:t xml:space="preserve">As part of the Strategic Agreement, we have agreed with NG to exclusively develop and sell to NG customized laser communication solutions for use in or relating to space where the ultimate customer is a U.S. government customer. The Strategic Agreement does not restrict our ability to develop or sell customized products in any other market segment or to sell our off-the-shelf products to any customer. </w:t>
      </w:r>
    </w:p>
    <w:p>
      <w:pPr>
        <w:pStyle w:val="TextBody"/>
        <w:spacing w:before="240" w:after="0"/>
        <w:jc w:val="both"/>
        <w:rPr>
          <w:rFonts w:ascii="Times New Roman" w:hAnsi="Times New Roman"/>
          <w:sz w:val="20"/>
        </w:rPr>
      </w:pPr>
      <w:r>
        <w:rPr>
          <w:rFonts w:ascii="Times New Roman" w:hAnsi="Times New Roman"/>
          <w:sz w:val="20"/>
        </w:rPr>
        <w:t xml:space="preserve">Under the Strategic Agreement, NG has agreed to provide us with an annual minimum awards opportunity to sell and provide to NG customized products or off-the-shelf products and/or related services. Over the term of the Strategic Agreement, the cumulative annual awards opportunity will amount to at least $35 million. </w:t>
      </w:r>
    </w:p>
    <w:p>
      <w:pPr>
        <w:pStyle w:val="TextBody"/>
        <w:spacing w:before="240" w:after="0"/>
        <w:jc w:val="both"/>
        <w:rPr>
          <w:rFonts w:ascii="Times New Roman" w:hAnsi="Times New Roman"/>
          <w:sz w:val="20"/>
        </w:rPr>
      </w:pPr>
      <w:r>
        <w:rPr>
          <w:rFonts w:ascii="Times New Roman" w:hAnsi="Times New Roman"/>
          <w:sz w:val="20"/>
        </w:rPr>
        <w:t xml:space="preserve">The Strategic Agreement has a term of five (5) years. We are entitled to terminate the Strategic Agreement under certain circumstances, including if NG fails to offer us the relevant minimum annual awards opportunity in a given year. NG is entitled to terminate the Strategic Agreement if we fail to perform our obligations under the Strategic Agreement subject to a cure period or if there has occurred any material adverse change to our capabilities or other attributes that would impact our reputation or ability to perform under the Strategic Agreement. We may not assign the Strategic Agreement without NG’s prior consent. In case of a change of control, NG is entitled to terminate the Strategic Agreement. </w:t>
      </w:r>
    </w:p>
    <w:p>
      <w:pPr>
        <w:pStyle w:val="TextBody"/>
        <w:spacing w:before="240" w:after="0"/>
        <w:jc w:val="both"/>
        <w:rPr>
          <w:rFonts w:ascii="Times New Roman" w:hAnsi="Times New Roman"/>
          <w:sz w:val="20"/>
        </w:rPr>
      </w:pPr>
      <w:r>
        <w:rPr>
          <w:rFonts w:ascii="Times New Roman" w:hAnsi="Times New Roman"/>
          <w:sz w:val="20"/>
        </w:rPr>
        <w:t xml:space="preserve">In connection with the Strategic Agreement, we entered into a definitive agreement with NG in March 2022 for the delivery of optical communication terminals for Tranche 1 of the SDA’s PWSA satellite constellation. The agreement has an initial value of $36 million and provides for performance-based payment milestones throughout 2022, 2023 and 2024 and product deliveries mostly in 2023 and 2024. Any milestone payments under the SDA Order will count towards the $35 million revenue opportunity under our Strategic Agreement with NG, subject to such milestone payments actually being made. In addition, in October 2022, we received another order from NG for 42 CONDOR terminals as part of the SDA’s Tranche 1 tracking layer program. We expect to deliver our CONDOR terminals to NG in 2024, with deployment expected to take place in 2025. Our ability to generate additional revenue from the Strategic Agreement will depend on NG being awarded the relevant government contracts. </w:t>
      </w:r>
    </w:p>
    <w:p>
      <w:pPr>
        <w:pStyle w:val="TextBody"/>
        <w:spacing w:before="360" w:after="0"/>
        <w:jc w:val="left"/>
        <w:rPr>
          <w:rFonts w:ascii="Times New Roman" w:hAnsi="Times New Roman"/>
          <w:i/>
          <w:sz w:val="20"/>
        </w:rPr>
      </w:pPr>
      <w:r>
        <w:rPr>
          <w:rFonts w:ascii="Times New Roman" w:hAnsi="Times New Roman"/>
          <w:i/>
          <w:sz w:val="20"/>
        </w:rPr>
        <w:t xml:space="preserve">Strategic Cooperation Framework with L3Harris </w:t>
      </w:r>
    </w:p>
    <w:p>
      <w:pPr>
        <w:pStyle w:val="TextBody"/>
        <w:spacing w:before="120" w:after="0"/>
        <w:jc w:val="both"/>
        <w:rPr>
          <w:rFonts w:ascii="Times New Roman" w:hAnsi="Times New Roman"/>
          <w:sz w:val="20"/>
        </w:rPr>
      </w:pPr>
      <w:r>
        <w:rPr>
          <w:rFonts w:ascii="Times New Roman" w:hAnsi="Times New Roman"/>
          <w:sz w:val="20"/>
        </w:rPr>
        <w:t xml:space="preserve">On July 5, 2022, we agreed with L3Harris on a strategic cooperation framework. In connection therewith, L3Harris invested approximately €11.2 million by means of a capital increase from authorized capital in exchange for 409,294 new ordinary shares. Under the cooperation framework, we agreed to serve as preferred provider of laser communication solutions to L3Harris. In return, we granted L3Harris certain collaboration privileges such as access to select test capabilities, including our already established interoperability labs and testbeds to emulate the link environment to be expected in space on the ground, as well as access to upcoming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laser communication assets to be deployed by us on the International Space Station (ISS). With this strategic framework, we and L3Harris seek to build on our existing collaboration in the airborne domain and widen the scope to cover all domains including space, air, maritime and ground. </w:t>
      </w:r>
    </w:p>
    <w:p>
      <w:pPr>
        <w:pStyle w:val="TextBody"/>
        <w:spacing w:before="360" w:after="0"/>
        <w:jc w:val="left"/>
        <w:rPr>
          <w:rFonts w:ascii="Times New Roman" w:hAnsi="Times New Roman"/>
          <w:b/>
          <w:i/>
          <w:sz w:val="20"/>
        </w:rPr>
      </w:pPr>
      <w:r>
        <w:rPr>
          <w:rFonts w:ascii="Times New Roman" w:hAnsi="Times New Roman"/>
          <w:b/>
          <w:i/>
          <w:sz w:val="20"/>
        </w:rPr>
        <w:t xml:space="preserve">Our Technology </w:t>
      </w:r>
    </w:p>
    <w:p>
      <w:pPr>
        <w:pStyle w:val="TextBody"/>
        <w:spacing w:before="120" w:after="0"/>
        <w:jc w:val="both"/>
        <w:rPr>
          <w:rFonts w:ascii="Times New Roman" w:hAnsi="Times New Roman"/>
          <w:sz w:val="20"/>
        </w:rPr>
      </w:pPr>
      <w:r>
        <w:rPr>
          <w:rFonts w:ascii="Times New Roman" w:hAnsi="Times New Roman"/>
          <w:sz w:val="20"/>
        </w:rPr>
        <w:t xml:space="preserve">Laser communication is a highly attractive broadband technology providing for fast, secure and reliable data transmission. Due to the nature of the laser and the small divergence angle of the transmitter, detecting and intercepting laser beams is difficult, making laser communication more secure than existing RF-based wireless systems. In contrast, RF waves are characterized by a much wider beam divergence, and in certain cases even spread spherically, which opens up a broader area for the detection, interception, manipulation, theft and interruption of data. The secure nature of laser communication is key for governments and commercial players seeking to deploy laser communication as part of the next generation of satellite constellations. </w:t>
      </w:r>
    </w:p>
    <w:p>
      <w:pPr>
        <w:pStyle w:val="TextBody"/>
        <w:spacing w:before="240" w:after="0"/>
        <w:jc w:val="both"/>
        <w:rPr>
          <w:rFonts w:ascii="Times New Roman" w:hAnsi="Times New Roman"/>
          <w:sz w:val="20"/>
        </w:rPr>
      </w:pPr>
      <w:r>
        <w:rPr>
          <w:rFonts w:ascii="Times New Roman" w:hAnsi="Times New Roman"/>
          <w:sz w:val="20"/>
        </w:rPr>
        <w:t>While a narrow laser beam is advantageous for thwarting detection, interception and exploitation, it requires higher precision in aligning sending and receiving stations compared to RF technologies. Accordingly, when used in connection with moving objects such as aircraft and satellites, the laser beam needs to be continuously retraced and repositioned between the moving platforms. The alignment mechanism we have developed for our CONDOR and HAWK terminals overcomes this challenge by utilizing two stages of steerable mirrors for the coarse and fine pointing mechanism, respectively. Our laser-based communication system utilizes an accurately steered infrared laser beam at a wavelength of approximately 1550 nanometers to transmit data wirelessly and allows for superior performance parameters compared to competing RF-based communication systems (</w:t>
      </w:r>
      <w:r>
        <w:rPr>
          <w:rFonts w:ascii="Times New Roman" w:hAnsi="Times New Roman"/>
          <w:i/>
          <w:sz w:val="20"/>
        </w:rPr>
        <w:t>i.e.</w:t>
      </w:r>
      <w:r>
        <w:rPr>
          <w:rFonts w:ascii="Times New Roman" w:hAnsi="Times New Roman"/>
          <w:sz w:val="20"/>
        </w:rPr>
        <w:t xml:space="preserve">, systems utilizing radio frequencies in the electromagnetic spectrum bands). </w:t>
      </w:r>
    </w:p>
    <w:p>
      <w:pPr>
        <w:pStyle w:val="TextBody"/>
        <w:spacing w:before="240" w:after="0"/>
        <w:jc w:val="both"/>
        <w:rPr>
          <w:rFonts w:ascii="Times New Roman" w:hAnsi="Times New Roman"/>
          <w:sz w:val="20"/>
        </w:rPr>
      </w:pPr>
      <w:r>
        <w:rPr>
          <w:rFonts w:ascii="Times New Roman" w:hAnsi="Times New Roman"/>
          <w:sz w:val="20"/>
        </w:rPr>
        <w:t xml:space="preserve">The graphic below illustrates the technological benefits of laser communication compared to existing RF-based communication technologies in terms of distance, data and bandwidth: </w:t>
      </w:r>
    </w:p>
    <w:p>
      <w:pPr>
        <w:pStyle w:val="TextBody"/>
        <w:spacing w:before="0" w:after="0"/>
        <w:jc w:val="left"/>
        <w:rPr/>
      </w:pPr>
      <w:r>
        <w:rPr/>
        <w:t> </w:t>
      </w:r>
    </w:p>
    <w:p>
      <w:pPr>
        <w:pStyle w:val="TextBody"/>
        <w:spacing w:before="0" w:after="0"/>
        <w:jc w:val="center"/>
        <w:rPr/>
      </w:pPr>
      <w:r>
        <w:rPr/>
        <w:drawing>
          <wp:inline distT="0" distB="0" distL="0" distR="0">
            <wp:extent cx="546100" cy="225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46100" cy="225425"/>
                    </a:xfrm>
                    <a:prstGeom prst="rect">
                      <a:avLst/>
                    </a:prstGeom>
                  </pic:spPr>
                </pic:pic>
              </a:graphicData>
            </a:graphic>
          </wp:inline>
        </w:drawing>
      </w:r>
      <w:r>
        <w:rPr/>
        <w:t xml:space="preserve"> </w:t>
      </w:r>
    </w:p>
    <w:p>
      <w:pPr>
        <w:pStyle w:val="TextBody"/>
        <w:spacing w:before="360" w:after="0"/>
        <w:jc w:val="left"/>
        <w:rPr>
          <w:rFonts w:ascii="Times New Roman" w:hAnsi="Times New Roman"/>
          <w:b/>
          <w:i/>
          <w:sz w:val="20"/>
        </w:rPr>
      </w:pPr>
      <w:r>
        <w:rPr>
          <w:rFonts w:ascii="Times New Roman" w:hAnsi="Times New Roman"/>
          <w:b/>
          <w:i/>
          <w:sz w:val="20"/>
        </w:rPr>
        <w:t xml:space="preserve">Research &amp; Development and Engineering </w:t>
      </w:r>
    </w:p>
    <w:p>
      <w:pPr>
        <w:pStyle w:val="TextBody"/>
        <w:spacing w:before="120" w:after="0"/>
        <w:jc w:val="both"/>
        <w:rPr>
          <w:rFonts w:ascii="Times New Roman" w:hAnsi="Times New Roman"/>
          <w:sz w:val="20"/>
        </w:rPr>
      </w:pPr>
      <w:r>
        <w:rPr>
          <w:rFonts w:ascii="Times New Roman" w:hAnsi="Times New Roman"/>
          <w:sz w:val="20"/>
        </w:rPr>
        <w:t xml:space="preserve">Research &amp; development is critical to our business strategy. We believe we have developed strong in-house capabilities in product design, engineering, testing and quality assurance, covering the entire research and development process from conception to completion. We are committed to investing in a robust research and development program to enhance our current product portfolio and to develop our pipeline of new and complementary products. </w:t>
      </w:r>
    </w:p>
    <w:p>
      <w:pPr>
        <w:pStyle w:val="TextBody"/>
        <w:spacing w:before="240" w:after="0"/>
        <w:jc w:val="both"/>
        <w:rPr>
          <w:rFonts w:ascii="Times New Roman" w:hAnsi="Times New Roman"/>
          <w:sz w:val="20"/>
        </w:rPr>
      </w:pPr>
      <w:r>
        <w:rPr>
          <w:rFonts w:ascii="Times New Roman" w:hAnsi="Times New Roman"/>
          <w:sz w:val="20"/>
        </w:rPr>
        <w:t xml:space="preserve">Our research &amp; development activities were initially based on a license granted to us by the DLR under a cooperation and licensing agreement entered into in 2013. Under this agreement, the DLR granted us a non-exclusive, non-assignable and non-sublicensable limited license for two of DLR’s patents, a software program and know-how related to ground and flight terminals for optics-free communication. In a subsequent amendment, we were granted an exclusive license for certain applications, which include ground-based optical communications, air-based optical communications and ground-air communications. We pay annual license fees under our agreement with the DLR. The agreement will terminate on December 31, 2027. Given the rapid technological developments in our industry and the limited extent of our current reliance on this license, we do not expect that we will need this license for development of our products going forward and accordingly we currently do not intend to seek an extension of this agreement beyond its termination date.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We also collaborate with research institutes for the development and manufacture of certain optical components and products. For example, in cooperation with a German technology research institute, we have developed a metal telescope primarily for use in our CONDOR terminal that allows us to significantly reduce costs compared to alternative components. While we have already insourced most production steps for production of the metal telescope, including diamond-turning and magnetorheological finishing, we seek to expand our capabilities, further allowing us to go from raw material to finished optical telescope entirely in-house. For our HAWK terminals, we have been working on the development of an ultra-sensitive photo diode in cooperation with a French research institute, which is designed to convert fast optical pulses into corresponding electrical signals for optical measurement. Through its superior sensitivity capabilities, our photo diode will allow us to use more standardized versions of other optical components in our products, reducing overall system complexity and cost. We expect to be able to implement this ultra-sensitive photo diode into our HAWK terminals in the near term. Additionally, by leveraging “commercial off-the-shelf” components developed in the telecommunication industry, we seek to further develop techniques to increase optical bandwidth in a cost-efficient manner, which will allow us to significantly decrease the “cost per bit” over time. </w:t>
      </w:r>
    </w:p>
    <w:p>
      <w:pPr>
        <w:pStyle w:val="TextBody"/>
        <w:spacing w:before="240" w:after="0"/>
        <w:jc w:val="both"/>
        <w:rPr>
          <w:rFonts w:ascii="Times New Roman" w:hAnsi="Times New Roman"/>
          <w:sz w:val="20"/>
        </w:rPr>
      </w:pPr>
      <w:r>
        <w:rPr>
          <w:rFonts w:ascii="Times New Roman" w:hAnsi="Times New Roman"/>
          <w:sz w:val="20"/>
        </w:rPr>
        <w:t>As part of our research and development activities, we have developed significant in-house testing capabilities for our products. For example, we have established a micro-vibration link testbed, which simulates the operational use of our products in air and space (</w:t>
      </w:r>
      <w:r>
        <w:rPr>
          <w:rFonts w:ascii="Times New Roman" w:hAnsi="Times New Roman"/>
          <w:i/>
          <w:sz w:val="20"/>
        </w:rPr>
        <w:t>e.g.</w:t>
      </w:r>
      <w:r>
        <w:rPr>
          <w:rFonts w:ascii="Times New Roman" w:hAnsi="Times New Roman"/>
          <w:sz w:val="20"/>
        </w:rPr>
        <w:t xml:space="preserve">, vibrations during satellite or aircraft operations) while also allowing us to conduct interoperability tests with other vendors. We installed our first micro-vibration link testbed in our research and development facility at our headquarters in Gilching, Germany, and have recently completed installation of a second testbed for our interoperability laboratory in Los Angeles. In addition to our micro-vibration testbed, we use a vibration and shock testbed that simulates heavy vibrations and shocks experienced during rocket launch and aircraft landing and turbulences. We also conduct data transmission tests, in which we simulate different (simulated) link distances, acquisition tests (which include far-field simulations of the laser beam) and scenario and full motion testing (which allows us to replicate certain flight conditions in our labs). Additionally, we have installed clean room facilities which include a thermal-vacuum chamber that simulates various temperature and pressure gradients and thermal chambers which are required for temperature shock simulations. We also perform radiation tests, including the exposure of our electronics to harmful radiation to be expected in space, which we do not conduct in-house. </w:t>
      </w:r>
    </w:p>
    <w:p>
      <w:pPr>
        <w:pStyle w:val="TextBody"/>
        <w:spacing w:before="240" w:after="0"/>
        <w:jc w:val="both"/>
        <w:rPr>
          <w:rFonts w:ascii="Times New Roman" w:hAnsi="Times New Roman"/>
          <w:sz w:val="20"/>
        </w:rPr>
      </w:pPr>
      <w:r>
        <w:rPr>
          <w:rFonts w:ascii="Times New Roman" w:hAnsi="Times New Roman"/>
          <w:sz w:val="20"/>
        </w:rPr>
        <w:t xml:space="preserve">Our research and development team consists of in-house staff, including engineers, machinists and researchers as well as quality and manufacturing personnel. Our research and development team conceptualizes technologies and then builds and tests prototypes before refining and/or redesigning as necessary. Our goal is to develop standardized, cost-effective laser communication products and to build tools and testbeds for handover to serial production. As of December 31, 2022, we had 173.3 FTEs dedicated to research and development. </w:t>
      </w:r>
    </w:p>
    <w:p>
      <w:pPr>
        <w:pStyle w:val="TextBody"/>
        <w:spacing w:before="240" w:after="0"/>
        <w:jc w:val="both"/>
        <w:rPr>
          <w:rFonts w:ascii="Times New Roman" w:hAnsi="Times New Roman"/>
          <w:sz w:val="20"/>
        </w:rPr>
      </w:pPr>
      <w:r>
        <w:rPr>
          <w:rFonts w:ascii="Times New Roman" w:hAnsi="Times New Roman"/>
          <w:sz w:val="20"/>
        </w:rPr>
        <w:t xml:space="preserve">We have made substantial investments in product and technology development since our inception. Research and development expenditure totaled €19,096 thousand in 2022 compared to €20,675 thousand in 2021 and €14,449 thousand in 2020, of which €967 thousand, €2,845 thousand and €8,248 thousand, respectively, were capitalized. For more information on the capitalization of development costs under IFRS, see “Item 5. Operating and Financial Review and Prospects—Key Factors Affecting Our Results of Operations—Research &amp; Development.” We conduct the majority of our research and development activities at our facility in Gilching, Germany. We believe that the close interaction between our research and development, marketing and manufacturing groups allows for timely and effective realization of our technology and products. </w:t>
      </w:r>
    </w:p>
    <w:p>
      <w:pPr>
        <w:pStyle w:val="TextBody"/>
        <w:spacing w:before="360" w:after="0"/>
        <w:jc w:val="left"/>
        <w:rPr>
          <w:rFonts w:ascii="Times New Roman" w:hAnsi="Times New Roman"/>
          <w:b/>
          <w:i/>
          <w:sz w:val="20"/>
        </w:rPr>
      </w:pPr>
      <w:r>
        <w:rPr>
          <w:rFonts w:ascii="Times New Roman" w:hAnsi="Times New Roman"/>
          <w:b/>
          <w:i/>
          <w:sz w:val="20"/>
        </w:rPr>
        <w:t xml:space="preserve">Manufacturing and Supply Chain </w:t>
      </w:r>
    </w:p>
    <w:p>
      <w:pPr>
        <w:pStyle w:val="TextBody"/>
        <w:spacing w:before="120" w:after="0"/>
        <w:jc w:val="both"/>
        <w:rPr>
          <w:rFonts w:ascii="Times New Roman" w:hAnsi="Times New Roman"/>
          <w:sz w:val="20"/>
        </w:rPr>
      </w:pPr>
      <w:r>
        <w:rPr>
          <w:rFonts w:ascii="Times New Roman" w:hAnsi="Times New Roman"/>
          <w:sz w:val="20"/>
        </w:rPr>
        <w:t xml:space="preserve">We have developed highly sophisticated and proprietary manufacturing capabilities in recent years. Initially, we manufactured the prototypes and pre-serial product versions of our CONDOR and HAWK terminals in our headquarters in Gilching, Germany. In 2020, we leased a larger, customized production facility in Oberpfaffenhofen, near Munich, to support ramping up serial production. Our facility in Oberpfaffenhofen has approximately 1,600 square meters (approximately 17,200 square feet) of production, assembly, testing, quality assurance and warehouse space and we currently employ around 55 FTEs in the production of our laser terminals in this facility. We are currently ramping up serial production targeting a per year production rate capacity of up to 2,000 units in the medium term. Going forward, we may be required to install additional production equipment as we further scale our business. </w:t>
      </w:r>
    </w:p>
    <w:p>
      <w:pPr>
        <w:pStyle w:val="TextBody"/>
        <w:spacing w:before="240" w:after="0"/>
        <w:jc w:val="both"/>
        <w:rPr>
          <w:rFonts w:ascii="Times New Roman" w:hAnsi="Times New Roman"/>
          <w:sz w:val="20"/>
        </w:rPr>
      </w:pPr>
      <w:r>
        <w:rPr>
          <w:rFonts w:ascii="Times New Roman" w:hAnsi="Times New Roman"/>
          <w:sz w:val="20"/>
        </w:rPr>
        <w:t xml:space="preserve">We work with third-party suppliers to provide components used in our products and we expect to continue to do so for future products. Although some components are manufactured to our specifications (such as certain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optical or electronic components), most components are available commercially-off-the-shelf. In order to mitigate the risks related to a single-source of supply, we always seek to have at least two qualified suppliers for every component. We forecast our component needs based on current utilization patterns and sales forecasts of future demand. We generally do not maintain long-term contracts with suppliers, but instead rely on informal arrangements and off-the-shelf purchases based on purchase orders. As we expand our business, we may seek to enter into master supply agreements with certain suppliers to ensure continuous supply of critical components for our products. </w:t>
      </w:r>
    </w:p>
    <w:p>
      <w:pPr>
        <w:pStyle w:val="TextBody"/>
        <w:spacing w:before="240" w:after="0"/>
        <w:jc w:val="both"/>
        <w:rPr>
          <w:rFonts w:ascii="Times New Roman" w:hAnsi="Times New Roman"/>
          <w:sz w:val="20"/>
        </w:rPr>
      </w:pPr>
      <w:r>
        <w:rPr>
          <w:rFonts w:ascii="Times New Roman" w:hAnsi="Times New Roman"/>
          <w:sz w:val="20"/>
        </w:rPr>
        <w:t xml:space="preserve">We believe that our manufacturing capabilities and know-how provide significant barriers to entry, and we have demonstrated an ability to manufacture efficient and effective laser communication products at attractive prices. We believe that customers view our manufacturing capabilities as differentiated in the market. </w:t>
      </w:r>
    </w:p>
    <w:p>
      <w:pPr>
        <w:pStyle w:val="TextBody"/>
        <w:spacing w:before="360" w:after="0"/>
        <w:jc w:val="left"/>
        <w:rPr>
          <w:rFonts w:ascii="Times New Roman" w:hAnsi="Times New Roman"/>
          <w:b/>
          <w:sz w:val="20"/>
        </w:rPr>
      </w:pPr>
      <w:r>
        <w:rPr>
          <w:rFonts w:ascii="Times New Roman" w:hAnsi="Times New Roman"/>
          <w:b/>
          <w:sz w:val="20"/>
        </w:rPr>
        <w:t xml:space="preserve">Our Competitive Landscape </w:t>
      </w:r>
    </w:p>
    <w:p>
      <w:pPr>
        <w:pStyle w:val="TextBody"/>
        <w:spacing w:before="120" w:after="0"/>
        <w:jc w:val="both"/>
        <w:rPr>
          <w:rFonts w:ascii="Times New Roman" w:hAnsi="Times New Roman"/>
          <w:sz w:val="20"/>
        </w:rPr>
      </w:pPr>
      <w:r>
        <w:rPr>
          <w:rFonts w:ascii="Times New Roman" w:hAnsi="Times New Roman"/>
          <w:sz w:val="20"/>
        </w:rPr>
        <w:t xml:space="preserve">To our knowledge, currently only a limited number of companies focus on the development of laser communication capabilities in the aerospace industry. As the market evolves, we expect to see additional competitors such as SpaceX or potentially Amazon enter the market or attempt to develop laser communication capabilities in-house. Positive market development notwithstanding we do not expect the number of competitors to grow significantly considering the technological complexity of our underlying technology. </w:t>
      </w:r>
    </w:p>
    <w:p>
      <w:pPr>
        <w:pStyle w:val="TextBody"/>
        <w:spacing w:before="240" w:after="0"/>
        <w:jc w:val="both"/>
        <w:rPr>
          <w:rFonts w:ascii="Times New Roman" w:hAnsi="Times New Roman"/>
          <w:sz w:val="20"/>
        </w:rPr>
      </w:pPr>
      <w:r>
        <w:rPr>
          <w:rFonts w:ascii="Times New Roman" w:hAnsi="Times New Roman"/>
          <w:sz w:val="20"/>
        </w:rPr>
        <w:t xml:space="preserve">Our main direct competitors include, among others: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i/>
                <w:sz w:val="20"/>
              </w:rPr>
              <w:t>TESAT Spacecom</w:t>
            </w:r>
            <w:r>
              <w:rPr>
                <w:rFonts w:ascii="Times New Roman" w:hAnsi="Times New Roman"/>
                <w:sz w:val="20"/>
              </w:rPr>
              <w:t xml:space="preserve">, an Airbus subsidiary headquartered in Germany, specializing in the production of payload equipment for communication satellites;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i/>
                <w:sz w:val="20"/>
              </w:rPr>
              <w:t>Thales Alenia Space</w:t>
            </w:r>
            <w:r>
              <w:rPr>
                <w:rFonts w:ascii="Times New Roman" w:hAnsi="Times New Roman"/>
                <w:sz w:val="20"/>
              </w:rPr>
              <w:t xml:space="preserve">, a joint venture between Thales and Leonardo headquartered in France, that designs, operates and delivers satellite-based systems that help customers position and connect;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i/>
                <w:sz w:val="20"/>
              </w:rPr>
              <w:t>SA Photonics</w:t>
            </w:r>
            <w:r>
              <w:rPr>
                <w:rFonts w:ascii="Times New Roman" w:hAnsi="Times New Roman"/>
                <w:sz w:val="20"/>
              </w:rPr>
              <w:t xml:space="preserve">, a subsidiary of CACI International Inc. headquartered in California, USA, specializing in free space optical communications, fiber lasers and optical sensing systems;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i/>
                <w:sz w:val="20"/>
              </w:rPr>
              <w:t>Ball Aerospace</w:t>
            </w:r>
            <w:r>
              <w:rPr>
                <w:rFonts w:ascii="Times New Roman" w:hAnsi="Times New Roman"/>
                <w:sz w:val="20"/>
              </w:rPr>
              <w:t xml:space="preserve">, a Ball Corporation subsidiary headquartered in Colorado, USA, specializing in the development and testing of terrestrial-based applications for laser technology;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i/>
                <w:sz w:val="20"/>
              </w:rPr>
              <w:t>General Atomics Electromagnetic Systems</w:t>
            </w:r>
            <w:r>
              <w:rPr>
                <w:rFonts w:ascii="Times New Roman" w:hAnsi="Times New Roman"/>
                <w:sz w:val="20"/>
              </w:rPr>
              <w:t xml:space="preserve">, an affiliate of General Atomics, that designs and builds complex payloads, optical communication terminals and integrated support systems;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i/>
                <w:sz w:val="20"/>
              </w:rPr>
              <w:t>SpaceMicro</w:t>
            </w:r>
            <w:r>
              <w:rPr>
                <w:rFonts w:ascii="Times New Roman" w:hAnsi="Times New Roman"/>
                <w:sz w:val="20"/>
              </w:rPr>
              <w:t xml:space="preserve">: a San Diego-based supplier of space electronics and satellite components in which Voyager Space acquired a majority stake. </w:t>
            </w:r>
          </w:p>
        </w:tc>
      </w:tr>
    </w:tbl>
    <w:p>
      <w:pPr>
        <w:pStyle w:val="TextBody"/>
        <w:spacing w:before="240" w:after="0"/>
        <w:jc w:val="both"/>
        <w:rPr>
          <w:rFonts w:ascii="Times New Roman" w:hAnsi="Times New Roman"/>
          <w:sz w:val="20"/>
        </w:rPr>
      </w:pPr>
      <w:r>
        <w:rPr>
          <w:rFonts w:ascii="Times New Roman" w:hAnsi="Times New Roman"/>
          <w:sz w:val="20"/>
        </w:rPr>
        <w:t xml:space="preserve">We believe that we are differentiated based on our know-how and expertise in ramping up serial production and supply chains, whereas our competitors have historically focused on developing bespoke, non-scalable solutions for individual projects. We believe that customers are seeking more standardized and industrialized solutions that provide the requisite technical capabilities without the additional costs associated with bespoke products and with the capability to ramp up production quickly. We also believe we are the only company offering laser communication terminal products for all altitudes of aerospace applications ranging from the ground, aviation airspace and the stratosphere up to LEO. </w:t>
      </w:r>
    </w:p>
    <w:p>
      <w:pPr>
        <w:pStyle w:val="TextBody"/>
        <w:spacing w:before="360" w:after="0"/>
        <w:jc w:val="left"/>
        <w:rPr>
          <w:rFonts w:ascii="Times New Roman" w:hAnsi="Times New Roman"/>
          <w:b/>
          <w:sz w:val="20"/>
        </w:rPr>
      </w:pPr>
      <w:r>
        <w:rPr>
          <w:rFonts w:ascii="Times New Roman" w:hAnsi="Times New Roman"/>
          <w:b/>
          <w:sz w:val="20"/>
        </w:rPr>
        <w:t xml:space="preserve">Information Technology </w:t>
      </w:r>
    </w:p>
    <w:p>
      <w:pPr>
        <w:pStyle w:val="TextBody"/>
        <w:spacing w:before="120" w:after="0"/>
        <w:jc w:val="both"/>
        <w:rPr>
          <w:rFonts w:ascii="Times New Roman" w:hAnsi="Times New Roman"/>
          <w:sz w:val="20"/>
        </w:rPr>
      </w:pPr>
      <w:r>
        <w:rPr>
          <w:rFonts w:ascii="Times New Roman" w:hAnsi="Times New Roman"/>
          <w:sz w:val="20"/>
        </w:rPr>
        <w:t xml:space="preserve">We primarily use several commercially-available software programs for our business operations along with our own proprietary software and applications in connection with operating our products. We seek to control costs and improve our ability to deliver our products by maintaining reliable systems. </w:t>
      </w:r>
    </w:p>
    <w:p>
      <w:pPr>
        <w:pStyle w:val="TextBody"/>
        <w:spacing w:before="240" w:after="0"/>
        <w:jc w:val="both"/>
        <w:rPr>
          <w:rFonts w:ascii="Times New Roman" w:hAnsi="Times New Roman"/>
          <w:sz w:val="20"/>
        </w:rPr>
      </w:pPr>
      <w:r>
        <w:rPr>
          <w:rFonts w:ascii="Times New Roman" w:hAnsi="Times New Roman"/>
          <w:sz w:val="20"/>
        </w:rPr>
        <w:t xml:space="preserve">We engage in a variety of measures designed to address potential cybersecurity risks. Our efforts include firewalls, antivirus software, patches, data encryption, log monitors, routine backups and routine password modifications. Notwithstanding these efforts, our internal information technology systems environment continues to evolve and our business policies and internal security controls may not keep pace as new threats emerge. </w:t>
      </w:r>
    </w:p>
    <w:p>
      <w:pPr>
        <w:pStyle w:val="TextBody"/>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spacing w:before="120" w:after="0"/>
        <w:jc w:val="both"/>
        <w:rPr>
          <w:rFonts w:ascii="Times New Roman" w:hAnsi="Times New Roman"/>
          <w:sz w:val="20"/>
        </w:rPr>
      </w:pPr>
      <w:r>
        <w:rPr>
          <w:rFonts w:ascii="Times New Roman" w:hAnsi="Times New Roman"/>
          <w:sz w:val="20"/>
        </w:rPr>
        <w:t xml:space="preserve">Protection of our intellectual property is fundamental to the long-term success of our business. We believe that our continued success depends in large part on our proprietary technology, the skills of our employees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the ability of our employees to continue to innovate and incorporate advances into our products. We rely exclusively on a combination of trade secret, copyright and trademark laws, as well as contractual provisions with employees and third parties, to establish and protect our intellectual property rights. While our expertise in laser communication technology is critical to our success, we typically keep our inventions as trade secrets to avoid public disclosure. </w:t>
      </w:r>
    </w:p>
    <w:p>
      <w:pPr>
        <w:pStyle w:val="TextBody"/>
        <w:spacing w:before="240" w:after="0"/>
        <w:jc w:val="both"/>
        <w:rPr>
          <w:rFonts w:ascii="Times New Roman" w:hAnsi="Times New Roman"/>
          <w:sz w:val="20"/>
        </w:rPr>
      </w:pPr>
      <w:r>
        <w:rPr>
          <w:rFonts w:ascii="Times New Roman" w:hAnsi="Times New Roman"/>
          <w:sz w:val="20"/>
        </w:rPr>
        <w:t xml:space="preserve">We do not own any patents and do not have any patent applications pending. We have non-exclusive licenses from third parties for the use of certain components in our products. For example, we entered into a license agreement with a German technology research institute in September 2020 under which we were granted a limited, non-exclusive license to manufacture certain optical components based on the know-how and the intellectual property of the institute. The license agreement has a term until December 31, 2034. We agreed to pay royalties based on costs of product sales. Upon expiry of the license agreement, we will be permitted to use such know-how and intellectual property freely without any further obligation to pay royalties. </w:t>
      </w:r>
    </w:p>
    <w:p>
      <w:pPr>
        <w:pStyle w:val="TextBody"/>
        <w:spacing w:before="240" w:after="0"/>
        <w:jc w:val="both"/>
        <w:rPr>
          <w:rFonts w:ascii="Times New Roman" w:hAnsi="Times New Roman"/>
          <w:sz w:val="20"/>
        </w:rPr>
      </w:pPr>
      <w:r>
        <w:rPr>
          <w:rFonts w:ascii="Times New Roman" w:hAnsi="Times New Roman"/>
          <w:sz w:val="20"/>
        </w:rPr>
        <w:t xml:space="preserve">We own six trademarks and 37 internet domain names. We provide our products to customers pursuant to terms and conditions that impose restrictions on use and disclosure of our proprietary and confidential information. We also seek to avoid disclosure of our intellectual property using contractual obligations, by requiring employees, consultants and contractors with access to our proprietary information to execute nondisclosure, non-competition and intellectual property assignment agreements. In addition, we generally control access to our proprietary and confidential information through the use of internal and external controls. See “Item 3. Key Information—D. Risk Factors—Risks Related to Our Business—We may be unable to adequately protect our intellectual property and proprietary rights and prevent others from making unauthorized use of our products and technology.” </w:t>
      </w:r>
    </w:p>
    <w:p>
      <w:pPr>
        <w:pStyle w:val="TextBody"/>
        <w:spacing w:before="360" w:after="0"/>
        <w:jc w:val="left"/>
        <w:rPr>
          <w:rFonts w:ascii="Times New Roman" w:hAnsi="Times New Roman"/>
          <w:b/>
          <w:sz w:val="20"/>
        </w:rPr>
      </w:pPr>
      <w:r>
        <w:rPr>
          <w:rFonts w:ascii="Times New Roman" w:hAnsi="Times New Roman"/>
          <w:b/>
          <w:sz w:val="20"/>
        </w:rPr>
        <w:t xml:space="preserve">Insurance Coverage </w:t>
      </w:r>
    </w:p>
    <w:p>
      <w:pPr>
        <w:pStyle w:val="TextBody"/>
        <w:spacing w:before="120" w:after="0"/>
        <w:jc w:val="both"/>
        <w:rPr>
          <w:rFonts w:ascii="Times New Roman" w:hAnsi="Times New Roman"/>
          <w:sz w:val="20"/>
        </w:rPr>
      </w:pPr>
      <w:r>
        <w:rPr>
          <w:rFonts w:ascii="Times New Roman" w:hAnsi="Times New Roman"/>
          <w:sz w:val="20"/>
        </w:rPr>
        <w:t xml:space="preserve">We have insurance policies in place that we consider customary for our industry, including general liability insurance, product liability insurance, transportation insurance, and loss of property and earnings insurance. We believe that our insurance policies contain market-standard exclusions and deductibles. We regularly review the adequacy of our insurance coverage and consider the scope of our insurance coverage to be customary in our industry. </w:t>
      </w:r>
    </w:p>
    <w:p>
      <w:pPr>
        <w:pStyle w:val="TextBody"/>
        <w:spacing w:before="360" w:after="0"/>
        <w:jc w:val="left"/>
        <w:rPr>
          <w:rFonts w:ascii="Times New Roman" w:hAnsi="Times New Roman"/>
          <w:b/>
          <w:sz w:val="20"/>
        </w:rPr>
      </w:pPr>
      <w:r>
        <w:rPr>
          <w:rFonts w:ascii="Times New Roman" w:hAnsi="Times New Roman"/>
          <w:b/>
          <w:sz w:val="20"/>
        </w:rPr>
        <w:t xml:space="preserve">Facilities </w:t>
      </w:r>
    </w:p>
    <w:p>
      <w:pPr>
        <w:pStyle w:val="TextBody"/>
        <w:spacing w:before="120" w:after="0"/>
        <w:jc w:val="both"/>
        <w:rPr>
          <w:rFonts w:ascii="Times New Roman" w:hAnsi="Times New Roman"/>
          <w:sz w:val="20"/>
        </w:rPr>
      </w:pPr>
      <w:r>
        <w:rPr>
          <w:rFonts w:ascii="Times New Roman" w:hAnsi="Times New Roman"/>
          <w:sz w:val="20"/>
        </w:rPr>
        <w:t xml:space="preserve">We currently lease all of our real property and do not own any real property. </w:t>
      </w:r>
    </w:p>
    <w:p>
      <w:pPr>
        <w:pStyle w:val="TextBody"/>
        <w:spacing w:before="240" w:after="0"/>
        <w:jc w:val="both"/>
        <w:rPr>
          <w:rFonts w:ascii="Times New Roman" w:hAnsi="Times New Roman"/>
          <w:sz w:val="20"/>
        </w:rPr>
      </w:pPr>
      <w:r>
        <w:rPr>
          <w:rFonts w:ascii="Times New Roman" w:hAnsi="Times New Roman"/>
          <w:sz w:val="20"/>
        </w:rPr>
        <w:t xml:space="preserve">Our headquarters are located at Dornierstraße 19, 82205 Gilching, Germany. We lease approximately 4,500 square meters (approximately 48,400 square feet) of office space including development and pre-production facilities. The lease has a term of ten years, expiring in 2029. We have the option to extend our lease for an additional ten years (two extension options, each for a five-year period). In 2020, we leased an additional facility in Oberpfaffenhofen, Germany, for production and warehouse space encompassing approximately 1,600 square meters (approximately 17,200 square feet). Our lease for this facility has a term of five years, expiring in 2025. We have the option to extend our lease for this facility for an additional five years. In preparation for future growth, we decided to further expand our facilities in 2023. To this end, we signed a lease agreement for a new location in Munich. Our lease for this facility has a term of ten years following handover (which is expected to begin in the second quarter of 2023 and may be completed in the third quarter of 2023). The new location offers approximately 11,000 square meters (approximately 120,000 square feet) of office space, production and development facilities. For purposes of adapting the facility to our needs, we will pay to the landlord an additional fee of €1.1 million following payment of the first month’s rent. </w:t>
      </w:r>
    </w:p>
    <w:p>
      <w:pPr>
        <w:pStyle w:val="TextBody"/>
        <w:spacing w:before="240" w:after="0"/>
        <w:jc w:val="both"/>
        <w:rPr>
          <w:rFonts w:ascii="Times New Roman" w:hAnsi="Times New Roman"/>
          <w:sz w:val="20"/>
        </w:rPr>
      </w:pPr>
      <w:r>
        <w:rPr>
          <w:rFonts w:ascii="Times New Roman" w:hAnsi="Times New Roman"/>
          <w:sz w:val="20"/>
        </w:rPr>
        <w:t xml:space="preserve">We also maintain offices in California and the Washington D.C. area. Our office in California is located at 13100 Yukon Ave Unit A, Hawthorne, CA 90250. Our lease for this office covers approximately 1,800 square meters (approximately 20,000 square feet) of office space, production and development facilities (such as our interoperability laboratory) and has a term of 66 months, expiring in 2027. Our Washington D.C. area office is located at Arlington Tower, 1300 North 17th Street, Arlington, Virginia 22209. Our lease for this office covers approximately 260 square meters (approximately 2,800 square feet) of office space and has a term of four years, expiring in 2025. We have the option to extend our lease for an additional three years.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Legal Proceedings </w:t>
      </w:r>
    </w:p>
    <w:p>
      <w:pPr>
        <w:pStyle w:val="TextBody"/>
        <w:spacing w:before="120" w:after="0"/>
        <w:jc w:val="both"/>
        <w:rPr>
          <w:rFonts w:ascii="Times New Roman" w:hAnsi="Times New Roman"/>
          <w:sz w:val="20"/>
        </w:rPr>
      </w:pPr>
      <w:r>
        <w:rPr>
          <w:rFonts w:ascii="Times New Roman" w:hAnsi="Times New Roman"/>
          <w:sz w:val="20"/>
        </w:rPr>
        <w:t xml:space="preserve">From time to time, we may be involved in various claims and government, legal or arbitration proceedings arising out of our operations, including ordinary course litigation with former employees. As of the date of this Annual Report, we are involved in the following proceedings: </w:t>
      </w:r>
    </w:p>
    <w:p>
      <w:pPr>
        <w:pStyle w:val="TextBody"/>
        <w:spacing w:before="120" w:after="0"/>
        <w:jc w:val="both"/>
        <w:rPr>
          <w:rFonts w:ascii="Times New Roman" w:hAnsi="Times New Roman"/>
          <w:sz w:val="20"/>
        </w:rPr>
      </w:pPr>
      <w:r>
        <w:rPr>
          <w:rFonts w:ascii="Times New Roman" w:hAnsi="Times New Roman"/>
          <w:sz w:val="20"/>
        </w:rPr>
        <w:t>In July 2020, the German Federal Ministry for Economic Affairs and Energy (</w:t>
      </w:r>
      <w:r>
        <w:rPr>
          <w:rFonts w:ascii="Times New Roman" w:hAnsi="Times New Roman"/>
          <w:i/>
          <w:sz w:val="20"/>
        </w:rPr>
        <w:t>Bundesministerium</w:t>
      </w:r>
      <w:r>
        <w:rPr>
          <w:rFonts w:ascii="Times New Roman" w:hAnsi="Times New Roman"/>
          <w:sz w:val="20"/>
        </w:rPr>
        <w:t xml:space="preserve"> </w:t>
      </w:r>
      <w:r>
        <w:rPr>
          <w:rFonts w:ascii="Times New Roman" w:hAnsi="Times New Roman"/>
          <w:i/>
          <w:sz w:val="20"/>
        </w:rPr>
        <w:t>für Wirtschaft</w:t>
      </w:r>
      <w:r>
        <w:rPr>
          <w:rFonts w:ascii="Times New Roman" w:hAnsi="Times New Roman"/>
          <w:sz w:val="20"/>
        </w:rPr>
        <w:t xml:space="preserve"> </w:t>
      </w:r>
      <w:r>
        <w:rPr>
          <w:rFonts w:ascii="Times New Roman" w:hAnsi="Times New Roman"/>
          <w:i/>
          <w:sz w:val="20"/>
        </w:rPr>
        <w:t>und Energie</w:t>
      </w:r>
      <w:r>
        <w:rPr>
          <w:rFonts w:ascii="Times New Roman" w:hAnsi="Times New Roman"/>
          <w:sz w:val="20"/>
        </w:rPr>
        <w:t>) prohibited the export of laser communication terminals for installation on LEO satellites to customers in China based on Section 6 in conjunction with Section 4 para. 1 of the German Foreign Trade and Payments Act (</w:t>
      </w:r>
      <w:r>
        <w:rPr>
          <w:rFonts w:ascii="Times New Roman" w:hAnsi="Times New Roman"/>
          <w:i/>
          <w:sz w:val="20"/>
        </w:rPr>
        <w:t>Außenwirtschaftsgesetz</w:t>
      </w:r>
      <w:r>
        <w:rPr>
          <w:rFonts w:ascii="Times New Roman" w:hAnsi="Times New Roman"/>
          <w:sz w:val="20"/>
        </w:rPr>
        <w:t xml:space="preserve">, “AWG”). The ban was issued on the grounds of essential security interests of the Federal Republic of Germany, in order to prevent a disturbance of the peaceful coexistence of nations and to prevent a substantial disturbance to the foreign relations of the Federal Republic of Germany (Section 4 para 1 no. 1, 2 and 3 AWG), as our laser communication terminals would have a potential use in the fields of military reconnaissance and communication. To comply with the ban, in 2020 we terminated all business relationships with customers in China. While we currently do not intend to pursue any business opportunities in China or with Chinese customers, we have challenged the export ban with a lawsuit before the Administrative Court of Berlin with a view to seeking compensation for losses we suffered as a result of the export ban. In a court hearing on October 26, 2022, our action was dismissed. </w:t>
      </w:r>
    </w:p>
    <w:p>
      <w:pPr>
        <w:pStyle w:val="TextBody"/>
        <w:spacing w:before="240" w:after="0"/>
        <w:jc w:val="both"/>
        <w:rPr>
          <w:rFonts w:ascii="Times New Roman" w:hAnsi="Times New Roman"/>
          <w:sz w:val="20"/>
        </w:rPr>
      </w:pPr>
      <w:r>
        <w:rPr>
          <w:rFonts w:ascii="Times New Roman" w:hAnsi="Times New Roman"/>
          <w:sz w:val="20"/>
        </w:rPr>
        <w:t>On February 17, 2020, the German Federal Financial Supervisory Authority (</w:t>
      </w:r>
      <w:r>
        <w:rPr>
          <w:rFonts w:ascii="Times New Roman" w:hAnsi="Times New Roman"/>
          <w:i/>
          <w:sz w:val="20"/>
        </w:rPr>
        <w:t>Bundesanstalt</w:t>
      </w:r>
      <w:r>
        <w:rPr>
          <w:rFonts w:ascii="Times New Roman" w:hAnsi="Times New Roman"/>
          <w:sz w:val="20"/>
        </w:rPr>
        <w:t xml:space="preserve"> </w:t>
      </w:r>
      <w:r>
        <w:rPr>
          <w:rFonts w:ascii="Times New Roman" w:hAnsi="Times New Roman"/>
          <w:i/>
          <w:sz w:val="20"/>
        </w:rPr>
        <w:t>für Finanzdienstleistungsaufsicht</w:t>
      </w:r>
      <w:r>
        <w:rPr>
          <w:rFonts w:ascii="Times New Roman" w:hAnsi="Times New Roman"/>
          <w:sz w:val="20"/>
        </w:rPr>
        <w:t>, “BaFin”) initiated an investigation against us on the grounds of the alleged omission of an ad hoc disclosure under the ad hoc disclosure obligation of Article 17 para. 1 MAR. On January 14, 2020, we had announced, by means of a press release published on our website, that we had entered into a new multi-million Euro contract with a space customer. During the ongoing investigation, BaFin argued that the conclusion of a contract of such dimensions would have fallen under the ad hoc disclosure obligation of Article 17 para. 1 MAR, and that the publication on our website did not satisfy this obligation. On March 16, 2020, as requested, we provided BaFin with additional information about the contract and the negotiations leading up to it as well as our explanation as to why we did not file an ad hoc disclosure in this case. On November 13, 2020, BaFin informed us that notwithstanding the additional information we provided, it still upholds its view of an existing infringement of the ad hoc disclosure obligation. BaFin has now entered the process of investigating the alleged omission of an ad hoc disclosure as an administrative offence (</w:t>
      </w:r>
      <w:r>
        <w:rPr>
          <w:rFonts w:ascii="Times New Roman" w:hAnsi="Times New Roman"/>
          <w:i/>
          <w:sz w:val="20"/>
        </w:rPr>
        <w:t>Ordnungswidrigkeit</w:t>
      </w:r>
      <w:r>
        <w:rPr>
          <w:rFonts w:ascii="Times New Roman" w:hAnsi="Times New Roman"/>
          <w:sz w:val="20"/>
        </w:rPr>
        <w:t xml:space="preserve">). On October 11, 2022, we received a further letter from BaFin, in which BaFin stated that based on its investigation and prior written responses provided by us, BaFin was of the preliminary view that we had at least objectively violated the ad hoc disclosure obligation of Article 17 para. 1 MAR. We submitted a further written response to the BaFin on November 16, 2022. On March 20, 2023, BaFin imposed an administrative fine amounting to €150,000 us in this matter. The administrative fine order is final and binding. </w:t>
      </w:r>
    </w:p>
    <w:p>
      <w:pPr>
        <w:pStyle w:val="TextBody"/>
        <w:spacing w:before="240" w:after="0"/>
        <w:jc w:val="both"/>
        <w:rPr>
          <w:rFonts w:ascii="Times New Roman" w:hAnsi="Times New Roman"/>
          <w:sz w:val="20"/>
        </w:rPr>
      </w:pPr>
      <w:r>
        <w:rPr>
          <w:rFonts w:ascii="Times New Roman" w:hAnsi="Times New Roman"/>
          <w:sz w:val="20"/>
        </w:rPr>
        <w:t xml:space="preserve">On August 17, 2021, we received a notification of a hearing from the BaFin, which initiated an investigation against us on the grounds of the alleged delay of an ad hoc disclosure under the ad hoc disclosure obligation of Article 17 para. 1 MAR relating to the capital increase in connection with an accelerated book building transaction in February 2020. We submitted a written response to the BaFin on September 17, 2021. By letter dated March 1, 2022, the BaFin informed us that it does not follow our argumentation but that it decided to refrain from pursuing the matter further for reasons of expediency. </w:t>
      </w:r>
    </w:p>
    <w:p>
      <w:pPr>
        <w:pStyle w:val="TextBody"/>
        <w:spacing w:before="240" w:after="0"/>
        <w:jc w:val="both"/>
        <w:rPr>
          <w:rFonts w:ascii="Times New Roman" w:hAnsi="Times New Roman"/>
          <w:sz w:val="20"/>
        </w:rPr>
      </w:pPr>
      <w:r>
        <w:rPr>
          <w:rFonts w:ascii="Times New Roman" w:hAnsi="Times New Roman"/>
          <w:sz w:val="20"/>
        </w:rPr>
        <w:t xml:space="preserve">On November 25, 2021, we received a notification of a hearing from the BaFin, which initiated an investigation against us on the grounds of the alleged delay of an ad hoc disclosure under the ad hoc disclosure obligation of Article 17 para. 1 MAR relating to the announcement of our initial public offering in the U.S., which was published in April 2021. We submitted a written response to the BaFin on January 10, 2022. By letter dated April 20, 2023, BaFin informed us that they will no longer pursue this matter. </w:t>
      </w:r>
    </w:p>
    <w:p>
      <w:pPr>
        <w:pStyle w:val="TextBody"/>
        <w:spacing w:before="240" w:after="0"/>
        <w:jc w:val="both"/>
        <w:rPr>
          <w:rFonts w:ascii="Times New Roman" w:hAnsi="Times New Roman"/>
          <w:sz w:val="20"/>
        </w:rPr>
      </w:pPr>
      <w:r>
        <w:rPr>
          <w:rFonts w:ascii="Times New Roman" w:hAnsi="Times New Roman"/>
          <w:sz w:val="20"/>
        </w:rPr>
        <w:t xml:space="preserve">In 2020, Airborne Wireless Network (“ABWN”), a former customer, filed a complaint in the Superior Court of the State of California against Mynaric Lasercom GmbH under a contract relating to the delivery of two prototype versions of laser terminals for airborne applications. In its complaint, ABWN alleged breach of contract due to alleged quality issues with respect to the two terminals delivered by us in 2018 and sought damages in an unspecified amount. The terminals were accidentally damaged in the course of delivery and we repaired one terminal and replaced the second terminal with a new one. On April 20, 2021, we participated in settlement negotiations with ABWN, which did not result in any resolution. Court proceedings were scheduled to begin in March 2022. On March 8, 2022, the competent court granted our motion for summary judgment against ABWN. On March 28, 2022, the court ordered that judgment shall be entered in our favor and dismissed ABWN’s claim with prejudice.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Furthermore, we are currently subject to a German wage tax audit (</w:t>
      </w:r>
      <w:r>
        <w:rPr>
          <w:rFonts w:ascii="Times New Roman" w:hAnsi="Times New Roman"/>
          <w:i/>
          <w:sz w:val="20"/>
        </w:rPr>
        <w:t>Lohnsteuerprüfung</w:t>
      </w:r>
      <w:r>
        <w:rPr>
          <w:rFonts w:ascii="Times New Roman" w:hAnsi="Times New Roman"/>
          <w:sz w:val="20"/>
        </w:rPr>
        <w:t xml:space="preserve">) for the years 2017 to August 2021, in particular with respect to the compensation of a former member of our management board. We believe that the ultimate outcome of this audit will not have a material adverse effect on our financial position, cash flows or overall trends in results of operations. The maximum potential total tax liability related to these matters is estimated to be approximately €240 thousand, plus interest and penalties. </w:t>
      </w:r>
    </w:p>
    <w:p>
      <w:pPr>
        <w:pStyle w:val="TextBody"/>
        <w:spacing w:before="240" w:after="0"/>
        <w:jc w:val="both"/>
        <w:rPr>
          <w:rFonts w:ascii="Times New Roman" w:hAnsi="Times New Roman"/>
          <w:sz w:val="20"/>
        </w:rPr>
      </w:pPr>
      <w:r>
        <w:rPr>
          <w:rFonts w:ascii="Times New Roman" w:hAnsi="Times New Roman"/>
          <w:sz w:val="20"/>
        </w:rPr>
        <w:t xml:space="preserve">Apart from the proceedings described above, we are not and have not been party to any government, legal or arbitration proceedings (including any such proceedings which are pending or threatened of which we are aware) during the past twelve months, which may have, or have had in the recent past, significant effects on our financial position or profitability. </w:t>
      </w:r>
    </w:p>
    <w:p>
      <w:pPr>
        <w:pStyle w:val="TextBody"/>
        <w:spacing w:before="360" w:after="0"/>
        <w:jc w:val="left"/>
        <w:rPr>
          <w:rFonts w:ascii="Times New Roman" w:hAnsi="Times New Roman"/>
          <w:b/>
          <w:sz w:val="20"/>
        </w:rPr>
      </w:pPr>
      <w:r>
        <w:rPr>
          <w:rFonts w:ascii="Times New Roman" w:hAnsi="Times New Roman"/>
          <w:b/>
          <w:sz w:val="20"/>
        </w:rPr>
        <w:t xml:space="preserve">Regulatory Environment </w:t>
      </w:r>
    </w:p>
    <w:p>
      <w:pPr>
        <w:pStyle w:val="TextBody"/>
        <w:spacing w:before="120" w:after="0"/>
        <w:jc w:val="left"/>
        <w:rPr>
          <w:rFonts w:ascii="Times New Roman" w:hAnsi="Times New Roman"/>
          <w:b/>
          <w:i/>
          <w:sz w:val="20"/>
        </w:rPr>
      </w:pPr>
      <w:r>
        <w:rPr>
          <w:rFonts w:ascii="Times New Roman" w:hAnsi="Times New Roman"/>
          <w:b/>
          <w:i/>
          <w:sz w:val="20"/>
        </w:rPr>
        <w:t xml:space="preserve">Overview </w:t>
      </w:r>
    </w:p>
    <w:p>
      <w:pPr>
        <w:pStyle w:val="TextBody"/>
        <w:spacing w:before="120" w:after="0"/>
        <w:jc w:val="both"/>
        <w:rPr>
          <w:rFonts w:ascii="Times New Roman" w:hAnsi="Times New Roman"/>
          <w:sz w:val="20"/>
        </w:rPr>
      </w:pPr>
      <w:r>
        <w:rPr>
          <w:rFonts w:ascii="Times New Roman" w:hAnsi="Times New Roman"/>
          <w:sz w:val="20"/>
        </w:rPr>
        <w:t xml:space="preserve">We are subject to a wide variety of laws and regulations relating to various aspects of our business, including with respect to our technology and products, employment and labor, health care, tax, privacy and data security, health and safety, and environmental issues. Laws and regulations at the non-U.S. and U.S. federal, state and local levels frequently change, especially in relation to new and emerging industries, and we cannot always reasonably predict the impact from, or the ultimate cost of compliance with, current or future regulatory or administrative changes. For example, as of the date of this Annual Report, laser communication is not regulated by the United Nations’ International Telecommunication Union and can, thus, be used without restrictions such as license requirements. There is, however, no guarantee that relevant laws, rules and regulations remain unchanged and will not become more comprehensive and stringent in the future. If we fail to comply with any applicable laws, rules, or regulations, we may be subject to civil liability, administrative orders, fines or even criminal sanctions. See “Item 3. Key Information—D. Risk Factors—Regulatory, Legal and Tax Risks.” </w:t>
      </w:r>
    </w:p>
    <w:p>
      <w:pPr>
        <w:pStyle w:val="TextBody"/>
        <w:spacing w:before="240" w:after="0"/>
        <w:jc w:val="both"/>
        <w:rPr>
          <w:rFonts w:ascii="Times New Roman" w:hAnsi="Times New Roman"/>
          <w:sz w:val="20"/>
        </w:rPr>
      </w:pPr>
      <w:r>
        <w:rPr>
          <w:rFonts w:ascii="Times New Roman" w:hAnsi="Times New Roman"/>
          <w:sz w:val="20"/>
        </w:rPr>
        <w:t xml:space="preserve">The following provides a brief overview of certain selected areas of laws and regulations applicable to our business operations. </w:t>
      </w:r>
    </w:p>
    <w:p>
      <w:pPr>
        <w:pStyle w:val="TextBody"/>
        <w:spacing w:before="360" w:after="0"/>
        <w:jc w:val="left"/>
        <w:rPr>
          <w:rFonts w:ascii="Times New Roman" w:hAnsi="Times New Roman"/>
          <w:b/>
          <w:i/>
          <w:sz w:val="20"/>
        </w:rPr>
      </w:pPr>
      <w:r>
        <w:rPr>
          <w:rFonts w:ascii="Times New Roman" w:hAnsi="Times New Roman"/>
          <w:b/>
          <w:i/>
          <w:sz w:val="20"/>
        </w:rPr>
        <w:t xml:space="preserve">Laser Safety Provisions </w:t>
      </w:r>
    </w:p>
    <w:p>
      <w:pPr>
        <w:pStyle w:val="TextBody"/>
        <w:spacing w:before="120" w:after="0"/>
        <w:jc w:val="both"/>
        <w:rPr>
          <w:rFonts w:ascii="Times New Roman" w:hAnsi="Times New Roman"/>
          <w:sz w:val="20"/>
        </w:rPr>
      </w:pPr>
      <w:r>
        <w:rPr>
          <w:rFonts w:ascii="Times New Roman" w:hAnsi="Times New Roman"/>
          <w:sz w:val="20"/>
        </w:rPr>
        <w:t>We develop and test our technology and products in our headquarters in Gilching, Germany, and are currently ramping up serial production of our products in our production facility in Oberpfaffenhofen, Germany. In developing and manufacturing our products, we must comply with applicable German and European Union laws and regulations on laser safety requirements. For example, Directive 2006/25/EC of the European Parliament and of the Council of 5 April 2006 (as amended) sets forth minimum requirements for the protection of workers from risks to their health and safety arising or likely to arise from exposure to artificial optical radiation (including laser radiation) during their work in the European Union. In Germany, this directive was implemented by the Regulation for Employee Protection Against Artificial Optical Radiation Risks (</w:t>
      </w:r>
      <w:r>
        <w:rPr>
          <w:rFonts w:ascii="Times New Roman" w:hAnsi="Times New Roman"/>
          <w:i/>
          <w:sz w:val="20"/>
        </w:rPr>
        <w:t>Verordnung zum Schutz der Beschäftigten vor Gefährdungen durch künstliche optische Strahlung</w:t>
      </w:r>
      <w:r>
        <w:rPr>
          <w:rFonts w:ascii="Times New Roman" w:hAnsi="Times New Roman"/>
          <w:sz w:val="20"/>
        </w:rPr>
        <w:t>) and the Regulation on Preventive Occupational Medicine (</w:t>
      </w:r>
      <w:r>
        <w:rPr>
          <w:rFonts w:ascii="Times New Roman" w:hAnsi="Times New Roman"/>
          <w:i/>
          <w:sz w:val="20"/>
        </w:rPr>
        <w:t>Verordnung zur arbeitsmedizinischen Vorsorge</w:t>
      </w:r>
      <w:r>
        <w:rPr>
          <w:rFonts w:ascii="Times New Roman" w:hAnsi="Times New Roman"/>
          <w:sz w:val="20"/>
        </w:rPr>
        <w:t>). Among other things, these regulations provide for technical rules related to the assessment of laser radiation risks for employees, measurements and calculations related to laser radiation exposure, and risk protection measures that include the appointment of a laser safety officer (</w:t>
      </w:r>
      <w:r>
        <w:rPr>
          <w:rFonts w:ascii="Times New Roman" w:hAnsi="Times New Roman"/>
          <w:i/>
          <w:sz w:val="20"/>
        </w:rPr>
        <w:t>Laserschutzbeauftragter</w:t>
      </w:r>
      <w:r>
        <w:rPr>
          <w:rFonts w:ascii="Times New Roman" w:hAnsi="Times New Roman"/>
          <w:sz w:val="20"/>
        </w:rPr>
        <w:t xml:space="preserve">) and the use of laser protective glasses and screens. </w:t>
      </w:r>
    </w:p>
    <w:p>
      <w:pPr>
        <w:pStyle w:val="TextBody"/>
        <w:spacing w:before="240" w:after="0"/>
        <w:jc w:val="both"/>
        <w:rPr>
          <w:rFonts w:ascii="Times New Roman" w:hAnsi="Times New Roman"/>
          <w:sz w:val="20"/>
        </w:rPr>
      </w:pPr>
      <w:r>
        <w:rPr>
          <w:rFonts w:ascii="Times New Roman" w:hAnsi="Times New Roman"/>
          <w:sz w:val="20"/>
        </w:rPr>
        <w:t xml:space="preserve">In addition, the U.S. Food and Drug Administration (“FDA”) has issued performance standards (see 21 CFR 1040) regulating light-emitting electronic products, including all types of laser products. Laser products are defined as any manufactured product or assemblage of components which constitutes, incorporates, or is intended to incorporate a laser or laser system. A laser or laser system that is intended for use as a component of an electronic product shall itself be considered a laser product (see 21 CFR 1040.10(b)(21)). Prior to introducing a product in the United States, we provide notice to the FDA, in the form of a safety report, which provides identification information and operating characteristics of the product to demonstrate compliance with the respective U.S. safety level. Our CONDOR and HAWK laser terminals are both categorized as laser class IV. If the FDA finds that the report is complete, it provides us approval in the form of what is known as an accession number. We may not market a product until we have received an accession number. In addition, we submit an annual report to the FDA that includes, among other things, the radiation safety history of all products we sell in the United States. We have provided the FDA with all relevant documentation and obtained the necessary accession number for both of our laser terminals.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Regulation of Production Facilities and Storage Sites </w:t>
      </w:r>
    </w:p>
    <w:p>
      <w:pPr>
        <w:pStyle w:val="TextBody"/>
        <w:spacing w:before="120" w:after="0"/>
        <w:jc w:val="left"/>
        <w:rPr>
          <w:rFonts w:ascii="Times New Roman" w:hAnsi="Times New Roman"/>
          <w:i/>
          <w:sz w:val="20"/>
        </w:rPr>
      </w:pPr>
      <w:r>
        <w:rPr>
          <w:rFonts w:ascii="Times New Roman" w:hAnsi="Times New Roman"/>
          <w:i/>
          <w:sz w:val="20"/>
        </w:rPr>
        <w:t xml:space="preserve">Emissions </w:t>
      </w:r>
    </w:p>
    <w:p>
      <w:pPr>
        <w:pStyle w:val="TextBody"/>
        <w:spacing w:before="120" w:after="0"/>
        <w:jc w:val="both"/>
        <w:rPr>
          <w:rFonts w:ascii="Times New Roman" w:hAnsi="Times New Roman"/>
          <w:sz w:val="20"/>
        </w:rPr>
      </w:pPr>
      <w:r>
        <w:rPr>
          <w:rFonts w:ascii="Times New Roman" w:hAnsi="Times New Roman"/>
          <w:sz w:val="20"/>
        </w:rPr>
        <w:t xml:space="preserve">Specific laws and regulations govern the emission of air pollutants, such as noise, odors, and vibrations. Typically, the operation of industrial facilities is subject to governmental approval and operators of such facilities are required to prevent any form of impermissible emissions. Operators of facilities are required to maintain all installations in compliance with the respective governmental approval in terms of the reduction of certain emissions and the implementation of safety measures. In some cases, continuous improvement or retrofitting of installations to maintain facilities at state-of-the art safety level standards may be required. Compliance with these requirements is monitored by local authorities, and operators may be required to submit emission reports on a regular basis. Noncompliance with maximum emission levels or other requirements imposed by the relevant authority may result in administrative fines, subsequent orders or, in severe cases, the withdrawal of the approval by the relevant authority. </w:t>
      </w:r>
    </w:p>
    <w:p>
      <w:pPr>
        <w:pStyle w:val="TextBody"/>
        <w:spacing w:before="360" w:after="0"/>
        <w:jc w:val="left"/>
        <w:rPr>
          <w:rFonts w:ascii="Times New Roman" w:hAnsi="Times New Roman"/>
          <w:i/>
          <w:sz w:val="20"/>
        </w:rPr>
      </w:pPr>
      <w:r>
        <w:rPr>
          <w:rFonts w:ascii="Times New Roman" w:hAnsi="Times New Roman"/>
          <w:i/>
          <w:sz w:val="20"/>
        </w:rPr>
        <w:t xml:space="preserve">Regulation of Hazardous Incidents </w:t>
      </w:r>
    </w:p>
    <w:p>
      <w:pPr>
        <w:pStyle w:val="TextBody"/>
        <w:spacing w:before="120" w:after="0"/>
        <w:jc w:val="both"/>
        <w:rPr>
          <w:rFonts w:ascii="Times New Roman" w:hAnsi="Times New Roman"/>
          <w:sz w:val="20"/>
        </w:rPr>
      </w:pPr>
      <w:r>
        <w:rPr>
          <w:rFonts w:ascii="Times New Roman" w:hAnsi="Times New Roman"/>
          <w:sz w:val="20"/>
        </w:rPr>
        <w:t xml:space="preserve">Operators of facilities storing large quantities of hazardous goods, which include, among other things, certain glues, lubricants, varnishes, and nitrogen, are required to comply with safety standards set forth in Directive 2012/18/EU of the European Parliament and of the Council of 4 July 2012 on the control of major-accident hazards involving dangerous substances (the “Seveso III Directive”) and the respective national implementing laws. As the former Council Directive 96/82/EC of 9 December 1996 on the control of major-accident hazards involving dangerous substances, the provisions of the Seveso III Directive are designed to prevent major accidents involving dangerous substances, such as emissions, fires, and larger explosions and to limit detrimental consequences in the event of an accident. The degree of additional safety requirements depends on various categories as well as the amount of hazardous substances stored in the relevant facility. </w:t>
      </w:r>
    </w:p>
    <w:p>
      <w:pPr>
        <w:pStyle w:val="TextBody"/>
        <w:spacing w:before="240" w:after="0"/>
        <w:jc w:val="both"/>
        <w:rPr>
          <w:rFonts w:ascii="Times New Roman" w:hAnsi="Times New Roman"/>
          <w:sz w:val="20"/>
        </w:rPr>
      </w:pPr>
      <w:r>
        <w:rPr>
          <w:rFonts w:ascii="Times New Roman" w:hAnsi="Times New Roman"/>
          <w:sz w:val="20"/>
        </w:rPr>
        <w:t>In Germany, the Seveso III Directive was implemented on December 7, 2016, with the Seveso III Transposition Act (</w:t>
      </w:r>
      <w:r>
        <w:rPr>
          <w:rFonts w:ascii="Times New Roman" w:hAnsi="Times New Roman"/>
          <w:i/>
          <w:sz w:val="20"/>
        </w:rPr>
        <w:t>Seveso III Umsetzungsgesetz</w:t>
      </w:r>
      <w:r>
        <w:rPr>
          <w:rFonts w:ascii="Times New Roman" w:hAnsi="Times New Roman"/>
          <w:sz w:val="20"/>
        </w:rPr>
        <w:t>) which includes, among others, the amendment of certain provisions of the German Federal Immission Control Act (</w:t>
      </w:r>
      <w:r>
        <w:rPr>
          <w:rFonts w:ascii="Times New Roman" w:hAnsi="Times New Roman"/>
          <w:i/>
          <w:sz w:val="20"/>
        </w:rPr>
        <w:t>Bundesimmissionsschutzgesetz</w:t>
      </w:r>
      <w:r>
        <w:rPr>
          <w:rFonts w:ascii="Times New Roman" w:hAnsi="Times New Roman"/>
          <w:sz w:val="20"/>
        </w:rPr>
        <w:t>), the Environmental Impact Assessment Act (</w:t>
      </w:r>
      <w:r>
        <w:rPr>
          <w:rFonts w:ascii="Times New Roman" w:hAnsi="Times New Roman"/>
          <w:i/>
          <w:sz w:val="20"/>
        </w:rPr>
        <w:t>Umweltvertäglichkeitsprüfungsgesetz</w:t>
      </w:r>
      <w:r>
        <w:rPr>
          <w:rFonts w:ascii="Times New Roman" w:hAnsi="Times New Roman"/>
          <w:sz w:val="20"/>
        </w:rPr>
        <w:t>), and the Environmental Legal Remedies Act (</w:t>
      </w:r>
      <w:r>
        <w:rPr>
          <w:rFonts w:ascii="Times New Roman" w:hAnsi="Times New Roman"/>
          <w:i/>
          <w:sz w:val="20"/>
        </w:rPr>
        <w:t>Umweltrechtsbehelfgesetz</w:t>
      </w:r>
      <w:r>
        <w:rPr>
          <w:rFonts w:ascii="Times New Roman" w:hAnsi="Times New Roman"/>
          <w:sz w:val="20"/>
        </w:rPr>
        <w:t xml:space="preserve">). Additional legislative changes came into force on January 14, 2017 with the amendment of the twelfth ordinance under the German Federal Emissions Control Act (the so-called German Hazardous Incidents Ordinance, </w:t>
      </w:r>
      <w:r>
        <w:rPr>
          <w:rFonts w:ascii="Times New Roman" w:hAnsi="Times New Roman"/>
          <w:i/>
          <w:sz w:val="20"/>
        </w:rPr>
        <w:t>Störfall-Verordnung</w:t>
      </w:r>
      <w:r>
        <w:rPr>
          <w:rFonts w:ascii="Times New Roman" w:hAnsi="Times New Roman"/>
          <w:sz w:val="20"/>
        </w:rPr>
        <w:t xml:space="preserve">). </w:t>
      </w:r>
    </w:p>
    <w:p>
      <w:pPr>
        <w:pStyle w:val="TextBody"/>
        <w:spacing w:before="360" w:after="0"/>
        <w:jc w:val="left"/>
        <w:rPr>
          <w:rFonts w:ascii="Times New Roman" w:hAnsi="Times New Roman"/>
          <w:i/>
          <w:sz w:val="20"/>
        </w:rPr>
      </w:pPr>
      <w:r>
        <w:rPr>
          <w:rFonts w:ascii="Times New Roman" w:hAnsi="Times New Roman"/>
          <w:i/>
          <w:sz w:val="20"/>
        </w:rPr>
        <w:t xml:space="preserve">Production, Possession, and Handling of Waste </w:t>
      </w:r>
    </w:p>
    <w:p>
      <w:pPr>
        <w:pStyle w:val="TextBody"/>
        <w:spacing w:before="120" w:after="0"/>
        <w:jc w:val="both"/>
        <w:rPr>
          <w:rFonts w:ascii="Times New Roman" w:hAnsi="Times New Roman"/>
          <w:sz w:val="20"/>
        </w:rPr>
      </w:pPr>
      <w:r>
        <w:rPr>
          <w:rFonts w:ascii="Times New Roman" w:hAnsi="Times New Roman"/>
          <w:sz w:val="20"/>
        </w:rPr>
        <w:t>During our manufacturing process we generate different kinds of waste, including industrial waste. Applicable waste laws generally require us to reduce and/or avoid waste and to dispose of the different types of waste in a manner consistent with its properties so it does not endanger human health or harm the environment. In the European Union, Directive 2008/98/EC of the European Parliament and of the Council of November 19, 2008 on waste (as amended) (Waste Framework Directive) requires European Union member states to take appropriate measures in this regard. In Germany, the Waste Management Act (</w:t>
      </w:r>
      <w:r>
        <w:rPr>
          <w:rFonts w:ascii="Times New Roman" w:hAnsi="Times New Roman"/>
          <w:i/>
          <w:sz w:val="20"/>
        </w:rPr>
        <w:t>Kreislaufwirtschaftsgesetz</w:t>
      </w:r>
      <w:r>
        <w:rPr>
          <w:rFonts w:ascii="Times New Roman" w:hAnsi="Times New Roman"/>
          <w:sz w:val="20"/>
        </w:rPr>
        <w:t>) transports these European Union requirements into national law. Under the Waste Management Act, generators, owners, collectors, and transporters of waste have to demonstrate to the competent authority and to other parties that they have properly disposed of hazardous waste (</w:t>
      </w:r>
      <w:r>
        <w:rPr>
          <w:rFonts w:ascii="Times New Roman" w:hAnsi="Times New Roman"/>
          <w:i/>
          <w:sz w:val="20"/>
        </w:rPr>
        <w:t>gefährliche Abfälle</w:t>
      </w:r>
      <w:r>
        <w:rPr>
          <w:rFonts w:ascii="Times New Roman" w:hAnsi="Times New Roman"/>
          <w:sz w:val="20"/>
        </w:rPr>
        <w:t>) by waste disposal (</w:t>
      </w:r>
      <w:r>
        <w:rPr>
          <w:rFonts w:ascii="Times New Roman" w:hAnsi="Times New Roman"/>
          <w:i/>
          <w:sz w:val="20"/>
        </w:rPr>
        <w:t>Entsorgungsnachweis</w:t>
      </w:r>
      <w:r>
        <w:rPr>
          <w:rFonts w:ascii="Times New Roman" w:hAnsi="Times New Roman"/>
          <w:sz w:val="20"/>
        </w:rPr>
        <w:t xml:space="preserve">). Besides, the Waste Management Act contains regulations on, among other factors, permissible methods of, and responsibility for, the generation, handling, possession, and discharge as well as recycling methods of waste depending on the danger posed by the waste. </w:t>
      </w:r>
    </w:p>
    <w:p>
      <w:pPr>
        <w:pStyle w:val="TextBody"/>
        <w:spacing w:before="360" w:after="0"/>
        <w:jc w:val="left"/>
        <w:rPr>
          <w:rFonts w:ascii="Times New Roman" w:hAnsi="Times New Roman"/>
          <w:i/>
          <w:sz w:val="20"/>
        </w:rPr>
      </w:pPr>
      <w:r>
        <w:rPr>
          <w:rFonts w:ascii="Times New Roman" w:hAnsi="Times New Roman"/>
          <w:i/>
          <w:sz w:val="20"/>
        </w:rPr>
        <w:t xml:space="preserve">German Act on Environmental Liability </w:t>
      </w:r>
    </w:p>
    <w:p>
      <w:pPr>
        <w:pStyle w:val="TextBody"/>
        <w:spacing w:before="120" w:after="0"/>
        <w:jc w:val="both"/>
        <w:rPr>
          <w:rFonts w:ascii="Times New Roman" w:hAnsi="Times New Roman"/>
          <w:sz w:val="20"/>
        </w:rPr>
      </w:pPr>
      <w:r>
        <w:rPr>
          <w:rFonts w:ascii="Times New Roman" w:hAnsi="Times New Roman"/>
          <w:sz w:val="20"/>
        </w:rPr>
        <w:t>If damage is caused to persons or property by one of our facilities, we may be held strictly liable under the German Environmental Liability Act (</w:t>
      </w:r>
      <w:r>
        <w:rPr>
          <w:rFonts w:ascii="Times New Roman" w:hAnsi="Times New Roman"/>
          <w:i/>
          <w:sz w:val="20"/>
        </w:rPr>
        <w:t>Umwelthaftungsgesetz</w:t>
      </w:r>
      <w:r>
        <w:rPr>
          <w:rFonts w:ascii="Times New Roman" w:hAnsi="Times New Roman"/>
          <w:sz w:val="20"/>
        </w:rPr>
        <w:t>). Liability under the Environmental Liability Act may arise for damages caused by substances or gases that spread through soil, air, or water. Under the statute, there is a presumption that any damage has been caused by a facility if the facility is generally capable of causing such damage. Should any of our facilities be subject to the German Hazardous Incidents Ordinance (</w:t>
      </w:r>
      <w:r>
        <w:rPr>
          <w:rFonts w:ascii="Times New Roman" w:hAnsi="Times New Roman"/>
          <w:i/>
          <w:sz w:val="20"/>
        </w:rPr>
        <w:t>Störfall-Verordnung</w:t>
      </w:r>
      <w:r>
        <w:rPr>
          <w:rFonts w:ascii="Times New Roman" w:hAnsi="Times New Roman"/>
          <w:sz w:val="20"/>
        </w:rPr>
        <w:t>) in the future, we may be required to provide financial security (</w:t>
      </w:r>
      <w:r>
        <w:rPr>
          <w:rFonts w:ascii="Times New Roman" w:hAnsi="Times New Roman"/>
          <w:i/>
          <w:sz w:val="20"/>
        </w:rPr>
        <w:t>Deckungsvorsorge</w:t>
      </w:r>
      <w:r>
        <w:rPr>
          <w:rFonts w:ascii="Times New Roman" w:hAnsi="Times New Roman"/>
          <w:sz w:val="20"/>
        </w:rPr>
        <w:t xml:space="preserve">) for environmental damages.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German Occupational Health and Safety Requirements </w:t>
      </w:r>
    </w:p>
    <w:p>
      <w:pPr>
        <w:pStyle w:val="TextBody"/>
        <w:spacing w:before="120" w:after="0"/>
        <w:jc w:val="both"/>
        <w:rPr>
          <w:rFonts w:ascii="Times New Roman" w:hAnsi="Times New Roman"/>
          <w:sz w:val="20"/>
        </w:rPr>
      </w:pPr>
      <w:r>
        <w:rPr>
          <w:rFonts w:ascii="Times New Roman" w:hAnsi="Times New Roman"/>
          <w:sz w:val="20"/>
        </w:rPr>
        <w:t>In Germany, general health and safety requirements for employees are laid down by the Working Conditions Act (</w:t>
      </w:r>
      <w:r>
        <w:rPr>
          <w:rFonts w:ascii="Times New Roman" w:hAnsi="Times New Roman"/>
          <w:i/>
          <w:sz w:val="20"/>
        </w:rPr>
        <w:t>Arbeitsschutzgesetz</w:t>
      </w:r>
      <w:r>
        <w:rPr>
          <w:rFonts w:ascii="Times New Roman" w:hAnsi="Times New Roman"/>
          <w:sz w:val="20"/>
        </w:rPr>
        <w:t>), the Occupational Safety Act (</w:t>
      </w:r>
      <w:r>
        <w:rPr>
          <w:rFonts w:ascii="Times New Roman" w:hAnsi="Times New Roman"/>
          <w:i/>
          <w:sz w:val="20"/>
        </w:rPr>
        <w:t>Arbeitssicherheitsgesetz</w:t>
      </w:r>
      <w:r>
        <w:rPr>
          <w:rFonts w:ascii="Times New Roman" w:hAnsi="Times New Roman"/>
          <w:sz w:val="20"/>
        </w:rPr>
        <w:t>) and the Ordinance on Industrial Safety (</w:t>
      </w:r>
      <w:r>
        <w:rPr>
          <w:rFonts w:ascii="Times New Roman" w:hAnsi="Times New Roman"/>
          <w:i/>
          <w:sz w:val="20"/>
        </w:rPr>
        <w:t>Betriebssicherheitsverordnung</w:t>
      </w:r>
      <w:r>
        <w:rPr>
          <w:rFonts w:ascii="Times New Roman" w:hAnsi="Times New Roman"/>
          <w:sz w:val="20"/>
        </w:rPr>
        <w:t>). For the provision and use of working equipment, the Product Safety Act (</w:t>
      </w:r>
      <w:r>
        <w:rPr>
          <w:rFonts w:ascii="Times New Roman" w:hAnsi="Times New Roman"/>
          <w:i/>
          <w:sz w:val="20"/>
        </w:rPr>
        <w:t>Produktsicherheitsgesetz</w:t>
      </w:r>
      <w:r>
        <w:rPr>
          <w:rFonts w:ascii="Times New Roman" w:hAnsi="Times New Roman"/>
          <w:sz w:val="20"/>
        </w:rPr>
        <w:t>) applies, along with the Ordinance on Health and Safety at Work (</w:t>
      </w:r>
      <w:r>
        <w:rPr>
          <w:rFonts w:ascii="Times New Roman" w:hAnsi="Times New Roman"/>
          <w:i/>
          <w:sz w:val="20"/>
        </w:rPr>
        <w:t>Arbeitsstättenverordnung</w:t>
      </w:r>
      <w:r>
        <w:rPr>
          <w:rFonts w:ascii="Times New Roman" w:hAnsi="Times New Roman"/>
          <w:sz w:val="20"/>
        </w:rPr>
        <w:t>). As regards exposure to hazardous substances, the Ordinance on Hazardous Substances (</w:t>
      </w:r>
      <w:r>
        <w:rPr>
          <w:rFonts w:ascii="Times New Roman" w:hAnsi="Times New Roman"/>
          <w:i/>
          <w:sz w:val="20"/>
        </w:rPr>
        <w:t>Gefahrstoffverordnung</w:t>
      </w:r>
      <w:r>
        <w:rPr>
          <w:rFonts w:ascii="Times New Roman" w:hAnsi="Times New Roman"/>
          <w:sz w:val="20"/>
        </w:rPr>
        <w:t>) and the Technical Rules for Hazardous Substances 900 (</w:t>
      </w:r>
      <w:r>
        <w:rPr>
          <w:rFonts w:ascii="Times New Roman" w:hAnsi="Times New Roman"/>
          <w:i/>
          <w:sz w:val="20"/>
        </w:rPr>
        <w:t>Technische Regel für Gefahrstoffe 900</w:t>
      </w:r>
      <w:r>
        <w:rPr>
          <w:rFonts w:ascii="Times New Roman" w:hAnsi="Times New Roman"/>
          <w:sz w:val="20"/>
        </w:rPr>
        <w:t>) set out limits for workplaces. All these requirements are further specified by German trade associations (</w:t>
      </w:r>
      <w:r>
        <w:rPr>
          <w:rFonts w:ascii="Times New Roman" w:hAnsi="Times New Roman"/>
          <w:i/>
          <w:sz w:val="20"/>
        </w:rPr>
        <w:t>Berufsgenossenschaften</w:t>
      </w:r>
      <w:r>
        <w:rPr>
          <w:rFonts w:ascii="Times New Roman" w:hAnsi="Times New Roman"/>
          <w:sz w:val="20"/>
        </w:rPr>
        <w:t>) in their accident prevention regulations (</w:t>
      </w:r>
      <w:r>
        <w:rPr>
          <w:rFonts w:ascii="Times New Roman" w:hAnsi="Times New Roman"/>
          <w:i/>
          <w:sz w:val="20"/>
        </w:rPr>
        <w:t>Unfallverhütungsvorschriften</w:t>
      </w:r>
      <w:r>
        <w:rPr>
          <w:rFonts w:ascii="Times New Roman" w:hAnsi="Times New Roman"/>
          <w:sz w:val="20"/>
        </w:rPr>
        <w:t xml:space="preserve">), which also address specific health and safety risks of our business. </w:t>
      </w:r>
    </w:p>
    <w:p>
      <w:pPr>
        <w:pStyle w:val="TextBody"/>
        <w:spacing w:before="240" w:after="0"/>
        <w:jc w:val="both"/>
        <w:rPr>
          <w:rFonts w:ascii="Times New Roman" w:hAnsi="Times New Roman"/>
          <w:sz w:val="20"/>
        </w:rPr>
      </w:pPr>
      <w:r>
        <w:rPr>
          <w:rFonts w:ascii="Times New Roman" w:hAnsi="Times New Roman"/>
          <w:sz w:val="20"/>
        </w:rPr>
        <w:t xml:space="preserve">Compliance with employment safety regulations is subject to regulatory supervision. The law enforcement authorities are provided with wide-ranging enforcement powers including the right to enter a company’s premises, to search for documents, and to examine work and personal health equipment. They are also authorized to impose fines. </w:t>
      </w:r>
    </w:p>
    <w:p>
      <w:pPr>
        <w:pStyle w:val="TextBody"/>
        <w:spacing w:before="360" w:after="0"/>
        <w:jc w:val="left"/>
        <w:rPr>
          <w:rFonts w:ascii="Times New Roman" w:hAnsi="Times New Roman"/>
          <w:b/>
          <w:i/>
          <w:sz w:val="20"/>
        </w:rPr>
      </w:pPr>
      <w:r>
        <w:rPr>
          <w:rFonts w:ascii="Times New Roman" w:hAnsi="Times New Roman"/>
          <w:b/>
          <w:i/>
          <w:sz w:val="20"/>
        </w:rPr>
        <w:t xml:space="preserve">Export Control Regime </w:t>
      </w:r>
    </w:p>
    <w:p>
      <w:pPr>
        <w:pStyle w:val="TextBody"/>
        <w:spacing w:before="120" w:after="0"/>
        <w:jc w:val="both"/>
        <w:rPr>
          <w:rFonts w:ascii="Times New Roman" w:hAnsi="Times New Roman"/>
          <w:sz w:val="20"/>
        </w:rPr>
      </w:pPr>
      <w:r>
        <w:rPr>
          <w:rFonts w:ascii="Times New Roman" w:hAnsi="Times New Roman"/>
          <w:sz w:val="20"/>
        </w:rPr>
        <w:t xml:space="preserve">European Union, German and U.S. export control laws restrict the export of products, services, and technologies designed for non-military purposes, but which are utilized in military applications or can contribute to the proliferation of weapons of mass destruction (“Dual-Use Items”). Some of our products qualify as Dual-Use Items. </w:t>
      </w:r>
    </w:p>
    <w:p>
      <w:pPr>
        <w:pStyle w:val="TextBody"/>
        <w:spacing w:before="360" w:after="0"/>
        <w:jc w:val="left"/>
        <w:rPr>
          <w:rFonts w:ascii="Times New Roman" w:hAnsi="Times New Roman"/>
          <w:i/>
          <w:sz w:val="20"/>
        </w:rPr>
      </w:pPr>
      <w:r>
        <w:rPr>
          <w:rFonts w:ascii="Times New Roman" w:hAnsi="Times New Roman"/>
          <w:i/>
          <w:sz w:val="20"/>
        </w:rPr>
        <w:t xml:space="preserve">European Union and German Dual-Use Export Control Regime </w:t>
      </w:r>
    </w:p>
    <w:p>
      <w:pPr>
        <w:pStyle w:val="TextBody"/>
        <w:spacing w:before="120" w:after="0"/>
        <w:jc w:val="both"/>
        <w:rPr>
          <w:rFonts w:ascii="Times New Roman" w:hAnsi="Times New Roman"/>
          <w:sz w:val="20"/>
        </w:rPr>
      </w:pPr>
      <w:r>
        <w:rPr>
          <w:rFonts w:ascii="Times New Roman" w:hAnsi="Times New Roman"/>
          <w:sz w:val="20"/>
        </w:rPr>
        <w:t xml:space="preserve">In the European Union, the export of Dual-Use Items from European Union member states is harmonized and mainly governed by European law, in particular by Council Regulation (EC) No 428/2009 of 5 May 2009, as most recently amended by Commission Delegated Regulation (EU) 2021/1528 of 8 June 2021, which established a community regime for the control of exports and the transfer, brokering and transit of Dual-Use Items (the “Dual-Use Regulation”). The scope of the Dual-Use Regulation is defined in an annex to the Dual-Use Regulation (“Annex I”), which contains a detailed list of goods divided into different categories. For all listed Dual-Use Items, an export authorization is required (Art. 3 Dual-Use Regulation). Our spaceborne CONDOR laser communication terminal qualifies as a Dual-Use Item under the Dual-Use Regulation. In May 2021, the European Parliament and the Council of the European Union adopted Regulation (EU) 2021/821 (as amended), which amends the Dual-Use Regulation and which came into effect on September 9, 2021. The amendment includes an export authorization requirement for the export of certain non-listed surveillance technology should the competent member states’ authorities consider that the items are or may be used in whole or in part in connection with internal repression and human rights and international humanitarian law violations. </w:t>
      </w:r>
    </w:p>
    <w:p>
      <w:pPr>
        <w:pStyle w:val="TextBody"/>
        <w:spacing w:before="240" w:after="0"/>
        <w:jc w:val="both"/>
        <w:rPr>
          <w:rFonts w:ascii="Times New Roman" w:hAnsi="Times New Roman"/>
          <w:sz w:val="20"/>
        </w:rPr>
      </w:pPr>
      <w:r>
        <w:rPr>
          <w:rFonts w:ascii="Times New Roman" w:hAnsi="Times New Roman"/>
          <w:sz w:val="20"/>
        </w:rPr>
        <w:t>The Dual-Use Regulation provides for four types of export authorizations: (i) European Union general export authorizations (</w:t>
      </w:r>
      <w:r>
        <w:rPr>
          <w:rFonts w:ascii="Times New Roman" w:hAnsi="Times New Roman"/>
          <w:i/>
          <w:sz w:val="20"/>
        </w:rPr>
        <w:t>EU-Allgemeingenehmigungen</w:t>
      </w:r>
      <w:r>
        <w:rPr>
          <w:rFonts w:ascii="Times New Roman" w:hAnsi="Times New Roman"/>
          <w:sz w:val="20"/>
        </w:rPr>
        <w:t xml:space="preserve">; “EUGEAs”), which allow exports of Dual-Use Items to certain destinations under certain conditions (see Annex II of the Regulation), (ii) national general export authorizations, which may be issued by European Union member states if they are consistent with existing EUGEAs and do not refer to items listed in Annex IIg of the Dual-Use Regulation, (iii) individual export authorizations, which can be granted to one exporter and cover exports of one or more Dual-Use Items to one end-user or consignee in a third country, and (iv) maximum amount authorizations, which can be granted to one exporter and may cover multiple items to multiple countries of destination or end users. Under the Dual-Use Regulation, the competent authorities of each member state are responsible for establishing their own administrative procedures for applying and obtaining such export authorizations. </w:t>
      </w:r>
    </w:p>
    <w:p>
      <w:pPr>
        <w:pStyle w:val="TextBody"/>
        <w:spacing w:before="240" w:after="0"/>
        <w:jc w:val="both"/>
        <w:rPr>
          <w:rFonts w:ascii="Times New Roman" w:hAnsi="Times New Roman"/>
          <w:sz w:val="20"/>
        </w:rPr>
      </w:pPr>
      <w:r>
        <w:rPr>
          <w:rFonts w:ascii="Times New Roman" w:hAnsi="Times New Roman"/>
          <w:sz w:val="20"/>
        </w:rPr>
        <w:t xml:space="preserve">General export authorizations (“GEA”) have the advantage that no authorization application needs to be filed; exports and intra-European Union transfers that satisfy the requirements of a general export authorization are automatically authorized. Exporters or transferors wishing to make use of a general export authorization are, however, required to file a notification and registration with the competent authority of the respective member state, which can also be filed after the exportation. The scope of application of the general export authorization is primarily determined by the authorized group of items and the authorized destinations. For example, exports to Australia, Canada, Japan, New Zealand, Norway, Switzerland (including Liechtenstein), the United Kingdom, and the United States of America are covered by GEA EU001. The other five GEAs cover more specific circumstances such as exports of items according to the Wassenaar Agreement (EU002), exports after repair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replacement (EU003), temporary exports for exhibitions or fairs (EU004), exports of specific telecommunication goods (EU005), and exports of specific chemicals (EU006). </w:t>
      </w:r>
    </w:p>
    <w:p>
      <w:pPr>
        <w:pStyle w:val="TextBody"/>
        <w:spacing w:before="240" w:after="0"/>
        <w:jc w:val="both"/>
        <w:rPr>
          <w:rFonts w:ascii="Times New Roman" w:hAnsi="Times New Roman"/>
          <w:sz w:val="20"/>
        </w:rPr>
      </w:pPr>
      <w:r>
        <w:rPr>
          <w:rFonts w:ascii="Times New Roman" w:hAnsi="Times New Roman"/>
          <w:sz w:val="20"/>
        </w:rPr>
        <w:t>In Germany, the administrative procedure to obtain an export authorization is governed by the AWV, which also defines the German Federal Office for Economic Affairs and Export Control (</w:t>
      </w:r>
      <w:r>
        <w:rPr>
          <w:rFonts w:ascii="Times New Roman" w:hAnsi="Times New Roman"/>
          <w:i/>
          <w:sz w:val="20"/>
        </w:rPr>
        <w:t>Bundesamt für Wirtschaft und Ausfuhrkontrolle</w:t>
      </w:r>
      <w:r>
        <w:rPr>
          <w:rFonts w:ascii="Times New Roman" w:hAnsi="Times New Roman"/>
          <w:sz w:val="20"/>
        </w:rPr>
        <w:t>; “BAFA”) as the competent authority for issuing such authorization. In addition to control lists set out under the Dual-Use Regulation, European Union member states may also set out their own lists of controlled Dual-Use Items. Germany, for instance, has done so by including additional Dual-Use Items on its national export list (</w:t>
      </w:r>
      <w:r>
        <w:rPr>
          <w:rFonts w:ascii="Times New Roman" w:hAnsi="Times New Roman"/>
          <w:i/>
          <w:sz w:val="20"/>
        </w:rPr>
        <w:t>Ausfuhrliste</w:t>
      </w:r>
      <w:r>
        <w:rPr>
          <w:rFonts w:ascii="Times New Roman" w:hAnsi="Times New Roman"/>
          <w:sz w:val="20"/>
        </w:rPr>
        <w:t xml:space="preserve">) that are not already covered by the Dual-Use Regulation (e.g., spaceborne laser communication terminals under no. 9A904), if they are to be exported to certain countries. Goods listed on Germany’s national export list are subject to the same license requirements as described above. Exports of our CONDOR terminals require a license from BAFA if the exportation is not covered by the European Union’s general exportation authorization. </w:t>
      </w:r>
    </w:p>
    <w:p>
      <w:pPr>
        <w:pStyle w:val="TextBody"/>
        <w:spacing w:before="360" w:after="0"/>
        <w:jc w:val="left"/>
        <w:rPr>
          <w:rFonts w:ascii="Times New Roman" w:hAnsi="Times New Roman"/>
          <w:i/>
          <w:sz w:val="20"/>
        </w:rPr>
      </w:pPr>
      <w:r>
        <w:rPr>
          <w:rFonts w:ascii="Times New Roman" w:hAnsi="Times New Roman"/>
          <w:i/>
          <w:sz w:val="20"/>
        </w:rPr>
        <w:t xml:space="preserve">U.S. Export Regulations </w:t>
      </w:r>
    </w:p>
    <w:p>
      <w:pPr>
        <w:pStyle w:val="TextBody"/>
        <w:spacing w:before="120" w:after="0"/>
        <w:jc w:val="both"/>
        <w:rPr>
          <w:rFonts w:ascii="Times New Roman" w:hAnsi="Times New Roman"/>
          <w:sz w:val="20"/>
        </w:rPr>
      </w:pPr>
      <w:r>
        <w:rPr>
          <w:rFonts w:ascii="Times New Roman" w:hAnsi="Times New Roman"/>
          <w:sz w:val="20"/>
        </w:rPr>
        <w:t xml:space="preserve">The U.S. Export Administration Regulations (“EAR”) provide for specific rules governing exportations from the U.S., re-exportations from a foreign country to another foreign country, and transfers within a foreign country or to a foreign national if the respective item is located within U.S. territory, originate from the U.S., contains more than de minimis amounts of controlled U.S.-origin items or is the direct product of certain U.S.-origin technology or software. The EAR applies to physical goods as well as technology and software. The Commerce Control List (“CCL”) is an annex to the EAR and contains a list of Dual-Use Items and any controls associated with those items. Since the regulatory intention of the EAR is similar to that of the Dual-Use Regulation, the CCL and Annex I of the Dual-Use Regulation are congruent. Our CONDOR laser terminal and HAWK laser terminal are subject to the EAR and identified on the CCL. Items listed on the CCL may require an export license depending on the item, its reason for control, its end destination (both end user and end country) and end use. In some cases, a license exception may apply. The EAR’s rules regarding license requirements are subject to frequent change. Items that do not currently require a license for exportation, re-exportation or transfer may require such license in the future. Obtaining a license from the U.S. Department of Commerce may be time-consuming and may result in the delay or loss of sales opportunities. We cannot ensure that any such license applications will be granted. Violations of the EAR may result in criminal or civil penalties, the denial of export privileges and/or debarment from participation in U.S. government contracts. </w:t>
      </w:r>
    </w:p>
    <w:p>
      <w:pPr>
        <w:pStyle w:val="TextBody"/>
        <w:spacing w:before="360" w:after="0"/>
        <w:jc w:val="left"/>
        <w:rPr>
          <w:rFonts w:ascii="Times New Roman" w:hAnsi="Times New Roman"/>
          <w:i/>
          <w:sz w:val="20"/>
        </w:rPr>
      </w:pPr>
      <w:r>
        <w:rPr>
          <w:rFonts w:ascii="Times New Roman" w:hAnsi="Times New Roman"/>
          <w:i/>
          <w:sz w:val="20"/>
        </w:rPr>
        <w:t xml:space="preserve">U.S. International Traffic in Arms Regulations (ITAR) </w:t>
      </w:r>
    </w:p>
    <w:p>
      <w:pPr>
        <w:pStyle w:val="TextBody"/>
        <w:spacing w:before="120" w:after="0"/>
        <w:jc w:val="both"/>
        <w:rPr>
          <w:rFonts w:ascii="Times New Roman" w:hAnsi="Times New Roman"/>
          <w:sz w:val="20"/>
        </w:rPr>
      </w:pPr>
      <w:r>
        <w:rPr>
          <w:rFonts w:ascii="Times New Roman" w:hAnsi="Times New Roman"/>
          <w:sz w:val="20"/>
        </w:rPr>
        <w:t xml:space="preserve">The ITAR is a U.S. regulatory regime to restrict and control the export of defense- and military-related technologies, to safeguard U.S. national security, and further U.S. foreign policy objectives. Defense-related goods and services that are listed on the United States Munitions List (the “USML”) are covered by the regulations. The U.S. Department of State’s Directorate of Defense Trade Controls (“DDTC”) interprets and enforces the ITAR. Nearly every item subject to the ITAR requires a license from DDTC for exportation, re-exportation or transfer, unless an ITAR exemption applies. </w:t>
      </w:r>
    </w:p>
    <w:p>
      <w:pPr>
        <w:pStyle w:val="TextBody"/>
        <w:spacing w:before="240" w:after="0"/>
        <w:jc w:val="both"/>
        <w:rPr>
          <w:rFonts w:ascii="Times New Roman" w:hAnsi="Times New Roman"/>
          <w:sz w:val="20"/>
        </w:rPr>
      </w:pPr>
      <w:r>
        <w:rPr>
          <w:rFonts w:ascii="Times New Roman" w:hAnsi="Times New Roman"/>
          <w:sz w:val="20"/>
        </w:rPr>
        <w:t xml:space="preserve">Currently, our largest potential customer base is located in the United States. We believe that further potential markets may develop in Asia (except China) and a number of European countries. Therefore, our products could be subject to international trade restrictions in these markets in the future. To the best of our knowledge, none of the components currently used in our products is subject to arms regulations in the U.S., such as the ITAR; but, this may occur in the future. The related approval process could have a detrimental effect on our potential customers’ demand and could also limit our potential customer base to those entities that are allowed to import and purchase arms products under the relevant regulations. </w:t>
      </w:r>
    </w:p>
    <w:p>
      <w:pPr>
        <w:pStyle w:val="TextBody"/>
        <w:spacing w:before="240" w:after="0"/>
        <w:jc w:val="both"/>
        <w:rPr>
          <w:rFonts w:ascii="Times New Roman" w:hAnsi="Times New Roman"/>
          <w:sz w:val="20"/>
        </w:rPr>
      </w:pPr>
      <w:r>
        <w:rPr>
          <w:rFonts w:ascii="Times New Roman" w:hAnsi="Times New Roman"/>
          <w:sz w:val="20"/>
        </w:rPr>
        <w:t xml:space="preserve">For practical purposes, ITAR regulations dictate that information and material pertaining to defense- and military-related technologies (items listed on the USML) may not be shared with non-U.S. persons unless authorization from the U.S. Department of State is received or a special exemption is used. U.S. persons may face heavy fines if they, without authorization or the use of an exemption, provide foreign persons with access to ITAR-protected defense goods, services, or technical data. </w:t>
      </w:r>
    </w:p>
    <w:p>
      <w:pPr>
        <w:pStyle w:val="TextBody"/>
        <w:spacing w:before="360" w:after="0"/>
        <w:jc w:val="left"/>
        <w:rPr>
          <w:rFonts w:ascii="Times New Roman" w:hAnsi="Times New Roman"/>
          <w:b/>
          <w:i/>
          <w:sz w:val="20"/>
        </w:rPr>
      </w:pPr>
      <w:r>
        <w:rPr>
          <w:rFonts w:ascii="Times New Roman" w:hAnsi="Times New Roman"/>
          <w:b/>
          <w:i/>
          <w:sz w:val="20"/>
        </w:rPr>
        <w:t xml:space="preserve">Trade Sanctions </w:t>
      </w:r>
    </w:p>
    <w:p>
      <w:pPr>
        <w:pStyle w:val="TextBody"/>
        <w:spacing w:before="120" w:after="0"/>
        <w:jc w:val="both"/>
        <w:rPr>
          <w:rFonts w:ascii="Times New Roman" w:hAnsi="Times New Roman"/>
          <w:sz w:val="20"/>
        </w:rPr>
      </w:pPr>
      <w:r>
        <w:rPr>
          <w:rFonts w:ascii="Times New Roman" w:hAnsi="Times New Roman"/>
          <w:sz w:val="20"/>
        </w:rPr>
        <w:t xml:space="preserve">When selling and/or delivering our products to customers around the globe we must observe economic sanctions and embargoes. Such measures can be based on national legislation (like in Germany or the U.S.), but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also on acts of international or supranational organizations like the United Nations and the European Union. They can take the form of comprehensive embargoes (total embargoes), partial embargoes, such as arms, sectoral or financial embargoes, and may be directed at countries, governments, organizations, groups, non-state entities and individuals. Sanctions against individuals or entities usually prohibit placing assets of any kind at the disposal of sanctioned parties or providing them with any economic resources. We are also subject to sourcing regulations such as the requirements under the Dodd-Frank Wall Street Reform and Consumer Protection Act of 2010 (Dodd-Frank Act) and Regulation (EU) 2017/821 of the European Parliament and of the Council of 17 May 2017 as amended by Commission Delegated Regulation (EU) 2020/1588 of 25 June 2020, setting forth supply chain due diligence obligations for European Union importers of tin, tantalum and tungsten, their ores, and gold originating from conflict-affected and high-risk areas (European Union Conflict Minerals Regulation) that require us to carefully monitor our supply chain. </w:t>
      </w:r>
    </w:p>
    <w:p>
      <w:pPr>
        <w:pStyle w:val="TextBody"/>
        <w:spacing w:before="240" w:after="0"/>
        <w:jc w:val="both"/>
        <w:rPr>
          <w:rFonts w:ascii="Times New Roman" w:hAnsi="Times New Roman"/>
          <w:sz w:val="20"/>
        </w:rPr>
      </w:pPr>
      <w:r>
        <w:rPr>
          <w:rFonts w:ascii="Times New Roman" w:hAnsi="Times New Roman"/>
          <w:sz w:val="20"/>
        </w:rPr>
        <w:t xml:space="preserve">We may be required to comply with embargoes, trade sanctions and sourcing regulations for various reasons, including due to the location of our factories, the seat of our respective entity, the nationality of our responsible employees or the components we use. </w:t>
      </w:r>
    </w:p>
    <w:p>
      <w:pPr>
        <w:pStyle w:val="TextBody"/>
        <w:spacing w:before="360" w:after="0"/>
        <w:jc w:val="left"/>
        <w:rPr>
          <w:rFonts w:ascii="Times New Roman" w:hAnsi="Times New Roman"/>
          <w:i/>
          <w:sz w:val="20"/>
        </w:rPr>
      </w:pPr>
      <w:r>
        <w:rPr>
          <w:rFonts w:ascii="Times New Roman" w:hAnsi="Times New Roman"/>
          <w:i/>
          <w:sz w:val="20"/>
        </w:rPr>
        <w:t xml:space="preserve">U.S. Embargoes and Trade Sanctions </w:t>
      </w:r>
    </w:p>
    <w:p>
      <w:pPr>
        <w:pStyle w:val="TextBody"/>
        <w:spacing w:before="120" w:after="0"/>
        <w:jc w:val="both"/>
        <w:rPr>
          <w:rFonts w:ascii="Times New Roman" w:hAnsi="Times New Roman"/>
          <w:sz w:val="20"/>
        </w:rPr>
      </w:pPr>
      <w:r>
        <w:rPr>
          <w:rFonts w:ascii="Times New Roman" w:hAnsi="Times New Roman"/>
          <w:sz w:val="20"/>
        </w:rPr>
        <w:t xml:space="preserve">In the U.S., the U.S. Department of the Treasury’s Office of Foreign Assets Control (“OFAC”) is the primary agency responsible for implementing and enforcing embargoes and trade sanctions. Through the implementation of trade sanctions, the U.S. seeks to restrict certain business practices, including cessation of business activities in sanctioned countries or with sanctioned persons or entities, in order to further U.S. national security and foreign policy objectives. The U.S.’s complex sanctions regime also encourages companies to implement compliance programs that address sanctions risks, which may increase compliance costs. Violations of U.S. sanctions may subject us to criminal or civil fines, penalties or other sanctions. </w:t>
      </w:r>
    </w:p>
    <w:p>
      <w:pPr>
        <w:pStyle w:val="TextBody"/>
        <w:spacing w:before="240" w:after="0"/>
        <w:jc w:val="both"/>
        <w:rPr>
          <w:rFonts w:ascii="Times New Roman" w:hAnsi="Times New Roman"/>
          <w:sz w:val="20"/>
        </w:rPr>
      </w:pPr>
      <w:r>
        <w:rPr>
          <w:rFonts w:ascii="Times New Roman" w:hAnsi="Times New Roman"/>
          <w:sz w:val="20"/>
        </w:rPr>
        <w:t xml:space="preserve">U.S. sanctions may take the form of country- or territory-based sanctions or list-based sanctions. Currently, country-or territory-based sanctions target, inter alia, the Crimea region of Ukraine, the so-called “Donetsk People’s Republic” and “Luhansk People’s Republic,” Russia, Cuba, Iran, North Korea and Syria. OFAC maintains several sanctions lists that identify sanctions targets, and the scope of the sanctions’ restrictions vary depending on the sanctions list. OFAC’s primary sanctions list is the List of Specially Designated Nationals and Blocked Persons, which identifies persons and entities subject to asset blocking restrictions. Certain other OFAC sanctions lists impose non-asset blocking sanctions, such as restrictions on the listed entity’s ability to raise debt or equity in the U.S. in the case of OFAC’s Sectoral Sanctions Identification List that targets certain sectors of the Russian economy. </w:t>
      </w:r>
    </w:p>
    <w:p>
      <w:pPr>
        <w:pStyle w:val="TextBody"/>
        <w:spacing w:before="240" w:after="0"/>
        <w:jc w:val="both"/>
        <w:rPr>
          <w:rFonts w:ascii="Times New Roman" w:hAnsi="Times New Roman"/>
          <w:sz w:val="20"/>
        </w:rPr>
      </w:pPr>
      <w:r>
        <w:rPr>
          <w:rFonts w:ascii="Times New Roman" w:hAnsi="Times New Roman"/>
          <w:sz w:val="20"/>
        </w:rPr>
        <w:t xml:space="preserve">U.S. sanctions apply primarily to U.S. persons, which include all companies and other legal entities organized under U.S. law and their foreign branches, as well as U.S. citizens and permanent residents. In the case of U.S. sanctions against Cuba and Iran, sanctions also apply to non-U.S. entities owned or controlled by U.S. persons. Our operations in the U.S. and any activities we have with U.S. persons must therefore comply with U.S. sanctions. In addition, we may also be subject to sanctions-related obligations through contracts with suppliers, credit facilities or loan agreements that require compliance with U.S. sanctions or screening against U.S. sanctions lists. </w:t>
      </w:r>
    </w:p>
    <w:p>
      <w:pPr>
        <w:pStyle w:val="TextBody"/>
        <w:spacing w:before="240" w:after="0"/>
        <w:jc w:val="both"/>
        <w:rPr>
          <w:rFonts w:ascii="Times New Roman" w:hAnsi="Times New Roman"/>
          <w:sz w:val="20"/>
        </w:rPr>
      </w:pPr>
      <w:r>
        <w:rPr>
          <w:rFonts w:ascii="Times New Roman" w:hAnsi="Times New Roman"/>
          <w:sz w:val="20"/>
        </w:rPr>
        <w:t xml:space="preserve">U.S. sanctions may also have an extraterritorial effect and impact the conduct of non-U.S. persons through so-called “secondary sanctions.” Under secondary sanctions, the United States may impose sanctions against non-U.S. persons for engaging in certain transactions or activities, depending on the sanctions program, even absent a U.S. nexus to the activity. For example, as a result of the Countering America’s Adversaries Through Sanctions Act of 2017, non-U.S. persons must comply with certain secondary sanctions against Russia, even if such activities have no connection to the United States. Among other things, non-U.S. persons may face penalties and/or asset-blocking sanctions for knowingly facilitating significant transactions or significant financial transactions for or on behalf of a party subject to the United States sanctions against Russia. </w:t>
      </w:r>
    </w:p>
    <w:p>
      <w:pPr>
        <w:pStyle w:val="TextBody"/>
        <w:spacing w:before="240" w:after="0"/>
        <w:jc w:val="both"/>
        <w:rPr>
          <w:rFonts w:ascii="Times New Roman" w:hAnsi="Times New Roman"/>
          <w:sz w:val="20"/>
        </w:rPr>
      </w:pPr>
      <w:r>
        <w:rPr>
          <w:rFonts w:ascii="Times New Roman" w:hAnsi="Times New Roman"/>
          <w:sz w:val="20"/>
        </w:rPr>
        <w:t xml:space="preserve">Further, non-U.S. persons and entities that cause a U.S. person to violate U.S. sanctions may violate OFAC’s prohibition on causing another person to violate sanctions, which may result in civil and criminal penalties under applicable U.S. law. Accordingly, transacting with customers in countries such as Cuba may be allowed under European Union law but still violate U.S. sanctions. In case of such conflicts between European Union law and U.S. sanctions, the Council Regulation (EC) No 2271/96 of 22 November 1996 protecting against the effects of the extraterritorial application of legislation adopted by a third country, and actions based thereon or resulting therefrom (as amended) prohibits European Union companies from complying with certain listed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U.S. sanctions and shields these entities from the effects of U.S. sanctions in the European Union. Such anti-boycott rules apply, for example, to the 2018 U.S. sanctions targeting Iran. European Union companies are, nonetheless, free to conduct their business as they see fit, i.e., not trade with countries sanctioned by the U.S. </w:t>
      </w:r>
    </w:p>
    <w:p>
      <w:pPr>
        <w:pStyle w:val="TextBody"/>
        <w:spacing w:before="360" w:after="0"/>
        <w:jc w:val="left"/>
        <w:rPr>
          <w:rFonts w:ascii="Times New Roman" w:hAnsi="Times New Roman"/>
          <w:i/>
          <w:sz w:val="20"/>
        </w:rPr>
      </w:pPr>
      <w:r>
        <w:rPr>
          <w:rFonts w:ascii="Times New Roman" w:hAnsi="Times New Roman"/>
          <w:i/>
          <w:sz w:val="20"/>
        </w:rPr>
        <w:t xml:space="preserve">European Union Embargoes and Trade Sanctions </w:t>
      </w:r>
    </w:p>
    <w:p>
      <w:pPr>
        <w:pStyle w:val="TextBody"/>
        <w:spacing w:before="120" w:after="0"/>
        <w:jc w:val="both"/>
        <w:rPr>
          <w:rFonts w:ascii="Times New Roman" w:hAnsi="Times New Roman"/>
          <w:sz w:val="20"/>
        </w:rPr>
      </w:pPr>
      <w:r>
        <w:rPr>
          <w:rFonts w:ascii="Times New Roman" w:hAnsi="Times New Roman"/>
          <w:sz w:val="20"/>
        </w:rPr>
        <w:t xml:space="preserve">European Union trade sanctions have a broad scope, applying (i) within the territory of the member states, (ii) to any person inside or outside the territory of the European Union who is a national of a member state, (iii) to any legal person, entity or body which is incorporated or constituted under the law of a member state whether acting inside or outside the European Union, and (iv) to any legal person, entity, or body in respect of any business done in whole or in part within the European Union. </w:t>
      </w:r>
    </w:p>
    <w:p>
      <w:pPr>
        <w:pStyle w:val="TextBody"/>
        <w:spacing w:before="240" w:after="0"/>
        <w:jc w:val="both"/>
        <w:rPr>
          <w:rFonts w:ascii="Times New Roman" w:hAnsi="Times New Roman"/>
          <w:sz w:val="20"/>
        </w:rPr>
      </w:pPr>
      <w:r>
        <w:rPr>
          <w:rFonts w:ascii="Times New Roman" w:hAnsi="Times New Roman"/>
          <w:sz w:val="20"/>
        </w:rPr>
        <w:t xml:space="preserve">Our commitments in terms of sanctions and embargoes mainly (but not exclusively) derive from Council Regulation (EC) No 2580/2001 of 27 December 2001 (as amended) on specific restrictive measures directed against certain persons and entities with a view to combating terrorism. It aims to prevent and prohibit the financing of terrorist acts by prohibiting that funds, other financial assets, and economic resources are made available, directly or indirectly, to, or for the benefit of, a natural or legal person, group, or entity included in the list of restricted parties, or by prohibiting financial or other related services from being rendered for the benefit of restricted parties. </w:t>
      </w:r>
    </w:p>
    <w:p>
      <w:pPr>
        <w:pStyle w:val="TextBody"/>
        <w:spacing w:before="360" w:after="0"/>
        <w:jc w:val="left"/>
        <w:rPr>
          <w:rFonts w:ascii="Times New Roman" w:hAnsi="Times New Roman"/>
          <w:b/>
          <w:i/>
          <w:sz w:val="20"/>
        </w:rPr>
      </w:pPr>
      <w:r>
        <w:rPr>
          <w:rFonts w:ascii="Times New Roman" w:hAnsi="Times New Roman"/>
          <w:b/>
          <w:i/>
          <w:sz w:val="20"/>
        </w:rPr>
        <w:t xml:space="preserve">German Foreign Investment Regime </w:t>
      </w:r>
    </w:p>
    <w:p>
      <w:pPr>
        <w:pStyle w:val="TextBody"/>
        <w:spacing w:before="120" w:after="0"/>
        <w:jc w:val="both"/>
        <w:rPr>
          <w:rFonts w:ascii="Times New Roman" w:hAnsi="Times New Roman"/>
          <w:sz w:val="20"/>
        </w:rPr>
      </w:pPr>
      <w:r>
        <w:rPr>
          <w:rFonts w:ascii="Times New Roman" w:hAnsi="Times New Roman"/>
          <w:sz w:val="20"/>
        </w:rPr>
        <w:t>German foreign trade law may require foreign investors to obtain government approval for the acquisition of our shares if the acquirer directly or indirectly holds 20% or more of our voting rights following the acquisition. Pursuant to the cross-sectoral examination in Section 55 et seq. AWV, the BMWi may prohibit or restrict the acquisition of our shares by a foreign investor that is resident or based outside the European Union (</w:t>
      </w:r>
      <w:r>
        <w:rPr>
          <w:rFonts w:ascii="Times New Roman" w:hAnsi="Times New Roman"/>
          <w:i/>
          <w:sz w:val="20"/>
        </w:rPr>
        <w:t>Unionsfremder</w:t>
      </w:r>
      <w:r>
        <w:rPr>
          <w:rFonts w:ascii="Times New Roman" w:hAnsi="Times New Roman"/>
          <w:sz w:val="20"/>
        </w:rPr>
        <w:t xml:space="preserve">) if it endangers the public order or the security of Germany. </w:t>
      </w:r>
    </w:p>
    <w:p>
      <w:pPr>
        <w:pStyle w:val="TextBody"/>
        <w:spacing w:before="240" w:after="0"/>
        <w:jc w:val="both"/>
        <w:rPr>
          <w:rFonts w:ascii="Times New Roman" w:hAnsi="Times New Roman"/>
          <w:sz w:val="20"/>
        </w:rPr>
      </w:pPr>
      <w:r>
        <w:rPr>
          <w:rFonts w:ascii="Times New Roman" w:hAnsi="Times New Roman"/>
          <w:sz w:val="20"/>
        </w:rPr>
        <w:t xml:space="preserve">Additionally, statutory notification requirements apply, </w:t>
      </w:r>
      <w:r>
        <w:rPr>
          <w:rFonts w:ascii="Times New Roman" w:hAnsi="Times New Roman"/>
          <w:i/>
          <w:sz w:val="20"/>
        </w:rPr>
        <w:t>inter alia</w:t>
      </w:r>
      <w:r>
        <w:rPr>
          <w:rFonts w:ascii="Times New Roman" w:hAnsi="Times New Roman"/>
          <w:sz w:val="20"/>
        </w:rPr>
        <w:t xml:space="preserve">, to acquisitions by a foreign acquirer of 20% or more of the voting rights of a company that develops or manufactures, among other things, goods intended for use in space or for use in space infrastructure systems (Section 55a para. 1 no. 18 third alternative AWV) as well as goods specifically required for the operation of laser communication networks (Section 55a para. 1 no. 22 AWV), including us. </w:t>
      </w:r>
    </w:p>
    <w:p>
      <w:pPr>
        <w:pStyle w:val="TextBody"/>
        <w:spacing w:before="240" w:after="0"/>
        <w:jc w:val="both"/>
        <w:rPr>
          <w:rFonts w:ascii="Times New Roman" w:hAnsi="Times New Roman"/>
          <w:sz w:val="20"/>
        </w:rPr>
      </w:pPr>
      <w:r>
        <w:rPr>
          <w:rFonts w:ascii="Times New Roman" w:hAnsi="Times New Roman"/>
          <w:sz w:val="20"/>
        </w:rPr>
        <w:t xml:space="preserve">Accordingly, any such acquisition must be notified to the BMWi upon signing of a binding agreement if the relevant acquisition has likely effects to public security and order. However, only the signing of the binding agreement is subject to the notification requirement, not the subsequent acquisition itself. Nonetheless, clearance by the BMWi qualifies as a statutory closing condition for all transactions that are subject to the cross-sectoral investment control proceeding and to the mandatory notification requirement. Furthermore, prior to clearance by the BMWi, the regime prohibits the acquirer, among other things, from exercising any voting rights in the target, from receiving claims for profit distributions associated with the acquisition, and from receiving company related information (provided that such information relates to company divisions or corporate assets that are subject to the investment control proceeding). </w:t>
      </w:r>
    </w:p>
    <w:p>
      <w:pPr>
        <w:pStyle w:val="TextBody"/>
        <w:spacing w:before="240" w:after="0"/>
        <w:jc w:val="both"/>
        <w:rPr>
          <w:rFonts w:ascii="Times New Roman" w:hAnsi="Times New Roman"/>
          <w:sz w:val="20"/>
        </w:rPr>
      </w:pPr>
      <w:r>
        <w:rPr>
          <w:rFonts w:ascii="Times New Roman" w:hAnsi="Times New Roman"/>
          <w:sz w:val="20"/>
        </w:rPr>
        <w:t xml:space="preserve">In addition, the BMWi may initiate investigations within two months after becoming aware of the conclusion of a binding agreement, but not later than five years after the conclusion of the respective agreement (Section 55 para. 1 AWV in conjunction with Section 14a para. 3 AWG). If grounds for objections exist, the BMWi may prohibit the direct acquirer from making an acquisition within the meaning of Section 55 AWV within four months of the receipt of the complete application or issue instructions in order to ensure the public order or the security of Germany (Section 59 para. 1 AWV in conjunction with Section 14a para. 1 No. 2 AWG). </w:t>
      </w:r>
    </w:p>
    <w:p>
      <w:pPr>
        <w:pStyle w:val="TextBody"/>
        <w:spacing w:before="240" w:after="0"/>
        <w:jc w:val="both"/>
        <w:rPr>
          <w:rFonts w:ascii="Times New Roman" w:hAnsi="Times New Roman"/>
          <w:sz w:val="20"/>
        </w:rPr>
      </w:pPr>
      <w:r>
        <w:rPr>
          <w:rFonts w:ascii="Times New Roman" w:hAnsi="Times New Roman"/>
          <w:sz w:val="20"/>
        </w:rPr>
        <w:t xml:space="preserve">In each case, a foreign acquirer of a domestic target company applying for foreign investment control clearance under the cross-sectoral investment control regime is required to disclose its identity. For such purposes, not only the direct acquirer, but also the indirect acquirers (i.e., any entity upstream of a direct acquirer which holds at least 20% of the voting rights in the respective downstream investment vehicle) needs to be disclosed. </w:t>
      </w:r>
    </w:p>
    <w:p>
      <w:pPr>
        <w:pStyle w:val="TextBody"/>
        <w:spacing w:before="360" w:after="0"/>
        <w:jc w:val="left"/>
        <w:rPr>
          <w:rFonts w:ascii="Times New Roman" w:hAnsi="Times New Roman"/>
          <w:b/>
          <w:i/>
          <w:sz w:val="20"/>
        </w:rPr>
      </w:pPr>
      <w:r>
        <w:rPr>
          <w:rFonts w:ascii="Times New Roman" w:hAnsi="Times New Roman"/>
          <w:b/>
          <w:i/>
          <w:sz w:val="20"/>
        </w:rPr>
        <w:t xml:space="preserve">Anti-Bribery, Anti-Corruption, Antitrust and Competition </w:t>
      </w:r>
    </w:p>
    <w:p>
      <w:pPr>
        <w:pStyle w:val="TextBody"/>
        <w:spacing w:before="120" w:after="0"/>
        <w:jc w:val="both"/>
        <w:rPr>
          <w:rFonts w:ascii="Times New Roman" w:hAnsi="Times New Roman"/>
          <w:sz w:val="20"/>
        </w:rPr>
      </w:pPr>
      <w:r>
        <w:rPr>
          <w:rFonts w:ascii="Times New Roman" w:hAnsi="Times New Roman"/>
          <w:sz w:val="20"/>
        </w:rPr>
        <w:t xml:space="preserve">We are subject to various anti-corruption, anti-bribery, anti-money laundering, antitrust and competition laws. Any violation of these laws in any jurisdiction in which we operate may have serious consequences for entities and/or individuals participating in such misconduct. For example, under German criminal law we must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comply with the rules against corruption and bribery of public officials (Sections 332, 334 of the German Criminal Code (</w:t>
      </w:r>
      <w:r>
        <w:rPr>
          <w:rFonts w:ascii="Times New Roman" w:hAnsi="Times New Roman"/>
          <w:i/>
          <w:sz w:val="20"/>
        </w:rPr>
        <w:t>Strafgesetzbuch</w:t>
      </w:r>
      <w:r>
        <w:rPr>
          <w:rFonts w:ascii="Times New Roman" w:hAnsi="Times New Roman"/>
          <w:sz w:val="20"/>
        </w:rPr>
        <w:t xml:space="preserve">)) or private sector employees or business representatives (Section 299 of the German Criminal Code) as well as rules against the taking and giving of bribes meant as an incentive to violating one’s official duties (Sections 331, 333 of the German Criminal Code). These provisions may under certain conditions also apply to circumstances that occur solely or partly on foreign territory. In the United States, the Foreign Corrupt Practices Act of 1977, as amended (“FCPA”) prohibits payments to foreign government officials in order to assist in obtaining or retaining business. The anti-bribery provisions of the FCPA also apply to foreign firms and persons who cause, directly or through agents, an act in furtherance of such a corrupt payment to take place within the territory of the United States. </w:t>
      </w:r>
    </w:p>
    <w:p>
      <w:pPr>
        <w:pStyle w:val="TextBody"/>
        <w:spacing w:before="240" w:after="0"/>
        <w:jc w:val="both"/>
        <w:rPr>
          <w:rFonts w:ascii="Times New Roman" w:hAnsi="Times New Roman"/>
          <w:sz w:val="20"/>
        </w:rPr>
      </w:pPr>
      <w:r>
        <w:rPr>
          <w:rFonts w:ascii="Times New Roman" w:hAnsi="Times New Roman"/>
          <w:sz w:val="20"/>
        </w:rPr>
        <w:t>We are also subject to various antitrust and competition laws. In a broader sense these laws include all legal provisions that concern the protection of a diverse and free competition. National and supranational authorities that monitor compliance with antitrust and competition laws may initiate investigations and proceedings into alleged infringements, such as abuse of a dominant market position, anti-competitive agreements between undertakings or similar agreements with restrictive effects on competition, in particular in terms of Article 101 para. 1 of the Treaty on the Functioning of the European Union and Section 1 of the German Act Against Restraints of Competition (</w:t>
      </w:r>
      <w:r>
        <w:rPr>
          <w:rFonts w:ascii="Times New Roman" w:hAnsi="Times New Roman"/>
          <w:i/>
          <w:sz w:val="20"/>
        </w:rPr>
        <w:t>Gesetz gegen Wettbewerbsbeschränkungen</w:t>
      </w:r>
      <w:r>
        <w:rPr>
          <w:rFonts w:ascii="Times New Roman" w:hAnsi="Times New Roman"/>
          <w:sz w:val="20"/>
        </w:rPr>
        <w:t xml:space="preserve">), and unless covered by so-called block exemptions or individual exemptions. Violations of antitrust and competition laws can have various consequences including criminal sanctions, administrative fines, disgorgement of profits, exclusion from public tenders, nullity of agreements and civil claims for damages. Antitrust and competition laws in individual jurisdictions may also include rules requiring the approval by antitrust authorities regarding mergers and acquisitions or joint ventures and enable the authorities to impose certain conditions or obligations in these cases. </w:t>
      </w:r>
    </w:p>
    <w:p>
      <w:pPr>
        <w:pStyle w:val="TextBody"/>
        <w:spacing w:before="360" w:after="0"/>
        <w:jc w:val="left"/>
        <w:rPr>
          <w:rFonts w:ascii="Times New Roman" w:hAnsi="Times New Roman"/>
          <w:b/>
          <w:sz w:val="20"/>
        </w:rPr>
      </w:pPr>
      <w:bookmarkStart w:id="22" w:name="tx497326_20"/>
      <w:bookmarkEnd w:id="22"/>
      <w:r>
        <w:rPr>
          <w:rFonts w:ascii="Times New Roman" w:hAnsi="Times New Roman"/>
          <w:b/>
          <w:sz w:val="20"/>
        </w:rPr>
        <w:t xml:space="preserve">C. Organizational Structure </w:t>
      </w:r>
    </w:p>
    <w:p>
      <w:pPr>
        <w:pStyle w:val="TextBody"/>
        <w:spacing w:before="120" w:after="0"/>
        <w:jc w:val="both"/>
        <w:rPr>
          <w:rFonts w:ascii="Times New Roman" w:hAnsi="Times New Roman"/>
          <w:sz w:val="20"/>
        </w:rPr>
      </w:pPr>
      <w:r>
        <w:rPr>
          <w:rFonts w:ascii="Times New Roman" w:hAnsi="Times New Roman"/>
          <w:sz w:val="20"/>
        </w:rPr>
        <w:t xml:space="preserve">Our subsidiaries, each of which is wholly owned by Mynaric AG, are Mynaric Lasercom GmbH (a company organized under the laws of Germany), Mynaric Systems GmbH (a company organized under the laws of Germany), Mynaric USA, Inc. (a company organized under the laws of Delaware) and Mynaric Government Solutions, Inc. (a company organized under the laws of Virginia). </w:t>
      </w:r>
    </w:p>
    <w:p>
      <w:pPr>
        <w:pStyle w:val="TextBody"/>
        <w:spacing w:before="240" w:after="0"/>
        <w:jc w:val="both"/>
        <w:rPr>
          <w:rFonts w:ascii="Times New Roman" w:hAnsi="Times New Roman"/>
          <w:sz w:val="20"/>
        </w:rPr>
      </w:pPr>
      <w:r>
        <w:rPr>
          <w:rFonts w:ascii="Times New Roman" w:hAnsi="Times New Roman"/>
          <w:sz w:val="20"/>
        </w:rPr>
        <w:t xml:space="preserve">The following chart shows our organizational structure and our direct and indirect subsidiaries as of the date of this Annual Report. </w:t>
      </w:r>
    </w:p>
    <w:p>
      <w:pPr>
        <w:pStyle w:val="TextBody"/>
        <w:spacing w:before="0" w:after="0"/>
        <w:jc w:val="left"/>
        <w:rPr/>
      </w:pPr>
      <w:r>
        <w:rPr/>
        <w:t> </w:t>
      </w:r>
    </w:p>
    <w:p>
      <w:pPr>
        <w:pStyle w:val="TextBody"/>
        <w:spacing w:before="0" w:after="0"/>
        <w:jc w:val="center"/>
        <w:rPr/>
      </w:pPr>
      <w:r>
        <w:rPr/>
        <w:drawing>
          <wp:inline distT="0" distB="0" distL="0" distR="0">
            <wp:extent cx="578485" cy="168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8485" cy="168275"/>
                    </a:xfrm>
                    <a:prstGeom prst="rect">
                      <a:avLst/>
                    </a:prstGeom>
                  </pic:spPr>
                </pic:pic>
              </a:graphicData>
            </a:graphic>
          </wp:inline>
        </w:drawing>
      </w:r>
      <w:r>
        <w:rPr/>
        <w:t xml:space="preserve"> </w:t>
      </w:r>
    </w:p>
    <w:p>
      <w:pPr>
        <w:pStyle w:val="TextBody"/>
        <w:spacing w:before="240" w:after="0"/>
        <w:jc w:val="both"/>
        <w:rPr>
          <w:rFonts w:ascii="Times New Roman" w:hAnsi="Times New Roman"/>
          <w:sz w:val="20"/>
        </w:rPr>
      </w:pPr>
      <w:r>
        <w:rPr>
          <w:rFonts w:ascii="Times New Roman" w:hAnsi="Times New Roman"/>
          <w:sz w:val="20"/>
        </w:rPr>
        <w:t xml:space="preserve">In July 2022, Mynaric AG entered into a joint venture agreement with Isar Aerospace Technologies GmbH, REFLEX aerospace GmbH, and SES Astra Services Europe S.à r.l. and established UNIO Enterprise GmbH, with corporate seat in Munich and a share capital of €25,000. Mynaric AG currently holds 25% in UNIO Enterprise GmbH. </w:t>
      </w:r>
    </w:p>
    <w:p>
      <w:pPr>
        <w:pStyle w:val="TextBody"/>
        <w:spacing w:before="360" w:after="0"/>
        <w:jc w:val="left"/>
        <w:rPr>
          <w:rFonts w:ascii="Times New Roman" w:hAnsi="Times New Roman"/>
          <w:b/>
          <w:sz w:val="20"/>
        </w:rPr>
      </w:pPr>
      <w:bookmarkStart w:id="23" w:name="tx497326_21"/>
      <w:bookmarkEnd w:id="23"/>
      <w:r>
        <w:rPr>
          <w:rFonts w:ascii="Times New Roman" w:hAnsi="Times New Roman"/>
          <w:b/>
          <w:sz w:val="20"/>
        </w:rPr>
        <w:t xml:space="preserve">D. Property, Plant and Equipment </w:t>
      </w:r>
    </w:p>
    <w:p>
      <w:pPr>
        <w:pStyle w:val="TextBody"/>
        <w:spacing w:before="120" w:after="0"/>
        <w:jc w:val="both"/>
        <w:rPr>
          <w:rFonts w:ascii="Times New Roman" w:hAnsi="Times New Roman"/>
          <w:sz w:val="20"/>
        </w:rPr>
      </w:pPr>
      <w:r>
        <w:rPr>
          <w:rFonts w:ascii="Times New Roman" w:hAnsi="Times New Roman"/>
          <w:sz w:val="20"/>
        </w:rPr>
        <w:t xml:space="preserve">See “B. Business Overview—Facilities” in this Item 4. </w:t>
      </w:r>
    </w:p>
    <w:p>
      <w:pPr>
        <w:pStyle w:val="TextBody"/>
        <w:spacing w:before="0" w:after="0"/>
        <w:jc w:val="left"/>
        <w:rPr/>
      </w:pPr>
      <w:r>
        <w:rPr/>
        <w:t> </w:t>
      </w:r>
    </w:p>
    <w:tbl>
      <w:tblPr>
        <w:tblW w:w="4375" w:type="dxa"/>
        <w:jc w:val="left"/>
        <w:tblInd w:w="0" w:type="dxa"/>
        <w:tblCellMar>
          <w:top w:w="0" w:type="dxa"/>
          <w:left w:w="0" w:type="dxa"/>
          <w:bottom w:w="0" w:type="dxa"/>
          <w:right w:w="0" w:type="dxa"/>
        </w:tblCellMar>
      </w:tblPr>
      <w:tblGrid>
        <w:gridCol w:w="1100"/>
        <w:gridCol w:w="3275"/>
      </w:tblGrid>
      <w:tr>
        <w:trPr/>
        <w:tc>
          <w:tcPr>
            <w:tcW w:w="1100" w:type="dxa"/>
            <w:tcBorders/>
            <w:shd w:fill="auto" w:val="clear"/>
            <w:vAlign w:val="center"/>
          </w:tcPr>
          <w:p>
            <w:pPr>
              <w:pStyle w:val="TableContents"/>
              <w:spacing w:before="0" w:after="283"/>
              <w:jc w:val="left"/>
              <w:rPr>
                <w:b/>
              </w:rPr>
            </w:pPr>
            <w:bookmarkStart w:id="24" w:name="tx497326_22"/>
            <w:bookmarkEnd w:id="24"/>
            <w:r>
              <w:rPr>
                <w:b/>
              </w:rPr>
              <w:t>ITEM 4A.</w:t>
            </w:r>
          </w:p>
        </w:tc>
        <w:tc>
          <w:tcPr>
            <w:tcW w:w="3275"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UNRESOLVED STAFF COMMENTS </w:t>
            </w:r>
          </w:p>
        </w:tc>
      </w:tr>
    </w:tbl>
    <w:p>
      <w:pPr>
        <w:pStyle w:val="TextBody"/>
        <w:spacing w:before="120" w:after="0"/>
        <w:jc w:val="both"/>
        <w:rPr>
          <w:rFonts w:ascii="Times New Roman" w:hAnsi="Times New Roman"/>
          <w:sz w:val="20"/>
        </w:rPr>
      </w:pPr>
      <w:r>
        <w:rPr>
          <w:rFonts w:ascii="Times New Roman" w:hAnsi="Times New Roman"/>
          <w:sz w:val="20"/>
        </w:rPr>
        <w:t xml:space="preserve">None. </w:t>
      </w:r>
    </w:p>
    <w:p>
      <w:pPr>
        <w:pStyle w:val="TextBody"/>
        <w:spacing w:before="0" w:after="0"/>
        <w:jc w:val="left"/>
        <w:rPr/>
      </w:pPr>
      <w:r>
        <w:rPr/>
        <w:t> </w:t>
      </w:r>
    </w:p>
    <w:tbl>
      <w:tblPr>
        <w:tblW w:w="6235" w:type="dxa"/>
        <w:jc w:val="left"/>
        <w:tblInd w:w="0" w:type="dxa"/>
        <w:tblCellMar>
          <w:top w:w="0" w:type="dxa"/>
          <w:left w:w="0" w:type="dxa"/>
          <w:bottom w:w="0" w:type="dxa"/>
          <w:right w:w="0" w:type="dxa"/>
        </w:tblCellMar>
      </w:tblPr>
      <w:tblGrid>
        <w:gridCol w:w="920"/>
        <w:gridCol w:w="5315"/>
      </w:tblGrid>
      <w:tr>
        <w:trPr/>
        <w:tc>
          <w:tcPr>
            <w:tcW w:w="920" w:type="dxa"/>
            <w:tcBorders/>
            <w:shd w:fill="auto" w:val="clear"/>
            <w:vAlign w:val="center"/>
          </w:tcPr>
          <w:p>
            <w:pPr>
              <w:pStyle w:val="TableContents"/>
              <w:spacing w:before="0" w:after="283"/>
              <w:jc w:val="left"/>
              <w:rPr>
                <w:b/>
              </w:rPr>
            </w:pPr>
            <w:bookmarkStart w:id="25" w:name="tx497326_23"/>
            <w:bookmarkEnd w:id="25"/>
            <w:r>
              <w:rPr>
                <w:b/>
              </w:rPr>
              <w:t>ITEM 5.</w:t>
            </w:r>
          </w:p>
        </w:tc>
        <w:tc>
          <w:tcPr>
            <w:tcW w:w="5315"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OPERATING AND FINANCIAL REVIEW AND PROSPECTS </w:t>
            </w:r>
          </w:p>
        </w:tc>
      </w:tr>
    </w:tbl>
    <w:p>
      <w:pPr>
        <w:pStyle w:val="TextBody"/>
        <w:spacing w:before="120" w:after="0"/>
        <w:jc w:val="both"/>
        <w:rPr>
          <w:rFonts w:ascii="Times New Roman" w:hAnsi="Times New Roman"/>
          <w:sz w:val="20"/>
        </w:rPr>
      </w:pPr>
      <w:r>
        <w:rPr>
          <w:rFonts w:ascii="Times New Roman" w:hAnsi="Times New Roman"/>
          <w:sz w:val="20"/>
        </w:rPr>
        <w:t xml:space="preserve">The following discussion and analysis should be read in conjunction with the information included under “Item 4. Information on the Company” and “Item 18. Financial Statements”. The following discussion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analysis contains forward-looking statements and involves numerous risks and uncertainties, including, but not limited to, those described in “Item 3. Key Information—D. Risk Factors.” Actual results could differ materially from those contained in any forward-looking statements. </w:t>
      </w:r>
    </w:p>
    <w:p>
      <w:pPr>
        <w:pStyle w:val="TextBody"/>
        <w:spacing w:before="240" w:after="0"/>
        <w:jc w:val="both"/>
        <w:rPr>
          <w:rFonts w:ascii="Times New Roman" w:hAnsi="Times New Roman"/>
          <w:sz w:val="20"/>
        </w:rPr>
      </w:pPr>
      <w:r>
        <w:rPr>
          <w:rFonts w:ascii="Times New Roman" w:hAnsi="Times New Roman"/>
          <w:sz w:val="20"/>
        </w:rPr>
        <w:t xml:space="preserve">Our consolidated financial statements have been prepared in accordance with IFRS as issued by the International Accounting Standards Board. </w:t>
      </w:r>
    </w:p>
    <w:p>
      <w:pPr>
        <w:pStyle w:val="TextBody"/>
        <w:spacing w:before="360" w:after="0"/>
        <w:jc w:val="left"/>
        <w:rPr>
          <w:rFonts w:ascii="Times New Roman" w:hAnsi="Times New Roman"/>
          <w:b/>
          <w:sz w:val="20"/>
        </w:rPr>
      </w:pPr>
      <w:r>
        <w:rPr>
          <w:rFonts w:ascii="Times New Roman" w:hAnsi="Times New Roman"/>
          <w:b/>
          <w:sz w:val="20"/>
        </w:rPr>
        <w:t xml:space="preserve">Overview </w:t>
      </w:r>
    </w:p>
    <w:p>
      <w:pPr>
        <w:pStyle w:val="TextBody"/>
        <w:spacing w:before="120" w:after="0"/>
        <w:jc w:val="both"/>
        <w:rPr>
          <w:rFonts w:ascii="Times New Roman" w:hAnsi="Times New Roman"/>
          <w:sz w:val="20"/>
        </w:rPr>
      </w:pPr>
      <w:r>
        <w:rPr>
          <w:rFonts w:ascii="Times New Roman" w:hAnsi="Times New Roman"/>
          <w:sz w:val="20"/>
        </w:rPr>
        <w:t xml:space="preserve">We believe we are a leading developer and manufacturer (in terms of production capacity) of advanced laser communication technology for aerospace-based communication networks in government and commercial markets. Laser communication networks provide connectivity from the sky, allowing for high data rates and secure, long-distance data transmission between moving objects for wireless terrestrial, airborne- and space-based applications. Our technology and products are designed to provide the secure wireless backbone for connectivity to link satellites, high-altitude platforms, unmanned aerial vehicles and aircraft with potential future use on ships, mobility platforms and fixed locations on the ground. For more information on our business, see “Item 4. Information on the Company—B. Business Overview.” </w:t>
      </w:r>
    </w:p>
    <w:p>
      <w:pPr>
        <w:pStyle w:val="TextBody"/>
        <w:spacing w:before="360" w:after="0"/>
        <w:jc w:val="left"/>
        <w:rPr>
          <w:rFonts w:ascii="Times New Roman" w:hAnsi="Times New Roman"/>
          <w:b/>
          <w:sz w:val="20"/>
        </w:rPr>
      </w:pPr>
      <w:r>
        <w:rPr>
          <w:rFonts w:ascii="Times New Roman" w:hAnsi="Times New Roman"/>
          <w:b/>
          <w:sz w:val="20"/>
        </w:rPr>
        <w:t xml:space="preserve">Key Factors Affecting Our Results of Operations </w:t>
      </w:r>
    </w:p>
    <w:p>
      <w:pPr>
        <w:pStyle w:val="TextBody"/>
        <w:spacing w:before="120" w:after="0"/>
        <w:jc w:val="both"/>
        <w:rPr>
          <w:rFonts w:ascii="Times New Roman" w:hAnsi="Times New Roman"/>
          <w:sz w:val="20"/>
        </w:rPr>
      </w:pPr>
      <w:r>
        <w:rPr>
          <w:rFonts w:ascii="Times New Roman" w:hAnsi="Times New Roman"/>
          <w:sz w:val="20"/>
        </w:rPr>
        <w:t xml:space="preserve">We believe that the factors discussed below have significantly affected our results of operations, financial position and cash flow in the historical periods for which financial information is presented in this Annual Report, and that these factors will continue to have a material effect on our results of operations, financial position and cash flow in the future. </w:t>
      </w:r>
    </w:p>
    <w:p>
      <w:pPr>
        <w:pStyle w:val="TextBody"/>
        <w:spacing w:before="360" w:after="0"/>
        <w:jc w:val="left"/>
        <w:rPr>
          <w:rFonts w:ascii="Times New Roman" w:hAnsi="Times New Roman"/>
          <w:b/>
          <w:i/>
          <w:sz w:val="20"/>
        </w:rPr>
      </w:pPr>
      <w:r>
        <w:rPr>
          <w:rFonts w:ascii="Times New Roman" w:hAnsi="Times New Roman"/>
          <w:b/>
          <w:i/>
          <w:sz w:val="20"/>
        </w:rPr>
        <w:t xml:space="preserve">Development of the Laser Communication Market </w:t>
      </w:r>
    </w:p>
    <w:p>
      <w:pPr>
        <w:pStyle w:val="TextBody"/>
        <w:spacing w:before="120" w:after="0"/>
        <w:jc w:val="both"/>
        <w:rPr>
          <w:rFonts w:ascii="Times New Roman" w:hAnsi="Times New Roman"/>
          <w:sz w:val="20"/>
        </w:rPr>
      </w:pPr>
      <w:r>
        <w:rPr>
          <w:rFonts w:ascii="Times New Roman" w:hAnsi="Times New Roman"/>
          <w:sz w:val="20"/>
        </w:rPr>
        <w:t xml:space="preserve">Our ability to successfully develop and commercialize our laser communication products depends on the willingness of potential customers to invest in the development of constellations in the context of aerospace-based communication networks. Over the past decade, the laser communication market has started to take shape, driven by rapid technological developments in the space industry, particularly the advent of smaller, lower-cost satellites. While government remains a critical driver for further expansion of global space activities, a number of well-funded technology companies have developed formidable commercial space-based communication capabilities. At the same time, as private sector space capabilities increase, governments have begun to realize the value of the private commercial space industry and have become increasingly supportive and reliant on private companies to catalyze innovation and advance national space objectives. The combination of increased access to capital, economies of scale, and open innovation models has driven rapid growth in the commercial space market in recent years. </w:t>
      </w:r>
    </w:p>
    <w:p>
      <w:pPr>
        <w:pStyle w:val="TextBody"/>
        <w:spacing w:before="240" w:after="0"/>
        <w:jc w:val="both"/>
        <w:rPr>
          <w:rFonts w:ascii="Times New Roman" w:hAnsi="Times New Roman"/>
          <w:sz w:val="20"/>
        </w:rPr>
      </w:pPr>
      <w:r>
        <w:rPr>
          <w:rFonts w:ascii="Times New Roman" w:hAnsi="Times New Roman"/>
          <w:sz w:val="20"/>
        </w:rPr>
        <w:t xml:space="preserve">Current demand for laser communication is predominantly driven by government needs, with the U.S. government spearheading the adoption of laser communication technology. U.S. allies and other governments are also evaluating new technologies as part of their national objectives to modernize their space capabilities. Accordingly, governments around the world in general, and the U.S. government in particular, have invested significantly in research and development as well as deployment of laser communication and other technologies with a view to developing the critical elements for connected systems and shared networks providing for highly connected and resilient coverage from the air and/or sky (e.g., constellations of infrared missile warning and missile tracking satellites, military IoT). For more information on these government programs, see “Item 4. Information on the Company—B. Business Overview—Key Investment Highlights—Multi-year government programs driving near-term adoption and technology validation.” The escalation of geopolitical tensions (such as the invasion of Ukraine by Russia) has further fueled the need for advanced capabilities to withstand and react to new threat scenarios, driving the recent increase in defense-related spending in the U.S. and Europe. </w:t>
      </w:r>
    </w:p>
    <w:p>
      <w:pPr>
        <w:pStyle w:val="TextBody"/>
        <w:spacing w:before="240" w:after="0"/>
        <w:jc w:val="both"/>
        <w:rPr>
          <w:rFonts w:ascii="Times New Roman" w:hAnsi="Times New Roman"/>
          <w:sz w:val="20"/>
        </w:rPr>
      </w:pPr>
      <w:r>
        <w:rPr>
          <w:rFonts w:ascii="Times New Roman" w:hAnsi="Times New Roman"/>
          <w:sz w:val="20"/>
        </w:rPr>
        <w:t xml:space="preserve">While government funding is currently the driving force and catalyst for laser communication, we believe that laser communication is in the early phases of widespread use across commercial applications. In recent years, large commercial companies have emerged seeking to build satellite mega-constellations, in particular for establishing alternative communication networks. Beyond communication, commercial constellation operators are targeting several additional applications, including Earth observation and IoT, which may result in a number of smaller companies seeking to provide data relay, secure storage or intelligence services in this market segment. As such, we believe that our business is well-positioned to benefit not only from the successful demonstration and deployment of laser communication technology in the governmental sector, but also from potential future large-scale deployment in the commercial and diversified markets.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Regulatory Environment and Government Regulation </w:t>
      </w:r>
    </w:p>
    <w:p>
      <w:pPr>
        <w:pStyle w:val="TextBody"/>
        <w:spacing w:before="120" w:after="0"/>
        <w:jc w:val="both"/>
        <w:rPr>
          <w:rFonts w:ascii="Times New Roman" w:hAnsi="Times New Roman"/>
          <w:sz w:val="20"/>
        </w:rPr>
      </w:pPr>
      <w:r>
        <w:rPr>
          <w:rFonts w:ascii="Times New Roman" w:hAnsi="Times New Roman"/>
          <w:sz w:val="20"/>
        </w:rPr>
        <w:t>We are subject to a wide variety of laws and regulations relating to various aspects of our business, including complex and evolving export control laws as well as economic sanctions laws promulgated by the United States, Germany and the European Union. Export control and economic sanctions laws may include prohibitions on the sale or supply of certain products to embargoed or sanctioned countries and regions, governments, persons and entities. For example, in July 2020, the German government prohibited a shipment of our CONDOR terminals to a customer in China based on the German Foreign Trade and Payments Act (</w:t>
      </w:r>
      <w:r>
        <w:rPr>
          <w:rFonts w:ascii="Times New Roman" w:hAnsi="Times New Roman"/>
          <w:i/>
          <w:sz w:val="20"/>
        </w:rPr>
        <w:t>Außenwirtschaftsgesetz</w:t>
      </w:r>
      <w:r>
        <w:rPr>
          <w:rFonts w:ascii="Times New Roman" w:hAnsi="Times New Roman"/>
          <w:sz w:val="20"/>
        </w:rPr>
        <w:t xml:space="preserve">). The ban was issued on the grounds of essential security interests, in order to prevent a disturbance of the peaceful coexistence of nations and to prevent a substantial disturbance of Germany’s foreign relations, as the CONDOR terminals would have a potential use in the fields of military reconnaissance and communication. To comply with the ban, in 2020, we terminated all business relationships with customers in China, as a result of which we suffered significant losses in revenue. Following this decision, in 2020, the German government categorized laser communication network products as dual-use goods. See “Item 3. Key Information—D. Risk Factors—Regulatory, Legal and Tax Risks—We are subject to regulatory risks, in particular related to evolving sanctions laws as well as governmental export controls, in a number of jurisdictions that could limit our customer base and result in higher compliance costs.” </w:t>
      </w:r>
    </w:p>
    <w:p>
      <w:pPr>
        <w:pStyle w:val="TextBody"/>
        <w:spacing w:before="240" w:after="0"/>
        <w:jc w:val="both"/>
        <w:rPr>
          <w:rFonts w:ascii="Times New Roman" w:hAnsi="Times New Roman"/>
          <w:sz w:val="20"/>
        </w:rPr>
      </w:pPr>
      <w:r>
        <w:rPr>
          <w:rFonts w:ascii="Times New Roman" w:hAnsi="Times New Roman"/>
          <w:sz w:val="20"/>
        </w:rPr>
        <w:t xml:space="preserve">In addition to such export controls laws and regulations, various countries regulate the importation of certain products, through import permitting and licensing requirements. We are also subject to international trade restrictions in certain of our markets, which may impact the sale and delivery of our products going forward. </w:t>
      </w:r>
    </w:p>
    <w:p>
      <w:pPr>
        <w:pStyle w:val="TextBody"/>
        <w:spacing w:before="360" w:after="0"/>
        <w:jc w:val="left"/>
        <w:rPr>
          <w:rFonts w:ascii="Times New Roman" w:hAnsi="Times New Roman"/>
          <w:b/>
          <w:i/>
          <w:sz w:val="20"/>
        </w:rPr>
      </w:pPr>
      <w:r>
        <w:rPr>
          <w:rFonts w:ascii="Times New Roman" w:hAnsi="Times New Roman"/>
          <w:b/>
          <w:i/>
          <w:sz w:val="20"/>
        </w:rPr>
        <w:t xml:space="preserve">Commercialization of our Technology and Serial Production </w:t>
      </w:r>
    </w:p>
    <w:p>
      <w:pPr>
        <w:pStyle w:val="TextBody"/>
        <w:spacing w:before="120" w:after="0"/>
        <w:jc w:val="both"/>
        <w:rPr>
          <w:rFonts w:ascii="Times New Roman" w:hAnsi="Times New Roman"/>
          <w:sz w:val="20"/>
        </w:rPr>
      </w:pPr>
      <w:r>
        <w:rPr>
          <w:rFonts w:ascii="Times New Roman" w:hAnsi="Times New Roman"/>
          <w:sz w:val="20"/>
        </w:rPr>
        <w:t xml:space="preserve">To further drive commercialization of our technology and ramp-up serial production, we must complete the ongoing expansion of our production and development facilities, purchase and integrate related equipment, and achieve several research and development milestones. In 2020, we leased a production facility in Oberpfaffenhofen, Germany, requiring substantial installation of manufacturing equipment; a first expansion phase was completed in 2021. We also made investments in our laboratory and testing equipment, including our micro-vibration link testbed and clean room facilities. We also have incurred, and expect to continue to incur, significant costs in connection with the expansion of our facility in Los Angeles, where we recently installed the industry’s first laser communication interoperability lab. In preparation for future growth, we have decided to further expand our facilities from 2023 onwards. To this end, we signed a lease agreement for a new location in Munich which offers approximately 11,000 square meters (approximately 120,000 square feet) of office space, production and development facilities. We expect handover of the facility to take place in July 2023. </w:t>
      </w:r>
    </w:p>
    <w:p>
      <w:pPr>
        <w:pStyle w:val="TextBody"/>
        <w:spacing w:before="240" w:after="0"/>
        <w:jc w:val="both"/>
        <w:rPr>
          <w:rFonts w:ascii="Times New Roman" w:hAnsi="Times New Roman"/>
          <w:sz w:val="20"/>
        </w:rPr>
      </w:pPr>
      <w:r>
        <w:rPr>
          <w:rFonts w:ascii="Times New Roman" w:hAnsi="Times New Roman"/>
          <w:sz w:val="20"/>
        </w:rPr>
        <w:t xml:space="preserve">In addition, we need to further improve our production processes, the manufacturability of our products, our production yield and costs and the stability of our supply chain. These factors, among others, impact our ability to produce our products at increasing quantities and are crucial to achieve our intended production targets, execute on our optical communications terminal backlog and be able to serve additional customers. To this extent, we plan to continue to expand our team with qualified production personnel and invest in our capabilities, technologies and products. </w:t>
      </w:r>
    </w:p>
    <w:p>
      <w:pPr>
        <w:pStyle w:val="TextBody"/>
        <w:spacing w:before="240" w:after="0"/>
        <w:jc w:val="both"/>
        <w:rPr>
          <w:rFonts w:ascii="Times New Roman" w:hAnsi="Times New Roman"/>
          <w:sz w:val="20"/>
        </w:rPr>
      </w:pPr>
      <w:r>
        <w:rPr>
          <w:rFonts w:ascii="Times New Roman" w:hAnsi="Times New Roman"/>
          <w:sz w:val="20"/>
        </w:rPr>
        <w:t xml:space="preserve">Going forward, we will require additional capital to continue the ramp up of our serial production capabilities, targeting a per year production rate capacity of up to 2,000 units in the medium term. Until we can generate sufficient cash-flow from customer contracts, we expect to finance our operations through a combination of existing cash, possible additional public equity offerings, debt financings, collaborations, and licensing arrangements. The amount and timing of our future funding requirements will depend on many factors, including the pace and results of our further development efforts. </w:t>
      </w:r>
    </w:p>
    <w:p>
      <w:pPr>
        <w:pStyle w:val="TextBody"/>
        <w:spacing w:before="360" w:after="0"/>
        <w:jc w:val="left"/>
        <w:rPr>
          <w:rFonts w:ascii="Times New Roman" w:hAnsi="Times New Roman"/>
          <w:b/>
          <w:i/>
          <w:sz w:val="20"/>
        </w:rPr>
      </w:pPr>
      <w:r>
        <w:rPr>
          <w:rFonts w:ascii="Times New Roman" w:hAnsi="Times New Roman"/>
          <w:b/>
          <w:i/>
          <w:sz w:val="20"/>
        </w:rPr>
        <w:t xml:space="preserve">Customer Demand </w:t>
      </w:r>
    </w:p>
    <w:p>
      <w:pPr>
        <w:pStyle w:val="TextBody"/>
        <w:spacing w:before="120" w:after="0"/>
        <w:jc w:val="both"/>
        <w:rPr>
          <w:rFonts w:ascii="Times New Roman" w:hAnsi="Times New Roman"/>
          <w:sz w:val="20"/>
        </w:rPr>
      </w:pPr>
      <w:r>
        <w:rPr>
          <w:rFonts w:ascii="Times New Roman" w:hAnsi="Times New Roman"/>
          <w:sz w:val="20"/>
        </w:rPr>
        <w:t xml:space="preserve">We have received significant interest in our technology and products from a wide array of different potential customers, including, among others, government agencies, aerospace companies and private satellite providers. Within the value chain for the government aerospace-based communication industry, we are a sub-system supplier for system primes such as aircraft and satellite manufacturers that are prime contractors for the U.S. government. In the commercial market, we primarily contract with companies aiming to establish smaller Earth observation and surveillance constellations for our CONDOR terminals. In this context, we also enter into strategic partnership agreements with certain key customers for the further development of our products.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In 2020, we received an order for two HAWK terminals from L3Harris (which we previously announced as an undisclosed commercial customer) to introduce our HAWK terminal to the U.S. governmental market. To a limited extent, we also provided development and training services with respect to our HAWK terminals to L3Harris. We also sold certain components used in our CONDOR terminal to a Canadian customer and conducted a feasibility analysis for a Belgian customer in 2020. As we typically do not enter into contracts directly with the U.S. or non-U.S. governments, we consider our customers that are prime contractors for the U.S. or any other government as government customers. Accordingly, taking into account our Belgian customer for which we conducted a feasibility analysis, we had two commercial customers and one government customer in 2020. </w:t>
      </w:r>
    </w:p>
    <w:p>
      <w:pPr>
        <w:pStyle w:val="TextBody"/>
        <w:spacing w:before="240" w:after="0"/>
        <w:jc w:val="both"/>
        <w:rPr>
          <w:rFonts w:ascii="Times New Roman" w:hAnsi="Times New Roman"/>
          <w:sz w:val="20"/>
        </w:rPr>
      </w:pPr>
      <w:r>
        <w:rPr>
          <w:rFonts w:ascii="Times New Roman" w:hAnsi="Times New Roman"/>
          <w:sz w:val="20"/>
        </w:rPr>
        <w:t xml:space="preserve">In 2021, we delivered equipment used in our CONDOR terminal to a U.S. customer under a contract entered into in connection with Tranche 0 of the SDA’s Proliferated Warfighter Space Architecture (“PWSA”; formerly known as National Defense Space Architecture (NDSA)). Furthermore, we sold components used in our CONDOR terminal to NG (which we consider a government customer) and Capella Space (commercial customer). Accordingly, we had two government customers and one commercial customer in 2021 that we delivered terminals to. </w:t>
      </w:r>
    </w:p>
    <w:p>
      <w:pPr>
        <w:pStyle w:val="TextBody"/>
        <w:spacing w:before="240" w:after="0"/>
        <w:jc w:val="both"/>
        <w:rPr>
          <w:rFonts w:ascii="Times New Roman" w:hAnsi="Times New Roman"/>
          <w:sz w:val="20"/>
        </w:rPr>
      </w:pPr>
      <w:r>
        <w:rPr>
          <w:rFonts w:ascii="Times New Roman" w:hAnsi="Times New Roman"/>
          <w:sz w:val="20"/>
        </w:rPr>
        <w:t xml:space="preserve">In 2022, we delivered a small number of CONDOR terminals to Telesat for its work on the DARPA’s Blackjack program. We furthermore leased and delivered a small number of our CONDOR terminals to two U.S.-based customers for temporary use. In addition, we delivered a small number of HAWK terminals to each of a U.S.-based government customer and a new commercial U.S.-based energy customer. While we had entered into a contract with SpaceLink Corporation (“SpaceLink”), a (former) commercial customer, we never delivered any terminals to SpaceLink. SpaceLink made several milestone payments throughout 2021 and 2022 but defaulted on its payment obligations in October 2022, as a result of which we decided to terminate our contract with SpaceLink with immediate effect in November 2022. We recognized SpaceLink’s milestone payments in 2022 as revenue in 2022. Other than SpaceLink, we had two government customers and one commercial customer in 2022 that we delivered terminals to. </w:t>
      </w:r>
    </w:p>
    <w:p>
      <w:pPr>
        <w:pStyle w:val="TextBody"/>
        <w:spacing w:before="240" w:after="0"/>
        <w:jc w:val="both"/>
        <w:rPr>
          <w:rFonts w:ascii="Times New Roman" w:hAnsi="Times New Roman"/>
          <w:sz w:val="20"/>
        </w:rPr>
      </w:pPr>
      <w:r>
        <w:rPr>
          <w:rFonts w:ascii="Times New Roman" w:hAnsi="Times New Roman"/>
          <w:sz w:val="20"/>
        </w:rPr>
        <w:t xml:space="preserve">Besides these initial customer deliveries, in March 2022, we received an order from NG relating to Tranche 1 of the SDA’s PWSA satellite constellation. NG’s order has an initial value of $36 million and provides for performance-based payment milestones throughout 2022, 2023 and 2024 and product deliveries mostly in 2023 and 2024. The order follows the strategic supplier agreement (the “Strategic Agreement”) that we had entered into with NG in October 2021, under which we agreed to serve as a strategic supplier to NG and to exclusively develop and sell customized laser communication solutions for use in or relating to space to NG where the ultimate customer is a U.S. government customer. For more information on the Strategic Agreement and the March 2022 agreement, see “Item 4 Information on the Company—B. Business Overview—Our Operations—Our Go-To-Market Strategy—Strategic Agreement with Northrop Grumman.” In October 2022, we received an additional order from NG for 42 CONDOR terminals as part of the SDA’s Tranche 1 tracking layer program. </w:t>
      </w:r>
    </w:p>
    <w:p>
      <w:pPr>
        <w:pStyle w:val="TextBody"/>
        <w:spacing w:before="240" w:after="0"/>
        <w:jc w:val="both"/>
        <w:rPr>
          <w:rFonts w:ascii="Times New Roman" w:hAnsi="Times New Roman"/>
          <w:sz w:val="20"/>
        </w:rPr>
      </w:pPr>
      <w:r>
        <w:rPr>
          <w:rFonts w:ascii="Times New Roman" w:hAnsi="Times New Roman"/>
          <w:sz w:val="20"/>
        </w:rPr>
        <w:t xml:space="preserve">In July 2022, we agreed with L3Harris on a strategic cooperation framework pursuant to which we will serve as preferred provider of laser communication solutions to L3Harris and L3Harris, in return, was granted certain collaboration privileges. In connection therewith, L3Harris invested approximately €11.2 million by means of a capital increase from authorized capital in exchange for 409,294 new ordinary shares. With this strategic cooperation framework, we and L3Harris seek to build on our existing collaboration in the airborne domain and widen the scope to cover all domains including space, air, maritime and ground. </w:t>
      </w:r>
    </w:p>
    <w:p>
      <w:pPr>
        <w:pStyle w:val="TextBody"/>
        <w:spacing w:before="240" w:after="0"/>
        <w:jc w:val="both"/>
        <w:rPr>
          <w:rFonts w:ascii="Times New Roman" w:hAnsi="Times New Roman"/>
          <w:sz w:val="20"/>
        </w:rPr>
      </w:pPr>
      <w:r>
        <w:rPr>
          <w:rFonts w:ascii="Times New Roman" w:hAnsi="Times New Roman"/>
          <w:sz w:val="20"/>
        </w:rPr>
        <w:t xml:space="preserve">In 2021 and 2022, we were awarded additional contracts by different government agencies relating to the design, development, production and testing of initial demonstrators for end-to-end optical communication systems. For more information on these additional contracts, see “Item 4 Information on the Company—B. Business Overview—Key Investment Highlights—Deeply engaged with customers in the government market through highly attractive contract awards within initial government programs.” </w:t>
      </w:r>
    </w:p>
    <w:p>
      <w:pPr>
        <w:pStyle w:val="TextBody"/>
        <w:spacing w:before="240" w:after="0"/>
        <w:jc w:val="both"/>
        <w:rPr>
          <w:rFonts w:ascii="Times New Roman" w:hAnsi="Times New Roman"/>
          <w:sz w:val="20"/>
        </w:rPr>
      </w:pPr>
      <w:r>
        <w:rPr>
          <w:rFonts w:ascii="Times New Roman" w:hAnsi="Times New Roman"/>
          <w:sz w:val="20"/>
        </w:rPr>
        <w:t xml:space="preserve">As a result of our government track record and our first mover advantage, we have also been able to secure initial wins in the commercial market. For example, in August 2021, we received a purchase order from Capella Space (which we previously announced as an undisclosed commercial customer), under which we will deliver up to 20 CONDOR terminals over a period of four years. </w:t>
      </w:r>
    </w:p>
    <w:p>
      <w:pPr>
        <w:pStyle w:val="TextBody"/>
        <w:spacing w:before="240" w:after="0"/>
        <w:jc w:val="both"/>
        <w:rPr>
          <w:rFonts w:ascii="Times New Roman" w:hAnsi="Times New Roman"/>
          <w:sz w:val="20"/>
        </w:rPr>
      </w:pPr>
      <w:r>
        <w:rPr>
          <w:rFonts w:ascii="Times New Roman" w:hAnsi="Times New Roman"/>
          <w:sz w:val="20"/>
        </w:rPr>
        <w:t xml:space="preserve">Driven by these initial customer wins, our optical communications terminal backlog grew significantly year-over-year from three terminal deliverables in backlog as of December 31, 2020 to 40 terminal deliverables 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backlog as of December 31, 2021 (taking into account 30 terminal deliverables under our contract with SpaceLink that we terminated in November 2022) and to 256 units as of December 31, 2022. Optical communications terminal backlog represents the quantity of all open optical communications terminal deliverables in the context of signed customer programs at the end of a reporting period. Optical communications terminals are defined as the individual devices responsible for pointing the laser beam and capable of establishing a singular optical link each. The optical communications terminal backlog includes (i) optical communications terminal deliverables related to customer purchase orders; and (ii) optical communications terminal deliverables in the context of other signed agreements. Backlog is calculated as the order backlog at the beginning of a reporting period plus the order intake within the reporting period minus terminal deliveries recognized as revenue within the reporting period and as adjusted for canceled orders, changes in scope and adjustments. If there are multiple options for deliveries under a particular purchase order or binding agreement, backlog only takes into account the most likely contract option based on management assessment and customer discussions. We believe that optical communications terminal backlog will continue to increase significantly in 2023 and have already achieved an increase resulting in an optical communications terminal backlog of 348 terminal deliverables as of April 27, 2023. </w:t>
      </w:r>
    </w:p>
    <w:p>
      <w:pPr>
        <w:pStyle w:val="TextBody"/>
        <w:spacing w:before="240" w:after="0"/>
        <w:jc w:val="both"/>
        <w:rPr>
          <w:rFonts w:ascii="Times New Roman" w:hAnsi="Times New Roman"/>
          <w:sz w:val="20"/>
        </w:rPr>
      </w:pPr>
      <w:r>
        <w:rPr>
          <w:rFonts w:ascii="Times New Roman" w:hAnsi="Times New Roman"/>
          <w:sz w:val="20"/>
        </w:rPr>
        <w:t xml:space="preserve">In light of the increase in optical communications terminal backlog, cash-in from customer contracts increased from €1.9 million in 2020 to €3.9 million in 2021 to €18.3 million in 2022. Cash-in from customer contracts includes payments from customers under purchase orders and other signed agreements, including payments received based on payment milestones under customer programs. We often accrue meaningful payment milestones during the integration phase that precede customer deliveries. For the four months period ended April 30, 2023, cash-in from customer contracts amounted to €18.8 million. Based on our current optical communications terminal backlog, expected shipments to customers and our sales pipeline, we expect cash-in from customer contracts to increase significantly in 2023. </w:t>
      </w:r>
    </w:p>
    <w:p>
      <w:pPr>
        <w:pStyle w:val="TextBody"/>
        <w:spacing w:before="240" w:after="0"/>
        <w:jc w:val="both"/>
        <w:rPr>
          <w:rFonts w:ascii="Times New Roman" w:hAnsi="Times New Roman"/>
          <w:sz w:val="20"/>
        </w:rPr>
      </w:pPr>
      <w:r>
        <w:rPr>
          <w:rFonts w:ascii="Times New Roman" w:hAnsi="Times New Roman"/>
          <w:sz w:val="20"/>
        </w:rPr>
        <w:t xml:space="preserve">Below is an overview of cash-in from customer contracts and optical communications terminal backlog for the periods presented: </w:t>
      </w:r>
    </w:p>
    <w:p>
      <w:pPr>
        <w:pStyle w:val="TextBody"/>
        <w:spacing w:before="0" w:after="0"/>
        <w:jc w:val="left"/>
        <w:rPr/>
      </w:pPr>
      <w:r>
        <w:rPr/>
        <w:t> </w:t>
      </w:r>
    </w:p>
    <w:tbl>
      <w:tblPr>
        <w:tblW w:w="9753" w:type="dxa"/>
        <w:jc w:val="left"/>
        <w:tblInd w:w="0" w:type="dxa"/>
        <w:tblCellMar>
          <w:top w:w="0" w:type="dxa"/>
          <w:left w:w="0" w:type="dxa"/>
          <w:bottom w:w="0" w:type="dxa"/>
          <w:right w:w="0" w:type="dxa"/>
        </w:tblCellMar>
      </w:tblPr>
      <w:tblGrid>
        <w:gridCol w:w="4235"/>
        <w:gridCol w:w="120"/>
        <w:gridCol w:w="119"/>
        <w:gridCol w:w="1361"/>
        <w:gridCol w:w="675"/>
        <w:gridCol w:w="119"/>
        <w:gridCol w:w="119"/>
        <w:gridCol w:w="1121"/>
        <w:gridCol w:w="446"/>
        <w:gridCol w:w="119"/>
        <w:gridCol w:w="119"/>
        <w:gridCol w:w="1125"/>
        <w:gridCol w:w="75"/>
      </w:tblGrid>
      <w:tr>
        <w:trPr/>
        <w:tc>
          <w:tcPr>
            <w:tcW w:w="42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361"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2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323" w:type="dxa"/>
            <w:gridSpan w:val="10"/>
            <w:tcBorders>
              <w:bottom w:val="single" w:sz="8" w:space="0" w:color="000000"/>
            </w:tcBorders>
            <w:shd w:fill="auto" w:val="clear"/>
            <w:tcMar>
              <w:bottom w:w="28" w:type="dxa"/>
            </w:tcMar>
            <w:vAlign w:val="center"/>
          </w:tcPr>
          <w:p>
            <w:pPr>
              <w:pStyle w:val="TableContents"/>
              <w:spacing w:before="0" w:after="283"/>
              <w:jc w:val="center"/>
              <w:rPr/>
            </w:pPr>
            <w:r>
              <w:rPr/>
              <w:t>        </w:t>
            </w:r>
            <w:r>
              <w:rPr>
                <w:b/>
              </w:rPr>
              <w:t>As of and for the year ended December 31,        </w:t>
            </w:r>
          </w:p>
        </w:tc>
        <w:tc>
          <w:tcPr>
            <w:tcW w:w="75" w:type="dxa"/>
            <w:tcBorders/>
            <w:shd w:fill="auto" w:val="clear"/>
            <w:vAlign w:val="center"/>
          </w:tcPr>
          <w:p>
            <w:pPr>
              <w:pStyle w:val="TableContents"/>
              <w:spacing w:before="0" w:after="283"/>
              <w:rPr/>
            </w:pPr>
            <w:r>
              <w:rPr/>
              <w:t> </w:t>
            </w:r>
          </w:p>
        </w:tc>
      </w:tr>
      <w:tr>
        <w:trPr/>
        <w:tc>
          <w:tcPr>
            <w:tcW w:w="42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8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675"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446"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1244"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2020</w:t>
            </w:r>
          </w:p>
        </w:tc>
        <w:tc>
          <w:tcPr>
            <w:tcW w:w="75" w:type="dxa"/>
            <w:tcBorders/>
            <w:shd w:fill="auto" w:val="clear"/>
            <w:vAlign w:val="center"/>
          </w:tcPr>
          <w:p>
            <w:pPr>
              <w:pStyle w:val="TableContents"/>
              <w:spacing w:before="0" w:after="283"/>
              <w:rPr/>
            </w:pPr>
            <w:r>
              <w:rPr/>
              <w:t> </w:t>
            </w:r>
          </w:p>
        </w:tc>
      </w:tr>
      <w:tr>
        <w:trPr/>
        <w:tc>
          <w:tcPr>
            <w:tcW w:w="42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323" w:type="dxa"/>
            <w:gridSpan w:val="10"/>
            <w:tcBorders/>
            <w:shd w:fill="auto" w:val="clear"/>
            <w:vAlign w:val="center"/>
          </w:tcPr>
          <w:p>
            <w:pPr>
              <w:pStyle w:val="TableContents"/>
              <w:spacing w:before="0" w:after="283"/>
              <w:jc w:val="center"/>
              <w:rPr>
                <w:b/>
              </w:rPr>
            </w:pPr>
            <w:r>
              <w:rPr>
                <w:b/>
              </w:rPr>
              <w:t>(unaudited)</w:t>
            </w:r>
          </w:p>
        </w:tc>
        <w:tc>
          <w:tcPr>
            <w:tcW w:w="75" w:type="dxa"/>
            <w:tcBorders/>
            <w:shd w:fill="auto" w:val="clear"/>
            <w:vAlign w:val="center"/>
          </w:tcPr>
          <w:p>
            <w:pPr>
              <w:pStyle w:val="TableContents"/>
              <w:spacing w:before="0" w:after="283"/>
              <w:rPr/>
            </w:pPr>
            <w:r>
              <w:rPr/>
              <w:t> </w:t>
            </w:r>
          </w:p>
        </w:tc>
      </w:tr>
      <w:tr>
        <w:trPr/>
        <w:tc>
          <w:tcPr>
            <w:tcW w:w="42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Cash-in from customer contracts (in € thousand)</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1361" w:type="dxa"/>
            <w:tcBorders/>
            <w:shd w:fill="CCEEFF" w:val="clear"/>
            <w:vAlign w:val="center"/>
          </w:tcPr>
          <w:p>
            <w:pPr>
              <w:pStyle w:val="TableContents"/>
              <w:spacing w:before="0" w:after="283"/>
              <w:jc w:val="right"/>
              <w:rPr/>
            </w:pPr>
            <w:r>
              <w:rPr/>
              <w:t>18,307</w:t>
            </w:r>
          </w:p>
        </w:tc>
        <w:tc>
          <w:tcPr>
            <w:tcW w:w="675" w:type="dxa"/>
            <w:tcBorders/>
            <w:shd w:fill="CCEEFF" w:val="clear"/>
            <w:vAlign w:val="center"/>
          </w:tcPr>
          <w:p>
            <w:pPr>
              <w:pStyle w:val="TableContents"/>
              <w:spacing w:before="0" w:after="283"/>
              <w:rPr/>
            </w:pPr>
            <w:r>
              <w:rPr/>
              <w:t>(1)(2) </w:t>
            </w:r>
          </w:p>
        </w:tc>
        <w:tc>
          <w:tcPr>
            <w:tcW w:w="119"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1121" w:type="dxa"/>
            <w:tcBorders/>
            <w:shd w:fill="CCEEFF" w:val="clear"/>
            <w:vAlign w:val="center"/>
          </w:tcPr>
          <w:p>
            <w:pPr>
              <w:pStyle w:val="TableContents"/>
              <w:spacing w:before="0" w:after="283"/>
              <w:jc w:val="right"/>
              <w:rPr/>
            </w:pPr>
            <w:r>
              <w:rPr/>
              <w:t>3,887</w:t>
            </w:r>
          </w:p>
        </w:tc>
        <w:tc>
          <w:tcPr>
            <w:tcW w:w="446" w:type="dxa"/>
            <w:tcBorders/>
            <w:shd w:fill="CCEEFF" w:val="clear"/>
            <w:vAlign w:val="center"/>
          </w:tcPr>
          <w:p>
            <w:pPr>
              <w:pStyle w:val="TableContents"/>
              <w:spacing w:before="0" w:after="283"/>
              <w:rPr/>
            </w:pPr>
            <w:r>
              <w:rPr/>
              <w:t>(2) </w:t>
            </w:r>
          </w:p>
        </w:tc>
        <w:tc>
          <w:tcPr>
            <w:tcW w:w="119"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1125" w:type="dxa"/>
            <w:tcBorders/>
            <w:shd w:fill="CCEEFF" w:val="clear"/>
            <w:vAlign w:val="center"/>
          </w:tcPr>
          <w:p>
            <w:pPr>
              <w:pStyle w:val="TableContents"/>
              <w:spacing w:before="0" w:after="283"/>
              <w:jc w:val="right"/>
              <w:rPr/>
            </w:pPr>
            <w:r>
              <w:rPr/>
              <w:t>1,859</w:t>
            </w:r>
          </w:p>
        </w:tc>
        <w:tc>
          <w:tcPr>
            <w:tcW w:w="75" w:type="dxa"/>
            <w:tcBorders/>
            <w:shd w:fill="CCEEFF" w:val="clear"/>
            <w:vAlign w:val="center"/>
          </w:tcPr>
          <w:p>
            <w:pPr>
              <w:pStyle w:val="TableContents"/>
              <w:spacing w:before="0" w:after="283"/>
              <w:rPr/>
            </w:pPr>
            <w:r>
              <w:rPr/>
              <w:t> </w:t>
            </w:r>
          </w:p>
        </w:tc>
      </w:tr>
      <w:tr>
        <w:trPr/>
        <w:tc>
          <w:tcPr>
            <w:tcW w:w="42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Optical communications terminal backlog (in units)</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1361" w:type="dxa"/>
            <w:tcBorders/>
            <w:shd w:fill="auto" w:val="clear"/>
            <w:vAlign w:val="center"/>
          </w:tcPr>
          <w:p>
            <w:pPr>
              <w:pStyle w:val="TableContents"/>
              <w:spacing w:before="0" w:after="283"/>
              <w:jc w:val="right"/>
              <w:rPr/>
            </w:pPr>
            <w:r>
              <w:rPr/>
              <w:t>256</w:t>
            </w:r>
          </w:p>
        </w:tc>
        <w:tc>
          <w:tcPr>
            <w:tcW w:w="675"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1121" w:type="dxa"/>
            <w:tcBorders/>
            <w:shd w:fill="auto" w:val="clear"/>
            <w:vAlign w:val="center"/>
          </w:tcPr>
          <w:p>
            <w:pPr>
              <w:pStyle w:val="TableContents"/>
              <w:spacing w:before="0" w:after="283"/>
              <w:jc w:val="right"/>
              <w:rPr/>
            </w:pPr>
            <w:r>
              <w:rPr/>
              <w:t>40</w:t>
            </w:r>
          </w:p>
        </w:tc>
        <w:tc>
          <w:tcPr>
            <w:tcW w:w="446" w:type="dxa"/>
            <w:tcBorders/>
            <w:shd w:fill="auto" w:val="clear"/>
            <w:vAlign w:val="center"/>
          </w:tcPr>
          <w:p>
            <w:pPr>
              <w:pStyle w:val="TableContents"/>
              <w:spacing w:before="0" w:after="283"/>
              <w:rPr/>
            </w:pPr>
            <w:r>
              <w:rPr/>
              <w:t>(3)  </w:t>
            </w:r>
          </w:p>
        </w:tc>
        <w:tc>
          <w:tcPr>
            <w:tcW w:w="119"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1125" w:type="dxa"/>
            <w:tcBorders/>
            <w:shd w:fill="auto" w:val="clear"/>
            <w:vAlign w:val="center"/>
          </w:tcPr>
          <w:p>
            <w:pPr>
              <w:pStyle w:val="TableContents"/>
              <w:spacing w:before="0" w:after="283"/>
              <w:jc w:val="right"/>
              <w:rPr/>
            </w:pPr>
            <w:r>
              <w:rPr/>
              <w:t>3</w:t>
            </w:r>
          </w:p>
        </w:tc>
        <w:tc>
          <w:tcPr>
            <w:tcW w:w="75"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9640" w:type="dxa"/>
        <w:jc w:val="left"/>
        <w:tblInd w:w="0" w:type="dxa"/>
        <w:tblCellMar>
          <w:top w:w="0" w:type="dxa"/>
          <w:left w:w="0" w:type="dxa"/>
          <w:bottom w:w="0" w:type="dxa"/>
          <w:right w:w="0" w:type="dxa"/>
        </w:tblCellMar>
      </w:tblPr>
      <w:tblGrid>
        <w:gridCol w:w="305"/>
        <w:gridCol w:w="9335"/>
      </w:tblGrid>
      <w:tr>
        <w:trPr/>
        <w:tc>
          <w:tcPr>
            <w:tcW w:w="305" w:type="dxa"/>
            <w:tcBorders/>
            <w:shd w:fill="auto" w:val="clear"/>
            <w:vAlign w:val="center"/>
          </w:tcPr>
          <w:p>
            <w:pPr>
              <w:pStyle w:val="TableContents"/>
              <w:spacing w:before="0" w:after="283"/>
              <w:jc w:val="left"/>
              <w:rPr/>
            </w:pPr>
            <w:r>
              <w:rPr/>
              <w:t>(1)</w:t>
            </w:r>
          </w:p>
        </w:tc>
        <w:tc>
          <w:tcPr>
            <w:tcW w:w="933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Does not include approximately €11 million invoiced in December 2022 and paid by our customers in early 2023. </w:t>
            </w:r>
          </w:p>
        </w:tc>
      </w:tr>
    </w:tbl>
    <w:tbl>
      <w:tblPr>
        <w:tblW w:w="10205" w:type="dxa"/>
        <w:jc w:val="left"/>
        <w:tblInd w:w="0" w:type="dxa"/>
        <w:tblCellMar>
          <w:top w:w="0" w:type="dxa"/>
          <w:left w:w="0" w:type="dxa"/>
          <w:bottom w:w="0" w:type="dxa"/>
          <w:right w:w="0" w:type="dxa"/>
        </w:tblCellMar>
      </w:tblPr>
      <w:tblGrid>
        <w:gridCol w:w="240"/>
        <w:gridCol w:w="9965"/>
      </w:tblGrid>
      <w:tr>
        <w:trPr/>
        <w:tc>
          <w:tcPr>
            <w:tcW w:w="240" w:type="dxa"/>
            <w:tcBorders/>
            <w:shd w:fill="auto" w:val="clear"/>
            <w:vAlign w:val="center"/>
          </w:tcPr>
          <w:p>
            <w:pPr>
              <w:pStyle w:val="TableContents"/>
              <w:spacing w:before="0" w:after="283"/>
              <w:jc w:val="left"/>
              <w:rPr/>
            </w:pPr>
            <w:r>
              <w:rPr/>
              <w:t>(2)</w:t>
            </w:r>
          </w:p>
        </w:tc>
        <w:tc>
          <w:tcPr>
            <w:tcW w:w="996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 September / October 2022, Electro Optic Systems Holdings Ltd., the parent company of SpaceLink, announced that it would end its investment in U.S.-based satellite optical data-relay constellation startup SpaceLink due to the lack of an investment partner, thereby preparing SpaceLink for liquidation. While SpaceLink made several milestone payments throughout 2021 and 2022, it defaulted on its obligations in October 2022 as a result of which we decided to terminate our contract with SpaceLink with immediate effect in November 2022. The milestone payments made by SpaceLink, which are included in cash-in from customer contracts for the relevant periods, amounted to €549 thousand in the year ended December 31, 2022 and €1,813 thousand in the year ended December 31, 2021. </w:t>
            </w:r>
          </w:p>
        </w:tc>
      </w:tr>
    </w:tbl>
    <w:tbl>
      <w:tblPr>
        <w:tblW w:w="10205" w:type="dxa"/>
        <w:jc w:val="left"/>
        <w:tblInd w:w="0" w:type="dxa"/>
        <w:tblCellMar>
          <w:top w:w="0" w:type="dxa"/>
          <w:left w:w="0" w:type="dxa"/>
          <w:bottom w:w="0" w:type="dxa"/>
          <w:right w:w="0" w:type="dxa"/>
        </w:tblCellMar>
      </w:tblPr>
      <w:tblGrid>
        <w:gridCol w:w="257"/>
        <w:gridCol w:w="9948"/>
      </w:tblGrid>
      <w:tr>
        <w:trPr/>
        <w:tc>
          <w:tcPr>
            <w:tcW w:w="257" w:type="dxa"/>
            <w:tcBorders/>
            <w:shd w:fill="auto" w:val="clear"/>
            <w:vAlign w:val="center"/>
          </w:tcPr>
          <w:p>
            <w:pPr>
              <w:pStyle w:val="TableContents"/>
              <w:spacing w:before="0" w:after="283"/>
              <w:jc w:val="left"/>
              <w:rPr/>
            </w:pPr>
            <w:r>
              <w:rPr/>
              <w:t>(3)</w:t>
            </w:r>
          </w:p>
        </w:tc>
        <w:tc>
          <w:tcPr>
            <w:tcW w:w="9948"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As we only terminated our contract with SpaceLink in November 2022, backlog as of December 31, 2021 included 30 terminal deliverables under our contract with SpaceLink. Without the SpaceLink terminal deliverables, backlog as of December 31, 2021 would have amounted to ten terminal deliverables. </w:t>
            </w:r>
          </w:p>
        </w:tc>
      </w:tr>
    </w:tbl>
    <w:p>
      <w:pPr>
        <w:pStyle w:val="TextBody"/>
        <w:spacing w:before="240" w:after="0"/>
        <w:jc w:val="both"/>
        <w:rPr>
          <w:rFonts w:ascii="Times New Roman" w:hAnsi="Times New Roman"/>
          <w:sz w:val="20"/>
        </w:rPr>
      </w:pPr>
      <w:r>
        <w:rPr>
          <w:rFonts w:ascii="Times New Roman" w:hAnsi="Times New Roman"/>
          <w:sz w:val="20"/>
        </w:rPr>
        <w:t xml:space="preserve">We remain in active discussions with other potential customers and anticipate a considerable increase in customer demand as the constellation markets continue to develop. While initial customer orders are and will continue to be primarily used for pilot projects, we believe that following the successful initial deployment of our products, many of our customers will continue to use our products for the further rollout of their envisioned missions. The timing of receipt of revenues, if any, from projects with our customers is, however, uncertain and subject to change because many factors affect the scheduling of projects or missions. Adjustments to or cancellations of contracts may also occur. </w:t>
      </w:r>
    </w:p>
    <w:p>
      <w:pPr>
        <w:pStyle w:val="TextBody"/>
        <w:spacing w:before="360" w:after="0"/>
        <w:jc w:val="left"/>
        <w:rPr>
          <w:rFonts w:ascii="Times New Roman" w:hAnsi="Times New Roman"/>
          <w:b/>
          <w:i/>
          <w:sz w:val="20"/>
        </w:rPr>
      </w:pPr>
      <w:r>
        <w:rPr>
          <w:rFonts w:ascii="Times New Roman" w:hAnsi="Times New Roman"/>
          <w:b/>
          <w:i/>
          <w:sz w:val="20"/>
        </w:rPr>
        <w:t xml:space="preserve">Research &amp; Development </w:t>
      </w:r>
    </w:p>
    <w:p>
      <w:pPr>
        <w:pStyle w:val="TextBody"/>
        <w:spacing w:before="120" w:after="0"/>
        <w:jc w:val="both"/>
        <w:rPr>
          <w:rFonts w:ascii="Times New Roman" w:hAnsi="Times New Roman"/>
          <w:sz w:val="20"/>
        </w:rPr>
      </w:pPr>
      <w:r>
        <w:rPr>
          <w:rFonts w:ascii="Times New Roman" w:hAnsi="Times New Roman"/>
          <w:sz w:val="20"/>
        </w:rPr>
        <w:t xml:space="preserve">Research and development activities are central to our business. In 2020, we started pre-serial production of both our CONDOR and HAWK terminals and continued to improve our products with a view to ramping up serial production. We have expanded our testing facilities for product qualification in order to be able to conduct almost all testing in-house except for radiation testing and special EMC measurements. We expect that this approach will significantly accelerate the development cycle, thereby shortening time to market for next product generations.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Under IFRS (as with U.S. GAAP), research costs are expensed. However, unlike U.S. GAAP, IFRS has broad-based guidance that requires companies to capitalize development costs, including internal costs, when certain criteria are met. In particular, under IFRS internally developed intangible assets (</w:t>
      </w:r>
      <w:r>
        <w:rPr>
          <w:rFonts w:ascii="Times New Roman" w:hAnsi="Times New Roman"/>
          <w:i/>
          <w:sz w:val="20"/>
        </w:rPr>
        <w:t>e.g.</w:t>
      </w:r>
      <w:r>
        <w:rPr>
          <w:rFonts w:ascii="Times New Roman" w:hAnsi="Times New Roman"/>
          <w:sz w:val="20"/>
        </w:rPr>
        <w:t xml:space="preserve">, development expenses related to a prototype) are required to be capitalized and amortized if certain criteria are met, rather than expensed as incurred as they would be under U.S. GAAP. This difference requires companies that prepare their financial statements in accordance with IFRS, like us, to distinguish development activities from research activities, and to analyze whether and when the criteria for capitalizing development costs are met. </w:t>
      </w:r>
    </w:p>
    <w:p>
      <w:pPr>
        <w:pStyle w:val="TextBody"/>
        <w:spacing w:before="240" w:after="0"/>
        <w:jc w:val="both"/>
        <w:rPr>
          <w:rFonts w:ascii="Times New Roman" w:hAnsi="Times New Roman"/>
          <w:sz w:val="20"/>
        </w:rPr>
      </w:pPr>
      <w:r>
        <w:rPr>
          <w:rFonts w:ascii="Times New Roman" w:hAnsi="Times New Roman"/>
          <w:sz w:val="20"/>
        </w:rPr>
        <w:t xml:space="preserve">Under our accounting policies, we generally capitalize costs for the development of a technology until the time that development of such technology is completed. For our development projects “AIR technology” (the technological foundation for our HAWK terminal) and “SPACE technology” (the technological foundation for our CONDOR terminal), we defined such a point in time as the time of final development of a technology, followed by delivery of products based on such final technology to customers. All subsequent expenses incurred to maintain the value of the relevant technology are then expensed. Any expenses relating to the further development and/or adaption of our AIR or SPACE technology (such as the adaption of our SPACE technology for MEO-based constellations) or any new technology will only be capitalized if the requirements for capitalization under IFRS are fulfilled. </w:t>
      </w:r>
    </w:p>
    <w:p>
      <w:pPr>
        <w:pStyle w:val="TextBody"/>
        <w:spacing w:before="240" w:after="0"/>
        <w:jc w:val="both"/>
        <w:rPr>
          <w:rFonts w:ascii="Times New Roman" w:hAnsi="Times New Roman"/>
          <w:sz w:val="20"/>
        </w:rPr>
      </w:pPr>
      <w:r>
        <w:rPr>
          <w:rFonts w:ascii="Times New Roman" w:hAnsi="Times New Roman"/>
          <w:sz w:val="20"/>
        </w:rPr>
        <w:t xml:space="preserve">With respect to the development of our SPACE and AIR technologies, development costs included costs for the development of certain components for use in our CONDOR and HAWK terminals, respectively. Since we completed the development of the technology for our HAWK terminal in mid-2020, all subsequent expenses incurred in connection with our AIR technology have been recognized as expenses. For our SPACE technology, we reached this milestone in March 2021. Since then, we have only capitalized expenses relating to the adaptation of our SPACE technology for MEO-based constellations. The related capitalized costs of both our AIR and SPACE technologies are being amortized over their expected useful lives of 15 years. The expected useful lives of these technologies are estimated based on the experience of our laser experts and the expected product life, which is in turn determined on the basis of our own technical assessment and market studies. </w:t>
      </w:r>
    </w:p>
    <w:p>
      <w:pPr>
        <w:pStyle w:val="TextBody"/>
        <w:spacing w:before="240" w:after="0"/>
        <w:jc w:val="both"/>
        <w:rPr>
          <w:rFonts w:ascii="Times New Roman" w:hAnsi="Times New Roman"/>
          <w:sz w:val="20"/>
        </w:rPr>
      </w:pPr>
      <w:r>
        <w:rPr>
          <w:rFonts w:ascii="Times New Roman" w:hAnsi="Times New Roman"/>
          <w:sz w:val="20"/>
        </w:rPr>
        <w:t xml:space="preserve">Research and development expenditure totaled €19,096 thousand in 2022 compared to €20,675 thousand in 2021 and €14,449 thousand in 2020, of which €967 thousand, €2,845 thousand and €8,248 thousand, respectively, were capitalized. In the year ended December 31, 2022, an impairment in the amount of €1,531 thousand (2021: €0, 2020: €0) was recognized for the capitalized development costs regarding our adapted SPACE technology for MEO-based constellations. We expect that our research and development expenses will continue to increase over the next several years as we continue to modify our existing technology for use in related products and to develop other laser communication-related technologies. </w:t>
      </w:r>
    </w:p>
    <w:p>
      <w:pPr>
        <w:pStyle w:val="TextBody"/>
        <w:spacing w:before="240" w:after="0"/>
        <w:jc w:val="both"/>
        <w:rPr>
          <w:rFonts w:ascii="Times New Roman" w:hAnsi="Times New Roman"/>
          <w:sz w:val="20"/>
        </w:rPr>
      </w:pPr>
      <w:r>
        <w:rPr>
          <w:rFonts w:ascii="Times New Roman" w:hAnsi="Times New Roman"/>
          <w:sz w:val="20"/>
        </w:rPr>
        <w:t xml:space="preserve">In addition, protection of our intellectual property is fundamental to the long-term success of our business. We believe that our continued success depends in large part on our proprietary technology, the skills of our employees and the ability of our employees to continue to innovate and incorporate advances into our products. We rely exclusively on a combination of trade secret, copyright and trademark laws and contractual provisions with employees and third parties, to establish and protect our intellectual property rights. While our expertise in laser communication technology is critical to our success, we typically keep our inventions as trade secrets to avoid public disclosure. We do not own any patents and do not have any patent applications pending. We may incur significant losses without the protection afforded by patents. See “Item 3. Key Information—D. Risk Factors—Regulatory, Legal and Tax Risks—We may be unable to adequately protect our intellectual property and proprietary rights and prevent others from making unauthorized use of our products and technology.” </w:t>
      </w:r>
    </w:p>
    <w:p>
      <w:pPr>
        <w:pStyle w:val="TextBody"/>
        <w:spacing w:before="360" w:after="0"/>
        <w:jc w:val="left"/>
        <w:rPr>
          <w:rFonts w:ascii="Times New Roman" w:hAnsi="Times New Roman"/>
          <w:b/>
          <w:i/>
          <w:sz w:val="20"/>
        </w:rPr>
      </w:pPr>
      <w:r>
        <w:rPr>
          <w:rFonts w:ascii="Times New Roman" w:hAnsi="Times New Roman"/>
          <w:b/>
          <w:i/>
          <w:sz w:val="20"/>
        </w:rPr>
        <w:t xml:space="preserve">Personnel Costs </w:t>
      </w:r>
    </w:p>
    <w:p>
      <w:pPr>
        <w:pStyle w:val="TextBody"/>
        <w:spacing w:before="120" w:after="0"/>
        <w:jc w:val="both"/>
        <w:rPr>
          <w:rFonts w:ascii="Times New Roman" w:hAnsi="Times New Roman"/>
          <w:sz w:val="20"/>
        </w:rPr>
      </w:pPr>
      <w:r>
        <w:rPr>
          <w:rFonts w:ascii="Times New Roman" w:hAnsi="Times New Roman"/>
          <w:sz w:val="20"/>
        </w:rPr>
        <w:t xml:space="preserve">Personnel costs, which include salaries and wages as well as pensions and other social security contributions, account for a significant share of our costs. As we grow our business, we expect these costs to increase. We believe that our success depends, in a significant part, on the continued services of our senior management team and on our ability to attract, motivate, develop and retain a sufficient number of other highly qualified personnel such as engineering, design, manufacturing and quality assurance, finance, marketing, sales and support personnel. We cannot guarantee that our efforts to retain and motivate management and key employees or attract and retain other highly qualified personnel in the future will be successful. Competition for qualified employees is intense, and our ability to hire, attract and retain such employees depends, among other things, on our ability to provide competitive compensation. This may require us to increase compensation for current and new employees over time. See “Item 3. Key Information—D. Risk Factors—Risks Related to Our Business—We are highly dependent on our senior management team and other highly qualified personnel, and if we are not successful in attracting or retaining highly qualified personnel, we may not be able to successfully implement our business strategy.”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Currency Fluctuations </w:t>
      </w:r>
    </w:p>
    <w:p>
      <w:pPr>
        <w:pStyle w:val="TextBody"/>
        <w:spacing w:before="120" w:after="0"/>
        <w:jc w:val="both"/>
        <w:rPr>
          <w:rFonts w:ascii="Times New Roman" w:hAnsi="Times New Roman"/>
          <w:sz w:val="20"/>
        </w:rPr>
      </w:pPr>
      <w:r>
        <w:rPr>
          <w:rFonts w:ascii="Times New Roman" w:hAnsi="Times New Roman"/>
          <w:sz w:val="20"/>
        </w:rPr>
        <w:t xml:space="preserve">Our reporting currency is the Euro. Some of our current sales are, and we expect that a significant portion of our future sales will be, denominated in U.S. dollars. Fluctuations in foreign currency exchange rates and, in particular, the relative strength or weakness of the U.S. dollar and the Euro can have a significant impact on our performance and results of operations. A weakening of the U.S. dollar against the Euro would have a negative impact on results derived from sales made in U.S. dollars. Conversely, a strengthening of the U.S. dollar against the Euro, such as has occurred, could have a positive impact, for example, to the extent that we use U.S. dollar revenue to pay Euro denominated costs. Fluctuations in foreign currency rates could result in either a gain or a loss and could have a significant impact on our performance and results of operations. See “Item 3. Key Information—D. Risk Factors—Risks Related to Our Business—We are exposed to foreign currency exchange risk and our financial position and results of operations may be negatively affected by the fluctuation of different currencies.” </w:t>
      </w:r>
    </w:p>
    <w:p>
      <w:pPr>
        <w:pStyle w:val="TextBody"/>
        <w:spacing w:before="360" w:after="0"/>
        <w:jc w:val="left"/>
        <w:rPr>
          <w:rFonts w:ascii="Times New Roman" w:hAnsi="Times New Roman"/>
          <w:b/>
          <w:sz w:val="20"/>
        </w:rPr>
      </w:pPr>
      <w:r>
        <w:rPr>
          <w:rFonts w:ascii="Times New Roman" w:hAnsi="Times New Roman"/>
          <w:b/>
          <w:sz w:val="20"/>
        </w:rPr>
        <w:t xml:space="preserve">Components of Our Results of Operations </w:t>
      </w:r>
    </w:p>
    <w:p>
      <w:pPr>
        <w:pStyle w:val="TextBody"/>
        <w:spacing w:before="120" w:after="0"/>
        <w:jc w:val="both"/>
        <w:rPr>
          <w:rFonts w:ascii="Times New Roman" w:hAnsi="Times New Roman"/>
          <w:sz w:val="20"/>
        </w:rPr>
      </w:pPr>
      <w:r>
        <w:rPr>
          <w:rFonts w:ascii="Times New Roman" w:hAnsi="Times New Roman"/>
          <w:sz w:val="20"/>
        </w:rPr>
        <w:t>Our consolidated statement of profit or loss and other comprehensive income or loss presents costs using the “nature of expense” method, which results in an (unnetted) gross presentation (</w:t>
      </w:r>
      <w:r>
        <w:rPr>
          <w:rFonts w:ascii="Times New Roman" w:hAnsi="Times New Roman"/>
          <w:i/>
          <w:sz w:val="20"/>
        </w:rPr>
        <w:t>i.e.</w:t>
      </w:r>
      <w:r>
        <w:rPr>
          <w:rFonts w:ascii="Times New Roman" w:hAnsi="Times New Roman"/>
          <w:sz w:val="20"/>
        </w:rPr>
        <w:t xml:space="preserve">, before the deduction of any amounts capitalized) of the costs incurred broken down by type or nature of expenditure including cost of materials, personnel costs, depreciation, amortization and impairments, and other operating costs. All capitalized amounts relate to the development of intangible assets or the construction of property, plant and equipment, and are presented within the line item “Own work capitalized.” </w:t>
      </w:r>
    </w:p>
    <w:p>
      <w:pPr>
        <w:pStyle w:val="TextBody"/>
        <w:spacing w:before="240" w:after="0"/>
        <w:jc w:val="both"/>
        <w:rPr>
          <w:rFonts w:ascii="Times New Roman" w:hAnsi="Times New Roman"/>
          <w:sz w:val="20"/>
        </w:rPr>
      </w:pPr>
      <w:r>
        <w:rPr>
          <w:rFonts w:ascii="Times New Roman" w:hAnsi="Times New Roman"/>
          <w:sz w:val="20"/>
        </w:rPr>
        <w:t xml:space="preserve">The components of our results of operations include the following: </w:t>
      </w:r>
    </w:p>
    <w:p>
      <w:pPr>
        <w:pStyle w:val="TextBody"/>
        <w:spacing w:before="120" w:after="0"/>
        <w:jc w:val="both"/>
        <w:rPr>
          <w:rFonts w:ascii="Times New Roman" w:hAnsi="Times New Roman"/>
          <w:sz w:val="20"/>
        </w:rPr>
      </w:pPr>
      <w:r>
        <w:rPr>
          <w:rFonts w:ascii="Times New Roman" w:hAnsi="Times New Roman"/>
          <w:b/>
          <w:i/>
          <w:sz w:val="20"/>
        </w:rPr>
        <w:t>Revenue:</w:t>
      </w:r>
      <w:r>
        <w:rPr>
          <w:rFonts w:ascii="Times New Roman" w:hAnsi="Times New Roman"/>
          <w:sz w:val="20"/>
        </w:rPr>
        <w:t xml:space="preserve"> We generate revenue from contracts with customers for the delivery of goods or the provision of services. Our goods primarily include our CONDOR and HAWK terminals and the services rendered by us mainly consist of the provision of development and training services for our terminals. </w:t>
      </w:r>
    </w:p>
    <w:p>
      <w:pPr>
        <w:pStyle w:val="TextBody"/>
        <w:spacing w:before="240" w:after="0"/>
        <w:jc w:val="both"/>
        <w:rPr>
          <w:rFonts w:ascii="Times New Roman" w:hAnsi="Times New Roman"/>
          <w:sz w:val="20"/>
        </w:rPr>
      </w:pPr>
      <w:r>
        <w:rPr>
          <w:rFonts w:ascii="Times New Roman" w:hAnsi="Times New Roman"/>
          <w:b/>
          <w:i/>
          <w:sz w:val="20"/>
        </w:rPr>
        <w:t>Other operating income:</w:t>
      </w:r>
      <w:r>
        <w:rPr>
          <w:rFonts w:ascii="Times New Roman" w:hAnsi="Times New Roman"/>
          <w:sz w:val="20"/>
        </w:rPr>
        <w:t xml:space="preserve"> Other operating income comprises income from government grants and miscellaneous operating income. </w:t>
      </w:r>
    </w:p>
    <w:p>
      <w:pPr>
        <w:pStyle w:val="TextBody"/>
        <w:spacing w:before="240" w:after="0"/>
        <w:jc w:val="both"/>
        <w:rPr>
          <w:rFonts w:ascii="Times New Roman" w:hAnsi="Times New Roman"/>
          <w:sz w:val="20"/>
        </w:rPr>
      </w:pPr>
      <w:r>
        <w:rPr>
          <w:rFonts w:ascii="Times New Roman" w:hAnsi="Times New Roman"/>
          <w:b/>
          <w:i/>
          <w:sz w:val="20"/>
        </w:rPr>
        <w:t>Cost of materials:</w:t>
      </w:r>
      <w:r>
        <w:rPr>
          <w:rFonts w:ascii="Times New Roman" w:hAnsi="Times New Roman"/>
          <w:sz w:val="20"/>
        </w:rPr>
        <w:t xml:space="preserve"> Our cost of materials includes costs for raw materials and consumables used as well as costs for services purchased. </w:t>
      </w:r>
    </w:p>
    <w:p>
      <w:pPr>
        <w:pStyle w:val="TextBody"/>
        <w:spacing w:before="240" w:after="0"/>
        <w:jc w:val="both"/>
        <w:rPr>
          <w:rFonts w:ascii="Times New Roman" w:hAnsi="Times New Roman"/>
          <w:sz w:val="20"/>
        </w:rPr>
      </w:pPr>
      <w:r>
        <w:rPr>
          <w:rFonts w:ascii="Times New Roman" w:hAnsi="Times New Roman"/>
          <w:b/>
          <w:i/>
          <w:sz w:val="20"/>
        </w:rPr>
        <w:t>Personnel costs:</w:t>
      </w:r>
      <w:r>
        <w:rPr>
          <w:rFonts w:ascii="Times New Roman" w:hAnsi="Times New Roman"/>
          <w:sz w:val="20"/>
        </w:rPr>
        <w:t xml:space="preserve"> Our personnel costs consist of wages and salaries as well as share based payments, social security contributions, pensions and other employee benefits. Personnel expenses corresponds to personnel costs excluding own work capitalized. </w:t>
      </w:r>
    </w:p>
    <w:p>
      <w:pPr>
        <w:pStyle w:val="TextBody"/>
        <w:spacing w:before="240" w:after="0"/>
        <w:jc w:val="both"/>
        <w:rPr>
          <w:rFonts w:ascii="Times New Roman" w:hAnsi="Times New Roman"/>
          <w:sz w:val="20"/>
        </w:rPr>
      </w:pPr>
      <w:r>
        <w:rPr>
          <w:rFonts w:ascii="Times New Roman" w:hAnsi="Times New Roman"/>
          <w:b/>
          <w:i/>
          <w:sz w:val="20"/>
        </w:rPr>
        <w:t>Depreciation, amortization and impairments</w:t>
      </w:r>
      <w:r>
        <w:rPr>
          <w:rFonts w:ascii="Times New Roman" w:hAnsi="Times New Roman"/>
          <w:sz w:val="20"/>
        </w:rPr>
        <w:t xml:space="preserve">: Depreciation, amortization and impairments include amortization of intangible assets, depreciation of property, plant and equipment and right-of-use-assets. </w:t>
      </w:r>
    </w:p>
    <w:p>
      <w:pPr>
        <w:pStyle w:val="TextBody"/>
        <w:spacing w:before="240" w:after="0"/>
        <w:jc w:val="both"/>
        <w:rPr>
          <w:rFonts w:ascii="Times New Roman" w:hAnsi="Times New Roman"/>
          <w:sz w:val="20"/>
        </w:rPr>
      </w:pPr>
      <w:r>
        <w:rPr>
          <w:rFonts w:ascii="Times New Roman" w:hAnsi="Times New Roman"/>
          <w:b/>
          <w:i/>
          <w:sz w:val="20"/>
        </w:rPr>
        <w:t>Other operating costs:</w:t>
      </w:r>
      <w:r>
        <w:rPr>
          <w:rFonts w:ascii="Times New Roman" w:hAnsi="Times New Roman"/>
          <w:sz w:val="20"/>
        </w:rPr>
        <w:t xml:space="preserve"> Our other operating costs primarily consist of legal and consulting fees, office and IT costs, selling and travel costs, rent and maintenance, other office supplies, costs for preparation and audit of financial statements and accounting expenses, other staff costs as well as administrative offense proceedings. Other operating expenses corresponds to other operating costs excluding own work capitalized. </w:t>
      </w:r>
    </w:p>
    <w:p>
      <w:pPr>
        <w:pStyle w:val="TextBody"/>
        <w:spacing w:before="240" w:after="0"/>
        <w:jc w:val="both"/>
        <w:rPr>
          <w:rFonts w:ascii="Times New Roman" w:hAnsi="Times New Roman"/>
          <w:sz w:val="20"/>
        </w:rPr>
      </w:pPr>
      <w:r>
        <w:rPr>
          <w:rFonts w:ascii="Times New Roman" w:hAnsi="Times New Roman"/>
          <w:b/>
          <w:i/>
          <w:sz w:val="20"/>
        </w:rPr>
        <w:t>Change in inventories of finished goods and work in progress:</w:t>
      </w:r>
      <w:r>
        <w:rPr>
          <w:rFonts w:ascii="Times New Roman" w:hAnsi="Times New Roman"/>
          <w:sz w:val="20"/>
        </w:rPr>
        <w:t xml:space="preserve"> Change in inventories of finished goods and work in progress relates to the ongoing production and write downs of finished and unfinished goods of space and air terminals. </w:t>
      </w:r>
    </w:p>
    <w:p>
      <w:pPr>
        <w:pStyle w:val="TextBody"/>
        <w:spacing w:before="240" w:after="0"/>
        <w:jc w:val="both"/>
        <w:rPr>
          <w:rFonts w:ascii="Times New Roman" w:hAnsi="Times New Roman"/>
          <w:sz w:val="20"/>
        </w:rPr>
      </w:pPr>
      <w:r>
        <w:rPr>
          <w:rFonts w:ascii="Times New Roman" w:hAnsi="Times New Roman"/>
          <w:b/>
          <w:i/>
          <w:sz w:val="20"/>
        </w:rPr>
        <w:t>Own work capitalized:</w:t>
      </w:r>
      <w:r>
        <w:rPr>
          <w:rFonts w:ascii="Times New Roman" w:hAnsi="Times New Roman"/>
          <w:sz w:val="20"/>
        </w:rPr>
        <w:t xml:space="preserve"> Own work capitalized consists primarily of capitalized development costs shown under internally generated intangible assets. In addition, other own work capitalized includes own work for the construction of property, plant and equipment. </w:t>
      </w:r>
    </w:p>
    <w:p>
      <w:pPr>
        <w:pStyle w:val="TextBody"/>
        <w:spacing w:before="360" w:after="0"/>
        <w:jc w:val="left"/>
        <w:rPr>
          <w:rFonts w:ascii="Times New Roman" w:hAnsi="Times New Roman"/>
          <w:b/>
          <w:sz w:val="20"/>
        </w:rPr>
      </w:pPr>
      <w:bookmarkStart w:id="26" w:name="tx497326_24"/>
      <w:bookmarkEnd w:id="26"/>
      <w:r>
        <w:rPr>
          <w:rFonts w:ascii="Times New Roman" w:hAnsi="Times New Roman"/>
          <w:b/>
          <w:sz w:val="20"/>
        </w:rPr>
        <w:t xml:space="preserve">A. Operating Results </w:t>
      </w:r>
    </w:p>
    <w:p>
      <w:pPr>
        <w:pStyle w:val="TextBody"/>
        <w:spacing w:before="120" w:after="0"/>
        <w:jc w:val="both"/>
        <w:rPr>
          <w:rFonts w:ascii="Times New Roman" w:hAnsi="Times New Roman"/>
          <w:sz w:val="20"/>
        </w:rPr>
      </w:pPr>
      <w:r>
        <w:rPr>
          <w:rFonts w:ascii="Times New Roman" w:hAnsi="Times New Roman"/>
          <w:sz w:val="20"/>
        </w:rPr>
        <w:t xml:space="preserve">The following tables present the selected consolidated financial information for our company. The financial data as of and for the years ended December 31, 2022, 2021 and 2020 has been derived from our audited consolidated financial statements and the related notes thereto, which are included elsewhere in this Annual Report and which have been prepared in accordance with IFRS as issued by the IASB.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The financial data presented below is not necessarily indicative of the financial results expected for any future periods. The financial data below does not contain all the information included in our financial statements. </w:t>
      </w:r>
    </w:p>
    <w:p>
      <w:pPr>
        <w:pStyle w:val="TextBody"/>
        <w:spacing w:before="360" w:after="0"/>
        <w:jc w:val="left"/>
        <w:rPr>
          <w:rFonts w:ascii="Times New Roman" w:hAnsi="Times New Roman"/>
          <w:b/>
          <w:sz w:val="20"/>
        </w:rPr>
      </w:pPr>
      <w:r>
        <w:rPr>
          <w:rFonts w:ascii="Times New Roman" w:hAnsi="Times New Roman"/>
          <w:b/>
          <w:sz w:val="20"/>
        </w:rPr>
        <w:t xml:space="preserve">Consolidated Statement of Profit or Loss and Other Comprehensive Income </w:t>
      </w:r>
    </w:p>
    <w:p>
      <w:pPr>
        <w:pStyle w:val="TextBody"/>
        <w:spacing w:before="0" w:after="0"/>
        <w:jc w:val="left"/>
        <w:rPr/>
      </w:pPr>
      <w:r>
        <w:rPr/>
        <w:t> </w:t>
      </w:r>
    </w:p>
    <w:tbl>
      <w:tblPr>
        <w:tblW w:w="10805" w:type="dxa"/>
        <w:jc w:val="left"/>
        <w:tblInd w:w="0" w:type="dxa"/>
        <w:tblCellMar>
          <w:top w:w="0" w:type="dxa"/>
          <w:left w:w="0" w:type="dxa"/>
          <w:bottom w:w="0" w:type="dxa"/>
          <w:right w:w="0" w:type="dxa"/>
        </w:tblCellMar>
      </w:tblPr>
      <w:tblGrid>
        <w:gridCol w:w="1235"/>
        <w:gridCol w:w="60"/>
        <w:gridCol w:w="60"/>
        <w:gridCol w:w="755"/>
        <w:gridCol w:w="155"/>
        <w:gridCol w:w="60"/>
        <w:gridCol w:w="60"/>
        <w:gridCol w:w="755"/>
        <w:gridCol w:w="155"/>
        <w:gridCol w:w="60"/>
        <w:gridCol w:w="60"/>
        <w:gridCol w:w="755"/>
        <w:gridCol w:w="290"/>
        <w:gridCol w:w="60"/>
        <w:gridCol w:w="60"/>
        <w:gridCol w:w="755"/>
        <w:gridCol w:w="155"/>
        <w:gridCol w:w="60"/>
        <w:gridCol w:w="60"/>
        <w:gridCol w:w="755"/>
        <w:gridCol w:w="155"/>
        <w:gridCol w:w="60"/>
        <w:gridCol w:w="60"/>
        <w:gridCol w:w="755"/>
        <w:gridCol w:w="290"/>
        <w:gridCol w:w="60"/>
        <w:gridCol w:w="60"/>
        <w:gridCol w:w="635"/>
        <w:gridCol w:w="155"/>
        <w:gridCol w:w="60"/>
        <w:gridCol w:w="60"/>
        <w:gridCol w:w="755"/>
        <w:gridCol w:w="155"/>
        <w:gridCol w:w="60"/>
        <w:gridCol w:w="60"/>
        <w:gridCol w:w="755"/>
        <w:gridCol w:w="305"/>
      </w:tblGrid>
      <w:tr>
        <w:trPr/>
        <w:tc>
          <w:tcPr>
            <w:tcW w:w="12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r>
      <w:tr>
        <w:trPr/>
        <w:tc>
          <w:tcPr>
            <w:tcW w:w="1235" w:type="dxa"/>
            <w:vMerge w:val="restart"/>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205" w:type="dxa"/>
            <w:gridSpan w:val="34"/>
            <w:tcBorders>
              <w:bottom w:val="single" w:sz="8" w:space="0" w:color="000000"/>
            </w:tcBorders>
            <w:shd w:fill="auto" w:val="clear"/>
            <w:tcMar>
              <w:bottom w:w="28" w:type="dxa"/>
            </w:tcMar>
            <w:vAlign w:val="center"/>
          </w:tcPr>
          <w:p>
            <w:pPr>
              <w:pStyle w:val="TableContents"/>
              <w:spacing w:before="0" w:after="283"/>
              <w:jc w:val="center"/>
              <w:rPr>
                <w:b/>
              </w:rPr>
            </w:pPr>
            <w:r>
              <w:rPr>
                <w:b/>
              </w:rPr>
              <w:t>For the year ended December 31,</w:t>
            </w:r>
          </w:p>
        </w:tc>
        <w:tc>
          <w:tcPr>
            <w:tcW w:w="305" w:type="dxa"/>
            <w:tcBorders/>
            <w:shd w:fill="auto" w:val="clear"/>
            <w:vAlign w:val="center"/>
          </w:tcPr>
          <w:p>
            <w:pPr>
              <w:pStyle w:val="TableContents"/>
              <w:spacing w:before="0" w:after="283"/>
              <w:rPr/>
            </w:pPr>
            <w:r>
              <w:rPr/>
              <w:t> </w:t>
            </w:r>
          </w:p>
        </w:tc>
      </w:tr>
      <w:tr>
        <w:trPr/>
        <w:tc>
          <w:tcPr>
            <w:tcW w:w="1235"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2875" w:type="dxa"/>
            <w:gridSpan w:val="10"/>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290"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75" w:type="dxa"/>
            <w:gridSpan w:val="10"/>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290"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55" w:type="dxa"/>
            <w:gridSpan w:val="10"/>
            <w:tcBorders>
              <w:bottom w:val="single" w:sz="8" w:space="0" w:color="000000"/>
            </w:tcBorders>
            <w:shd w:fill="auto" w:val="clear"/>
            <w:tcMar>
              <w:bottom w:w="28" w:type="dxa"/>
            </w:tcMar>
            <w:vAlign w:val="center"/>
          </w:tcPr>
          <w:p>
            <w:pPr>
              <w:pStyle w:val="TableContents"/>
              <w:spacing w:before="0" w:after="283"/>
              <w:jc w:val="center"/>
              <w:rPr>
                <w:b/>
              </w:rPr>
            </w:pPr>
            <w:r>
              <w:rPr>
                <w:b/>
              </w:rPr>
              <w:t>2020</w:t>
            </w:r>
          </w:p>
        </w:tc>
        <w:tc>
          <w:tcPr>
            <w:tcW w:w="305" w:type="dxa"/>
            <w:tcBorders/>
            <w:shd w:fill="auto" w:val="clear"/>
            <w:vAlign w:val="center"/>
          </w:tcPr>
          <w:p>
            <w:pPr>
              <w:pStyle w:val="TableContents"/>
              <w:spacing w:before="0" w:after="283"/>
              <w:rPr/>
            </w:pPr>
            <w:r>
              <w:rPr/>
              <w:t> </w:t>
            </w:r>
          </w:p>
        </w:tc>
      </w:tr>
      <w:tr>
        <w:trPr/>
        <w:tc>
          <w:tcPr>
            <w:tcW w:w="12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Air</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Space</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Group</w:t>
            </w:r>
          </w:p>
        </w:tc>
        <w:tc>
          <w:tcPr>
            <w:tcW w:w="290"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Air</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Space</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Group</w:t>
            </w:r>
          </w:p>
        </w:tc>
        <w:tc>
          <w:tcPr>
            <w:tcW w:w="290"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Air</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Space</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Group</w:t>
            </w:r>
          </w:p>
        </w:tc>
        <w:tc>
          <w:tcPr>
            <w:tcW w:w="305" w:type="dxa"/>
            <w:tcBorders/>
            <w:shd w:fill="auto" w:val="clear"/>
            <w:vAlign w:val="center"/>
          </w:tcPr>
          <w:p>
            <w:pPr>
              <w:pStyle w:val="TableContents"/>
              <w:spacing w:before="0" w:after="283"/>
              <w:rPr/>
            </w:pPr>
            <w:r>
              <w:rPr/>
              <w:t> </w:t>
            </w:r>
          </w:p>
        </w:tc>
      </w:tr>
      <w:tr>
        <w:trPr/>
        <w:tc>
          <w:tcPr>
            <w:tcW w:w="12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75" w:type="dxa"/>
            <w:gridSpan w:val="10"/>
            <w:tcBorders/>
            <w:shd w:fill="auto" w:val="clear"/>
            <w:vAlign w:val="center"/>
          </w:tcPr>
          <w:p>
            <w:pPr>
              <w:pStyle w:val="TableContents"/>
              <w:spacing w:before="0" w:after="283"/>
              <w:jc w:val="center"/>
              <w:rPr>
                <w:b/>
              </w:rPr>
            </w:pPr>
            <w:r>
              <w:rPr>
                <w:b/>
              </w:rPr>
              <w:t>(in € thousands)</w:t>
            </w:r>
          </w:p>
        </w:tc>
        <w:tc>
          <w:tcPr>
            <w:tcW w:w="290"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75" w:type="dxa"/>
            <w:gridSpan w:val="10"/>
            <w:tcBorders/>
            <w:shd w:fill="auto" w:val="clear"/>
            <w:vAlign w:val="center"/>
          </w:tcPr>
          <w:p>
            <w:pPr>
              <w:pStyle w:val="TableContents"/>
              <w:spacing w:before="0" w:after="283"/>
              <w:jc w:val="center"/>
              <w:rPr>
                <w:b/>
              </w:rPr>
            </w:pPr>
            <w:r>
              <w:rPr>
                <w:b/>
              </w:rPr>
              <w:t>(in € thousands)</w:t>
            </w:r>
          </w:p>
        </w:tc>
        <w:tc>
          <w:tcPr>
            <w:tcW w:w="290"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55" w:type="dxa"/>
            <w:gridSpan w:val="10"/>
            <w:tcBorders/>
            <w:shd w:fill="auto" w:val="clear"/>
            <w:vAlign w:val="center"/>
          </w:tcPr>
          <w:p>
            <w:pPr>
              <w:pStyle w:val="TableContents"/>
              <w:spacing w:before="0" w:after="283"/>
              <w:jc w:val="center"/>
              <w:rPr>
                <w:b/>
              </w:rPr>
            </w:pPr>
            <w:r>
              <w:rPr>
                <w:b/>
              </w:rPr>
              <w:t>(in € thousands)</w:t>
            </w:r>
          </w:p>
        </w:tc>
        <w:tc>
          <w:tcPr>
            <w:tcW w:w="305" w:type="dxa"/>
            <w:tcBorders/>
            <w:shd w:fill="auto" w:val="clear"/>
            <w:vAlign w:val="center"/>
          </w:tcPr>
          <w:p>
            <w:pPr>
              <w:pStyle w:val="TableContents"/>
              <w:spacing w:before="0" w:after="283"/>
              <w:rPr/>
            </w:pPr>
            <w:r>
              <w:rPr/>
              <w:t> </w:t>
            </w:r>
          </w:p>
        </w:tc>
      </w:tr>
      <w:tr>
        <w:trPr/>
        <w:tc>
          <w:tcPr>
            <w:tcW w:w="1235"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Revenue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1,384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3,038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4,422</w:t>
            </w:r>
          </w:p>
        </w:tc>
        <w:tc>
          <w:tcPr>
            <w:tcW w:w="290" w:type="dxa"/>
            <w:tcBorders>
              <w:right w:val="single" w:sz="6" w:space="0" w:color="000000"/>
            </w:tcBorders>
            <w:shd w:fill="CCEEFF" w:val="clear"/>
            <w:tcMar>
              <w:righ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2,355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2,355</w:t>
            </w:r>
          </w:p>
        </w:tc>
        <w:tc>
          <w:tcPr>
            <w:tcW w:w="290" w:type="dxa"/>
            <w:tcBorders>
              <w:right w:val="single" w:sz="6" w:space="0" w:color="000000"/>
            </w:tcBorders>
            <w:shd w:fill="CCEEFF" w:val="clear"/>
            <w:tcMar>
              <w:righ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589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90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679</w:t>
            </w:r>
          </w:p>
        </w:tc>
        <w:tc>
          <w:tcPr>
            <w:tcW w:w="305" w:type="dxa"/>
            <w:tcBorders/>
            <w:shd w:fill="CCEEFF" w:val="clear"/>
            <w:vAlign w:val="center"/>
          </w:tcPr>
          <w:p>
            <w:pPr>
              <w:pStyle w:val="TableContents"/>
              <w:spacing w:before="0" w:after="283"/>
              <w:rPr/>
            </w:pPr>
            <w:r>
              <w:rPr/>
              <w:t> </w:t>
            </w:r>
          </w:p>
        </w:tc>
      </w:tr>
      <w:tr>
        <w:trPr/>
        <w:tc>
          <w:tcPr>
            <w:tcW w:w="1235"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Other operating income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673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1,703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2,376</w:t>
            </w:r>
          </w:p>
        </w:tc>
        <w:tc>
          <w:tcPr>
            <w:tcW w:w="290"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72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363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435</w:t>
            </w:r>
          </w:p>
        </w:tc>
        <w:tc>
          <w:tcPr>
            <w:tcW w:w="290"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74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220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295</w:t>
            </w:r>
          </w:p>
        </w:tc>
        <w:tc>
          <w:tcPr>
            <w:tcW w:w="305" w:type="dxa"/>
            <w:tcBorders/>
            <w:shd w:fill="auto" w:val="clear"/>
            <w:vAlign w:val="center"/>
          </w:tcPr>
          <w:p>
            <w:pPr>
              <w:pStyle w:val="TableContents"/>
              <w:spacing w:before="0" w:after="283"/>
              <w:rPr/>
            </w:pPr>
            <w:r>
              <w:rPr/>
              <w:t> </w:t>
            </w:r>
          </w:p>
        </w:tc>
      </w:tr>
      <w:tr>
        <w:trPr/>
        <w:tc>
          <w:tcPr>
            <w:tcW w:w="1235"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Cost of materials(1)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(5,249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(10,185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(15,434</w:t>
            </w:r>
          </w:p>
        </w:tc>
        <w:tc>
          <w:tcPr>
            <w:tcW w:w="290" w:type="dxa"/>
            <w:tcBorders>
              <w:right w:val="single" w:sz="6" w:space="0" w:color="000000"/>
            </w:tcBorders>
            <w:shd w:fill="CCEEFF" w:val="clear"/>
            <w:tcMar>
              <w:righ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(2,846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(7,778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(10,624</w:t>
            </w:r>
          </w:p>
        </w:tc>
        <w:tc>
          <w:tcPr>
            <w:tcW w:w="290" w:type="dxa"/>
            <w:tcBorders>
              <w:right w:val="single" w:sz="6" w:space="0" w:color="000000"/>
            </w:tcBorders>
            <w:shd w:fill="CCEEFF" w:val="clear"/>
            <w:tcMar>
              <w:righ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(2,290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(3,931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(6,221</w:t>
            </w:r>
          </w:p>
        </w:tc>
        <w:tc>
          <w:tcPr>
            <w:tcW w:w="305" w:type="dxa"/>
            <w:tcBorders/>
            <w:shd w:fill="CCEEFF" w:val="clear"/>
            <w:vAlign w:val="center"/>
          </w:tcPr>
          <w:p>
            <w:pPr>
              <w:pStyle w:val="TableContents"/>
              <w:spacing w:before="0" w:after="283"/>
              <w:rPr/>
            </w:pPr>
            <w:r>
              <w:rPr/>
              <w:t>) </w:t>
            </w:r>
          </w:p>
        </w:tc>
      </w:tr>
      <w:tr>
        <w:trPr/>
        <w:tc>
          <w:tcPr>
            <w:tcW w:w="1235"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Personnel costs(1)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(11,486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(25,924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(37,410</w:t>
            </w:r>
          </w:p>
        </w:tc>
        <w:tc>
          <w:tcPr>
            <w:tcW w:w="290"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(6,120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(17,245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(23,365</w:t>
            </w:r>
          </w:p>
        </w:tc>
        <w:tc>
          <w:tcPr>
            <w:tcW w:w="290"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(4,923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(11,911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(16,834</w:t>
            </w:r>
          </w:p>
        </w:tc>
        <w:tc>
          <w:tcPr>
            <w:tcW w:w="305" w:type="dxa"/>
            <w:tcBorders/>
            <w:shd w:fill="auto" w:val="clear"/>
            <w:vAlign w:val="center"/>
          </w:tcPr>
          <w:p>
            <w:pPr>
              <w:pStyle w:val="TableContents"/>
              <w:spacing w:before="0" w:after="283"/>
              <w:rPr/>
            </w:pPr>
            <w:r>
              <w:rPr/>
              <w:t>) </w:t>
            </w:r>
          </w:p>
        </w:tc>
      </w:tr>
      <w:tr>
        <w:trPr/>
        <w:tc>
          <w:tcPr>
            <w:tcW w:w="1235"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Depreciation, amortization and impairments(1)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(1,948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(6,041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(7,989</w:t>
            </w:r>
          </w:p>
        </w:tc>
        <w:tc>
          <w:tcPr>
            <w:tcW w:w="290" w:type="dxa"/>
            <w:tcBorders>
              <w:right w:val="single" w:sz="6" w:space="0" w:color="000000"/>
            </w:tcBorders>
            <w:shd w:fill="CCEEFF" w:val="clear"/>
            <w:tcMar>
              <w:righ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(1,221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(3,297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(4,518</w:t>
            </w:r>
          </w:p>
        </w:tc>
        <w:tc>
          <w:tcPr>
            <w:tcW w:w="290" w:type="dxa"/>
            <w:tcBorders>
              <w:right w:val="single" w:sz="6" w:space="0" w:color="000000"/>
            </w:tcBorders>
            <w:shd w:fill="CCEEFF" w:val="clear"/>
            <w:tcMar>
              <w:righ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(666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(1,177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(1,843</w:t>
            </w:r>
          </w:p>
        </w:tc>
        <w:tc>
          <w:tcPr>
            <w:tcW w:w="305" w:type="dxa"/>
            <w:tcBorders/>
            <w:shd w:fill="CCEEFF" w:val="clear"/>
            <w:vAlign w:val="center"/>
          </w:tcPr>
          <w:p>
            <w:pPr>
              <w:pStyle w:val="TableContents"/>
              <w:spacing w:before="0" w:after="283"/>
              <w:rPr/>
            </w:pPr>
            <w:r>
              <w:rPr/>
              <w:t>) </w:t>
            </w:r>
          </w:p>
        </w:tc>
      </w:tr>
      <w:tr>
        <w:trPr/>
        <w:tc>
          <w:tcPr>
            <w:tcW w:w="1235"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Other operating costs(1)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(4,830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(11,164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(22,082</w:t>
            </w:r>
          </w:p>
        </w:tc>
        <w:tc>
          <w:tcPr>
            <w:tcW w:w="290"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(1,923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(8,418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(11,830</w:t>
            </w:r>
          </w:p>
        </w:tc>
        <w:tc>
          <w:tcPr>
            <w:tcW w:w="290" w:type="dxa"/>
            <w:tcBorders>
              <w:right w:val="single" w:sz="6" w:space="0" w:color="000000"/>
            </w:tcBorders>
            <w:shd w:fill="auto" w:val="clear"/>
            <w:tcMar>
              <w:right w:w="28" w:type="dxa"/>
            </w:tcMar>
            <w:vAlign w:val="center"/>
          </w:tcPr>
          <w:p>
            <w:pPr>
              <w:pStyle w:val="TableContents"/>
              <w:spacing w:before="0" w:after="283"/>
              <w:rPr/>
            </w:pPr>
            <w:r>
              <w:rPr/>
              <w:t>)</w:t>
            </w:r>
            <w:r>
              <w:rPr>
                <w:b/>
              </w:rPr>
              <w:t>(3)</w:t>
            </w: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(1,320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(3,581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(5,344</w:t>
            </w:r>
          </w:p>
        </w:tc>
        <w:tc>
          <w:tcPr>
            <w:tcW w:w="305" w:type="dxa"/>
            <w:tcBorders/>
            <w:shd w:fill="auto" w:val="clear"/>
            <w:vAlign w:val="center"/>
          </w:tcPr>
          <w:p>
            <w:pPr>
              <w:pStyle w:val="TableContents"/>
              <w:spacing w:before="0" w:after="283"/>
              <w:rPr/>
            </w:pPr>
            <w:r>
              <w:rPr/>
              <w:t>)(4) </w:t>
            </w:r>
          </w:p>
        </w:tc>
      </w:tr>
      <w:tr>
        <w:trPr/>
        <w:tc>
          <w:tcPr>
            <w:tcW w:w="1235"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Change in inventories of finished goods and work in progress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517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243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760</w:t>
            </w:r>
          </w:p>
        </w:tc>
        <w:tc>
          <w:tcPr>
            <w:tcW w:w="290" w:type="dxa"/>
            <w:tcBorders>
              <w:right w:val="single" w:sz="6" w:space="0" w:color="000000"/>
            </w:tcBorders>
            <w:shd w:fill="CCEEFF" w:val="clear"/>
            <w:tcMar>
              <w:righ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626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(58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568</w:t>
            </w:r>
          </w:p>
        </w:tc>
        <w:tc>
          <w:tcPr>
            <w:tcW w:w="290" w:type="dxa"/>
            <w:tcBorders>
              <w:right w:val="single" w:sz="6" w:space="0" w:color="000000"/>
            </w:tcBorders>
            <w:shd w:fill="CCEEFF" w:val="clear"/>
            <w:tcMar>
              <w:righ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11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626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637</w:t>
            </w:r>
          </w:p>
        </w:tc>
        <w:tc>
          <w:tcPr>
            <w:tcW w:w="305" w:type="dxa"/>
            <w:tcBorders/>
            <w:shd w:fill="CCEEFF" w:val="clear"/>
            <w:vAlign w:val="center"/>
          </w:tcPr>
          <w:p>
            <w:pPr>
              <w:pStyle w:val="TableContents"/>
              <w:spacing w:before="0" w:after="283"/>
              <w:rPr/>
            </w:pPr>
            <w:r>
              <w:rPr/>
              <w:t> </w:t>
            </w:r>
          </w:p>
        </w:tc>
      </w:tr>
      <w:tr>
        <w:trPr/>
        <w:tc>
          <w:tcPr>
            <w:tcW w:w="1235"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Own work capitalized(1)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1,556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1,567</w:t>
            </w:r>
          </w:p>
        </w:tc>
        <w:tc>
          <w:tcPr>
            <w:tcW w:w="290"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619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3,996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4,615</w:t>
            </w:r>
          </w:p>
        </w:tc>
        <w:tc>
          <w:tcPr>
            <w:tcW w:w="290"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2,102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7,273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9,375</w:t>
            </w:r>
          </w:p>
        </w:tc>
        <w:tc>
          <w:tcPr>
            <w:tcW w:w="305" w:type="dxa"/>
            <w:tcBorders/>
            <w:shd w:fill="auto" w:val="clear"/>
            <w:vAlign w:val="center"/>
          </w:tcPr>
          <w:p>
            <w:pPr>
              <w:pStyle w:val="TableContents"/>
              <w:spacing w:before="0" w:after="283"/>
              <w:rPr/>
            </w:pPr>
            <w:r>
              <w:rPr/>
              <w:t> </w:t>
            </w:r>
          </w:p>
        </w:tc>
      </w:tr>
      <w:tr>
        <w:trPr/>
        <w:tc>
          <w:tcPr>
            <w:tcW w:w="1235" w:type="dxa"/>
            <w:tcBorders/>
            <w:shd w:fill="CCEEFF" w:val="clear"/>
            <w:vAlign w:val="center"/>
          </w:tcPr>
          <w:p>
            <w:pPr>
              <w:pStyle w:val="TableContents"/>
              <w:spacing w:before="0" w:after="0"/>
              <w:rPr>
                <w:rFonts w:ascii="Times New Roman" w:hAnsi="Times New Roman"/>
                <w:b/>
                <w:sz w:val="18"/>
              </w:rPr>
            </w:pPr>
            <w:r>
              <w:rPr>
                <w:rFonts w:ascii="Times New Roman" w:hAnsi="Times New Roman"/>
                <w:b/>
                <w:sz w:val="18"/>
              </w:rPr>
              <w:t>Operating loss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b/>
              </w:rPr>
            </w:pPr>
            <w:r>
              <w:rPr>
                <w:b/>
              </w:rPr>
              <w:t>(20,929</w:t>
            </w:r>
          </w:p>
        </w:tc>
        <w:tc>
          <w:tcPr>
            <w:tcW w:w="155" w:type="dxa"/>
            <w:tcBorders/>
            <w:shd w:fill="CCEEFF" w:val="clear"/>
            <w:vAlign w:val="center"/>
          </w:tcPr>
          <w:p>
            <w:pPr>
              <w:pStyle w:val="TableContents"/>
              <w:spacing w:before="0" w:after="283"/>
              <w:rPr>
                <w:b/>
              </w:rPr>
            </w:pPr>
            <w:r>
              <w:rPr>
                <w:b/>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b/>
              </w:rPr>
            </w:pPr>
            <w:r>
              <w:rPr>
                <w:b/>
              </w:rPr>
              <w:t>(46,773</w:t>
            </w:r>
          </w:p>
        </w:tc>
        <w:tc>
          <w:tcPr>
            <w:tcW w:w="155" w:type="dxa"/>
            <w:tcBorders/>
            <w:shd w:fill="CCEEFF" w:val="clear"/>
            <w:vAlign w:val="center"/>
          </w:tcPr>
          <w:p>
            <w:pPr>
              <w:pStyle w:val="TableContents"/>
              <w:spacing w:before="0" w:after="283"/>
              <w:rPr>
                <w:b/>
              </w:rPr>
            </w:pPr>
            <w:r>
              <w:rPr>
                <w:b/>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b/>
              </w:rPr>
            </w:pPr>
            <w:r>
              <w:rPr>
                <w:b/>
              </w:rPr>
              <w:t>(73,790</w:t>
            </w:r>
          </w:p>
        </w:tc>
        <w:tc>
          <w:tcPr>
            <w:tcW w:w="290" w:type="dxa"/>
            <w:tcBorders>
              <w:right w:val="single" w:sz="6" w:space="0" w:color="000000"/>
            </w:tcBorders>
            <w:shd w:fill="CCEEFF" w:val="clear"/>
            <w:tcMar>
              <w:right w:w="28" w:type="dxa"/>
            </w:tcMar>
            <w:vAlign w:val="center"/>
          </w:tcPr>
          <w:p>
            <w:pPr>
              <w:pStyle w:val="TableContents"/>
              <w:spacing w:before="0" w:after="283"/>
              <w:rPr>
                <w:b/>
              </w:rPr>
            </w:pPr>
            <w:r>
              <w:rPr>
                <w:b/>
              </w:rPr>
              <w:t>)(2)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b/>
              </w:rPr>
            </w:pPr>
            <w:r>
              <w:rPr>
                <w:b/>
              </w:rPr>
              <w:t>(10,793</w:t>
            </w:r>
          </w:p>
        </w:tc>
        <w:tc>
          <w:tcPr>
            <w:tcW w:w="155" w:type="dxa"/>
            <w:tcBorders/>
            <w:shd w:fill="CCEEFF" w:val="clear"/>
            <w:vAlign w:val="center"/>
          </w:tcPr>
          <w:p>
            <w:pPr>
              <w:pStyle w:val="TableContents"/>
              <w:spacing w:before="0" w:after="283"/>
              <w:rPr>
                <w:b/>
              </w:rPr>
            </w:pPr>
            <w:r>
              <w:rPr>
                <w:b/>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b/>
              </w:rPr>
            </w:pPr>
            <w:r>
              <w:rPr>
                <w:b/>
              </w:rPr>
              <w:t>(30,082</w:t>
            </w:r>
          </w:p>
        </w:tc>
        <w:tc>
          <w:tcPr>
            <w:tcW w:w="155" w:type="dxa"/>
            <w:tcBorders/>
            <w:shd w:fill="CCEEFF" w:val="clear"/>
            <w:vAlign w:val="center"/>
          </w:tcPr>
          <w:p>
            <w:pPr>
              <w:pStyle w:val="TableContents"/>
              <w:spacing w:before="0" w:after="283"/>
              <w:rPr>
                <w:b/>
              </w:rPr>
            </w:pPr>
            <w:r>
              <w:rPr>
                <w:b/>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b/>
              </w:rPr>
            </w:pPr>
            <w:r>
              <w:rPr>
                <w:b/>
              </w:rPr>
              <w:t>(42,364</w:t>
            </w:r>
          </w:p>
        </w:tc>
        <w:tc>
          <w:tcPr>
            <w:tcW w:w="290" w:type="dxa"/>
            <w:tcBorders>
              <w:right w:val="single" w:sz="6" w:space="0" w:color="000000"/>
            </w:tcBorders>
            <w:shd w:fill="CCEEFF" w:val="clear"/>
            <w:tcMar>
              <w:right w:w="28" w:type="dxa"/>
            </w:tcMar>
            <w:vAlign w:val="center"/>
          </w:tcPr>
          <w:p>
            <w:pPr>
              <w:pStyle w:val="TableContents"/>
              <w:spacing w:before="0" w:after="283"/>
              <w:rPr>
                <w:b/>
              </w:rPr>
            </w:pPr>
            <w:r>
              <w:rPr>
                <w:b/>
              </w:rPr>
              <w:t>)(3)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b/>
              </w:rPr>
            </w:pPr>
            <w:r>
              <w:rPr>
                <w:b/>
              </w:rPr>
              <w:t>(6,423</w:t>
            </w:r>
          </w:p>
        </w:tc>
        <w:tc>
          <w:tcPr>
            <w:tcW w:w="155" w:type="dxa"/>
            <w:tcBorders/>
            <w:shd w:fill="CCEEFF" w:val="clear"/>
            <w:vAlign w:val="center"/>
          </w:tcPr>
          <w:p>
            <w:pPr>
              <w:pStyle w:val="TableContents"/>
              <w:spacing w:before="0" w:after="283"/>
              <w:rPr>
                <w:b/>
              </w:rPr>
            </w:pPr>
            <w:r>
              <w:rPr>
                <w:b/>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b/>
              </w:rPr>
            </w:pPr>
            <w:r>
              <w:rPr>
                <w:b/>
              </w:rPr>
              <w:t>(12,391</w:t>
            </w:r>
          </w:p>
        </w:tc>
        <w:tc>
          <w:tcPr>
            <w:tcW w:w="155" w:type="dxa"/>
            <w:tcBorders/>
            <w:shd w:fill="CCEEFF" w:val="clear"/>
            <w:vAlign w:val="center"/>
          </w:tcPr>
          <w:p>
            <w:pPr>
              <w:pStyle w:val="TableContents"/>
              <w:spacing w:before="0" w:after="283"/>
              <w:rPr>
                <w:b/>
              </w:rPr>
            </w:pPr>
            <w:r>
              <w:rPr>
                <w:b/>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b/>
              </w:rPr>
            </w:pPr>
            <w:r>
              <w:rPr>
                <w:b/>
              </w:rPr>
              <w:t>(19,257</w:t>
            </w:r>
          </w:p>
        </w:tc>
        <w:tc>
          <w:tcPr>
            <w:tcW w:w="305" w:type="dxa"/>
            <w:tcBorders/>
            <w:shd w:fill="CCEEFF" w:val="clear"/>
            <w:vAlign w:val="center"/>
          </w:tcPr>
          <w:p>
            <w:pPr>
              <w:pStyle w:val="TableContents"/>
              <w:spacing w:before="0" w:after="283"/>
              <w:rPr>
                <w:b/>
              </w:rPr>
            </w:pPr>
            <w:r>
              <w:rPr>
                <w:b/>
              </w:rPr>
              <w:t>)(4) </w:t>
            </w:r>
          </w:p>
        </w:tc>
      </w:tr>
      <w:tr>
        <w:trPr/>
        <w:tc>
          <w:tcPr>
            <w:tcW w:w="1235"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Interest and similar income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n/a</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n/a</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0</w:t>
            </w:r>
          </w:p>
        </w:tc>
        <w:tc>
          <w:tcPr>
            <w:tcW w:w="290"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n/a</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n/a</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0</w:t>
            </w:r>
          </w:p>
        </w:tc>
        <w:tc>
          <w:tcPr>
            <w:tcW w:w="290"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n/a</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n/a</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18</w:t>
            </w:r>
          </w:p>
        </w:tc>
        <w:tc>
          <w:tcPr>
            <w:tcW w:w="305" w:type="dxa"/>
            <w:tcBorders/>
            <w:shd w:fill="auto" w:val="clear"/>
            <w:vAlign w:val="center"/>
          </w:tcPr>
          <w:p>
            <w:pPr>
              <w:pStyle w:val="TableContents"/>
              <w:spacing w:before="0" w:after="283"/>
              <w:rPr/>
            </w:pPr>
            <w:r>
              <w:rPr/>
              <w:t> </w:t>
            </w:r>
          </w:p>
        </w:tc>
      </w:tr>
      <w:tr>
        <w:trPr/>
        <w:tc>
          <w:tcPr>
            <w:tcW w:w="1235"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Interest and similar expenses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(2,545</w:t>
            </w:r>
          </w:p>
        </w:tc>
        <w:tc>
          <w:tcPr>
            <w:tcW w:w="290" w:type="dxa"/>
            <w:tcBorders>
              <w:right w:val="single" w:sz="6" w:space="0" w:color="000000"/>
            </w:tcBorders>
            <w:shd w:fill="CCEEFF" w:val="clear"/>
            <w:tcMar>
              <w:righ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(2,148</w:t>
            </w:r>
          </w:p>
        </w:tc>
        <w:tc>
          <w:tcPr>
            <w:tcW w:w="290" w:type="dxa"/>
            <w:tcBorders>
              <w:right w:val="single" w:sz="6" w:space="0" w:color="000000"/>
            </w:tcBorders>
            <w:shd w:fill="CCEEFF" w:val="clear"/>
            <w:tcMar>
              <w:righ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0</w:t>
            </w:r>
          </w:p>
        </w:tc>
        <w:tc>
          <w:tcPr>
            <w:tcW w:w="305" w:type="dxa"/>
            <w:tcBorders/>
            <w:shd w:fill="CCEEFF" w:val="clear"/>
            <w:vAlign w:val="center"/>
          </w:tcPr>
          <w:p>
            <w:pPr>
              <w:pStyle w:val="TableContents"/>
              <w:spacing w:before="0" w:after="283"/>
              <w:rPr/>
            </w:pPr>
            <w:r>
              <w:rPr/>
              <w:t> </w:t>
            </w:r>
          </w:p>
        </w:tc>
      </w:tr>
      <w:tr>
        <w:trPr/>
        <w:tc>
          <w:tcPr>
            <w:tcW w:w="1235"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Net foreign currency gain / (loss)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n/a</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n/a</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2,574</w:t>
            </w:r>
          </w:p>
        </w:tc>
        <w:tc>
          <w:tcPr>
            <w:tcW w:w="290"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n/a</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n/a</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826</w:t>
            </w:r>
          </w:p>
        </w:tc>
        <w:tc>
          <w:tcPr>
            <w:tcW w:w="290"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n/a</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n/a</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(531</w:t>
            </w:r>
          </w:p>
        </w:tc>
        <w:tc>
          <w:tcPr>
            <w:tcW w:w="305" w:type="dxa"/>
            <w:tcBorders/>
            <w:shd w:fill="auto" w:val="clear"/>
            <w:vAlign w:val="center"/>
          </w:tcPr>
          <w:p>
            <w:pPr>
              <w:pStyle w:val="TableContents"/>
              <w:spacing w:before="0" w:after="283"/>
              <w:rPr/>
            </w:pPr>
            <w:r>
              <w:rPr/>
              <w:t>) </w:t>
            </w:r>
          </w:p>
        </w:tc>
      </w:tr>
      <w:tr>
        <w:trPr/>
        <w:tc>
          <w:tcPr>
            <w:tcW w:w="1235" w:type="dxa"/>
            <w:tcBorders/>
            <w:shd w:fill="CCEEFF" w:val="clear"/>
            <w:vAlign w:val="center"/>
          </w:tcPr>
          <w:p>
            <w:pPr>
              <w:pStyle w:val="TableContents"/>
              <w:spacing w:before="0" w:after="0"/>
              <w:rPr>
                <w:rFonts w:ascii="Times New Roman" w:hAnsi="Times New Roman"/>
                <w:b/>
                <w:sz w:val="18"/>
              </w:rPr>
            </w:pPr>
            <w:r>
              <w:rPr>
                <w:rFonts w:ascii="Times New Roman" w:hAnsi="Times New Roman"/>
                <w:b/>
                <w:sz w:val="18"/>
              </w:rPr>
              <w:t>Net finance income / costs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b/>
              </w:rPr>
            </w:pPr>
            <w:r>
              <w:rPr>
                <w:b/>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b/>
              </w:rPr>
            </w:pPr>
            <w:r>
              <w:rPr>
                <w:b/>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b/>
              </w:rPr>
            </w:pPr>
            <w:r>
              <w:rPr>
                <w:b/>
              </w:rPr>
              <w:t>29</w:t>
            </w:r>
          </w:p>
        </w:tc>
        <w:tc>
          <w:tcPr>
            <w:tcW w:w="290" w:type="dxa"/>
            <w:tcBorders>
              <w:right w:val="single" w:sz="6" w:space="0" w:color="000000"/>
            </w:tcBorders>
            <w:shd w:fill="CCEEFF" w:val="clear"/>
            <w:tcMar>
              <w:righ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b/>
              </w:rPr>
            </w:pPr>
            <w:r>
              <w:rPr>
                <w:b/>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b/>
              </w:rPr>
            </w:pPr>
            <w:r>
              <w:rPr>
                <w:b/>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b/>
              </w:rPr>
            </w:pPr>
            <w:r>
              <w:rPr>
                <w:b/>
              </w:rPr>
              <w:t>(1,322</w:t>
            </w:r>
          </w:p>
        </w:tc>
        <w:tc>
          <w:tcPr>
            <w:tcW w:w="290" w:type="dxa"/>
            <w:tcBorders>
              <w:right w:val="single" w:sz="6" w:space="0" w:color="000000"/>
            </w:tcBorders>
            <w:shd w:fill="CCEEFF" w:val="clear"/>
            <w:tcMar>
              <w:right w:w="28" w:type="dxa"/>
            </w:tcMar>
            <w:vAlign w:val="center"/>
          </w:tcPr>
          <w:p>
            <w:pPr>
              <w:pStyle w:val="TableContents"/>
              <w:spacing w:before="0" w:after="283"/>
              <w:rPr>
                <w:b/>
              </w:rPr>
            </w:pPr>
            <w:r>
              <w:rPr>
                <w:b/>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b/>
              </w:rPr>
            </w:pPr>
            <w:r>
              <w:rPr>
                <w:b/>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b/>
              </w:rPr>
            </w:pPr>
            <w:r>
              <w:rPr>
                <w:b/>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b/>
              </w:rPr>
            </w:pPr>
            <w:r>
              <w:rPr>
                <w:b/>
              </w:rPr>
              <w:t>(513</w:t>
            </w:r>
          </w:p>
        </w:tc>
        <w:tc>
          <w:tcPr>
            <w:tcW w:w="305" w:type="dxa"/>
            <w:tcBorders/>
            <w:shd w:fill="CCEEFF" w:val="clear"/>
            <w:vAlign w:val="center"/>
          </w:tcPr>
          <w:p>
            <w:pPr>
              <w:pStyle w:val="TableContents"/>
              <w:spacing w:before="0" w:after="283"/>
              <w:rPr>
                <w:b/>
              </w:rPr>
            </w:pPr>
            <w:r>
              <w:rPr>
                <w:b/>
              </w:rPr>
              <w:t>) </w:t>
            </w:r>
          </w:p>
        </w:tc>
      </w:tr>
      <w:tr>
        <w:trPr/>
        <w:tc>
          <w:tcPr>
            <w:tcW w:w="1235"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Share of profit of equity-accounted investees, net of tax</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n/a</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n/a</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(45</w:t>
            </w:r>
          </w:p>
        </w:tc>
        <w:tc>
          <w:tcPr>
            <w:tcW w:w="290"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n/a</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n/a</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  </w:t>
            </w:r>
          </w:p>
        </w:tc>
        <w:tc>
          <w:tcPr>
            <w:tcW w:w="290"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n/a</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n/a</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  </w:t>
            </w:r>
          </w:p>
        </w:tc>
        <w:tc>
          <w:tcPr>
            <w:tcW w:w="305" w:type="dxa"/>
            <w:tcBorders/>
            <w:shd w:fill="auto" w:val="clear"/>
            <w:vAlign w:val="center"/>
          </w:tcPr>
          <w:p>
            <w:pPr>
              <w:pStyle w:val="TableContents"/>
              <w:spacing w:before="0" w:after="283"/>
              <w:rPr/>
            </w:pPr>
            <w:r>
              <w:rPr/>
              <w:t> </w:t>
            </w:r>
          </w:p>
        </w:tc>
      </w:tr>
      <w:tr>
        <w:trPr/>
        <w:tc>
          <w:tcPr>
            <w:tcW w:w="1235" w:type="dxa"/>
            <w:tcBorders/>
            <w:shd w:fill="CCEEFF" w:val="clear"/>
            <w:vAlign w:val="center"/>
          </w:tcPr>
          <w:p>
            <w:pPr>
              <w:pStyle w:val="TableContents"/>
              <w:spacing w:before="0" w:after="0"/>
              <w:rPr>
                <w:rFonts w:ascii="Times New Roman" w:hAnsi="Times New Roman"/>
                <w:b/>
                <w:sz w:val="18"/>
              </w:rPr>
            </w:pPr>
            <w:r>
              <w:rPr>
                <w:rFonts w:ascii="Times New Roman" w:hAnsi="Times New Roman"/>
                <w:b/>
                <w:sz w:val="18"/>
              </w:rPr>
              <w:t>Loss before tax</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b/>
              </w:rPr>
            </w:pPr>
            <w:r>
              <w:rPr>
                <w:b/>
              </w:rPr>
              <w:t>(73,806</w:t>
            </w:r>
          </w:p>
        </w:tc>
        <w:tc>
          <w:tcPr>
            <w:tcW w:w="290" w:type="dxa"/>
            <w:tcBorders>
              <w:right w:val="single" w:sz="6" w:space="0" w:color="000000"/>
            </w:tcBorders>
            <w:shd w:fill="CCEEFF" w:val="clear"/>
            <w:tcMar>
              <w:right w:w="28" w:type="dxa"/>
            </w:tcMar>
            <w:vAlign w:val="center"/>
          </w:tcPr>
          <w:p>
            <w:pPr>
              <w:pStyle w:val="TableContents"/>
              <w:spacing w:before="0" w:after="283"/>
              <w:rPr>
                <w:b/>
              </w:rPr>
            </w:pPr>
            <w:r>
              <w:rPr>
                <w:b/>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b/>
              </w:rPr>
            </w:pPr>
            <w:r>
              <w:rPr>
                <w:b/>
              </w:rPr>
              <w:t>(43,686</w:t>
            </w:r>
          </w:p>
        </w:tc>
        <w:tc>
          <w:tcPr>
            <w:tcW w:w="290" w:type="dxa"/>
            <w:tcBorders>
              <w:right w:val="single" w:sz="6" w:space="0" w:color="000000"/>
            </w:tcBorders>
            <w:shd w:fill="CCEEFF" w:val="clear"/>
            <w:tcMar>
              <w:right w:w="28" w:type="dxa"/>
            </w:tcMar>
            <w:vAlign w:val="center"/>
          </w:tcPr>
          <w:p>
            <w:pPr>
              <w:pStyle w:val="TableContents"/>
              <w:spacing w:before="0" w:after="283"/>
              <w:rPr>
                <w:b/>
              </w:rPr>
            </w:pPr>
            <w:r>
              <w:rPr>
                <w:b/>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b/>
              </w:rPr>
            </w:pPr>
            <w:r>
              <w:rPr>
                <w:b/>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b/>
              </w:rPr>
            </w:pPr>
            <w:r>
              <w:rPr>
                <w:b/>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b/>
              </w:rPr>
            </w:pPr>
            <w:r>
              <w:rPr>
                <w:b/>
              </w:rPr>
              <w:t>(19,770</w:t>
            </w:r>
          </w:p>
        </w:tc>
        <w:tc>
          <w:tcPr>
            <w:tcW w:w="305" w:type="dxa"/>
            <w:tcBorders/>
            <w:shd w:fill="CCEEFF" w:val="clear"/>
            <w:vAlign w:val="center"/>
          </w:tcPr>
          <w:p>
            <w:pPr>
              <w:pStyle w:val="TableContents"/>
              <w:spacing w:before="0" w:after="283"/>
              <w:rPr>
                <w:b/>
              </w:rPr>
            </w:pPr>
            <w:r>
              <w:rPr>
                <w:b/>
              </w:rPr>
              <w:t>) </w:t>
            </w:r>
          </w:p>
        </w:tc>
      </w:tr>
      <w:tr>
        <w:trPr/>
        <w:tc>
          <w:tcPr>
            <w:tcW w:w="1235"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Income tax expense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n/a</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n/a</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24</w:t>
            </w:r>
          </w:p>
        </w:tc>
        <w:tc>
          <w:tcPr>
            <w:tcW w:w="290"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n/a</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n/a</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(1,791</w:t>
            </w:r>
          </w:p>
        </w:tc>
        <w:tc>
          <w:tcPr>
            <w:tcW w:w="290"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n/a</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n/a</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  </w:t>
            </w:r>
          </w:p>
        </w:tc>
        <w:tc>
          <w:tcPr>
            <w:tcW w:w="305" w:type="dxa"/>
            <w:tcBorders/>
            <w:shd w:fill="auto" w:val="clear"/>
            <w:vAlign w:val="center"/>
          </w:tcPr>
          <w:p>
            <w:pPr>
              <w:pStyle w:val="TableContents"/>
              <w:spacing w:before="0" w:after="283"/>
              <w:rPr/>
            </w:pPr>
            <w:r>
              <w:rPr/>
              <w:t> </w:t>
            </w:r>
          </w:p>
        </w:tc>
      </w:tr>
      <w:tr>
        <w:trPr/>
        <w:tc>
          <w:tcPr>
            <w:tcW w:w="1235" w:type="dxa"/>
            <w:tcBorders/>
            <w:shd w:fill="CCEEFF" w:val="clear"/>
            <w:vAlign w:val="center"/>
          </w:tcPr>
          <w:p>
            <w:pPr>
              <w:pStyle w:val="TableContents"/>
              <w:spacing w:before="0" w:after="0"/>
              <w:rPr>
                <w:rFonts w:ascii="Times New Roman" w:hAnsi="Times New Roman"/>
                <w:b/>
                <w:sz w:val="18"/>
              </w:rPr>
            </w:pPr>
            <w:r>
              <w:rPr>
                <w:rFonts w:ascii="Times New Roman" w:hAnsi="Times New Roman"/>
                <w:b/>
                <w:sz w:val="18"/>
              </w:rPr>
              <w:t>Consolidated net loss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b/>
              </w:rPr>
            </w:pPr>
            <w:r>
              <w:rPr>
                <w:b/>
              </w:rPr>
              <w:t>(73,782</w:t>
            </w:r>
          </w:p>
        </w:tc>
        <w:tc>
          <w:tcPr>
            <w:tcW w:w="290" w:type="dxa"/>
            <w:tcBorders>
              <w:right w:val="single" w:sz="6" w:space="0" w:color="000000"/>
            </w:tcBorders>
            <w:shd w:fill="CCEEFF" w:val="clear"/>
            <w:tcMar>
              <w:right w:w="28" w:type="dxa"/>
            </w:tcMar>
            <w:vAlign w:val="center"/>
          </w:tcPr>
          <w:p>
            <w:pPr>
              <w:pStyle w:val="TableContents"/>
              <w:spacing w:before="0" w:after="283"/>
              <w:rPr>
                <w:b/>
              </w:rPr>
            </w:pPr>
            <w:r>
              <w:rPr>
                <w:b/>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b/>
              </w:rPr>
            </w:pPr>
            <w:r>
              <w:rPr>
                <w:b/>
              </w:rPr>
              <w:t>(45,477</w:t>
            </w:r>
          </w:p>
        </w:tc>
        <w:tc>
          <w:tcPr>
            <w:tcW w:w="290" w:type="dxa"/>
            <w:tcBorders>
              <w:right w:val="single" w:sz="6" w:space="0" w:color="000000"/>
            </w:tcBorders>
            <w:shd w:fill="CCEEFF" w:val="clear"/>
            <w:tcMar>
              <w:right w:w="28" w:type="dxa"/>
            </w:tcMar>
            <w:vAlign w:val="center"/>
          </w:tcPr>
          <w:p>
            <w:pPr>
              <w:pStyle w:val="TableContents"/>
              <w:spacing w:before="0" w:after="283"/>
              <w:rPr>
                <w:b/>
              </w:rPr>
            </w:pPr>
            <w:r>
              <w:rPr>
                <w:b/>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b/>
              </w:rPr>
            </w:pPr>
            <w:r>
              <w:rPr>
                <w:b/>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b/>
              </w:rPr>
            </w:pPr>
            <w:r>
              <w:rPr>
                <w:b/>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b/>
              </w:rPr>
            </w:pPr>
            <w:r>
              <w:rPr>
                <w:b/>
              </w:rPr>
              <w:t>(19,770</w:t>
            </w:r>
          </w:p>
        </w:tc>
        <w:tc>
          <w:tcPr>
            <w:tcW w:w="305" w:type="dxa"/>
            <w:tcBorders/>
            <w:shd w:fill="CCEEFF" w:val="clear"/>
            <w:vAlign w:val="center"/>
          </w:tcPr>
          <w:p>
            <w:pPr>
              <w:pStyle w:val="TableContents"/>
              <w:spacing w:before="0" w:after="283"/>
              <w:rPr>
                <w:b/>
              </w:rPr>
            </w:pPr>
            <w:r>
              <w:rPr>
                <w:b/>
              </w:rPr>
              <w:t>) </w:t>
            </w:r>
          </w:p>
        </w:tc>
      </w:tr>
      <w:tr>
        <w:trPr/>
        <w:tc>
          <w:tcPr>
            <w:tcW w:w="1235" w:type="dxa"/>
            <w:tcBorders/>
            <w:shd w:fill="auto" w:val="clear"/>
            <w:vAlign w:val="center"/>
          </w:tcPr>
          <w:p>
            <w:pPr>
              <w:pStyle w:val="TableContents"/>
              <w:spacing w:before="0" w:after="0"/>
              <w:rPr>
                <w:rFonts w:ascii="Times New Roman" w:hAnsi="Times New Roman"/>
                <w:b/>
                <w:sz w:val="18"/>
              </w:rPr>
            </w:pPr>
            <w:r>
              <w:rPr>
                <w:rFonts w:ascii="Times New Roman" w:hAnsi="Times New Roman"/>
                <w:b/>
                <w:sz w:val="18"/>
              </w:rPr>
              <w:t>Other comprehensive income / loss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290"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290"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r>
      <w:tr>
        <w:trPr/>
        <w:tc>
          <w:tcPr>
            <w:tcW w:w="1235"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Items which may be subsequently reclassified to profit and loss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(411</w:t>
            </w:r>
          </w:p>
        </w:tc>
        <w:tc>
          <w:tcPr>
            <w:tcW w:w="290" w:type="dxa"/>
            <w:tcBorders>
              <w:right w:val="single" w:sz="6" w:space="0" w:color="000000"/>
            </w:tcBorders>
            <w:shd w:fill="CCEEFF" w:val="clear"/>
            <w:tcMar>
              <w:righ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(498</w:t>
            </w:r>
          </w:p>
        </w:tc>
        <w:tc>
          <w:tcPr>
            <w:tcW w:w="290" w:type="dxa"/>
            <w:tcBorders>
              <w:right w:val="single" w:sz="6" w:space="0" w:color="000000"/>
            </w:tcBorders>
            <w:shd w:fill="CCEEFF" w:val="clear"/>
            <w:tcMar>
              <w:righ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367</w:t>
            </w:r>
          </w:p>
        </w:tc>
        <w:tc>
          <w:tcPr>
            <w:tcW w:w="305" w:type="dxa"/>
            <w:tcBorders/>
            <w:shd w:fill="CCEEFF" w:val="clear"/>
            <w:vAlign w:val="center"/>
          </w:tcPr>
          <w:p>
            <w:pPr>
              <w:pStyle w:val="TableContents"/>
              <w:spacing w:before="0" w:after="283"/>
              <w:rPr/>
            </w:pPr>
            <w:r>
              <w:rPr/>
              <w:t> </w:t>
            </w:r>
          </w:p>
        </w:tc>
      </w:tr>
      <w:tr>
        <w:trPr/>
        <w:tc>
          <w:tcPr>
            <w:tcW w:w="1235" w:type="dxa"/>
            <w:tcBorders/>
            <w:shd w:fill="auto" w:val="clear"/>
            <w:vAlign w:val="center"/>
          </w:tcPr>
          <w:p>
            <w:pPr>
              <w:pStyle w:val="TableContents"/>
              <w:spacing w:before="0" w:after="0"/>
              <w:rPr>
                <w:rFonts w:ascii="Times New Roman" w:hAnsi="Times New Roman"/>
                <w:b/>
                <w:sz w:val="18"/>
              </w:rPr>
            </w:pPr>
            <w:r>
              <w:rPr>
                <w:rFonts w:ascii="Times New Roman" w:hAnsi="Times New Roman"/>
                <w:b/>
                <w:sz w:val="18"/>
              </w:rPr>
              <w:t>Other comprehensive income / loss after tax</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n/a</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n/a</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b/>
              </w:rPr>
            </w:pPr>
            <w:r>
              <w:rPr>
                <w:b/>
              </w:rPr>
              <w:t>(411</w:t>
            </w:r>
          </w:p>
        </w:tc>
        <w:tc>
          <w:tcPr>
            <w:tcW w:w="290" w:type="dxa"/>
            <w:tcBorders>
              <w:right w:val="single" w:sz="6" w:space="0" w:color="000000"/>
            </w:tcBorders>
            <w:shd w:fill="auto" w:val="clear"/>
            <w:tcMar>
              <w:right w:w="28" w:type="dxa"/>
            </w:tcMar>
            <w:vAlign w:val="center"/>
          </w:tcPr>
          <w:p>
            <w:pPr>
              <w:pStyle w:val="TableContents"/>
              <w:spacing w:before="0" w:after="283"/>
              <w:rPr>
                <w:b/>
              </w:rPr>
            </w:pPr>
            <w:r>
              <w:rPr>
                <w:b/>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n/a</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n/a</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b/>
              </w:rPr>
            </w:pPr>
            <w:r>
              <w:rPr>
                <w:b/>
              </w:rPr>
              <w:t>(498</w:t>
            </w:r>
          </w:p>
        </w:tc>
        <w:tc>
          <w:tcPr>
            <w:tcW w:w="290" w:type="dxa"/>
            <w:tcBorders>
              <w:right w:val="single" w:sz="6" w:space="0" w:color="000000"/>
            </w:tcBorders>
            <w:shd w:fill="auto" w:val="clear"/>
            <w:tcMar>
              <w:right w:w="28" w:type="dxa"/>
            </w:tcMar>
            <w:vAlign w:val="center"/>
          </w:tcPr>
          <w:p>
            <w:pPr>
              <w:pStyle w:val="TableContents"/>
              <w:spacing w:before="0" w:after="283"/>
              <w:rPr>
                <w:b/>
              </w:rPr>
            </w:pPr>
            <w:r>
              <w:rPr>
                <w:b/>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b/>
              </w:rPr>
            </w:pPr>
            <w:r>
              <w:rPr>
                <w:b/>
              </w:rPr>
              <w:t>n/a</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b/>
              </w:rPr>
            </w:pPr>
            <w:r>
              <w:rPr>
                <w:b/>
              </w:rPr>
              <w:t>n/a</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b/>
              </w:rPr>
            </w:pPr>
            <w:r>
              <w:rPr>
                <w:b/>
              </w:rPr>
              <w:t>367</w:t>
            </w:r>
          </w:p>
        </w:tc>
        <w:tc>
          <w:tcPr>
            <w:tcW w:w="305" w:type="dxa"/>
            <w:tcBorders/>
            <w:shd w:fill="auto" w:val="clear"/>
            <w:vAlign w:val="center"/>
          </w:tcPr>
          <w:p>
            <w:pPr>
              <w:pStyle w:val="TableContents"/>
              <w:spacing w:before="0" w:after="283"/>
              <w:rPr/>
            </w:pPr>
            <w:r>
              <w:rPr/>
              <w:t> </w:t>
            </w:r>
          </w:p>
        </w:tc>
      </w:tr>
      <w:tr>
        <w:trPr/>
        <w:tc>
          <w:tcPr>
            <w:tcW w:w="1235" w:type="dxa"/>
            <w:tcBorders/>
            <w:shd w:fill="CCEEFF" w:val="clear"/>
            <w:vAlign w:val="center"/>
          </w:tcPr>
          <w:p>
            <w:pPr>
              <w:pStyle w:val="TableContents"/>
              <w:spacing w:before="0" w:after="0"/>
              <w:rPr>
                <w:rFonts w:ascii="Times New Roman" w:hAnsi="Times New Roman"/>
                <w:b/>
                <w:sz w:val="18"/>
              </w:rPr>
            </w:pPr>
            <w:r>
              <w:rPr>
                <w:rFonts w:ascii="Times New Roman" w:hAnsi="Times New Roman"/>
                <w:b/>
                <w:sz w:val="18"/>
              </w:rPr>
              <w:t>Total comprehensive loss for the period</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b/>
              </w:rPr>
            </w:pPr>
            <w:r>
              <w:rPr>
                <w:b/>
              </w:rPr>
              <w:t>(74,193</w:t>
            </w:r>
          </w:p>
        </w:tc>
        <w:tc>
          <w:tcPr>
            <w:tcW w:w="290" w:type="dxa"/>
            <w:tcBorders>
              <w:right w:val="single" w:sz="6" w:space="0" w:color="000000"/>
            </w:tcBorders>
            <w:shd w:fill="CCEEFF" w:val="clear"/>
            <w:tcMar>
              <w:right w:w="28" w:type="dxa"/>
            </w:tcMar>
            <w:vAlign w:val="center"/>
          </w:tcPr>
          <w:p>
            <w:pPr>
              <w:pStyle w:val="TableContents"/>
              <w:spacing w:before="0" w:after="283"/>
              <w:rPr>
                <w:b/>
              </w:rPr>
            </w:pPr>
            <w:r>
              <w:rPr>
                <w:b/>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b/>
              </w:rPr>
            </w:pPr>
            <w:r>
              <w:rPr>
                <w:b/>
              </w:rPr>
              <w:t>(45,975</w:t>
            </w:r>
          </w:p>
        </w:tc>
        <w:tc>
          <w:tcPr>
            <w:tcW w:w="290" w:type="dxa"/>
            <w:tcBorders>
              <w:right w:val="single" w:sz="6" w:space="0" w:color="000000"/>
            </w:tcBorders>
            <w:shd w:fill="CCEEFF" w:val="clear"/>
            <w:tcMar>
              <w:right w:w="28" w:type="dxa"/>
            </w:tcMar>
            <w:vAlign w:val="center"/>
          </w:tcPr>
          <w:p>
            <w:pPr>
              <w:pStyle w:val="TableContents"/>
              <w:spacing w:before="0" w:after="283"/>
              <w:rPr>
                <w:b/>
              </w:rPr>
            </w:pPr>
            <w:r>
              <w:rPr>
                <w:b/>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b/>
              </w:rPr>
            </w:pPr>
            <w:r>
              <w:rPr>
                <w:b/>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b/>
              </w:rPr>
            </w:pPr>
            <w:r>
              <w:rPr>
                <w:b/>
              </w:rPr>
              <w:t>n/a</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b/>
              </w:rPr>
            </w:pPr>
            <w:r>
              <w:rPr>
                <w:b/>
              </w:rPr>
              <w:t>(19,403</w:t>
            </w:r>
          </w:p>
        </w:tc>
        <w:tc>
          <w:tcPr>
            <w:tcW w:w="305" w:type="dxa"/>
            <w:tcBorders/>
            <w:shd w:fill="CCEEFF" w:val="clear"/>
            <w:vAlign w:val="center"/>
          </w:tcPr>
          <w:p>
            <w:pPr>
              <w:pStyle w:val="TableContents"/>
              <w:spacing w:before="0" w:after="283"/>
              <w:rPr>
                <w:b/>
              </w:rPr>
            </w:pPr>
            <w:r>
              <w:rPr>
                <w:b/>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67"/>
        <w:gridCol w:w="9938"/>
      </w:tblGrid>
      <w:tr>
        <w:trPr/>
        <w:tc>
          <w:tcPr>
            <w:tcW w:w="267" w:type="dxa"/>
            <w:tcBorders/>
            <w:shd w:fill="auto" w:val="clear"/>
            <w:vAlign w:val="center"/>
          </w:tcPr>
          <w:p>
            <w:pPr>
              <w:pStyle w:val="TableContents"/>
              <w:spacing w:before="0" w:after="283"/>
              <w:jc w:val="left"/>
              <w:rPr/>
            </w:pPr>
            <w:r>
              <w:rPr/>
              <w:t>(1)</w:t>
            </w:r>
          </w:p>
        </w:tc>
        <w:tc>
          <w:tcPr>
            <w:tcW w:w="9938"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Own work capitalized is comprised of capitalized costs relating to the construction of property, plant and equipment or the development of intangible assets, which are offset by capitalized costs included in other line items as follows: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05"/>
        <w:gridCol w:w="120"/>
        <w:gridCol w:w="79"/>
        <w:gridCol w:w="286"/>
        <w:gridCol w:w="155"/>
        <w:gridCol w:w="60"/>
        <w:gridCol w:w="72"/>
        <w:gridCol w:w="548"/>
        <w:gridCol w:w="155"/>
        <w:gridCol w:w="60"/>
        <w:gridCol w:w="80"/>
        <w:gridCol w:w="615"/>
        <w:gridCol w:w="155"/>
        <w:gridCol w:w="120"/>
        <w:gridCol w:w="60"/>
        <w:gridCol w:w="455"/>
        <w:gridCol w:w="155"/>
        <w:gridCol w:w="60"/>
        <w:gridCol w:w="60"/>
        <w:gridCol w:w="635"/>
        <w:gridCol w:w="155"/>
        <w:gridCol w:w="60"/>
        <w:gridCol w:w="60"/>
        <w:gridCol w:w="635"/>
        <w:gridCol w:w="155"/>
        <w:gridCol w:w="120"/>
        <w:gridCol w:w="60"/>
        <w:gridCol w:w="635"/>
        <w:gridCol w:w="155"/>
        <w:gridCol w:w="60"/>
        <w:gridCol w:w="60"/>
        <w:gridCol w:w="635"/>
        <w:gridCol w:w="155"/>
        <w:gridCol w:w="60"/>
        <w:gridCol w:w="60"/>
        <w:gridCol w:w="635"/>
        <w:gridCol w:w="170"/>
      </w:tblGrid>
      <w:tr>
        <w:trPr/>
        <w:tc>
          <w:tcPr>
            <w:tcW w:w="24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405" w:type="dxa"/>
            <w:vMerge w:val="restart"/>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10" w:type="dxa"/>
            <w:gridSpan w:val="34"/>
            <w:tcBorders>
              <w:bottom w:val="single" w:sz="8" w:space="0" w:color="000000"/>
            </w:tcBorders>
            <w:shd w:fill="auto" w:val="clear"/>
            <w:tcMar>
              <w:bottom w:w="28" w:type="dxa"/>
            </w:tcMar>
            <w:vAlign w:val="center"/>
          </w:tcPr>
          <w:p>
            <w:pPr>
              <w:pStyle w:val="TableContents"/>
              <w:spacing w:before="0" w:after="283"/>
              <w:jc w:val="center"/>
              <w:rPr>
                <w:b/>
              </w:rPr>
            </w:pPr>
            <w:r>
              <w:rPr>
                <w:b/>
              </w:rPr>
              <w:t>For the year ended December 31,</w:t>
            </w:r>
          </w:p>
        </w:tc>
        <w:tc>
          <w:tcPr>
            <w:tcW w:w="170" w:type="dxa"/>
            <w:tcBorders/>
            <w:shd w:fill="auto" w:val="clear"/>
            <w:vAlign w:val="center"/>
          </w:tcPr>
          <w:p>
            <w:pPr>
              <w:pStyle w:val="TableContents"/>
              <w:spacing w:before="0" w:after="283"/>
              <w:rPr/>
            </w:pPr>
            <w:r>
              <w:rPr/>
              <w:t> </w:t>
            </w:r>
          </w:p>
        </w:tc>
      </w:tr>
      <w:tr>
        <w:trPr/>
        <w:tc>
          <w:tcPr>
            <w:tcW w:w="240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2110" w:type="dxa"/>
            <w:gridSpan w:val="10"/>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35" w:type="dxa"/>
            <w:gridSpan w:val="10"/>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15" w:type="dxa"/>
            <w:gridSpan w:val="10"/>
            <w:tcBorders>
              <w:bottom w:val="single" w:sz="8" w:space="0" w:color="000000"/>
            </w:tcBorders>
            <w:shd w:fill="auto" w:val="clear"/>
            <w:tcMar>
              <w:bottom w:w="28" w:type="dxa"/>
            </w:tcMar>
            <w:vAlign w:val="center"/>
          </w:tcPr>
          <w:p>
            <w:pPr>
              <w:pStyle w:val="TableContents"/>
              <w:spacing w:before="0" w:after="283"/>
              <w:jc w:val="center"/>
              <w:rPr>
                <w:b/>
              </w:rPr>
            </w:pPr>
            <w:r>
              <w:rPr>
                <w:b/>
              </w:rPr>
              <w:t>2020</w:t>
            </w:r>
          </w:p>
        </w:tc>
        <w:tc>
          <w:tcPr>
            <w:tcW w:w="170" w:type="dxa"/>
            <w:tcBorders/>
            <w:shd w:fill="auto" w:val="clear"/>
            <w:vAlign w:val="center"/>
          </w:tcPr>
          <w:p>
            <w:pPr>
              <w:pStyle w:val="TableContents"/>
              <w:spacing w:before="0" w:after="283"/>
              <w:rPr/>
            </w:pPr>
            <w:r>
              <w:rPr/>
              <w:t> </w:t>
            </w:r>
          </w:p>
        </w:tc>
      </w:tr>
      <w:tr>
        <w:trPr/>
        <w:tc>
          <w:tcPr>
            <w:tcW w:w="24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6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Air</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Space</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Group</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Air</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Space</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Group</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9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Air</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Space</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Group</w:t>
            </w:r>
          </w:p>
        </w:tc>
        <w:tc>
          <w:tcPr>
            <w:tcW w:w="170" w:type="dxa"/>
            <w:tcBorders/>
            <w:shd w:fill="auto" w:val="clear"/>
            <w:vAlign w:val="center"/>
          </w:tcPr>
          <w:p>
            <w:pPr>
              <w:pStyle w:val="TableContents"/>
              <w:spacing w:before="0" w:after="283"/>
              <w:rPr/>
            </w:pPr>
            <w:r>
              <w:rPr/>
              <w:t> </w:t>
            </w:r>
          </w:p>
        </w:tc>
      </w:tr>
      <w:tr>
        <w:trPr/>
        <w:tc>
          <w:tcPr>
            <w:tcW w:w="24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10" w:type="dxa"/>
            <w:gridSpan w:val="10"/>
            <w:tcBorders/>
            <w:shd w:fill="auto" w:val="clear"/>
            <w:vAlign w:val="center"/>
          </w:tcPr>
          <w:p>
            <w:pPr>
              <w:pStyle w:val="TableContents"/>
              <w:spacing w:before="0" w:after="283"/>
              <w:jc w:val="center"/>
              <w:rPr>
                <w:b/>
              </w:rPr>
            </w:pPr>
            <w:r>
              <w:rPr>
                <w:b/>
              </w:rPr>
              <w:t>(in € thousands)</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35" w:type="dxa"/>
            <w:gridSpan w:val="10"/>
            <w:tcBorders/>
            <w:shd w:fill="auto" w:val="clear"/>
            <w:vAlign w:val="center"/>
          </w:tcPr>
          <w:p>
            <w:pPr>
              <w:pStyle w:val="TableContents"/>
              <w:spacing w:before="0" w:after="283"/>
              <w:jc w:val="center"/>
              <w:rPr>
                <w:b/>
              </w:rPr>
            </w:pPr>
            <w:r>
              <w:rPr>
                <w:b/>
              </w:rPr>
              <w:t>(in € thousands)</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15" w:type="dxa"/>
            <w:gridSpan w:val="10"/>
            <w:tcBorders/>
            <w:shd w:fill="auto" w:val="clear"/>
            <w:vAlign w:val="center"/>
          </w:tcPr>
          <w:p>
            <w:pPr>
              <w:pStyle w:val="TableContents"/>
              <w:spacing w:before="0" w:after="283"/>
              <w:jc w:val="center"/>
              <w:rPr>
                <w:b/>
              </w:rPr>
            </w:pPr>
            <w:r>
              <w:rPr>
                <w:b/>
              </w:rPr>
              <w:t>(in € thousands)</w:t>
            </w:r>
          </w:p>
        </w:tc>
        <w:tc>
          <w:tcPr>
            <w:tcW w:w="170" w:type="dxa"/>
            <w:tcBorders/>
            <w:shd w:fill="auto" w:val="clear"/>
            <w:vAlign w:val="center"/>
          </w:tcPr>
          <w:p>
            <w:pPr>
              <w:pStyle w:val="TableContents"/>
              <w:spacing w:before="0" w:after="283"/>
              <w:rPr/>
            </w:pPr>
            <w:r>
              <w:rPr/>
              <w:t> </w:t>
            </w:r>
          </w:p>
        </w:tc>
      </w:tr>
      <w:tr>
        <w:trPr/>
        <w:tc>
          <w:tcPr>
            <w:tcW w:w="24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Cost of materials</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286" w:type="dxa"/>
            <w:tcBorders/>
            <w:shd w:fill="CCEEFF" w:val="clear"/>
            <w:vAlign w:val="center"/>
          </w:tcPr>
          <w:p>
            <w:pPr>
              <w:pStyle w:val="TableContents"/>
              <w:spacing w:before="0" w:after="283"/>
              <w:jc w:val="right"/>
              <w:rPr/>
            </w:pPr>
            <w:r>
              <w:rPr/>
              <w:t>(3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548" w:type="dxa"/>
            <w:tcBorders/>
            <w:shd w:fill="CCEEFF" w:val="clear"/>
            <w:vAlign w:val="center"/>
          </w:tcPr>
          <w:p>
            <w:pPr>
              <w:pStyle w:val="TableContents"/>
              <w:spacing w:before="0" w:after="283"/>
              <w:jc w:val="right"/>
              <w:rPr/>
            </w:pPr>
            <w:r>
              <w:rPr/>
              <w:t>(686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(689</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5" w:type="dxa"/>
            <w:tcBorders/>
            <w:shd w:fill="CCEEFF" w:val="clear"/>
            <w:vAlign w:val="center"/>
          </w:tcPr>
          <w:p>
            <w:pPr>
              <w:pStyle w:val="TableContents"/>
              <w:spacing w:before="0" w:after="283"/>
              <w:jc w:val="right"/>
              <w:rPr/>
            </w:pPr>
            <w:r>
              <w:rPr/>
              <w:t>(487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(1,507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(1,995</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(1,263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(2,810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(4,073</w:t>
            </w:r>
          </w:p>
        </w:tc>
        <w:tc>
          <w:tcPr>
            <w:tcW w:w="170" w:type="dxa"/>
            <w:tcBorders/>
            <w:shd w:fill="CCEEFF" w:val="clear"/>
            <w:vAlign w:val="center"/>
          </w:tcPr>
          <w:p>
            <w:pPr>
              <w:pStyle w:val="TableContents"/>
              <w:spacing w:before="0" w:after="283"/>
              <w:rPr/>
            </w:pPr>
            <w:r>
              <w:rPr/>
              <w:t>) </w:t>
            </w:r>
          </w:p>
        </w:tc>
      </w:tr>
      <w:tr>
        <w:trPr/>
        <w:tc>
          <w:tcPr>
            <w:tcW w:w="24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Personnel costs</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286" w:type="dxa"/>
            <w:tcBorders/>
            <w:shd w:fill="auto" w:val="clear"/>
            <w:vAlign w:val="center"/>
          </w:tcPr>
          <w:p>
            <w:pPr>
              <w:pStyle w:val="TableContents"/>
              <w:spacing w:before="0" w:after="283"/>
              <w:jc w:val="right"/>
              <w:rPr/>
            </w:pPr>
            <w:r>
              <w:rPr/>
              <w:t>(5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548" w:type="dxa"/>
            <w:tcBorders/>
            <w:shd w:fill="auto" w:val="clear"/>
            <w:vAlign w:val="center"/>
          </w:tcPr>
          <w:p>
            <w:pPr>
              <w:pStyle w:val="TableContents"/>
              <w:spacing w:before="0" w:after="283"/>
              <w:jc w:val="right"/>
              <w:rPr/>
            </w:pPr>
            <w:r>
              <w:rPr/>
              <w:t>(660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(665</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jc w:val="right"/>
              <w:rPr/>
            </w:pPr>
            <w:r>
              <w:rPr/>
              <w:t>(95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(1,811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(1,906</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(621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(3,300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(3,921</w:t>
            </w:r>
          </w:p>
        </w:tc>
        <w:tc>
          <w:tcPr>
            <w:tcW w:w="170" w:type="dxa"/>
            <w:tcBorders/>
            <w:shd w:fill="auto" w:val="clear"/>
            <w:vAlign w:val="center"/>
          </w:tcPr>
          <w:p>
            <w:pPr>
              <w:pStyle w:val="TableContents"/>
              <w:spacing w:before="0" w:after="283"/>
              <w:rPr/>
            </w:pPr>
            <w:r>
              <w:rPr/>
              <w:t>) </w:t>
            </w:r>
          </w:p>
        </w:tc>
      </w:tr>
      <w:tr>
        <w:trPr/>
        <w:tc>
          <w:tcPr>
            <w:tcW w:w="24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Depreciation and amortization</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286" w:type="dxa"/>
            <w:tcBorders/>
            <w:shd w:fill="CCEEFF" w:val="clear"/>
            <w:vAlign w:val="center"/>
          </w:tcPr>
          <w:p>
            <w:pPr>
              <w:pStyle w:val="TableContents"/>
              <w:spacing w:before="0" w:after="283"/>
              <w:jc w:val="right"/>
              <w:rPr/>
            </w:pPr>
            <w:r>
              <w:rPr/>
              <w:t>(1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548" w:type="dxa"/>
            <w:tcBorders/>
            <w:shd w:fill="CCEEFF" w:val="clear"/>
            <w:vAlign w:val="center"/>
          </w:tcPr>
          <w:p>
            <w:pPr>
              <w:pStyle w:val="TableContents"/>
              <w:spacing w:before="0" w:after="283"/>
              <w:jc w:val="right"/>
              <w:rPr/>
            </w:pPr>
            <w:r>
              <w:rPr/>
              <w:t>(111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15" w:type="dxa"/>
            <w:tcBorders/>
            <w:shd w:fill="CCEEFF" w:val="clear"/>
            <w:vAlign w:val="center"/>
          </w:tcPr>
          <w:p>
            <w:pPr>
              <w:pStyle w:val="TableContents"/>
              <w:spacing w:before="0" w:after="283"/>
              <w:jc w:val="right"/>
              <w:rPr/>
            </w:pPr>
            <w:r>
              <w:rPr/>
              <w:t>(112</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5" w:type="dxa"/>
            <w:tcBorders/>
            <w:shd w:fill="CCEEFF" w:val="clear"/>
            <w:vAlign w:val="center"/>
          </w:tcPr>
          <w:p>
            <w:pPr>
              <w:pStyle w:val="TableContents"/>
              <w:spacing w:before="0" w:after="283"/>
              <w:jc w:val="right"/>
              <w:rPr/>
            </w:pPr>
            <w:r>
              <w:rPr/>
              <w:t>(15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(273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(287</w:t>
            </w:r>
          </w:p>
        </w:tc>
        <w:tc>
          <w:tcPr>
            <w:tcW w:w="155" w:type="dxa"/>
            <w:tcBorders>
              <w:right w:val="single" w:sz="6" w:space="0" w:color="000000"/>
            </w:tcBorders>
            <w:shd w:fill="CCEEFF" w:val="clear"/>
            <w:tcMar>
              <w:right w:w="28" w:type="dxa"/>
            </w:tcM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(126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(676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(802</w:t>
            </w:r>
          </w:p>
        </w:tc>
        <w:tc>
          <w:tcPr>
            <w:tcW w:w="170" w:type="dxa"/>
            <w:tcBorders/>
            <w:shd w:fill="CCEEFF" w:val="clear"/>
            <w:vAlign w:val="center"/>
          </w:tcPr>
          <w:p>
            <w:pPr>
              <w:pStyle w:val="TableContents"/>
              <w:spacing w:before="0" w:after="283"/>
              <w:rPr/>
            </w:pPr>
            <w:r>
              <w:rPr/>
              <w:t>) </w:t>
            </w:r>
          </w:p>
        </w:tc>
      </w:tr>
      <w:tr>
        <w:trPr/>
        <w:tc>
          <w:tcPr>
            <w:tcW w:w="24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operating costs</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286" w:type="dxa"/>
            <w:tcBorders/>
            <w:shd w:fill="auto" w:val="clear"/>
            <w:vAlign w:val="center"/>
          </w:tcPr>
          <w:p>
            <w:pPr>
              <w:pStyle w:val="TableContents"/>
              <w:spacing w:before="0" w:after="283"/>
              <w:jc w:val="right"/>
              <w:rPr/>
            </w:pPr>
            <w:r>
              <w:rPr/>
              <w:t>(1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548" w:type="dxa"/>
            <w:tcBorders/>
            <w:shd w:fill="auto" w:val="clear"/>
            <w:vAlign w:val="center"/>
          </w:tcPr>
          <w:p>
            <w:pPr>
              <w:pStyle w:val="TableContents"/>
              <w:spacing w:before="0" w:after="283"/>
              <w:jc w:val="right"/>
              <w:rPr/>
            </w:pPr>
            <w:r>
              <w:rPr/>
              <w:t>(100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(101</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jc w:val="right"/>
              <w:rPr/>
            </w:pPr>
            <w:r>
              <w:rPr/>
              <w:t>(21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(406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(427</w:t>
            </w:r>
          </w:p>
        </w:tc>
        <w:tc>
          <w:tcPr>
            <w:tcW w:w="155" w:type="dxa"/>
            <w:tcBorders>
              <w:right w:val="single" w:sz="6" w:space="0" w:color="000000"/>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(92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(487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(579</w:t>
            </w:r>
          </w:p>
        </w:tc>
        <w:tc>
          <w:tcPr>
            <w:tcW w:w="170"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64"/>
        <w:gridCol w:w="9941"/>
      </w:tblGrid>
      <w:tr>
        <w:trPr/>
        <w:tc>
          <w:tcPr>
            <w:tcW w:w="264" w:type="dxa"/>
            <w:tcBorders/>
            <w:shd w:fill="auto" w:val="clear"/>
            <w:vAlign w:val="center"/>
          </w:tcPr>
          <w:p>
            <w:pPr>
              <w:pStyle w:val="TableContents"/>
              <w:spacing w:before="0" w:after="283"/>
              <w:jc w:val="left"/>
              <w:rPr/>
            </w:pPr>
            <w:r>
              <w:rPr/>
              <w:t>(2)</w:t>
            </w:r>
          </w:p>
        </w:tc>
        <w:tc>
          <w:tcPr>
            <w:tcW w:w="9941"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Includes non-segment specific expenses in the amount of €6,087 thousand relating to the audit of our financial statements, the remuneration for the members of our supervisory board as well as insurance costs related to our IPO in the United States. </w:t>
            </w:r>
          </w:p>
        </w:tc>
      </w:tr>
    </w:tbl>
    <w:tbl>
      <w:tblPr>
        <w:tblW w:w="10205" w:type="dxa"/>
        <w:jc w:val="left"/>
        <w:tblInd w:w="0" w:type="dxa"/>
        <w:tblCellMar>
          <w:top w:w="0" w:type="dxa"/>
          <w:left w:w="0" w:type="dxa"/>
          <w:bottom w:w="0" w:type="dxa"/>
          <w:right w:w="0" w:type="dxa"/>
        </w:tblCellMar>
      </w:tblPr>
      <w:tblGrid>
        <w:gridCol w:w="267"/>
        <w:gridCol w:w="9938"/>
      </w:tblGrid>
      <w:tr>
        <w:trPr/>
        <w:tc>
          <w:tcPr>
            <w:tcW w:w="267" w:type="dxa"/>
            <w:tcBorders/>
            <w:shd w:fill="auto" w:val="clear"/>
            <w:vAlign w:val="center"/>
          </w:tcPr>
          <w:p>
            <w:pPr>
              <w:pStyle w:val="TableContents"/>
              <w:spacing w:before="0" w:after="283"/>
              <w:jc w:val="left"/>
              <w:rPr/>
            </w:pPr>
            <w:r>
              <w:rPr/>
              <w:t>(3)</w:t>
            </w:r>
          </w:p>
        </w:tc>
        <w:tc>
          <w:tcPr>
            <w:tcW w:w="9938"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Includes non-segment specific expenses in the amount of €1,489 thousand relating to the audit of our financial statements, the remuneration for the members of our supervisory board as well as other IPO-related advisory costs. </w:t>
            </w:r>
          </w:p>
        </w:tc>
      </w:tr>
    </w:tbl>
    <w:tbl>
      <w:tblPr>
        <w:tblW w:w="10205" w:type="dxa"/>
        <w:jc w:val="left"/>
        <w:tblInd w:w="0" w:type="dxa"/>
        <w:tblCellMar>
          <w:top w:w="0" w:type="dxa"/>
          <w:left w:w="0" w:type="dxa"/>
          <w:bottom w:w="0" w:type="dxa"/>
          <w:right w:w="0" w:type="dxa"/>
        </w:tblCellMar>
      </w:tblPr>
      <w:tblGrid>
        <w:gridCol w:w="272"/>
        <w:gridCol w:w="9933"/>
      </w:tblGrid>
      <w:tr>
        <w:trPr/>
        <w:tc>
          <w:tcPr>
            <w:tcW w:w="272" w:type="dxa"/>
            <w:tcBorders/>
            <w:shd w:fill="auto" w:val="clear"/>
            <w:vAlign w:val="center"/>
          </w:tcPr>
          <w:p>
            <w:pPr>
              <w:pStyle w:val="TableContents"/>
              <w:spacing w:before="0" w:after="283"/>
              <w:jc w:val="left"/>
              <w:rPr/>
            </w:pPr>
            <w:r>
              <w:rPr/>
              <w:t>(4)</w:t>
            </w:r>
          </w:p>
        </w:tc>
        <w:tc>
          <w:tcPr>
            <w:tcW w:w="993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Includes non-segment specific expenses in the amount of €443 thousand relating to the preparation and audit of our financial statements as well as remuneration for the members of our supervisory board.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Revenue </w:t>
      </w:r>
    </w:p>
    <w:p>
      <w:pPr>
        <w:pStyle w:val="TextBody"/>
        <w:spacing w:before="120" w:after="0"/>
        <w:jc w:val="left"/>
        <w:rPr>
          <w:rFonts w:ascii="Times New Roman" w:hAnsi="Times New Roman"/>
          <w:i/>
          <w:sz w:val="20"/>
        </w:rPr>
      </w:pPr>
      <w:r>
        <w:rPr>
          <w:rFonts w:ascii="Times New Roman" w:hAnsi="Times New Roman"/>
          <w:i/>
          <w:sz w:val="20"/>
        </w:rPr>
        <w:t xml:space="preserve">Comparison of the Years ended December 31, 2021 and December 31, 2022 </w:t>
      </w:r>
    </w:p>
    <w:p>
      <w:pPr>
        <w:pStyle w:val="TextBody"/>
        <w:spacing w:before="120" w:after="0"/>
        <w:jc w:val="both"/>
        <w:rPr>
          <w:rFonts w:ascii="Times New Roman" w:hAnsi="Times New Roman"/>
          <w:sz w:val="20"/>
        </w:rPr>
      </w:pPr>
      <w:r>
        <w:rPr>
          <w:rFonts w:ascii="Times New Roman" w:hAnsi="Times New Roman"/>
          <w:sz w:val="20"/>
        </w:rPr>
        <w:t xml:space="preserve">Revenue increased from €2,355 thousand in 2021 to €4,422 thousand in 2022. This increase is mainly the result of several milestone payments in the amount of €2,589 thousand made by SpaceLink being recognized as revenue since we terminated our agreement with SpaceLink in late 2022 for default. The increase was further driven by the increase in deliveries of our CONDOR and HAWK terminals to initial customers in 2022. </w:t>
      </w:r>
    </w:p>
    <w:p>
      <w:pPr>
        <w:pStyle w:val="TextBody"/>
        <w:spacing w:before="240" w:after="0"/>
        <w:jc w:val="both"/>
        <w:rPr>
          <w:rFonts w:ascii="Times New Roman" w:hAnsi="Times New Roman"/>
          <w:sz w:val="20"/>
        </w:rPr>
      </w:pPr>
      <w:r>
        <w:rPr>
          <w:rFonts w:ascii="Times New Roman" w:hAnsi="Times New Roman"/>
          <w:sz w:val="20"/>
        </w:rPr>
        <w:t xml:space="preserve">On a regional level, revenue in our Space segment in 2022 consisted exclusively of revenue generated from three customers (including SpaceLink) in the United States. Revenue in our Air segment in 2022 consisted exclusively of revenue generated from two customers in the United States. </w:t>
      </w:r>
    </w:p>
    <w:p>
      <w:pPr>
        <w:pStyle w:val="TextBody"/>
        <w:spacing w:before="360" w:after="0"/>
        <w:jc w:val="left"/>
        <w:rPr>
          <w:rFonts w:ascii="Times New Roman" w:hAnsi="Times New Roman"/>
          <w:i/>
          <w:sz w:val="20"/>
        </w:rPr>
      </w:pPr>
      <w:r>
        <w:rPr>
          <w:rFonts w:ascii="Times New Roman" w:hAnsi="Times New Roman"/>
          <w:i/>
          <w:sz w:val="20"/>
        </w:rPr>
        <w:t xml:space="preserve">Comparison of the Years ended December 31, 2020 and December 31, 2021 </w:t>
      </w:r>
    </w:p>
    <w:p>
      <w:pPr>
        <w:pStyle w:val="TextBody"/>
        <w:spacing w:before="120" w:after="0"/>
        <w:jc w:val="both"/>
        <w:rPr>
          <w:rFonts w:ascii="Times New Roman" w:hAnsi="Times New Roman"/>
          <w:sz w:val="20"/>
        </w:rPr>
      </w:pPr>
      <w:r>
        <w:rPr>
          <w:rFonts w:ascii="Times New Roman" w:hAnsi="Times New Roman"/>
          <w:sz w:val="20"/>
        </w:rPr>
        <w:t xml:space="preserve">Revenue increased significantly from €679 thousand in 2020 to €2,355 thousand in 2021, due to a substantial increase in revenue in our Space segment driven by sales of our CONDOR terminals and the increase in development and training services relating to our CONDOR terminals. Our Air segment generated no revenue in 2021. </w:t>
      </w:r>
    </w:p>
    <w:p>
      <w:pPr>
        <w:pStyle w:val="TextBody"/>
        <w:spacing w:before="240" w:after="0"/>
        <w:jc w:val="both"/>
        <w:rPr>
          <w:rFonts w:ascii="Times New Roman" w:hAnsi="Times New Roman"/>
          <w:sz w:val="20"/>
        </w:rPr>
      </w:pPr>
      <w:r>
        <w:rPr>
          <w:rFonts w:ascii="Times New Roman" w:hAnsi="Times New Roman"/>
          <w:sz w:val="20"/>
        </w:rPr>
        <w:t xml:space="preserve">On a regional level, revenue in our Space segment in 2021 consisted exclusively of revenue from sales in the United States. </w:t>
      </w:r>
    </w:p>
    <w:p>
      <w:pPr>
        <w:pStyle w:val="TextBody"/>
        <w:spacing w:before="360" w:after="0"/>
        <w:jc w:val="left"/>
        <w:rPr>
          <w:rFonts w:ascii="Times New Roman" w:hAnsi="Times New Roman"/>
          <w:b/>
          <w:i/>
          <w:sz w:val="20"/>
        </w:rPr>
      </w:pPr>
      <w:r>
        <w:rPr>
          <w:rFonts w:ascii="Times New Roman" w:hAnsi="Times New Roman"/>
          <w:b/>
          <w:i/>
          <w:sz w:val="20"/>
        </w:rPr>
        <w:t xml:space="preserve">Other Operating Income </w:t>
      </w:r>
    </w:p>
    <w:p>
      <w:pPr>
        <w:pStyle w:val="TextBody"/>
        <w:spacing w:before="120" w:after="0"/>
        <w:jc w:val="left"/>
        <w:rPr>
          <w:rFonts w:ascii="Times New Roman" w:hAnsi="Times New Roman"/>
          <w:i/>
          <w:sz w:val="20"/>
        </w:rPr>
      </w:pPr>
      <w:r>
        <w:rPr>
          <w:rFonts w:ascii="Times New Roman" w:hAnsi="Times New Roman"/>
          <w:i/>
          <w:sz w:val="20"/>
        </w:rPr>
        <w:t xml:space="preserve">Comparison of the Years ended December 31, 2021 and December 31, 2022 </w:t>
      </w:r>
    </w:p>
    <w:p>
      <w:pPr>
        <w:pStyle w:val="TextBody"/>
        <w:spacing w:before="120" w:after="0"/>
        <w:jc w:val="both"/>
        <w:rPr>
          <w:rFonts w:ascii="Times New Roman" w:hAnsi="Times New Roman"/>
          <w:sz w:val="20"/>
        </w:rPr>
      </w:pPr>
      <w:r>
        <w:rPr>
          <w:rFonts w:ascii="Times New Roman" w:hAnsi="Times New Roman"/>
          <w:sz w:val="20"/>
        </w:rPr>
        <w:t xml:space="preserve">Other operating income increased significantly from €435 thousand in 2021 to €2,376 thousand in 2022, primarily due to income from grants generated under the DARPA Space-BACN program and two ESA programs. </w:t>
      </w:r>
    </w:p>
    <w:p>
      <w:pPr>
        <w:pStyle w:val="TextBody"/>
        <w:spacing w:before="360" w:after="0"/>
        <w:jc w:val="left"/>
        <w:rPr>
          <w:rFonts w:ascii="Times New Roman" w:hAnsi="Times New Roman"/>
          <w:i/>
          <w:sz w:val="20"/>
        </w:rPr>
      </w:pPr>
      <w:r>
        <w:rPr>
          <w:rFonts w:ascii="Times New Roman" w:hAnsi="Times New Roman"/>
          <w:i/>
          <w:sz w:val="20"/>
        </w:rPr>
        <w:t xml:space="preserve">Comparison of the Years ended December 31, 2020 and December 31, 2021 </w:t>
      </w:r>
    </w:p>
    <w:p>
      <w:pPr>
        <w:pStyle w:val="TextBody"/>
        <w:spacing w:before="120" w:after="0"/>
        <w:jc w:val="both"/>
        <w:rPr>
          <w:rFonts w:ascii="Times New Roman" w:hAnsi="Times New Roman"/>
          <w:sz w:val="20"/>
        </w:rPr>
      </w:pPr>
      <w:r>
        <w:rPr>
          <w:rFonts w:ascii="Times New Roman" w:hAnsi="Times New Roman"/>
          <w:sz w:val="20"/>
        </w:rPr>
        <w:t xml:space="preserve">Other operating income increased by 47.5% from €295 thousand in 2020 to €435 thousand in 2021, primarily due to income from the reversal of liabilities related to the termination of a contract and income from government grants related to technology development programs. </w:t>
      </w:r>
    </w:p>
    <w:p>
      <w:pPr>
        <w:pStyle w:val="TextBody"/>
        <w:spacing w:before="360" w:after="0"/>
        <w:jc w:val="left"/>
        <w:rPr>
          <w:rFonts w:ascii="Times New Roman" w:hAnsi="Times New Roman"/>
          <w:b/>
          <w:i/>
          <w:sz w:val="20"/>
        </w:rPr>
      </w:pPr>
      <w:r>
        <w:rPr>
          <w:rFonts w:ascii="Times New Roman" w:hAnsi="Times New Roman"/>
          <w:b/>
          <w:i/>
          <w:sz w:val="20"/>
        </w:rPr>
        <w:t xml:space="preserve">Cost of Materials </w:t>
      </w:r>
    </w:p>
    <w:p>
      <w:pPr>
        <w:pStyle w:val="TextBody"/>
        <w:spacing w:before="120" w:after="0"/>
        <w:jc w:val="both"/>
        <w:rPr>
          <w:rFonts w:ascii="Times New Roman" w:hAnsi="Times New Roman"/>
          <w:sz w:val="20"/>
        </w:rPr>
      </w:pPr>
      <w:r>
        <w:rPr>
          <w:rFonts w:ascii="Times New Roman" w:hAnsi="Times New Roman"/>
          <w:sz w:val="20"/>
        </w:rPr>
        <w:t xml:space="preserve">The following table provides our cost of materials for the periods presented: </w:t>
      </w:r>
    </w:p>
    <w:p>
      <w:pPr>
        <w:pStyle w:val="TextBody"/>
        <w:spacing w:before="0" w:after="0"/>
        <w:jc w:val="left"/>
        <w:rPr/>
      </w:pPr>
      <w:r>
        <w:rPr/>
        <w:t> </w:t>
      </w:r>
    </w:p>
    <w:tbl>
      <w:tblPr>
        <w:tblW w:w="7886" w:type="dxa"/>
        <w:jc w:val="left"/>
        <w:tblInd w:w="0" w:type="dxa"/>
        <w:tblCellMar>
          <w:top w:w="0" w:type="dxa"/>
          <w:left w:w="0" w:type="dxa"/>
          <w:bottom w:w="0" w:type="dxa"/>
          <w:right w:w="0" w:type="dxa"/>
        </w:tblCellMar>
      </w:tblPr>
      <w:tblGrid>
        <w:gridCol w:w="4190"/>
        <w:gridCol w:w="120"/>
        <w:gridCol w:w="71"/>
        <w:gridCol w:w="895"/>
        <w:gridCol w:w="183"/>
        <w:gridCol w:w="142"/>
        <w:gridCol w:w="71"/>
        <w:gridCol w:w="895"/>
        <w:gridCol w:w="183"/>
        <w:gridCol w:w="142"/>
        <w:gridCol w:w="71"/>
        <w:gridCol w:w="753"/>
        <w:gridCol w:w="170"/>
      </w:tblGrid>
      <w:tr>
        <w:trPr/>
        <w:tc>
          <w:tcPr>
            <w:tcW w:w="41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1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406" w:type="dxa"/>
            <w:gridSpan w:val="10"/>
            <w:tcBorders>
              <w:bottom w:val="single" w:sz="8" w:space="0" w:color="000000"/>
            </w:tcBorders>
            <w:shd w:fill="auto" w:val="clear"/>
            <w:tcMar>
              <w:bottom w:w="28" w:type="dxa"/>
            </w:tcMar>
            <w:vAlign w:val="center"/>
          </w:tcPr>
          <w:p>
            <w:pPr>
              <w:pStyle w:val="TableContents"/>
              <w:spacing w:before="0" w:after="283"/>
              <w:jc w:val="center"/>
              <w:rPr>
                <w:b/>
              </w:rPr>
            </w:pPr>
            <w:r>
              <w:rPr>
                <w:b/>
              </w:rPr>
              <w:t>For the year ended December 31,</w:t>
            </w:r>
          </w:p>
        </w:tc>
        <w:tc>
          <w:tcPr>
            <w:tcW w:w="170" w:type="dxa"/>
            <w:tcBorders/>
            <w:shd w:fill="auto" w:val="clear"/>
            <w:vAlign w:val="center"/>
          </w:tcPr>
          <w:p>
            <w:pPr>
              <w:pStyle w:val="TableContents"/>
              <w:spacing w:before="0" w:after="283"/>
              <w:rPr/>
            </w:pPr>
            <w:r>
              <w:rPr/>
              <w:t> </w:t>
            </w:r>
          </w:p>
        </w:tc>
      </w:tr>
      <w:tr>
        <w:trPr/>
        <w:tc>
          <w:tcPr>
            <w:tcW w:w="41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66"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183"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966"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183"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824"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2020</w:t>
            </w:r>
          </w:p>
        </w:tc>
        <w:tc>
          <w:tcPr>
            <w:tcW w:w="170" w:type="dxa"/>
            <w:tcBorders/>
            <w:shd w:fill="auto" w:val="clear"/>
            <w:vAlign w:val="center"/>
          </w:tcPr>
          <w:p>
            <w:pPr>
              <w:pStyle w:val="TableContents"/>
              <w:spacing w:before="0" w:after="283"/>
              <w:rPr/>
            </w:pPr>
            <w:r>
              <w:rPr/>
              <w:t> </w:t>
            </w:r>
          </w:p>
        </w:tc>
      </w:tr>
      <w:tr>
        <w:trPr/>
        <w:tc>
          <w:tcPr>
            <w:tcW w:w="41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406" w:type="dxa"/>
            <w:gridSpan w:val="10"/>
            <w:tcBorders/>
            <w:shd w:fill="auto" w:val="clear"/>
            <w:vAlign w:val="center"/>
          </w:tcPr>
          <w:p>
            <w:pPr>
              <w:pStyle w:val="TableContents"/>
              <w:spacing w:before="0" w:after="283"/>
              <w:jc w:val="center"/>
              <w:rPr>
                <w:b/>
              </w:rPr>
            </w:pPr>
            <w:r>
              <w:rPr>
                <w:b/>
              </w:rPr>
              <w:t>(in € thousands)</w:t>
            </w:r>
          </w:p>
        </w:tc>
        <w:tc>
          <w:tcPr>
            <w:tcW w:w="170" w:type="dxa"/>
            <w:tcBorders/>
            <w:shd w:fill="auto" w:val="clear"/>
            <w:vAlign w:val="center"/>
          </w:tcPr>
          <w:p>
            <w:pPr>
              <w:pStyle w:val="TableContents"/>
              <w:spacing w:before="0" w:after="283"/>
              <w:rPr/>
            </w:pPr>
            <w:r>
              <w:rPr/>
              <w:t> </w:t>
            </w:r>
          </w:p>
        </w:tc>
      </w:tr>
      <w:tr>
        <w:trPr/>
        <w:tc>
          <w:tcPr>
            <w:tcW w:w="41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Cost of materials</w:t>
            </w:r>
          </w:p>
        </w:tc>
        <w:tc>
          <w:tcPr>
            <w:tcW w:w="12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895" w:type="dxa"/>
            <w:tcBorders/>
            <w:shd w:fill="CCEEFF" w:val="clear"/>
            <w:vAlign w:val="center"/>
          </w:tcPr>
          <w:p>
            <w:pPr>
              <w:pStyle w:val="TableContents"/>
              <w:spacing w:before="0" w:after="283"/>
              <w:jc w:val="right"/>
              <w:rPr/>
            </w:pPr>
            <w:r>
              <w:rPr/>
              <w:t>(15,434</w:t>
            </w:r>
          </w:p>
        </w:tc>
        <w:tc>
          <w:tcPr>
            <w:tcW w:w="183"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895" w:type="dxa"/>
            <w:tcBorders/>
            <w:shd w:fill="CCEEFF" w:val="clear"/>
            <w:vAlign w:val="center"/>
          </w:tcPr>
          <w:p>
            <w:pPr>
              <w:pStyle w:val="TableContents"/>
              <w:spacing w:before="0" w:after="283"/>
              <w:jc w:val="right"/>
              <w:rPr/>
            </w:pPr>
            <w:r>
              <w:rPr/>
              <w:t>(10,624</w:t>
            </w:r>
          </w:p>
        </w:tc>
        <w:tc>
          <w:tcPr>
            <w:tcW w:w="183"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753" w:type="dxa"/>
            <w:tcBorders/>
            <w:shd w:fill="CCEEFF" w:val="clear"/>
            <w:vAlign w:val="center"/>
          </w:tcPr>
          <w:p>
            <w:pPr>
              <w:pStyle w:val="TableContents"/>
              <w:spacing w:before="0" w:after="283"/>
              <w:jc w:val="right"/>
              <w:rPr/>
            </w:pPr>
            <w:r>
              <w:rPr/>
              <w:t>(6,221</w:t>
            </w:r>
          </w:p>
        </w:tc>
        <w:tc>
          <w:tcPr>
            <w:tcW w:w="170" w:type="dxa"/>
            <w:tcBorders/>
            <w:shd w:fill="CCEEFF" w:val="clear"/>
            <w:vAlign w:val="center"/>
          </w:tcPr>
          <w:p>
            <w:pPr>
              <w:pStyle w:val="TableContents"/>
              <w:spacing w:before="0" w:after="283"/>
              <w:rPr/>
            </w:pPr>
            <w:r>
              <w:rPr/>
              <w:t>) </w:t>
            </w:r>
          </w:p>
        </w:tc>
      </w:tr>
      <w:tr>
        <w:trPr/>
        <w:tc>
          <w:tcPr>
            <w:tcW w:w="4190" w:type="dxa"/>
            <w:tcBorders/>
            <w:shd w:fill="auto" w:val="clear"/>
            <w:vAlign w:val="center"/>
          </w:tcPr>
          <w:p>
            <w:pPr>
              <w:pStyle w:val="TableContents"/>
              <w:spacing w:before="0" w:after="0"/>
              <w:rPr>
                <w:rFonts w:ascii="Times New Roman" w:hAnsi="Times New Roman"/>
                <w:i/>
                <w:sz w:val="20"/>
              </w:rPr>
            </w:pPr>
            <w:r>
              <w:rPr>
                <w:rFonts w:ascii="Times New Roman" w:hAnsi="Times New Roman"/>
                <w:i/>
                <w:sz w:val="20"/>
              </w:rPr>
              <w:t>Of which own work capitalized</w:t>
            </w:r>
          </w:p>
        </w:tc>
        <w:tc>
          <w:tcPr>
            <w:tcW w:w="12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895" w:type="dxa"/>
            <w:tcBorders/>
            <w:shd w:fill="auto" w:val="clear"/>
            <w:vAlign w:val="center"/>
          </w:tcPr>
          <w:p>
            <w:pPr>
              <w:pStyle w:val="TableContents"/>
              <w:spacing w:before="0" w:after="283"/>
              <w:jc w:val="right"/>
              <w:rPr>
                <w:i/>
              </w:rPr>
            </w:pPr>
            <w:r>
              <w:rPr>
                <w:i/>
              </w:rPr>
              <w:t>689</w:t>
            </w:r>
          </w:p>
        </w:tc>
        <w:tc>
          <w:tcPr>
            <w:tcW w:w="183"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895" w:type="dxa"/>
            <w:tcBorders/>
            <w:shd w:fill="auto" w:val="clear"/>
            <w:vAlign w:val="center"/>
          </w:tcPr>
          <w:p>
            <w:pPr>
              <w:pStyle w:val="TableContents"/>
              <w:spacing w:before="0" w:after="283"/>
              <w:jc w:val="right"/>
              <w:rPr>
                <w:i/>
              </w:rPr>
            </w:pPr>
            <w:r>
              <w:rPr>
                <w:i/>
              </w:rPr>
              <w:t>1,995</w:t>
            </w:r>
          </w:p>
        </w:tc>
        <w:tc>
          <w:tcPr>
            <w:tcW w:w="183"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753" w:type="dxa"/>
            <w:tcBorders/>
            <w:shd w:fill="auto" w:val="clear"/>
            <w:vAlign w:val="center"/>
          </w:tcPr>
          <w:p>
            <w:pPr>
              <w:pStyle w:val="TableContents"/>
              <w:spacing w:before="0" w:after="283"/>
              <w:jc w:val="right"/>
              <w:rPr>
                <w:i/>
              </w:rPr>
            </w:pPr>
            <w:r>
              <w:rPr>
                <w:i/>
              </w:rPr>
              <w:t>4,073</w:t>
            </w:r>
          </w:p>
        </w:tc>
        <w:tc>
          <w:tcPr>
            <w:tcW w:w="170" w:type="dxa"/>
            <w:tcBorders/>
            <w:shd w:fill="auto" w:val="clear"/>
            <w:vAlign w:val="center"/>
          </w:tcPr>
          <w:p>
            <w:pPr>
              <w:pStyle w:val="TableContents"/>
              <w:spacing w:before="0" w:after="283"/>
              <w:rPr/>
            </w:pPr>
            <w:r>
              <w:rPr/>
              <w:t> </w:t>
            </w:r>
          </w:p>
        </w:tc>
      </w:tr>
      <w:tr>
        <w:trPr/>
        <w:tc>
          <w:tcPr>
            <w:tcW w:w="41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pBdr>
                <w:top w:val="single" w:sz="2" w:space="1" w:color="000000"/>
              </w:pBdr>
              <w:spacing w:before="0" w:after="0"/>
              <w:rPr/>
            </w:pPr>
            <w:r>
              <w:rPr/>
              <w:t> </w:t>
            </w:r>
          </w:p>
        </w:tc>
        <w:tc>
          <w:tcPr>
            <w:tcW w:w="895" w:type="dxa"/>
            <w:tcBorders/>
            <w:shd w:fill="auto" w:val="clear"/>
            <w:vAlign w:val="center"/>
          </w:tcPr>
          <w:p>
            <w:pPr>
              <w:pStyle w:val="TableContents"/>
              <w:pBdr>
                <w:top w:val="single" w:sz="2" w:space="1" w:color="000000"/>
              </w:pBdr>
              <w:spacing w:before="0" w:after="0"/>
              <w:rPr/>
            </w:pPr>
            <w:r>
              <w:rPr/>
              <w:t> </w:t>
            </w:r>
          </w:p>
        </w:tc>
        <w:tc>
          <w:tcPr>
            <w:tcW w:w="183"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pBdr>
                <w:top w:val="single" w:sz="2" w:space="1" w:color="000000"/>
              </w:pBdr>
              <w:spacing w:before="0" w:after="0"/>
              <w:rPr/>
            </w:pPr>
            <w:r>
              <w:rPr/>
              <w:t> </w:t>
            </w:r>
          </w:p>
        </w:tc>
        <w:tc>
          <w:tcPr>
            <w:tcW w:w="895" w:type="dxa"/>
            <w:tcBorders/>
            <w:shd w:fill="auto" w:val="clear"/>
            <w:vAlign w:val="center"/>
          </w:tcPr>
          <w:p>
            <w:pPr>
              <w:pStyle w:val="TableContents"/>
              <w:pBdr>
                <w:top w:val="single" w:sz="2" w:space="1" w:color="000000"/>
              </w:pBdr>
              <w:spacing w:before="0" w:after="0"/>
              <w:rPr/>
            </w:pPr>
            <w:r>
              <w:rPr/>
              <w:t> </w:t>
            </w:r>
          </w:p>
        </w:tc>
        <w:tc>
          <w:tcPr>
            <w:tcW w:w="183"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pBdr>
                <w:top w:val="single" w:sz="2" w:space="1" w:color="000000"/>
              </w:pBdr>
              <w:spacing w:before="0" w:after="0"/>
              <w:rPr/>
            </w:pPr>
            <w:r>
              <w:rPr/>
              <w:t> </w:t>
            </w:r>
          </w:p>
        </w:tc>
        <w:tc>
          <w:tcPr>
            <w:tcW w:w="753" w:type="dxa"/>
            <w:tcBorders/>
            <w:shd w:fill="auto" w:val="clear"/>
            <w:vAlign w:val="center"/>
          </w:tcPr>
          <w:p>
            <w:pPr>
              <w:pStyle w:val="TableContents"/>
              <w:pBdr>
                <w:top w:val="single" w:sz="2"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r>
        <w:trPr/>
        <w:tc>
          <w:tcPr>
            <w:tcW w:w="419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Cost of materials excluding own work capitalized</w:t>
            </w:r>
          </w:p>
        </w:tc>
        <w:tc>
          <w:tcPr>
            <w:tcW w:w="12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895" w:type="dxa"/>
            <w:tcBorders/>
            <w:shd w:fill="CCEEFF" w:val="clear"/>
            <w:vAlign w:val="center"/>
          </w:tcPr>
          <w:p>
            <w:pPr>
              <w:pStyle w:val="TableContents"/>
              <w:spacing w:before="0" w:after="283"/>
              <w:jc w:val="right"/>
              <w:rPr>
                <w:b/>
              </w:rPr>
            </w:pPr>
            <w:r>
              <w:rPr>
                <w:b/>
              </w:rPr>
              <w:t>(14,745</w:t>
            </w:r>
          </w:p>
        </w:tc>
        <w:tc>
          <w:tcPr>
            <w:tcW w:w="183" w:type="dxa"/>
            <w:tcBorders/>
            <w:shd w:fill="CCEEFF" w:val="clear"/>
            <w:vAlign w:val="center"/>
          </w:tcPr>
          <w:p>
            <w:pPr>
              <w:pStyle w:val="TableContents"/>
              <w:spacing w:before="0" w:after="283"/>
              <w:rPr>
                <w:b/>
              </w:rPr>
            </w:pPr>
            <w:r>
              <w:rPr>
                <w:b/>
              </w:rPr>
              <w:t>) </w:t>
            </w:r>
          </w:p>
        </w:tc>
        <w:tc>
          <w:tcPr>
            <w:tcW w:w="142"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895" w:type="dxa"/>
            <w:tcBorders/>
            <w:shd w:fill="CCEEFF" w:val="clear"/>
            <w:vAlign w:val="center"/>
          </w:tcPr>
          <w:p>
            <w:pPr>
              <w:pStyle w:val="TableContents"/>
              <w:spacing w:before="0" w:after="283"/>
              <w:jc w:val="right"/>
              <w:rPr>
                <w:b/>
              </w:rPr>
            </w:pPr>
            <w:r>
              <w:rPr>
                <w:b/>
              </w:rPr>
              <w:t>(8,629</w:t>
            </w:r>
          </w:p>
        </w:tc>
        <w:tc>
          <w:tcPr>
            <w:tcW w:w="183" w:type="dxa"/>
            <w:tcBorders/>
            <w:shd w:fill="CCEEFF" w:val="clear"/>
            <w:vAlign w:val="center"/>
          </w:tcPr>
          <w:p>
            <w:pPr>
              <w:pStyle w:val="TableContents"/>
              <w:spacing w:before="0" w:after="283"/>
              <w:rPr>
                <w:b/>
              </w:rPr>
            </w:pPr>
            <w:r>
              <w:rPr>
                <w:b/>
              </w:rPr>
              <w:t>) </w:t>
            </w:r>
          </w:p>
        </w:tc>
        <w:tc>
          <w:tcPr>
            <w:tcW w:w="142"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753" w:type="dxa"/>
            <w:tcBorders/>
            <w:shd w:fill="CCEEFF" w:val="clear"/>
            <w:vAlign w:val="center"/>
          </w:tcPr>
          <w:p>
            <w:pPr>
              <w:pStyle w:val="TableContents"/>
              <w:spacing w:before="0" w:after="283"/>
              <w:jc w:val="right"/>
              <w:rPr>
                <w:b/>
              </w:rPr>
            </w:pPr>
            <w:r>
              <w:rPr>
                <w:b/>
              </w:rPr>
              <w:t>(2,148</w:t>
            </w:r>
          </w:p>
        </w:tc>
        <w:tc>
          <w:tcPr>
            <w:tcW w:w="170" w:type="dxa"/>
            <w:tcBorders/>
            <w:shd w:fill="CCEEFF" w:val="clear"/>
            <w:vAlign w:val="center"/>
          </w:tcPr>
          <w:p>
            <w:pPr>
              <w:pStyle w:val="TableContents"/>
              <w:spacing w:before="0" w:after="283"/>
              <w:rPr>
                <w:b/>
              </w:rPr>
            </w:pPr>
            <w:r>
              <w:rPr>
                <w:b/>
              </w:rPr>
              <w:t>) </w:t>
            </w:r>
          </w:p>
        </w:tc>
      </w:tr>
      <w:tr>
        <w:trPr/>
        <w:tc>
          <w:tcPr>
            <w:tcW w:w="41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pBdr>
                <w:top w:val="double" w:sz="6" w:space="1" w:color="000000"/>
              </w:pBdr>
              <w:spacing w:before="0" w:after="0"/>
              <w:rPr/>
            </w:pPr>
            <w:r>
              <w:rPr/>
              <w:t> </w:t>
            </w:r>
          </w:p>
        </w:tc>
        <w:tc>
          <w:tcPr>
            <w:tcW w:w="895" w:type="dxa"/>
            <w:tcBorders/>
            <w:shd w:fill="auto" w:val="clear"/>
            <w:vAlign w:val="center"/>
          </w:tcPr>
          <w:p>
            <w:pPr>
              <w:pStyle w:val="TableContents"/>
              <w:pBdr>
                <w:top w:val="double" w:sz="6" w:space="1" w:color="000000"/>
              </w:pBdr>
              <w:spacing w:before="0" w:after="0"/>
              <w:rPr/>
            </w:pPr>
            <w:r>
              <w:rPr/>
              <w:t> </w:t>
            </w:r>
          </w:p>
        </w:tc>
        <w:tc>
          <w:tcPr>
            <w:tcW w:w="183"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pBdr>
                <w:top w:val="double" w:sz="6" w:space="1" w:color="000000"/>
              </w:pBdr>
              <w:spacing w:before="0" w:after="0"/>
              <w:rPr/>
            </w:pPr>
            <w:r>
              <w:rPr/>
              <w:t> </w:t>
            </w:r>
          </w:p>
        </w:tc>
        <w:tc>
          <w:tcPr>
            <w:tcW w:w="895" w:type="dxa"/>
            <w:tcBorders/>
            <w:shd w:fill="auto" w:val="clear"/>
            <w:vAlign w:val="center"/>
          </w:tcPr>
          <w:p>
            <w:pPr>
              <w:pStyle w:val="TableContents"/>
              <w:pBdr>
                <w:top w:val="double" w:sz="6" w:space="1" w:color="000000"/>
              </w:pBdr>
              <w:spacing w:before="0" w:after="0"/>
              <w:rPr/>
            </w:pPr>
            <w:r>
              <w:rPr/>
              <w:t> </w:t>
            </w:r>
          </w:p>
        </w:tc>
        <w:tc>
          <w:tcPr>
            <w:tcW w:w="183"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pBdr>
                <w:top w:val="double" w:sz="6" w:space="1" w:color="000000"/>
              </w:pBdr>
              <w:spacing w:before="0" w:after="0"/>
              <w:rPr/>
            </w:pPr>
            <w:r>
              <w:rPr/>
              <w:t> </w:t>
            </w:r>
          </w:p>
        </w:tc>
        <w:tc>
          <w:tcPr>
            <w:tcW w:w="753" w:type="dxa"/>
            <w:tcBorders/>
            <w:shd w:fill="auto" w:val="clear"/>
            <w:vAlign w:val="center"/>
          </w:tcPr>
          <w:p>
            <w:pPr>
              <w:pStyle w:val="TableContents"/>
              <w:pBdr>
                <w:top w:val="double" w:sz="6"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i/>
          <w:sz w:val="20"/>
        </w:rPr>
      </w:pPr>
      <w:r>
        <w:rPr>
          <w:rFonts w:ascii="Times New Roman" w:hAnsi="Times New Roman"/>
          <w:i/>
          <w:sz w:val="20"/>
        </w:rPr>
        <w:t xml:space="preserve">Comparison of the Years ended December 31, 2021 and December 31, 2022 </w:t>
      </w:r>
    </w:p>
    <w:p>
      <w:pPr>
        <w:pStyle w:val="TextBody"/>
        <w:spacing w:before="120" w:after="0"/>
        <w:jc w:val="both"/>
        <w:rPr>
          <w:rFonts w:ascii="Times New Roman" w:hAnsi="Times New Roman"/>
          <w:sz w:val="20"/>
        </w:rPr>
      </w:pPr>
      <w:r>
        <w:rPr>
          <w:rFonts w:ascii="Times New Roman" w:hAnsi="Times New Roman"/>
          <w:sz w:val="20"/>
        </w:rPr>
        <w:t xml:space="preserve">Cost of materials increased by 45.3% from €10,624 thousand in 2021 to €15,434 thousand in 2022, primarily due to a substantial increase of raw materials and consumables used in connection with the production of our CONDOR terminals. The increase was further driven by slightly higher costs for services purchased, which included costs for development services through external research institutes and costs for external processing of certain components used in the production process. Cost of materials in 2022 also included write-downs for raw materials and consumables in the amount of €5,601 thousand (2021: €2,039 thousand) mainly relating to the first and second product versions of our CONDOR terminals. </w:t>
      </w:r>
    </w:p>
    <w:p>
      <w:pPr>
        <w:pStyle w:val="TextBody"/>
        <w:spacing w:before="240" w:after="0"/>
        <w:jc w:val="both"/>
        <w:rPr>
          <w:rFonts w:ascii="Times New Roman" w:hAnsi="Times New Roman"/>
          <w:sz w:val="20"/>
        </w:rPr>
      </w:pPr>
      <w:r>
        <w:rPr>
          <w:rFonts w:ascii="Times New Roman" w:hAnsi="Times New Roman"/>
          <w:sz w:val="20"/>
        </w:rPr>
        <w:t xml:space="preserve">The portion of own work capitalized included in cost of materials decreased by 65.5% from €1,995 thousand in 2021 to €689 thousand in 2022, primarily due to the completion of the development of our SPACE technology in March 2021. Cost of materials excluding own work capitalized increased by 70.9% from €8,629 thousand in 2021 to €14,745 thousand in 2022, primarily due to a substantial increase of raw materials and consumables used in connection with the production of our CONDOR terminals and higher costs for services purchased.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Comparison of the Years ended December 31, 2020 and December 31, 2021 </w:t>
      </w:r>
    </w:p>
    <w:p>
      <w:pPr>
        <w:pStyle w:val="TextBody"/>
        <w:spacing w:before="120" w:after="0"/>
        <w:jc w:val="both"/>
        <w:rPr>
          <w:rFonts w:ascii="Times New Roman" w:hAnsi="Times New Roman"/>
          <w:sz w:val="20"/>
        </w:rPr>
      </w:pPr>
      <w:r>
        <w:rPr>
          <w:rFonts w:ascii="Times New Roman" w:hAnsi="Times New Roman"/>
          <w:sz w:val="20"/>
        </w:rPr>
        <w:t xml:space="preserve">Cost of materials increased by 70.8% from €6,221 thousand in 2020 to €10,624 thousand in 2021, primarily due to a substantial increase of raw materials and consumables used driven by our requirements for increased quantity of materials in connection with the production of our CONDOR terminals. The increase was further driven by higher costs for services purchased, which included costs for development services through external research institutes and costs for external processing of certain components used in the production process. In addition, cost of materials in 2021 included write-downs for raw materials and consumables for the first and second product versions of our CONDOR terminals in the amount of €2,039 thousand (2020: €0 thousand). </w:t>
      </w:r>
    </w:p>
    <w:p>
      <w:pPr>
        <w:pStyle w:val="TextBody"/>
        <w:spacing w:before="240" w:after="0"/>
        <w:jc w:val="both"/>
        <w:rPr>
          <w:rFonts w:ascii="Times New Roman" w:hAnsi="Times New Roman"/>
          <w:sz w:val="20"/>
        </w:rPr>
      </w:pPr>
      <w:r>
        <w:rPr>
          <w:rFonts w:ascii="Times New Roman" w:hAnsi="Times New Roman"/>
          <w:sz w:val="20"/>
        </w:rPr>
        <w:t xml:space="preserve">The portion of own work capitalized included in cost of materials decreased by 51.0% from €4,073 thousand in 2020 to €1,995 thousand in 2021, primarily due to the completion of the development of our AIR technology in June 2020 and our SPACE technology in March 2021. Cost of materials excluding own work capitalized increased significantly from €2,148 thousand in 2020 to €8,629 thousand in 2021, primarily reflecting the substantial increase of raw materials and consumables used driven by the increased production of our CONDOR terminals. </w:t>
      </w:r>
    </w:p>
    <w:p>
      <w:pPr>
        <w:pStyle w:val="TextBody"/>
        <w:spacing w:before="360" w:after="0"/>
        <w:jc w:val="left"/>
        <w:rPr>
          <w:rFonts w:ascii="Times New Roman" w:hAnsi="Times New Roman"/>
          <w:b/>
          <w:i/>
          <w:sz w:val="20"/>
        </w:rPr>
      </w:pPr>
      <w:r>
        <w:rPr>
          <w:rFonts w:ascii="Times New Roman" w:hAnsi="Times New Roman"/>
          <w:b/>
          <w:i/>
          <w:sz w:val="20"/>
        </w:rPr>
        <w:t xml:space="preserve">Personnel Costs </w:t>
      </w:r>
    </w:p>
    <w:p>
      <w:pPr>
        <w:pStyle w:val="TextBody"/>
        <w:spacing w:before="120" w:after="0"/>
        <w:jc w:val="both"/>
        <w:rPr>
          <w:rFonts w:ascii="Times New Roman" w:hAnsi="Times New Roman"/>
          <w:sz w:val="20"/>
        </w:rPr>
      </w:pPr>
      <w:r>
        <w:rPr>
          <w:rFonts w:ascii="Times New Roman" w:hAnsi="Times New Roman"/>
          <w:sz w:val="20"/>
        </w:rPr>
        <w:t xml:space="preserve">The following table provides our personnel costs for the periods presented: </w:t>
      </w:r>
    </w:p>
    <w:p>
      <w:pPr>
        <w:pStyle w:val="TextBody"/>
        <w:spacing w:before="0" w:after="0"/>
        <w:jc w:val="left"/>
        <w:rPr/>
      </w:pPr>
      <w:r>
        <w:rPr/>
        <w:t> </w:t>
      </w:r>
    </w:p>
    <w:tbl>
      <w:tblPr>
        <w:tblW w:w="9835" w:type="dxa"/>
        <w:jc w:val="left"/>
        <w:tblInd w:w="0" w:type="dxa"/>
        <w:tblCellMar>
          <w:top w:w="0" w:type="dxa"/>
          <w:left w:w="0" w:type="dxa"/>
          <w:bottom w:w="0" w:type="dxa"/>
          <w:right w:w="0" w:type="dxa"/>
        </w:tblCellMar>
      </w:tblPr>
      <w:tblGrid>
        <w:gridCol w:w="6140"/>
        <w:gridCol w:w="120"/>
        <w:gridCol w:w="68"/>
        <w:gridCol w:w="859"/>
        <w:gridCol w:w="176"/>
        <w:gridCol w:w="136"/>
        <w:gridCol w:w="68"/>
        <w:gridCol w:w="859"/>
        <w:gridCol w:w="176"/>
        <w:gridCol w:w="136"/>
        <w:gridCol w:w="68"/>
        <w:gridCol w:w="859"/>
        <w:gridCol w:w="170"/>
      </w:tblGrid>
      <w:tr>
        <w:trPr/>
        <w:tc>
          <w:tcPr>
            <w:tcW w:w="61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1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405" w:type="dxa"/>
            <w:gridSpan w:val="10"/>
            <w:tcBorders>
              <w:bottom w:val="single" w:sz="8" w:space="0" w:color="000000"/>
            </w:tcBorders>
            <w:shd w:fill="auto" w:val="clear"/>
            <w:tcMar>
              <w:bottom w:w="28" w:type="dxa"/>
            </w:tcMar>
            <w:vAlign w:val="center"/>
          </w:tcPr>
          <w:p>
            <w:pPr>
              <w:pStyle w:val="TableContents"/>
              <w:spacing w:before="0" w:after="283"/>
              <w:jc w:val="center"/>
              <w:rPr>
                <w:b/>
              </w:rPr>
            </w:pPr>
            <w:r>
              <w:rPr>
                <w:b/>
              </w:rPr>
              <w:t>For the year ended December 31,</w:t>
            </w:r>
          </w:p>
        </w:tc>
        <w:tc>
          <w:tcPr>
            <w:tcW w:w="170" w:type="dxa"/>
            <w:tcBorders/>
            <w:shd w:fill="auto" w:val="clear"/>
            <w:vAlign w:val="center"/>
          </w:tcPr>
          <w:p>
            <w:pPr>
              <w:pStyle w:val="TableContents"/>
              <w:spacing w:before="0" w:after="283"/>
              <w:rPr/>
            </w:pPr>
            <w:r>
              <w:rPr/>
              <w:t> </w:t>
            </w:r>
          </w:p>
        </w:tc>
      </w:tr>
      <w:tr>
        <w:trPr/>
        <w:tc>
          <w:tcPr>
            <w:tcW w:w="61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7"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176"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927"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176"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927"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2020</w:t>
            </w:r>
          </w:p>
        </w:tc>
        <w:tc>
          <w:tcPr>
            <w:tcW w:w="170" w:type="dxa"/>
            <w:tcBorders/>
            <w:shd w:fill="auto" w:val="clear"/>
            <w:vAlign w:val="center"/>
          </w:tcPr>
          <w:p>
            <w:pPr>
              <w:pStyle w:val="TableContents"/>
              <w:spacing w:before="0" w:after="283"/>
              <w:rPr/>
            </w:pPr>
            <w:r>
              <w:rPr/>
              <w:t> </w:t>
            </w:r>
          </w:p>
        </w:tc>
      </w:tr>
      <w:tr>
        <w:trPr/>
        <w:tc>
          <w:tcPr>
            <w:tcW w:w="61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405" w:type="dxa"/>
            <w:gridSpan w:val="10"/>
            <w:tcBorders/>
            <w:shd w:fill="auto" w:val="clear"/>
            <w:vAlign w:val="center"/>
          </w:tcPr>
          <w:p>
            <w:pPr>
              <w:pStyle w:val="TableContents"/>
              <w:spacing w:before="0" w:after="283"/>
              <w:jc w:val="center"/>
              <w:rPr>
                <w:b/>
              </w:rPr>
            </w:pPr>
            <w:r>
              <w:rPr>
                <w:b/>
              </w:rPr>
              <w:t>(in € thousands)</w:t>
            </w:r>
          </w:p>
        </w:tc>
        <w:tc>
          <w:tcPr>
            <w:tcW w:w="170" w:type="dxa"/>
            <w:tcBorders/>
            <w:shd w:fill="auto" w:val="clear"/>
            <w:vAlign w:val="center"/>
          </w:tcPr>
          <w:p>
            <w:pPr>
              <w:pStyle w:val="TableContents"/>
              <w:spacing w:before="0" w:after="283"/>
              <w:rPr/>
            </w:pPr>
            <w:r>
              <w:rPr/>
              <w:t> </w:t>
            </w:r>
          </w:p>
        </w:tc>
      </w:tr>
      <w:tr>
        <w:trPr/>
        <w:tc>
          <w:tcPr>
            <w:tcW w:w="61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Personnel costs</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859" w:type="dxa"/>
            <w:tcBorders/>
            <w:shd w:fill="CCEEFF" w:val="clear"/>
            <w:vAlign w:val="center"/>
          </w:tcPr>
          <w:p>
            <w:pPr>
              <w:pStyle w:val="TableContents"/>
              <w:spacing w:before="0" w:after="283"/>
              <w:jc w:val="right"/>
              <w:rPr/>
            </w:pPr>
            <w:r>
              <w:rPr/>
              <w:t>(37,410</w:t>
            </w:r>
          </w:p>
        </w:tc>
        <w:tc>
          <w:tcPr>
            <w:tcW w:w="176"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859" w:type="dxa"/>
            <w:tcBorders/>
            <w:shd w:fill="CCEEFF" w:val="clear"/>
            <w:vAlign w:val="center"/>
          </w:tcPr>
          <w:p>
            <w:pPr>
              <w:pStyle w:val="TableContents"/>
              <w:spacing w:before="0" w:after="283"/>
              <w:jc w:val="right"/>
              <w:rPr/>
            </w:pPr>
            <w:r>
              <w:rPr/>
              <w:t>(23,365</w:t>
            </w:r>
          </w:p>
        </w:tc>
        <w:tc>
          <w:tcPr>
            <w:tcW w:w="176"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859" w:type="dxa"/>
            <w:tcBorders/>
            <w:shd w:fill="CCEEFF" w:val="clear"/>
            <w:vAlign w:val="center"/>
          </w:tcPr>
          <w:p>
            <w:pPr>
              <w:pStyle w:val="TableContents"/>
              <w:spacing w:before="0" w:after="283"/>
              <w:jc w:val="right"/>
              <w:rPr/>
            </w:pPr>
            <w:r>
              <w:rPr/>
              <w:t>(16,834</w:t>
            </w:r>
          </w:p>
        </w:tc>
        <w:tc>
          <w:tcPr>
            <w:tcW w:w="170" w:type="dxa"/>
            <w:tcBorders/>
            <w:shd w:fill="CCEEFF" w:val="clear"/>
            <w:vAlign w:val="center"/>
          </w:tcPr>
          <w:p>
            <w:pPr>
              <w:pStyle w:val="TableContents"/>
              <w:spacing w:before="0" w:after="283"/>
              <w:rPr/>
            </w:pPr>
            <w:r>
              <w:rPr/>
              <w:t>) </w:t>
            </w:r>
          </w:p>
        </w:tc>
      </w:tr>
      <w:tr>
        <w:trPr/>
        <w:tc>
          <w:tcPr>
            <w:tcW w:w="6140" w:type="dxa"/>
            <w:tcBorders/>
            <w:shd w:fill="auto" w:val="clear"/>
            <w:vAlign w:val="center"/>
          </w:tcPr>
          <w:p>
            <w:pPr>
              <w:pStyle w:val="TableContents"/>
              <w:spacing w:before="0" w:after="0"/>
              <w:rPr>
                <w:rFonts w:ascii="Times New Roman" w:hAnsi="Times New Roman"/>
                <w:i/>
                <w:sz w:val="20"/>
              </w:rPr>
            </w:pPr>
            <w:r>
              <w:rPr>
                <w:rFonts w:ascii="Times New Roman" w:hAnsi="Times New Roman"/>
                <w:i/>
                <w:sz w:val="20"/>
              </w:rPr>
              <w:t>Of which own work capitalized</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859" w:type="dxa"/>
            <w:tcBorders/>
            <w:shd w:fill="auto" w:val="clear"/>
            <w:vAlign w:val="center"/>
          </w:tcPr>
          <w:p>
            <w:pPr>
              <w:pStyle w:val="TableContents"/>
              <w:spacing w:before="0" w:after="283"/>
              <w:jc w:val="right"/>
              <w:rPr>
                <w:i/>
              </w:rPr>
            </w:pPr>
            <w:r>
              <w:rPr>
                <w:i/>
              </w:rPr>
              <w:t>665</w:t>
            </w:r>
          </w:p>
        </w:tc>
        <w:tc>
          <w:tcPr>
            <w:tcW w:w="176"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859" w:type="dxa"/>
            <w:tcBorders/>
            <w:shd w:fill="auto" w:val="clear"/>
            <w:vAlign w:val="center"/>
          </w:tcPr>
          <w:p>
            <w:pPr>
              <w:pStyle w:val="TableContents"/>
              <w:spacing w:before="0" w:after="283"/>
              <w:jc w:val="right"/>
              <w:rPr>
                <w:i/>
              </w:rPr>
            </w:pPr>
            <w:r>
              <w:rPr>
                <w:i/>
              </w:rPr>
              <w:t>1,906</w:t>
            </w:r>
          </w:p>
        </w:tc>
        <w:tc>
          <w:tcPr>
            <w:tcW w:w="176"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859" w:type="dxa"/>
            <w:tcBorders/>
            <w:shd w:fill="auto" w:val="clear"/>
            <w:vAlign w:val="center"/>
          </w:tcPr>
          <w:p>
            <w:pPr>
              <w:pStyle w:val="TableContents"/>
              <w:spacing w:before="0" w:after="283"/>
              <w:jc w:val="right"/>
              <w:rPr>
                <w:i/>
              </w:rPr>
            </w:pPr>
            <w:r>
              <w:rPr>
                <w:i/>
              </w:rPr>
              <w:t>3,921</w:t>
            </w:r>
          </w:p>
        </w:tc>
        <w:tc>
          <w:tcPr>
            <w:tcW w:w="170" w:type="dxa"/>
            <w:tcBorders/>
            <w:shd w:fill="auto" w:val="clear"/>
            <w:vAlign w:val="center"/>
          </w:tcPr>
          <w:p>
            <w:pPr>
              <w:pStyle w:val="TableContents"/>
              <w:spacing w:before="0" w:after="283"/>
              <w:rPr/>
            </w:pPr>
            <w:r>
              <w:rPr/>
              <w:t> </w:t>
            </w:r>
          </w:p>
        </w:tc>
      </w:tr>
      <w:tr>
        <w:trPr/>
        <w:tc>
          <w:tcPr>
            <w:tcW w:w="61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pBdr>
                <w:top w:val="single" w:sz="2" w:space="1" w:color="000000"/>
              </w:pBdr>
              <w:spacing w:before="0" w:after="0"/>
              <w:rPr/>
            </w:pPr>
            <w:r>
              <w:rPr/>
              <w:t> </w:t>
            </w:r>
          </w:p>
        </w:tc>
        <w:tc>
          <w:tcPr>
            <w:tcW w:w="859" w:type="dxa"/>
            <w:tcBorders/>
            <w:shd w:fill="auto" w:val="clear"/>
            <w:vAlign w:val="center"/>
          </w:tcPr>
          <w:p>
            <w:pPr>
              <w:pStyle w:val="TableContents"/>
              <w:pBdr>
                <w:top w:val="single" w:sz="2" w:space="1" w:color="000000"/>
              </w:pBdr>
              <w:spacing w:before="0" w:after="0"/>
              <w:rPr/>
            </w:pPr>
            <w:r>
              <w:rPr/>
              <w:t> </w:t>
            </w:r>
          </w:p>
        </w:tc>
        <w:tc>
          <w:tcPr>
            <w:tcW w:w="176"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pBdr>
                <w:top w:val="single" w:sz="2" w:space="1" w:color="000000"/>
              </w:pBdr>
              <w:spacing w:before="0" w:after="0"/>
              <w:rPr/>
            </w:pPr>
            <w:r>
              <w:rPr/>
              <w:t> </w:t>
            </w:r>
          </w:p>
        </w:tc>
        <w:tc>
          <w:tcPr>
            <w:tcW w:w="859" w:type="dxa"/>
            <w:tcBorders/>
            <w:shd w:fill="auto" w:val="clear"/>
            <w:vAlign w:val="center"/>
          </w:tcPr>
          <w:p>
            <w:pPr>
              <w:pStyle w:val="TableContents"/>
              <w:pBdr>
                <w:top w:val="single" w:sz="2" w:space="1" w:color="000000"/>
              </w:pBdr>
              <w:spacing w:before="0" w:after="0"/>
              <w:rPr/>
            </w:pPr>
            <w:r>
              <w:rPr/>
              <w:t> </w:t>
            </w:r>
          </w:p>
        </w:tc>
        <w:tc>
          <w:tcPr>
            <w:tcW w:w="176"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pBdr>
                <w:top w:val="single" w:sz="2" w:space="1" w:color="000000"/>
              </w:pBdr>
              <w:spacing w:before="0" w:after="0"/>
              <w:rPr/>
            </w:pPr>
            <w:r>
              <w:rPr/>
              <w:t> </w:t>
            </w:r>
          </w:p>
        </w:tc>
        <w:tc>
          <w:tcPr>
            <w:tcW w:w="859" w:type="dxa"/>
            <w:tcBorders/>
            <w:shd w:fill="auto" w:val="clear"/>
            <w:vAlign w:val="center"/>
          </w:tcPr>
          <w:p>
            <w:pPr>
              <w:pStyle w:val="TableContents"/>
              <w:pBdr>
                <w:top w:val="single" w:sz="2"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r>
        <w:trPr/>
        <w:tc>
          <w:tcPr>
            <w:tcW w:w="614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Personnel expenses (i.e., personnel costs excluding own work capitalized)</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859" w:type="dxa"/>
            <w:tcBorders/>
            <w:shd w:fill="CCEEFF" w:val="clear"/>
            <w:vAlign w:val="center"/>
          </w:tcPr>
          <w:p>
            <w:pPr>
              <w:pStyle w:val="TableContents"/>
              <w:spacing w:before="0" w:after="283"/>
              <w:jc w:val="right"/>
              <w:rPr>
                <w:b/>
              </w:rPr>
            </w:pPr>
            <w:r>
              <w:rPr>
                <w:b/>
              </w:rPr>
              <w:t>(36,745</w:t>
            </w:r>
          </w:p>
        </w:tc>
        <w:tc>
          <w:tcPr>
            <w:tcW w:w="176" w:type="dxa"/>
            <w:tcBorders/>
            <w:shd w:fill="CCEEFF" w:val="clear"/>
            <w:vAlign w:val="center"/>
          </w:tcPr>
          <w:p>
            <w:pPr>
              <w:pStyle w:val="TableContents"/>
              <w:spacing w:before="0" w:after="283"/>
              <w:rPr>
                <w:b/>
              </w:rPr>
            </w:pPr>
            <w:r>
              <w:rPr>
                <w:b/>
              </w:rPr>
              <w:t>) </w:t>
            </w:r>
          </w:p>
        </w:tc>
        <w:tc>
          <w:tcPr>
            <w:tcW w:w="136"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859" w:type="dxa"/>
            <w:tcBorders/>
            <w:shd w:fill="CCEEFF" w:val="clear"/>
            <w:vAlign w:val="center"/>
          </w:tcPr>
          <w:p>
            <w:pPr>
              <w:pStyle w:val="TableContents"/>
              <w:spacing w:before="0" w:after="283"/>
              <w:jc w:val="right"/>
              <w:rPr>
                <w:b/>
              </w:rPr>
            </w:pPr>
            <w:r>
              <w:rPr>
                <w:b/>
              </w:rPr>
              <w:t>(21,459</w:t>
            </w:r>
          </w:p>
        </w:tc>
        <w:tc>
          <w:tcPr>
            <w:tcW w:w="176" w:type="dxa"/>
            <w:tcBorders/>
            <w:shd w:fill="CCEEFF" w:val="clear"/>
            <w:vAlign w:val="center"/>
          </w:tcPr>
          <w:p>
            <w:pPr>
              <w:pStyle w:val="TableContents"/>
              <w:spacing w:before="0" w:after="283"/>
              <w:rPr>
                <w:b/>
              </w:rPr>
            </w:pPr>
            <w:r>
              <w:rPr>
                <w:b/>
              </w:rPr>
              <w:t>) </w:t>
            </w:r>
          </w:p>
        </w:tc>
        <w:tc>
          <w:tcPr>
            <w:tcW w:w="136"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859" w:type="dxa"/>
            <w:tcBorders/>
            <w:shd w:fill="CCEEFF" w:val="clear"/>
            <w:vAlign w:val="center"/>
          </w:tcPr>
          <w:p>
            <w:pPr>
              <w:pStyle w:val="TableContents"/>
              <w:spacing w:before="0" w:after="283"/>
              <w:jc w:val="right"/>
              <w:rPr>
                <w:b/>
              </w:rPr>
            </w:pPr>
            <w:r>
              <w:rPr>
                <w:b/>
              </w:rPr>
              <w:t>(12,913</w:t>
            </w:r>
          </w:p>
        </w:tc>
        <w:tc>
          <w:tcPr>
            <w:tcW w:w="170" w:type="dxa"/>
            <w:tcBorders/>
            <w:shd w:fill="CCEEFF" w:val="clear"/>
            <w:vAlign w:val="center"/>
          </w:tcPr>
          <w:p>
            <w:pPr>
              <w:pStyle w:val="TableContents"/>
              <w:spacing w:before="0" w:after="283"/>
              <w:rPr>
                <w:b/>
              </w:rPr>
            </w:pPr>
            <w:r>
              <w:rPr>
                <w:b/>
              </w:rPr>
              <w:t>) </w:t>
            </w:r>
          </w:p>
        </w:tc>
      </w:tr>
      <w:tr>
        <w:trPr/>
        <w:tc>
          <w:tcPr>
            <w:tcW w:w="61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pBdr>
                <w:top w:val="double" w:sz="6" w:space="1" w:color="000000"/>
              </w:pBdr>
              <w:spacing w:before="0" w:after="0"/>
              <w:rPr/>
            </w:pPr>
            <w:r>
              <w:rPr/>
              <w:t> </w:t>
            </w:r>
          </w:p>
        </w:tc>
        <w:tc>
          <w:tcPr>
            <w:tcW w:w="859" w:type="dxa"/>
            <w:tcBorders/>
            <w:shd w:fill="auto" w:val="clear"/>
            <w:vAlign w:val="center"/>
          </w:tcPr>
          <w:p>
            <w:pPr>
              <w:pStyle w:val="TableContents"/>
              <w:pBdr>
                <w:top w:val="double" w:sz="6" w:space="1" w:color="000000"/>
              </w:pBdr>
              <w:spacing w:before="0" w:after="0"/>
              <w:rPr/>
            </w:pPr>
            <w:r>
              <w:rPr/>
              <w:t> </w:t>
            </w:r>
          </w:p>
        </w:tc>
        <w:tc>
          <w:tcPr>
            <w:tcW w:w="176"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pBdr>
                <w:top w:val="double" w:sz="6" w:space="1" w:color="000000"/>
              </w:pBdr>
              <w:spacing w:before="0" w:after="0"/>
              <w:rPr/>
            </w:pPr>
            <w:r>
              <w:rPr/>
              <w:t> </w:t>
            </w:r>
          </w:p>
        </w:tc>
        <w:tc>
          <w:tcPr>
            <w:tcW w:w="859" w:type="dxa"/>
            <w:tcBorders/>
            <w:shd w:fill="auto" w:val="clear"/>
            <w:vAlign w:val="center"/>
          </w:tcPr>
          <w:p>
            <w:pPr>
              <w:pStyle w:val="TableContents"/>
              <w:pBdr>
                <w:top w:val="double" w:sz="6" w:space="1" w:color="000000"/>
              </w:pBdr>
              <w:spacing w:before="0" w:after="0"/>
              <w:rPr/>
            </w:pPr>
            <w:r>
              <w:rPr/>
              <w:t> </w:t>
            </w:r>
          </w:p>
        </w:tc>
        <w:tc>
          <w:tcPr>
            <w:tcW w:w="176"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pBdr>
                <w:top w:val="double" w:sz="6" w:space="1" w:color="000000"/>
              </w:pBdr>
              <w:spacing w:before="0" w:after="0"/>
              <w:rPr/>
            </w:pPr>
            <w:r>
              <w:rPr/>
              <w:t> </w:t>
            </w:r>
          </w:p>
        </w:tc>
        <w:tc>
          <w:tcPr>
            <w:tcW w:w="859" w:type="dxa"/>
            <w:tcBorders/>
            <w:shd w:fill="auto" w:val="clear"/>
            <w:vAlign w:val="center"/>
          </w:tcPr>
          <w:p>
            <w:pPr>
              <w:pStyle w:val="TableContents"/>
              <w:pBdr>
                <w:top w:val="double" w:sz="6"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i/>
          <w:sz w:val="20"/>
        </w:rPr>
      </w:pPr>
      <w:r>
        <w:rPr>
          <w:rFonts w:ascii="Times New Roman" w:hAnsi="Times New Roman"/>
          <w:i/>
          <w:sz w:val="20"/>
        </w:rPr>
        <w:t xml:space="preserve">Comparison of the Years ended December 31, 2021 and December 31, 2022 </w:t>
      </w:r>
    </w:p>
    <w:p>
      <w:pPr>
        <w:pStyle w:val="TextBody"/>
        <w:spacing w:before="120" w:after="0"/>
        <w:jc w:val="both"/>
        <w:rPr>
          <w:rFonts w:ascii="Times New Roman" w:hAnsi="Times New Roman"/>
          <w:sz w:val="20"/>
        </w:rPr>
      </w:pPr>
      <w:r>
        <w:rPr>
          <w:rFonts w:ascii="Times New Roman" w:hAnsi="Times New Roman"/>
          <w:sz w:val="20"/>
        </w:rPr>
        <w:t xml:space="preserve">Personnel costs increased by 60.1% from €23,365 thousand in 2021 to €37,410 thousand in 2022, primarily due to the significant increase in our headcount from 248.9 FTEs (as of December 31, 2021) to 328.8 FTEs (as of December 31, 2022) to support the ramp-up of our serial production for our CONDOR and HAWK products, to increase resources in administrative functions and to support our growing research and development as well as marketing and sales activities. Included in personnel costs are share-based payments amounting to €6,133 thousand in 2022, the majority of which related to the grants made under the restricted stock units program (the “RSU Program”) implemented in 2021 and the other stock option programs. </w:t>
      </w:r>
    </w:p>
    <w:p>
      <w:pPr>
        <w:pStyle w:val="TextBody"/>
        <w:spacing w:before="240" w:after="0"/>
        <w:jc w:val="both"/>
        <w:rPr>
          <w:rFonts w:ascii="Times New Roman" w:hAnsi="Times New Roman"/>
          <w:sz w:val="20"/>
        </w:rPr>
      </w:pPr>
      <w:r>
        <w:rPr>
          <w:rFonts w:ascii="Times New Roman" w:hAnsi="Times New Roman"/>
          <w:sz w:val="20"/>
        </w:rPr>
        <w:t>The portion of own work capitalized included in personnel costs decreased by 65.1% from €1,906 thousand in 2021 to €665 thousand in 2022, primarily due to the completion of the development of our SPACE technology in March 2021. Personnel expenses (</w:t>
      </w:r>
      <w:r>
        <w:rPr>
          <w:rFonts w:ascii="Times New Roman" w:hAnsi="Times New Roman"/>
          <w:i/>
          <w:sz w:val="20"/>
        </w:rPr>
        <w:t>i.e.</w:t>
      </w:r>
      <w:r>
        <w:rPr>
          <w:rFonts w:ascii="Times New Roman" w:hAnsi="Times New Roman"/>
          <w:sz w:val="20"/>
        </w:rPr>
        <w:t xml:space="preserve">, personnel costs excluding own work capitalized) increased by 71.2% from €21,459 thousand in 2021 to €36,745 thousand in 2022. </w:t>
      </w:r>
    </w:p>
    <w:p>
      <w:pPr>
        <w:pStyle w:val="TextBody"/>
        <w:spacing w:before="360" w:after="0"/>
        <w:jc w:val="left"/>
        <w:rPr>
          <w:rFonts w:ascii="Times New Roman" w:hAnsi="Times New Roman"/>
          <w:i/>
          <w:sz w:val="20"/>
        </w:rPr>
      </w:pPr>
      <w:r>
        <w:rPr>
          <w:rFonts w:ascii="Times New Roman" w:hAnsi="Times New Roman"/>
          <w:i/>
          <w:sz w:val="20"/>
        </w:rPr>
        <w:t xml:space="preserve">Comparison of the Years ended December 31, 2020 and December 31, 2021 </w:t>
      </w:r>
    </w:p>
    <w:p>
      <w:pPr>
        <w:pStyle w:val="TextBody"/>
        <w:spacing w:before="120" w:after="0"/>
        <w:jc w:val="both"/>
        <w:rPr>
          <w:rFonts w:ascii="Times New Roman" w:hAnsi="Times New Roman"/>
          <w:sz w:val="20"/>
        </w:rPr>
      </w:pPr>
      <w:r>
        <w:rPr>
          <w:rFonts w:ascii="Times New Roman" w:hAnsi="Times New Roman"/>
          <w:sz w:val="20"/>
        </w:rPr>
        <w:t xml:space="preserve">Personnel costs increased by 38.8% from €16,834 thousand in 2020 to €23,365 thousand in 2021, primarily due to the significant increase in our headcount to support the ramp-up of our serial production for our CONDOR and HAWK products and to support the increase in our research and development as well as marketing and sales activities. Wages and salaries increased from €13,585 thousand in 2020 to €18,185 thousand in 2021, primarily due to the significant increase in our headcount from 186.6 FTEs (as of December 31, 2020) to 248.9 FTEs (as of December 31, 2021). Included in personnel costs are share-based payments amounting to €1,942 thousand in 2021, the majority of which related to the grants made under the RSU Program implemented by the Company in 2021. In 2020, share-based payments amounted to €1,125 thousand, mainly relating to stock options granted under stock option program 2020 as well as the accelerated vesting of stock options due to the resignation of two (former) members of our management board. </w:t>
      </w:r>
    </w:p>
    <w:p>
      <w:pPr>
        <w:pStyle w:val="TextBody"/>
        <w:spacing w:before="240" w:after="0"/>
        <w:jc w:val="both"/>
        <w:rPr>
          <w:rFonts w:ascii="Times New Roman" w:hAnsi="Times New Roman"/>
          <w:sz w:val="20"/>
        </w:rPr>
      </w:pPr>
      <w:r>
        <w:rPr>
          <w:rFonts w:ascii="Times New Roman" w:hAnsi="Times New Roman"/>
          <w:sz w:val="20"/>
        </w:rPr>
        <w:t>The portion of own work capitalized included in personnel costs decreased by 51.4% from €3,921 thousand in 2020 to €1,906 thousand in 2021, primarily due to the completion of the development of our AIR technology in June 2020 and our SPACE technology in March 2021. Personnel expenses (</w:t>
      </w:r>
      <w:r>
        <w:rPr>
          <w:rFonts w:ascii="Times New Roman" w:hAnsi="Times New Roman"/>
          <w:i/>
          <w:sz w:val="20"/>
        </w:rPr>
        <w:t>i.e.</w:t>
      </w:r>
      <w:r>
        <w:rPr>
          <w:rFonts w:ascii="Times New Roman" w:hAnsi="Times New Roman"/>
          <w:sz w:val="20"/>
        </w:rPr>
        <w:t xml:space="preserve">, personnel costs excluding own work capitalized) increased by 66.2% from €12,913 thousand in 2020 to €21,459 thousand in 2021.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Depreciation, Amortization and Impairments </w:t>
      </w:r>
    </w:p>
    <w:p>
      <w:pPr>
        <w:pStyle w:val="TextBody"/>
        <w:spacing w:before="120" w:after="0"/>
        <w:jc w:val="both"/>
        <w:rPr>
          <w:rFonts w:ascii="Times New Roman" w:hAnsi="Times New Roman"/>
          <w:sz w:val="20"/>
        </w:rPr>
      </w:pPr>
      <w:r>
        <w:rPr>
          <w:rFonts w:ascii="Times New Roman" w:hAnsi="Times New Roman"/>
          <w:sz w:val="20"/>
        </w:rPr>
        <w:t xml:space="preserve">The following table provides our depreciation, amortization and impairments for the periods presented: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639"/>
        <w:gridCol w:w="120"/>
        <w:gridCol w:w="97"/>
        <w:gridCol w:w="1029"/>
        <w:gridCol w:w="250"/>
        <w:gridCol w:w="194"/>
        <w:gridCol w:w="97"/>
        <w:gridCol w:w="1029"/>
        <w:gridCol w:w="250"/>
        <w:gridCol w:w="194"/>
        <w:gridCol w:w="97"/>
        <w:gridCol w:w="1035"/>
        <w:gridCol w:w="174"/>
      </w:tblGrid>
      <w:tr>
        <w:trPr/>
        <w:tc>
          <w:tcPr>
            <w:tcW w:w="563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5639"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272" w:type="dxa"/>
            <w:gridSpan w:val="10"/>
            <w:tcBorders>
              <w:bottom w:val="single" w:sz="8" w:space="0" w:color="000000"/>
            </w:tcBorders>
            <w:shd w:fill="auto" w:val="clear"/>
            <w:tcMar>
              <w:bottom w:w="28" w:type="dxa"/>
            </w:tcMar>
            <w:vAlign w:val="center"/>
          </w:tcPr>
          <w:p>
            <w:pPr>
              <w:pStyle w:val="TableContents"/>
              <w:spacing w:before="0" w:after="283"/>
              <w:jc w:val="center"/>
              <w:rPr/>
            </w:pPr>
            <w:r>
              <w:rPr/>
              <w:t>        </w:t>
            </w:r>
            <w:r>
              <w:rPr>
                <w:b/>
              </w:rPr>
              <w:t>For the year ended December 31,        </w:t>
            </w:r>
          </w:p>
        </w:tc>
        <w:tc>
          <w:tcPr>
            <w:tcW w:w="174" w:type="dxa"/>
            <w:tcBorders/>
            <w:shd w:fill="auto" w:val="clear"/>
            <w:vAlign w:val="center"/>
          </w:tcPr>
          <w:p>
            <w:pPr>
              <w:pStyle w:val="TableContents"/>
              <w:spacing w:before="0" w:after="283"/>
              <w:rPr/>
            </w:pPr>
            <w:r>
              <w:rPr/>
              <w:t> </w:t>
            </w:r>
          </w:p>
        </w:tc>
      </w:tr>
      <w:tr>
        <w:trPr/>
        <w:tc>
          <w:tcPr>
            <w:tcW w:w="5639"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26"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25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1126"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25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1132"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2020</w:t>
            </w:r>
          </w:p>
        </w:tc>
        <w:tc>
          <w:tcPr>
            <w:tcW w:w="174" w:type="dxa"/>
            <w:tcBorders/>
            <w:shd w:fill="auto" w:val="clear"/>
            <w:vAlign w:val="center"/>
          </w:tcPr>
          <w:p>
            <w:pPr>
              <w:pStyle w:val="TableContents"/>
              <w:spacing w:before="0" w:after="283"/>
              <w:rPr/>
            </w:pPr>
            <w:r>
              <w:rPr/>
              <w:t> </w:t>
            </w:r>
          </w:p>
        </w:tc>
      </w:tr>
      <w:tr>
        <w:trPr/>
        <w:tc>
          <w:tcPr>
            <w:tcW w:w="5639"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272" w:type="dxa"/>
            <w:gridSpan w:val="10"/>
            <w:tcBorders/>
            <w:shd w:fill="auto" w:val="clear"/>
            <w:vAlign w:val="center"/>
          </w:tcPr>
          <w:p>
            <w:pPr>
              <w:pStyle w:val="TableContents"/>
              <w:spacing w:before="0" w:after="283"/>
              <w:jc w:val="center"/>
              <w:rPr>
                <w:b/>
              </w:rPr>
            </w:pPr>
            <w:r>
              <w:rPr>
                <w:b/>
              </w:rPr>
              <w:t>(in € thousands)</w:t>
            </w:r>
          </w:p>
        </w:tc>
        <w:tc>
          <w:tcPr>
            <w:tcW w:w="174" w:type="dxa"/>
            <w:tcBorders/>
            <w:shd w:fill="auto" w:val="clear"/>
            <w:vAlign w:val="center"/>
          </w:tcPr>
          <w:p>
            <w:pPr>
              <w:pStyle w:val="TableContents"/>
              <w:spacing w:before="0" w:after="283"/>
              <w:rPr/>
            </w:pPr>
            <w:r>
              <w:rPr/>
              <w:t> </w:t>
            </w:r>
          </w:p>
        </w:tc>
      </w:tr>
      <w:tr>
        <w:trPr/>
        <w:tc>
          <w:tcPr>
            <w:tcW w:w="5639"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Depreciation, amortization and impairments</w:t>
            </w:r>
          </w:p>
        </w:tc>
        <w:tc>
          <w:tcPr>
            <w:tcW w:w="12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1029" w:type="dxa"/>
            <w:tcBorders/>
            <w:shd w:fill="CCEEFF" w:val="clear"/>
            <w:vAlign w:val="center"/>
          </w:tcPr>
          <w:p>
            <w:pPr>
              <w:pStyle w:val="TableContents"/>
              <w:spacing w:before="0" w:after="283"/>
              <w:jc w:val="right"/>
              <w:rPr/>
            </w:pPr>
            <w:r>
              <w:rPr/>
              <w:t>(7,989</w:t>
            </w:r>
          </w:p>
        </w:tc>
        <w:tc>
          <w:tcPr>
            <w:tcW w:w="25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1029" w:type="dxa"/>
            <w:tcBorders/>
            <w:shd w:fill="CCEEFF" w:val="clear"/>
            <w:vAlign w:val="center"/>
          </w:tcPr>
          <w:p>
            <w:pPr>
              <w:pStyle w:val="TableContents"/>
              <w:spacing w:before="0" w:after="283"/>
              <w:jc w:val="right"/>
              <w:rPr/>
            </w:pPr>
            <w:r>
              <w:rPr/>
              <w:t>(4,518</w:t>
            </w:r>
          </w:p>
        </w:tc>
        <w:tc>
          <w:tcPr>
            <w:tcW w:w="25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(1,843</w:t>
            </w:r>
          </w:p>
        </w:tc>
        <w:tc>
          <w:tcPr>
            <w:tcW w:w="174" w:type="dxa"/>
            <w:tcBorders/>
            <w:shd w:fill="CCEEFF" w:val="clear"/>
            <w:vAlign w:val="center"/>
          </w:tcPr>
          <w:p>
            <w:pPr>
              <w:pStyle w:val="TableContents"/>
              <w:spacing w:before="0" w:after="283"/>
              <w:rPr/>
            </w:pPr>
            <w:r>
              <w:rPr/>
              <w:t>) </w:t>
            </w:r>
          </w:p>
        </w:tc>
      </w:tr>
      <w:tr>
        <w:trPr/>
        <w:tc>
          <w:tcPr>
            <w:tcW w:w="5639" w:type="dxa"/>
            <w:tcBorders/>
            <w:shd w:fill="auto" w:val="clear"/>
            <w:vAlign w:val="center"/>
          </w:tcPr>
          <w:p>
            <w:pPr>
              <w:pStyle w:val="TableContents"/>
              <w:spacing w:before="0" w:after="0"/>
              <w:rPr>
                <w:rFonts w:ascii="Times New Roman" w:hAnsi="Times New Roman"/>
                <w:i/>
                <w:sz w:val="20"/>
              </w:rPr>
            </w:pPr>
            <w:r>
              <w:rPr>
                <w:rFonts w:ascii="Times New Roman" w:hAnsi="Times New Roman"/>
                <w:i/>
                <w:sz w:val="20"/>
              </w:rPr>
              <w:t>Of which own work capitalized</w:t>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029" w:type="dxa"/>
            <w:tcBorders/>
            <w:shd w:fill="auto" w:val="clear"/>
            <w:vAlign w:val="center"/>
          </w:tcPr>
          <w:p>
            <w:pPr>
              <w:pStyle w:val="TableContents"/>
              <w:spacing w:before="0" w:after="283"/>
              <w:jc w:val="right"/>
              <w:rPr>
                <w:i/>
              </w:rPr>
            </w:pPr>
            <w:r>
              <w:rPr>
                <w:i/>
              </w:rPr>
              <w:t>112</w:t>
            </w:r>
          </w:p>
        </w:tc>
        <w:tc>
          <w:tcPr>
            <w:tcW w:w="25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029" w:type="dxa"/>
            <w:tcBorders/>
            <w:shd w:fill="auto" w:val="clear"/>
            <w:vAlign w:val="center"/>
          </w:tcPr>
          <w:p>
            <w:pPr>
              <w:pStyle w:val="TableContents"/>
              <w:spacing w:before="0" w:after="283"/>
              <w:jc w:val="right"/>
              <w:rPr>
                <w:i/>
              </w:rPr>
            </w:pPr>
            <w:r>
              <w:rPr>
                <w:i/>
              </w:rPr>
              <w:t>287</w:t>
            </w:r>
          </w:p>
        </w:tc>
        <w:tc>
          <w:tcPr>
            <w:tcW w:w="25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i/>
              </w:rPr>
            </w:pPr>
            <w:r>
              <w:rPr>
                <w:i/>
              </w:rPr>
              <w:t>802</w:t>
            </w:r>
          </w:p>
        </w:tc>
        <w:tc>
          <w:tcPr>
            <w:tcW w:w="174" w:type="dxa"/>
            <w:tcBorders/>
            <w:shd w:fill="auto" w:val="clear"/>
            <w:vAlign w:val="center"/>
          </w:tcPr>
          <w:p>
            <w:pPr>
              <w:pStyle w:val="TableContents"/>
              <w:spacing w:before="0" w:after="283"/>
              <w:rPr/>
            </w:pPr>
            <w:r>
              <w:rPr/>
              <w:t> </w:t>
            </w:r>
          </w:p>
        </w:tc>
      </w:tr>
      <w:tr>
        <w:trPr/>
        <w:tc>
          <w:tcPr>
            <w:tcW w:w="563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pBdr>
                <w:top w:val="single" w:sz="2" w:space="1" w:color="000000"/>
              </w:pBdr>
              <w:spacing w:before="0" w:after="0"/>
              <w:rPr/>
            </w:pPr>
            <w:r>
              <w:rPr/>
              <w:t> </w:t>
            </w:r>
          </w:p>
        </w:tc>
        <w:tc>
          <w:tcPr>
            <w:tcW w:w="1029" w:type="dxa"/>
            <w:tcBorders/>
            <w:shd w:fill="auto" w:val="clear"/>
            <w:vAlign w:val="center"/>
          </w:tcPr>
          <w:p>
            <w:pPr>
              <w:pStyle w:val="TableContents"/>
              <w:pBdr>
                <w:top w:val="single" w:sz="2" w:space="1" w:color="000000"/>
              </w:pBdr>
              <w:spacing w:before="0" w:after="0"/>
              <w:rPr/>
            </w:pPr>
            <w:r>
              <w:rPr/>
              <w:t> </w:t>
            </w:r>
          </w:p>
        </w:tc>
        <w:tc>
          <w:tcPr>
            <w:tcW w:w="25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pBdr>
                <w:top w:val="single" w:sz="2" w:space="1" w:color="000000"/>
              </w:pBdr>
              <w:spacing w:before="0" w:after="0"/>
              <w:rPr/>
            </w:pPr>
            <w:r>
              <w:rPr/>
              <w:t> </w:t>
            </w:r>
          </w:p>
        </w:tc>
        <w:tc>
          <w:tcPr>
            <w:tcW w:w="1029" w:type="dxa"/>
            <w:tcBorders/>
            <w:shd w:fill="auto" w:val="clear"/>
            <w:vAlign w:val="center"/>
          </w:tcPr>
          <w:p>
            <w:pPr>
              <w:pStyle w:val="TableContents"/>
              <w:pBdr>
                <w:top w:val="single" w:sz="2" w:space="1" w:color="000000"/>
              </w:pBdr>
              <w:spacing w:before="0" w:after="0"/>
              <w:rPr/>
            </w:pPr>
            <w:r>
              <w:rPr/>
              <w:t> </w:t>
            </w:r>
          </w:p>
        </w:tc>
        <w:tc>
          <w:tcPr>
            <w:tcW w:w="25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pBdr>
                <w:top w:val="single" w:sz="2" w:space="1" w:color="000000"/>
              </w:pBdr>
              <w:spacing w:before="0" w:after="0"/>
              <w:rPr/>
            </w:pPr>
            <w:r>
              <w:rPr/>
              <w:t> </w:t>
            </w:r>
          </w:p>
        </w:tc>
        <w:tc>
          <w:tcPr>
            <w:tcW w:w="1035" w:type="dxa"/>
            <w:tcBorders/>
            <w:shd w:fill="auto" w:val="clear"/>
            <w:vAlign w:val="center"/>
          </w:tcPr>
          <w:p>
            <w:pPr>
              <w:pStyle w:val="TableContents"/>
              <w:pBdr>
                <w:top w:val="single" w:sz="2" w:space="1" w:color="000000"/>
              </w:pBdr>
              <w:spacing w:before="0" w:after="0"/>
              <w:rPr/>
            </w:pPr>
            <w:r>
              <w:rPr/>
              <w:t> </w:t>
            </w:r>
          </w:p>
        </w:tc>
        <w:tc>
          <w:tcPr>
            <w:tcW w:w="174" w:type="dxa"/>
            <w:tcBorders/>
            <w:shd w:fill="auto" w:val="clear"/>
            <w:vAlign w:val="center"/>
          </w:tcPr>
          <w:p>
            <w:pPr>
              <w:pStyle w:val="TableContents"/>
              <w:spacing w:before="0" w:after="283"/>
              <w:rPr/>
            </w:pPr>
            <w:r>
              <w:rPr/>
              <w:t> </w:t>
            </w:r>
          </w:p>
        </w:tc>
      </w:tr>
      <w:tr>
        <w:trPr/>
        <w:tc>
          <w:tcPr>
            <w:tcW w:w="5639"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Depreciation, amortization and impairments excluding own work capitalized</w:t>
            </w:r>
          </w:p>
        </w:tc>
        <w:tc>
          <w:tcPr>
            <w:tcW w:w="12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1029" w:type="dxa"/>
            <w:tcBorders/>
            <w:shd w:fill="CCEEFF" w:val="clear"/>
            <w:vAlign w:val="center"/>
          </w:tcPr>
          <w:p>
            <w:pPr>
              <w:pStyle w:val="TableContents"/>
              <w:spacing w:before="0" w:after="283"/>
              <w:jc w:val="right"/>
              <w:rPr>
                <w:b/>
              </w:rPr>
            </w:pPr>
            <w:r>
              <w:rPr>
                <w:b/>
              </w:rPr>
              <w:t>(7,877</w:t>
            </w:r>
          </w:p>
        </w:tc>
        <w:tc>
          <w:tcPr>
            <w:tcW w:w="250" w:type="dxa"/>
            <w:tcBorders/>
            <w:shd w:fill="CCEEFF" w:val="clear"/>
            <w:vAlign w:val="center"/>
          </w:tcPr>
          <w:p>
            <w:pPr>
              <w:pStyle w:val="TableContents"/>
              <w:spacing w:before="0" w:after="283"/>
              <w:rPr>
                <w:b/>
              </w:rPr>
            </w:pPr>
            <w:r>
              <w:rPr>
                <w:b/>
              </w:rPr>
              <w:t>) </w:t>
            </w:r>
          </w:p>
        </w:tc>
        <w:tc>
          <w:tcPr>
            <w:tcW w:w="194"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1029" w:type="dxa"/>
            <w:tcBorders/>
            <w:shd w:fill="CCEEFF" w:val="clear"/>
            <w:vAlign w:val="center"/>
          </w:tcPr>
          <w:p>
            <w:pPr>
              <w:pStyle w:val="TableContents"/>
              <w:spacing w:before="0" w:after="283"/>
              <w:jc w:val="right"/>
              <w:rPr>
                <w:b/>
              </w:rPr>
            </w:pPr>
            <w:r>
              <w:rPr>
                <w:b/>
              </w:rPr>
              <w:t>(4,231</w:t>
            </w:r>
          </w:p>
        </w:tc>
        <w:tc>
          <w:tcPr>
            <w:tcW w:w="250" w:type="dxa"/>
            <w:tcBorders/>
            <w:shd w:fill="CCEEFF" w:val="clear"/>
            <w:vAlign w:val="center"/>
          </w:tcPr>
          <w:p>
            <w:pPr>
              <w:pStyle w:val="TableContents"/>
              <w:spacing w:before="0" w:after="283"/>
              <w:rPr>
                <w:b/>
              </w:rPr>
            </w:pPr>
            <w:r>
              <w:rPr>
                <w:b/>
              </w:rPr>
              <w:t>) </w:t>
            </w:r>
          </w:p>
        </w:tc>
        <w:tc>
          <w:tcPr>
            <w:tcW w:w="194"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b/>
              </w:rPr>
            </w:pPr>
            <w:r>
              <w:rPr>
                <w:b/>
              </w:rPr>
              <w:t>(1,041</w:t>
            </w:r>
          </w:p>
        </w:tc>
        <w:tc>
          <w:tcPr>
            <w:tcW w:w="174" w:type="dxa"/>
            <w:tcBorders/>
            <w:shd w:fill="CCEEFF" w:val="clear"/>
            <w:vAlign w:val="center"/>
          </w:tcPr>
          <w:p>
            <w:pPr>
              <w:pStyle w:val="TableContents"/>
              <w:spacing w:before="0" w:after="283"/>
              <w:rPr>
                <w:b/>
              </w:rPr>
            </w:pPr>
            <w:r>
              <w:rPr>
                <w:b/>
              </w:rPr>
              <w:t>) </w:t>
            </w:r>
          </w:p>
        </w:tc>
      </w:tr>
      <w:tr>
        <w:trPr/>
        <w:tc>
          <w:tcPr>
            <w:tcW w:w="563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pBdr>
                <w:top w:val="double" w:sz="6" w:space="1" w:color="000000"/>
              </w:pBdr>
              <w:spacing w:before="0" w:after="0"/>
              <w:rPr/>
            </w:pPr>
            <w:r>
              <w:rPr/>
              <w:t> </w:t>
            </w:r>
          </w:p>
        </w:tc>
        <w:tc>
          <w:tcPr>
            <w:tcW w:w="1029" w:type="dxa"/>
            <w:tcBorders/>
            <w:shd w:fill="auto" w:val="clear"/>
            <w:vAlign w:val="center"/>
          </w:tcPr>
          <w:p>
            <w:pPr>
              <w:pStyle w:val="TableContents"/>
              <w:pBdr>
                <w:top w:val="double" w:sz="6" w:space="1" w:color="000000"/>
              </w:pBdr>
              <w:spacing w:before="0" w:after="0"/>
              <w:rPr/>
            </w:pPr>
            <w:r>
              <w:rPr/>
              <w:t> </w:t>
            </w:r>
          </w:p>
        </w:tc>
        <w:tc>
          <w:tcPr>
            <w:tcW w:w="25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pBdr>
                <w:top w:val="double" w:sz="6" w:space="1" w:color="000000"/>
              </w:pBdr>
              <w:spacing w:before="0" w:after="0"/>
              <w:rPr/>
            </w:pPr>
            <w:r>
              <w:rPr/>
              <w:t> </w:t>
            </w:r>
          </w:p>
        </w:tc>
        <w:tc>
          <w:tcPr>
            <w:tcW w:w="1029" w:type="dxa"/>
            <w:tcBorders/>
            <w:shd w:fill="auto" w:val="clear"/>
            <w:vAlign w:val="center"/>
          </w:tcPr>
          <w:p>
            <w:pPr>
              <w:pStyle w:val="TableContents"/>
              <w:pBdr>
                <w:top w:val="double" w:sz="6" w:space="1" w:color="000000"/>
              </w:pBdr>
              <w:spacing w:before="0" w:after="0"/>
              <w:rPr/>
            </w:pPr>
            <w:r>
              <w:rPr/>
              <w:t> </w:t>
            </w:r>
          </w:p>
        </w:tc>
        <w:tc>
          <w:tcPr>
            <w:tcW w:w="25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pBdr>
                <w:top w:val="double" w:sz="6" w:space="1" w:color="000000"/>
              </w:pBdr>
              <w:spacing w:before="0" w:after="0"/>
              <w:rPr/>
            </w:pPr>
            <w:r>
              <w:rPr/>
              <w:t> </w:t>
            </w:r>
          </w:p>
        </w:tc>
        <w:tc>
          <w:tcPr>
            <w:tcW w:w="1035" w:type="dxa"/>
            <w:tcBorders/>
            <w:shd w:fill="auto" w:val="clear"/>
            <w:vAlign w:val="center"/>
          </w:tcPr>
          <w:p>
            <w:pPr>
              <w:pStyle w:val="TableContents"/>
              <w:pBdr>
                <w:top w:val="double" w:sz="6" w:space="1" w:color="000000"/>
              </w:pBdr>
              <w:spacing w:before="0" w:after="0"/>
              <w:rPr/>
            </w:pPr>
            <w:r>
              <w:rPr/>
              <w:t> </w:t>
            </w:r>
          </w:p>
        </w:tc>
        <w:tc>
          <w:tcPr>
            <w:tcW w:w="174"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i/>
          <w:sz w:val="20"/>
        </w:rPr>
      </w:pPr>
      <w:r>
        <w:rPr>
          <w:rFonts w:ascii="Times New Roman" w:hAnsi="Times New Roman"/>
          <w:i/>
          <w:sz w:val="20"/>
        </w:rPr>
        <w:t xml:space="preserve">Comparison of the Years ended December 31, 2021 and December 31, 2022 </w:t>
      </w:r>
    </w:p>
    <w:p>
      <w:pPr>
        <w:pStyle w:val="TextBody"/>
        <w:spacing w:before="120" w:after="0"/>
        <w:jc w:val="both"/>
        <w:rPr>
          <w:rFonts w:ascii="Times New Roman" w:hAnsi="Times New Roman"/>
          <w:sz w:val="20"/>
        </w:rPr>
      </w:pPr>
      <w:r>
        <w:rPr>
          <w:rFonts w:ascii="Times New Roman" w:hAnsi="Times New Roman"/>
          <w:sz w:val="20"/>
        </w:rPr>
        <w:t xml:space="preserve">Depreciation, amortization and impairments increased by 76.8% from €4,518 thousand in 2021 to €7,989 thousand in 2022, primarily due to the impairment of our adapted SPACE technology for MEO-based constellations, which accounted for a total impairment loss of €1,531 thousand, and the ongoing amortization of our SPACE technology and AIR technology, which accounted for €1,075 thousand and €284 thousand, respectively, of amortization in 2022. The increase was further driven by higher investments in the expansion of our development and production infrastructure, which includes investments in our customized production facility in Oberpfaffenhofen and in additional production equipment in the United States. In addition, the increase in depreciation of right-of-use assets further contributed to the increase due to the additional office space being leased in Washington D.C. and Los Angeles. </w:t>
      </w:r>
    </w:p>
    <w:p>
      <w:pPr>
        <w:pStyle w:val="TextBody"/>
        <w:spacing w:before="240" w:after="0"/>
        <w:jc w:val="both"/>
        <w:rPr>
          <w:rFonts w:ascii="Times New Roman" w:hAnsi="Times New Roman"/>
          <w:sz w:val="20"/>
        </w:rPr>
      </w:pPr>
      <w:r>
        <w:rPr>
          <w:rFonts w:ascii="Times New Roman" w:hAnsi="Times New Roman"/>
          <w:sz w:val="20"/>
        </w:rPr>
        <w:t xml:space="preserve">The portion of own work capitalized included in depreciation, amortization and impairments decreased by 61.0% from €287 thousand in 2021 to €112 thousand in 2022, due to the completion of the development of our SPACE technology in March 2021. Depreciation, amortization and impairments excluding own work capitalized increased significantly from €4,231 thousand in 2021 to €7,877 thousand in 2022, primarily due to driven by higher investments in the expansion of our development and production infrastructure and the increase in depreciation of right-of-use assets. </w:t>
      </w:r>
    </w:p>
    <w:p>
      <w:pPr>
        <w:pStyle w:val="TextBody"/>
        <w:spacing w:before="360" w:after="0"/>
        <w:jc w:val="left"/>
        <w:rPr>
          <w:rFonts w:ascii="Times New Roman" w:hAnsi="Times New Roman"/>
          <w:i/>
          <w:sz w:val="20"/>
        </w:rPr>
      </w:pPr>
      <w:r>
        <w:rPr>
          <w:rFonts w:ascii="Times New Roman" w:hAnsi="Times New Roman"/>
          <w:i/>
          <w:sz w:val="20"/>
        </w:rPr>
        <w:t xml:space="preserve">Comparison of the Years ended December 31, 2020 and December 31, 2021 </w:t>
      </w:r>
    </w:p>
    <w:p>
      <w:pPr>
        <w:pStyle w:val="TextBody"/>
        <w:spacing w:before="120" w:after="0"/>
        <w:jc w:val="both"/>
        <w:rPr>
          <w:rFonts w:ascii="Times New Roman" w:hAnsi="Times New Roman"/>
          <w:sz w:val="20"/>
        </w:rPr>
      </w:pPr>
      <w:r>
        <w:rPr>
          <w:rFonts w:ascii="Times New Roman" w:hAnsi="Times New Roman"/>
          <w:sz w:val="20"/>
        </w:rPr>
        <w:t xml:space="preserve">Depreciation, amortization and impairments increased by 145.1% from €1,843 thousand in 2020 to €4,518 thousand in 2021, primarily due to higher investments in the expansion of our development and production infrastructure, which includes our customized production facility in Oberpfaffenhofen and additional production equipment. The increase was further driven by the initial amortization of our SPACE technology and the ongoing amortization of our AIR technology, which accounted for €1,174 thousand of amortization in 2021. In addition, the increase in depreciation of right-of-use assets further contributed to the increase due to the additional office space being leased in Washington D.C. and Los Angeles. </w:t>
      </w:r>
    </w:p>
    <w:p>
      <w:pPr>
        <w:pStyle w:val="TextBody"/>
        <w:spacing w:before="240" w:after="0"/>
        <w:jc w:val="both"/>
        <w:rPr>
          <w:rFonts w:ascii="Times New Roman" w:hAnsi="Times New Roman"/>
          <w:sz w:val="20"/>
        </w:rPr>
      </w:pPr>
      <w:r>
        <w:rPr>
          <w:rFonts w:ascii="Times New Roman" w:hAnsi="Times New Roman"/>
          <w:sz w:val="20"/>
        </w:rPr>
        <w:t xml:space="preserve">The portion of own work capitalized included in depreciation, amortization and impairments decreased by 64.2% from €802 thousand in 2020 to €287 thousand in 2021, due to the completion of the development of our AIR technology in June 2020 and our SPACE technology in March 2021. Depreciation, amortization and impairments excluding own work capitalized increased significantly from €1,041 thousand in 2020 to €4,231 thousand in 2021, primarily due to higher investments in the expansion of our development and production infrastructure. </w:t>
      </w:r>
    </w:p>
    <w:p>
      <w:pPr>
        <w:pStyle w:val="TextBody"/>
        <w:spacing w:before="360" w:after="0"/>
        <w:jc w:val="left"/>
        <w:rPr>
          <w:rFonts w:ascii="Times New Roman" w:hAnsi="Times New Roman"/>
          <w:b/>
          <w:i/>
          <w:sz w:val="20"/>
        </w:rPr>
      </w:pPr>
      <w:r>
        <w:rPr>
          <w:rFonts w:ascii="Times New Roman" w:hAnsi="Times New Roman"/>
          <w:b/>
          <w:i/>
          <w:sz w:val="20"/>
        </w:rPr>
        <w:t xml:space="preserve">Other Operating Costs </w:t>
      </w:r>
    </w:p>
    <w:p>
      <w:pPr>
        <w:pStyle w:val="TextBody"/>
        <w:spacing w:before="120" w:after="0"/>
        <w:jc w:val="both"/>
        <w:rPr>
          <w:rFonts w:ascii="Times New Roman" w:hAnsi="Times New Roman"/>
          <w:sz w:val="20"/>
        </w:rPr>
      </w:pPr>
      <w:r>
        <w:rPr>
          <w:rFonts w:ascii="Times New Roman" w:hAnsi="Times New Roman"/>
          <w:sz w:val="20"/>
        </w:rPr>
        <w:t xml:space="preserve">The following table provides our other operating costs for the periods presented: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6560"/>
        <w:gridCol w:w="120"/>
        <w:gridCol w:w="69"/>
        <w:gridCol w:w="881"/>
        <w:gridCol w:w="180"/>
        <w:gridCol w:w="139"/>
        <w:gridCol w:w="69"/>
        <w:gridCol w:w="881"/>
        <w:gridCol w:w="180"/>
        <w:gridCol w:w="139"/>
        <w:gridCol w:w="69"/>
        <w:gridCol w:w="741"/>
        <w:gridCol w:w="177"/>
      </w:tblGrid>
      <w:tr>
        <w:trPr/>
        <w:tc>
          <w:tcPr>
            <w:tcW w:w="65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65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348" w:type="dxa"/>
            <w:gridSpan w:val="10"/>
            <w:tcBorders>
              <w:bottom w:val="single" w:sz="8" w:space="0" w:color="000000"/>
            </w:tcBorders>
            <w:shd w:fill="auto" w:val="clear"/>
            <w:tcMar>
              <w:bottom w:w="28" w:type="dxa"/>
            </w:tcMar>
            <w:vAlign w:val="center"/>
          </w:tcPr>
          <w:p>
            <w:pPr>
              <w:pStyle w:val="TableContents"/>
              <w:spacing w:before="0" w:after="283"/>
              <w:jc w:val="center"/>
              <w:rPr>
                <w:b/>
              </w:rPr>
            </w:pPr>
            <w:r>
              <w:rPr>
                <w:b/>
              </w:rPr>
              <w:t>For the year ended December 31,</w:t>
            </w:r>
          </w:p>
        </w:tc>
        <w:tc>
          <w:tcPr>
            <w:tcW w:w="177" w:type="dxa"/>
            <w:tcBorders/>
            <w:shd w:fill="auto" w:val="clear"/>
            <w:vAlign w:val="center"/>
          </w:tcPr>
          <w:p>
            <w:pPr>
              <w:pStyle w:val="TableContents"/>
              <w:spacing w:before="0" w:after="283"/>
              <w:rPr/>
            </w:pPr>
            <w:r>
              <w:rPr/>
              <w:t> </w:t>
            </w:r>
          </w:p>
        </w:tc>
      </w:tr>
      <w:tr>
        <w:trPr/>
        <w:tc>
          <w:tcPr>
            <w:tcW w:w="65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5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18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95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18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81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2020</w:t>
            </w:r>
          </w:p>
        </w:tc>
        <w:tc>
          <w:tcPr>
            <w:tcW w:w="177" w:type="dxa"/>
            <w:tcBorders/>
            <w:shd w:fill="auto" w:val="clear"/>
            <w:vAlign w:val="center"/>
          </w:tcPr>
          <w:p>
            <w:pPr>
              <w:pStyle w:val="TableContents"/>
              <w:spacing w:before="0" w:after="283"/>
              <w:rPr/>
            </w:pPr>
            <w:r>
              <w:rPr/>
              <w:t> </w:t>
            </w:r>
          </w:p>
        </w:tc>
      </w:tr>
      <w:tr>
        <w:trPr/>
        <w:tc>
          <w:tcPr>
            <w:tcW w:w="65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348" w:type="dxa"/>
            <w:gridSpan w:val="10"/>
            <w:tcBorders/>
            <w:shd w:fill="auto" w:val="clear"/>
            <w:vAlign w:val="center"/>
          </w:tcPr>
          <w:p>
            <w:pPr>
              <w:pStyle w:val="TableContents"/>
              <w:spacing w:before="0" w:after="283"/>
              <w:jc w:val="center"/>
              <w:rPr>
                <w:b/>
              </w:rPr>
            </w:pPr>
            <w:r>
              <w:rPr>
                <w:b/>
              </w:rPr>
              <w:t>(in € thousands)</w:t>
            </w:r>
          </w:p>
        </w:tc>
        <w:tc>
          <w:tcPr>
            <w:tcW w:w="177" w:type="dxa"/>
            <w:tcBorders/>
            <w:shd w:fill="auto" w:val="clear"/>
            <w:vAlign w:val="center"/>
          </w:tcPr>
          <w:p>
            <w:pPr>
              <w:pStyle w:val="TableContents"/>
              <w:spacing w:before="0" w:after="283"/>
              <w:rPr/>
            </w:pPr>
            <w:r>
              <w:rPr/>
              <w:t> </w:t>
            </w:r>
          </w:p>
        </w:tc>
      </w:tr>
      <w:tr>
        <w:trPr/>
        <w:tc>
          <w:tcPr>
            <w:tcW w:w="65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 operating costs(1)</w:t>
            </w:r>
          </w:p>
        </w:tc>
        <w:tc>
          <w:tcPr>
            <w:tcW w:w="12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881" w:type="dxa"/>
            <w:tcBorders/>
            <w:shd w:fill="CCEEFF" w:val="clear"/>
            <w:vAlign w:val="center"/>
          </w:tcPr>
          <w:p>
            <w:pPr>
              <w:pStyle w:val="TableContents"/>
              <w:spacing w:before="0" w:after="283"/>
              <w:jc w:val="right"/>
              <w:rPr/>
            </w:pPr>
            <w:r>
              <w:rPr/>
              <w:t>(22,082</w:t>
            </w:r>
          </w:p>
        </w:tc>
        <w:tc>
          <w:tcPr>
            <w:tcW w:w="18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881" w:type="dxa"/>
            <w:tcBorders/>
            <w:shd w:fill="CCEEFF" w:val="clear"/>
            <w:vAlign w:val="center"/>
          </w:tcPr>
          <w:p>
            <w:pPr>
              <w:pStyle w:val="TableContents"/>
              <w:spacing w:before="0" w:after="283"/>
              <w:jc w:val="right"/>
              <w:rPr/>
            </w:pPr>
            <w:r>
              <w:rPr/>
              <w:t>(11,830</w:t>
            </w:r>
          </w:p>
        </w:tc>
        <w:tc>
          <w:tcPr>
            <w:tcW w:w="18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741" w:type="dxa"/>
            <w:tcBorders/>
            <w:shd w:fill="CCEEFF" w:val="clear"/>
            <w:vAlign w:val="center"/>
          </w:tcPr>
          <w:p>
            <w:pPr>
              <w:pStyle w:val="TableContents"/>
              <w:spacing w:before="0" w:after="283"/>
              <w:jc w:val="right"/>
              <w:rPr/>
            </w:pPr>
            <w:r>
              <w:rPr/>
              <w:t>(5,344</w:t>
            </w:r>
          </w:p>
        </w:tc>
        <w:tc>
          <w:tcPr>
            <w:tcW w:w="177" w:type="dxa"/>
            <w:tcBorders/>
            <w:shd w:fill="CCEEFF" w:val="clear"/>
            <w:vAlign w:val="center"/>
          </w:tcPr>
          <w:p>
            <w:pPr>
              <w:pStyle w:val="TableContents"/>
              <w:spacing w:before="0" w:after="283"/>
              <w:rPr/>
            </w:pPr>
            <w:r>
              <w:rPr/>
              <w:t>) </w:t>
            </w:r>
          </w:p>
        </w:tc>
      </w:tr>
      <w:tr>
        <w:trPr/>
        <w:tc>
          <w:tcPr>
            <w:tcW w:w="6560" w:type="dxa"/>
            <w:tcBorders/>
            <w:shd w:fill="auto" w:val="clear"/>
            <w:vAlign w:val="center"/>
          </w:tcPr>
          <w:p>
            <w:pPr>
              <w:pStyle w:val="TableContents"/>
              <w:spacing w:before="0" w:after="0"/>
              <w:rPr>
                <w:rFonts w:ascii="Times New Roman" w:hAnsi="Times New Roman"/>
                <w:i/>
                <w:sz w:val="20"/>
              </w:rPr>
            </w:pPr>
            <w:r>
              <w:rPr>
                <w:rFonts w:ascii="Times New Roman" w:hAnsi="Times New Roman"/>
                <w:i/>
                <w:sz w:val="20"/>
              </w:rPr>
              <w:t>Of which own work capitalized</w:t>
            </w:r>
          </w:p>
        </w:tc>
        <w:tc>
          <w:tcPr>
            <w:tcW w:w="12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881" w:type="dxa"/>
            <w:tcBorders/>
            <w:shd w:fill="auto" w:val="clear"/>
            <w:vAlign w:val="center"/>
          </w:tcPr>
          <w:p>
            <w:pPr>
              <w:pStyle w:val="TableContents"/>
              <w:spacing w:before="0" w:after="283"/>
              <w:jc w:val="right"/>
              <w:rPr>
                <w:i/>
              </w:rPr>
            </w:pPr>
            <w:r>
              <w:rPr>
                <w:i/>
              </w:rPr>
              <w:t>101</w:t>
            </w:r>
          </w:p>
        </w:tc>
        <w:tc>
          <w:tcPr>
            <w:tcW w:w="18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881" w:type="dxa"/>
            <w:tcBorders/>
            <w:shd w:fill="auto" w:val="clear"/>
            <w:vAlign w:val="center"/>
          </w:tcPr>
          <w:p>
            <w:pPr>
              <w:pStyle w:val="TableContents"/>
              <w:spacing w:before="0" w:after="283"/>
              <w:jc w:val="right"/>
              <w:rPr>
                <w:i/>
              </w:rPr>
            </w:pPr>
            <w:r>
              <w:rPr>
                <w:i/>
              </w:rPr>
              <w:t>427</w:t>
            </w:r>
          </w:p>
        </w:tc>
        <w:tc>
          <w:tcPr>
            <w:tcW w:w="18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741" w:type="dxa"/>
            <w:tcBorders/>
            <w:shd w:fill="auto" w:val="clear"/>
            <w:vAlign w:val="center"/>
          </w:tcPr>
          <w:p>
            <w:pPr>
              <w:pStyle w:val="TableContents"/>
              <w:spacing w:before="0" w:after="283"/>
              <w:jc w:val="right"/>
              <w:rPr>
                <w:i/>
              </w:rPr>
            </w:pPr>
            <w:r>
              <w:rPr>
                <w:i/>
              </w:rPr>
              <w:t>579</w:t>
            </w:r>
          </w:p>
        </w:tc>
        <w:tc>
          <w:tcPr>
            <w:tcW w:w="177" w:type="dxa"/>
            <w:tcBorders/>
            <w:shd w:fill="auto" w:val="clear"/>
            <w:vAlign w:val="center"/>
          </w:tcPr>
          <w:p>
            <w:pPr>
              <w:pStyle w:val="TableContents"/>
              <w:spacing w:before="0" w:after="283"/>
              <w:rPr/>
            </w:pPr>
            <w:r>
              <w:rPr/>
              <w:t> </w:t>
            </w:r>
          </w:p>
        </w:tc>
      </w:tr>
      <w:tr>
        <w:trPr/>
        <w:tc>
          <w:tcPr>
            <w:tcW w:w="65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pBdr>
                <w:top w:val="single" w:sz="2" w:space="1" w:color="000000"/>
              </w:pBdr>
              <w:spacing w:before="0" w:after="0"/>
              <w:rPr/>
            </w:pPr>
            <w:r>
              <w:rPr/>
              <w:t> </w:t>
            </w:r>
          </w:p>
        </w:tc>
        <w:tc>
          <w:tcPr>
            <w:tcW w:w="881" w:type="dxa"/>
            <w:tcBorders/>
            <w:shd w:fill="auto" w:val="clear"/>
            <w:vAlign w:val="center"/>
          </w:tcPr>
          <w:p>
            <w:pPr>
              <w:pStyle w:val="TableContents"/>
              <w:pBdr>
                <w:top w:val="single" w:sz="2" w:space="1" w:color="000000"/>
              </w:pBdr>
              <w:spacing w:before="0" w:after="0"/>
              <w:rPr/>
            </w:pPr>
            <w:r>
              <w:rPr/>
              <w:t> </w:t>
            </w:r>
          </w:p>
        </w:tc>
        <w:tc>
          <w:tcPr>
            <w:tcW w:w="18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pBdr>
                <w:top w:val="single" w:sz="2" w:space="1" w:color="000000"/>
              </w:pBdr>
              <w:spacing w:before="0" w:after="0"/>
              <w:rPr/>
            </w:pPr>
            <w:r>
              <w:rPr/>
              <w:t> </w:t>
            </w:r>
          </w:p>
        </w:tc>
        <w:tc>
          <w:tcPr>
            <w:tcW w:w="881" w:type="dxa"/>
            <w:tcBorders/>
            <w:shd w:fill="auto" w:val="clear"/>
            <w:vAlign w:val="center"/>
          </w:tcPr>
          <w:p>
            <w:pPr>
              <w:pStyle w:val="TableContents"/>
              <w:pBdr>
                <w:top w:val="single" w:sz="2" w:space="1" w:color="000000"/>
              </w:pBdr>
              <w:spacing w:before="0" w:after="0"/>
              <w:rPr/>
            </w:pPr>
            <w:r>
              <w:rPr/>
              <w:t> </w:t>
            </w:r>
          </w:p>
        </w:tc>
        <w:tc>
          <w:tcPr>
            <w:tcW w:w="18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pBdr>
                <w:top w:val="single" w:sz="2" w:space="1" w:color="000000"/>
              </w:pBdr>
              <w:spacing w:before="0" w:after="0"/>
              <w:rPr/>
            </w:pPr>
            <w:r>
              <w:rPr/>
              <w:t> </w:t>
            </w:r>
          </w:p>
        </w:tc>
        <w:tc>
          <w:tcPr>
            <w:tcW w:w="741" w:type="dxa"/>
            <w:tcBorders/>
            <w:shd w:fill="auto" w:val="clear"/>
            <w:vAlign w:val="center"/>
          </w:tcPr>
          <w:p>
            <w:pPr>
              <w:pStyle w:val="TableContents"/>
              <w:pBdr>
                <w:top w:val="single" w:sz="2" w:space="1" w:color="000000"/>
              </w:pBdr>
              <w:spacing w:before="0" w:after="0"/>
              <w:rPr/>
            </w:pPr>
            <w:r>
              <w:rPr/>
              <w:t> </w:t>
            </w:r>
          </w:p>
        </w:tc>
        <w:tc>
          <w:tcPr>
            <w:tcW w:w="177" w:type="dxa"/>
            <w:tcBorders/>
            <w:shd w:fill="auto" w:val="clear"/>
            <w:vAlign w:val="center"/>
          </w:tcPr>
          <w:p>
            <w:pPr>
              <w:pStyle w:val="TableContents"/>
              <w:spacing w:before="0" w:after="283"/>
              <w:rPr/>
            </w:pPr>
            <w:r>
              <w:rPr/>
              <w:t> </w:t>
            </w:r>
          </w:p>
        </w:tc>
      </w:tr>
      <w:tr>
        <w:trPr/>
        <w:tc>
          <w:tcPr>
            <w:tcW w:w="656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Other operating expenses (i.e., other operating costs excluding own work capitalized)</w:t>
            </w:r>
          </w:p>
        </w:tc>
        <w:tc>
          <w:tcPr>
            <w:tcW w:w="12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881" w:type="dxa"/>
            <w:tcBorders/>
            <w:shd w:fill="CCEEFF" w:val="clear"/>
            <w:vAlign w:val="center"/>
          </w:tcPr>
          <w:p>
            <w:pPr>
              <w:pStyle w:val="TableContents"/>
              <w:spacing w:before="0" w:after="283"/>
              <w:jc w:val="right"/>
              <w:rPr>
                <w:b/>
              </w:rPr>
            </w:pPr>
            <w:r>
              <w:rPr>
                <w:b/>
              </w:rPr>
              <w:t>(21,981</w:t>
            </w:r>
          </w:p>
        </w:tc>
        <w:tc>
          <w:tcPr>
            <w:tcW w:w="180" w:type="dxa"/>
            <w:tcBorders/>
            <w:shd w:fill="CCEEFF" w:val="clear"/>
            <w:vAlign w:val="center"/>
          </w:tcPr>
          <w:p>
            <w:pPr>
              <w:pStyle w:val="TableContents"/>
              <w:spacing w:before="0" w:after="283"/>
              <w:rPr>
                <w:b/>
              </w:rPr>
            </w:pPr>
            <w:r>
              <w:rPr>
                <w:b/>
              </w:rPr>
              <w:t>) </w:t>
            </w:r>
          </w:p>
        </w:tc>
        <w:tc>
          <w:tcPr>
            <w:tcW w:w="139"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881" w:type="dxa"/>
            <w:tcBorders/>
            <w:shd w:fill="CCEEFF" w:val="clear"/>
            <w:vAlign w:val="center"/>
          </w:tcPr>
          <w:p>
            <w:pPr>
              <w:pStyle w:val="TableContents"/>
              <w:spacing w:before="0" w:after="283"/>
              <w:jc w:val="right"/>
              <w:rPr>
                <w:b/>
              </w:rPr>
            </w:pPr>
            <w:r>
              <w:rPr>
                <w:b/>
              </w:rPr>
              <w:t>(11,403</w:t>
            </w:r>
          </w:p>
        </w:tc>
        <w:tc>
          <w:tcPr>
            <w:tcW w:w="180" w:type="dxa"/>
            <w:tcBorders/>
            <w:shd w:fill="CCEEFF" w:val="clear"/>
            <w:vAlign w:val="center"/>
          </w:tcPr>
          <w:p>
            <w:pPr>
              <w:pStyle w:val="TableContents"/>
              <w:spacing w:before="0" w:after="283"/>
              <w:rPr>
                <w:b/>
              </w:rPr>
            </w:pPr>
            <w:r>
              <w:rPr>
                <w:b/>
              </w:rPr>
              <w:t>) </w:t>
            </w:r>
          </w:p>
        </w:tc>
        <w:tc>
          <w:tcPr>
            <w:tcW w:w="139"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741" w:type="dxa"/>
            <w:tcBorders/>
            <w:shd w:fill="CCEEFF" w:val="clear"/>
            <w:vAlign w:val="center"/>
          </w:tcPr>
          <w:p>
            <w:pPr>
              <w:pStyle w:val="TableContents"/>
              <w:spacing w:before="0" w:after="283"/>
              <w:jc w:val="right"/>
              <w:rPr>
                <w:b/>
              </w:rPr>
            </w:pPr>
            <w:r>
              <w:rPr>
                <w:b/>
              </w:rPr>
              <w:t>(4,765</w:t>
            </w:r>
          </w:p>
        </w:tc>
        <w:tc>
          <w:tcPr>
            <w:tcW w:w="177" w:type="dxa"/>
            <w:tcBorders/>
            <w:shd w:fill="CCEEFF" w:val="clear"/>
            <w:vAlign w:val="center"/>
          </w:tcPr>
          <w:p>
            <w:pPr>
              <w:pStyle w:val="TableContents"/>
              <w:spacing w:before="0" w:after="283"/>
              <w:rPr>
                <w:b/>
              </w:rPr>
            </w:pPr>
            <w:r>
              <w:rPr>
                <w:b/>
              </w:rPr>
              <w:t>) </w:t>
            </w:r>
          </w:p>
        </w:tc>
      </w:tr>
      <w:tr>
        <w:trPr/>
        <w:tc>
          <w:tcPr>
            <w:tcW w:w="65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pBdr>
                <w:top w:val="double" w:sz="6" w:space="1" w:color="000000"/>
              </w:pBdr>
              <w:spacing w:before="0" w:after="0"/>
              <w:rPr/>
            </w:pPr>
            <w:r>
              <w:rPr/>
              <w:t> </w:t>
            </w:r>
          </w:p>
        </w:tc>
        <w:tc>
          <w:tcPr>
            <w:tcW w:w="881" w:type="dxa"/>
            <w:tcBorders/>
            <w:shd w:fill="auto" w:val="clear"/>
            <w:vAlign w:val="center"/>
          </w:tcPr>
          <w:p>
            <w:pPr>
              <w:pStyle w:val="TableContents"/>
              <w:pBdr>
                <w:top w:val="double" w:sz="6" w:space="1" w:color="000000"/>
              </w:pBdr>
              <w:spacing w:before="0" w:after="0"/>
              <w:rPr/>
            </w:pPr>
            <w:r>
              <w:rPr/>
              <w:t> </w:t>
            </w:r>
          </w:p>
        </w:tc>
        <w:tc>
          <w:tcPr>
            <w:tcW w:w="18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pBdr>
                <w:top w:val="double" w:sz="6" w:space="1" w:color="000000"/>
              </w:pBdr>
              <w:spacing w:before="0" w:after="0"/>
              <w:rPr/>
            </w:pPr>
            <w:r>
              <w:rPr/>
              <w:t> </w:t>
            </w:r>
          </w:p>
        </w:tc>
        <w:tc>
          <w:tcPr>
            <w:tcW w:w="881" w:type="dxa"/>
            <w:tcBorders/>
            <w:shd w:fill="auto" w:val="clear"/>
            <w:vAlign w:val="center"/>
          </w:tcPr>
          <w:p>
            <w:pPr>
              <w:pStyle w:val="TableContents"/>
              <w:pBdr>
                <w:top w:val="double" w:sz="6" w:space="1" w:color="000000"/>
              </w:pBdr>
              <w:spacing w:before="0" w:after="0"/>
              <w:rPr/>
            </w:pPr>
            <w:r>
              <w:rPr/>
              <w:t> </w:t>
            </w:r>
          </w:p>
        </w:tc>
        <w:tc>
          <w:tcPr>
            <w:tcW w:w="18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pBdr>
                <w:top w:val="double" w:sz="6" w:space="1" w:color="000000"/>
              </w:pBdr>
              <w:spacing w:before="0" w:after="0"/>
              <w:rPr/>
            </w:pPr>
            <w:r>
              <w:rPr/>
              <w:t> </w:t>
            </w:r>
          </w:p>
        </w:tc>
        <w:tc>
          <w:tcPr>
            <w:tcW w:w="741" w:type="dxa"/>
            <w:tcBorders/>
            <w:shd w:fill="auto" w:val="clear"/>
            <w:vAlign w:val="center"/>
          </w:tcPr>
          <w:p>
            <w:pPr>
              <w:pStyle w:val="TableContents"/>
              <w:pBdr>
                <w:top w:val="double" w:sz="6" w:space="1" w:color="000000"/>
              </w:pBdr>
              <w:spacing w:before="0" w:after="0"/>
              <w:rPr/>
            </w:pPr>
            <w:r>
              <w:rPr/>
              <w:t> </w:t>
            </w:r>
          </w:p>
        </w:tc>
        <w:tc>
          <w:tcPr>
            <w:tcW w:w="177"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Comparison of the Years ended December 31, 2021 and December 31, 2022 </w:t>
      </w:r>
    </w:p>
    <w:p>
      <w:pPr>
        <w:pStyle w:val="TextBody"/>
        <w:spacing w:before="120" w:after="0"/>
        <w:jc w:val="both"/>
        <w:rPr>
          <w:rFonts w:ascii="Times New Roman" w:hAnsi="Times New Roman"/>
          <w:sz w:val="20"/>
        </w:rPr>
      </w:pPr>
      <w:r>
        <w:rPr>
          <w:rFonts w:ascii="Times New Roman" w:hAnsi="Times New Roman"/>
          <w:sz w:val="20"/>
        </w:rPr>
        <w:t xml:space="preserve">Other operating costs increased by 86.7% from €11,830 thousand in 2021 to €22,082 thousand in 2022, primarily due to the significant increase in legal and consulting fees, selling and travel costs, increase in office and IT costs related to the our new SAP ERP system and onerous contract provision, as well as increased insurance costs relating to directors’ and officers’ (“D&amp;O”) insurance purchased in connection with our initial public offering in the U.S. in late 2021. </w:t>
      </w:r>
    </w:p>
    <w:p>
      <w:pPr>
        <w:pStyle w:val="TextBody"/>
        <w:spacing w:before="240" w:after="0"/>
        <w:jc w:val="both"/>
        <w:rPr>
          <w:rFonts w:ascii="Times New Roman" w:hAnsi="Times New Roman"/>
          <w:sz w:val="20"/>
        </w:rPr>
      </w:pPr>
      <w:r>
        <w:rPr>
          <w:rFonts w:ascii="Times New Roman" w:hAnsi="Times New Roman"/>
          <w:sz w:val="20"/>
        </w:rPr>
        <w:t>The portion of own work capitalized included in other operating costs decreased by 76.3% from €427 thousand in 2021 to €101 thousand in 2022, primarily due to the completion of the development of our SPACE technology in March 2021. Other operating expenses (</w:t>
      </w:r>
      <w:r>
        <w:rPr>
          <w:rFonts w:ascii="Times New Roman" w:hAnsi="Times New Roman"/>
          <w:i/>
          <w:sz w:val="20"/>
        </w:rPr>
        <w:t>i.e.</w:t>
      </w:r>
      <w:r>
        <w:rPr>
          <w:rFonts w:ascii="Times New Roman" w:hAnsi="Times New Roman"/>
          <w:sz w:val="20"/>
        </w:rPr>
        <w:t xml:space="preserve">, other operating costs excluding own work capitalized) increased significantly from €11,403 thousand in 2021 to €21,981 thousand in 2021, primarily due to legal and consulting fees, selling and travel costs, increase in office and IT costs related to the our new SAP ERP system and onerous contract provision, as well as increased D&amp;O insurance costs. </w:t>
      </w:r>
    </w:p>
    <w:p>
      <w:pPr>
        <w:pStyle w:val="TextBody"/>
        <w:spacing w:before="360" w:after="0"/>
        <w:jc w:val="left"/>
        <w:rPr>
          <w:rFonts w:ascii="Times New Roman" w:hAnsi="Times New Roman"/>
          <w:i/>
          <w:sz w:val="20"/>
        </w:rPr>
      </w:pPr>
      <w:r>
        <w:rPr>
          <w:rFonts w:ascii="Times New Roman" w:hAnsi="Times New Roman"/>
          <w:i/>
          <w:sz w:val="20"/>
        </w:rPr>
        <w:t xml:space="preserve">Comparison of the Years ended December 31, 2020 and December 31, 2021 </w:t>
      </w:r>
    </w:p>
    <w:p>
      <w:pPr>
        <w:pStyle w:val="TextBody"/>
        <w:spacing w:before="120" w:after="0"/>
        <w:jc w:val="both"/>
        <w:rPr>
          <w:rFonts w:ascii="Times New Roman" w:hAnsi="Times New Roman"/>
          <w:sz w:val="20"/>
        </w:rPr>
      </w:pPr>
      <w:r>
        <w:rPr>
          <w:rFonts w:ascii="Times New Roman" w:hAnsi="Times New Roman"/>
          <w:sz w:val="20"/>
        </w:rPr>
        <w:t xml:space="preserve">Other operating costs increased by 121.4% from €5,344 thousand in 2020 to €11,830 thousand in 2021, primarily due to the increase in office and IT costs related to the implementation of a new SAP ERP system, which we completed in early 2022. We also incurred higher costs relating to selling and travel, other business supplies, equipment and services, as well as costs relating to IPO insurance required for our initial public offering in the U.S. in late 2021. </w:t>
      </w:r>
    </w:p>
    <w:p>
      <w:pPr>
        <w:pStyle w:val="TextBody"/>
        <w:spacing w:before="240" w:after="0"/>
        <w:jc w:val="both"/>
        <w:rPr>
          <w:rFonts w:ascii="Times New Roman" w:hAnsi="Times New Roman"/>
          <w:sz w:val="20"/>
        </w:rPr>
      </w:pPr>
      <w:r>
        <w:rPr>
          <w:rFonts w:ascii="Times New Roman" w:hAnsi="Times New Roman"/>
          <w:sz w:val="20"/>
        </w:rPr>
        <w:t>The portion of own work capitalized included in other operating costs decreased by 26.3% from €579 thousand in 2020 to €427 thousand in 2021, primarily due to the completion of the development of our AIR technology in June 2020 and our SPACE technology in March 2021. Other operating expenses (</w:t>
      </w:r>
      <w:r>
        <w:rPr>
          <w:rFonts w:ascii="Times New Roman" w:hAnsi="Times New Roman"/>
          <w:i/>
          <w:sz w:val="20"/>
        </w:rPr>
        <w:t>i.e.</w:t>
      </w:r>
      <w:r>
        <w:rPr>
          <w:rFonts w:ascii="Times New Roman" w:hAnsi="Times New Roman"/>
          <w:sz w:val="20"/>
        </w:rPr>
        <w:t xml:space="preserve">, other operating costs excluding own work capitalized) increased by 139.3% from €4,765 thousand in 2020 to €11,403 thousand in 2021, primarily due to the increase in ongoing IT costs related to the implementation of a new SAP ERP system. </w:t>
      </w:r>
    </w:p>
    <w:p>
      <w:pPr>
        <w:pStyle w:val="TextBody"/>
        <w:spacing w:before="360" w:after="0"/>
        <w:jc w:val="left"/>
        <w:rPr>
          <w:rFonts w:ascii="Times New Roman" w:hAnsi="Times New Roman"/>
          <w:b/>
          <w:i/>
          <w:sz w:val="20"/>
        </w:rPr>
      </w:pPr>
      <w:r>
        <w:rPr>
          <w:rFonts w:ascii="Times New Roman" w:hAnsi="Times New Roman"/>
          <w:b/>
          <w:i/>
          <w:sz w:val="20"/>
        </w:rPr>
        <w:t xml:space="preserve">Change in Inventories of Finished Goods and Work in Progress </w:t>
      </w:r>
    </w:p>
    <w:p>
      <w:pPr>
        <w:pStyle w:val="TextBody"/>
        <w:spacing w:before="120" w:after="0"/>
        <w:jc w:val="both"/>
        <w:rPr>
          <w:rFonts w:ascii="Times New Roman" w:hAnsi="Times New Roman"/>
          <w:sz w:val="20"/>
        </w:rPr>
      </w:pPr>
      <w:r>
        <w:rPr>
          <w:rFonts w:ascii="Times New Roman" w:hAnsi="Times New Roman"/>
          <w:sz w:val="20"/>
        </w:rPr>
        <w:t xml:space="preserve">Change in inventories of finished goods and work in progress for the periods presented is comprised as follows: </w:t>
      </w:r>
    </w:p>
    <w:p>
      <w:pPr>
        <w:pStyle w:val="TextBody"/>
        <w:spacing w:before="0" w:after="0"/>
        <w:jc w:val="left"/>
        <w:rPr/>
      </w:pPr>
      <w:r>
        <w:rPr/>
        <w:t> </w:t>
      </w:r>
    </w:p>
    <w:tbl>
      <w:tblPr>
        <w:tblW w:w="7629" w:type="dxa"/>
        <w:jc w:val="left"/>
        <w:tblInd w:w="0" w:type="dxa"/>
        <w:tblCellMar>
          <w:top w:w="0" w:type="dxa"/>
          <w:left w:w="0" w:type="dxa"/>
          <w:bottom w:w="0" w:type="dxa"/>
          <w:right w:w="0" w:type="dxa"/>
        </w:tblCellMar>
      </w:tblPr>
      <w:tblGrid>
        <w:gridCol w:w="3455"/>
        <w:gridCol w:w="120"/>
        <w:gridCol w:w="101"/>
        <w:gridCol w:w="1085"/>
        <w:gridCol w:w="264"/>
        <w:gridCol w:w="204"/>
        <w:gridCol w:w="101"/>
        <w:gridCol w:w="778"/>
        <w:gridCol w:w="264"/>
        <w:gridCol w:w="204"/>
        <w:gridCol w:w="101"/>
        <w:gridCol w:w="782"/>
        <w:gridCol w:w="170"/>
      </w:tblGrid>
      <w:tr>
        <w:trPr/>
        <w:tc>
          <w:tcPr>
            <w:tcW w:w="34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4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84" w:type="dxa"/>
            <w:gridSpan w:val="10"/>
            <w:tcBorders>
              <w:bottom w:val="single" w:sz="8" w:space="0" w:color="000000"/>
            </w:tcBorders>
            <w:shd w:fill="auto" w:val="clear"/>
            <w:tcMar>
              <w:bottom w:w="28" w:type="dxa"/>
            </w:tcMar>
            <w:vAlign w:val="center"/>
          </w:tcPr>
          <w:p>
            <w:pPr>
              <w:pStyle w:val="TableContents"/>
              <w:spacing w:before="0" w:after="283"/>
              <w:jc w:val="center"/>
              <w:rPr/>
            </w:pPr>
            <w:r>
              <w:rPr/>
              <w:t>    </w:t>
            </w:r>
            <w:r>
              <w:rPr>
                <w:b/>
              </w:rPr>
              <w:t>For the year ended December 31,    </w:t>
            </w:r>
          </w:p>
        </w:tc>
        <w:tc>
          <w:tcPr>
            <w:tcW w:w="170" w:type="dxa"/>
            <w:tcBorders/>
            <w:shd w:fill="auto" w:val="clear"/>
            <w:vAlign w:val="center"/>
          </w:tcPr>
          <w:p>
            <w:pPr>
              <w:pStyle w:val="TableContents"/>
              <w:spacing w:before="0" w:after="283"/>
              <w:rPr/>
            </w:pPr>
            <w:r>
              <w:rPr/>
              <w:t> </w:t>
            </w:r>
          </w:p>
        </w:tc>
      </w:tr>
      <w:tr>
        <w:trPr/>
        <w:tc>
          <w:tcPr>
            <w:tcW w:w="34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86"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264"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879"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264"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883"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2020</w:t>
            </w:r>
          </w:p>
        </w:tc>
        <w:tc>
          <w:tcPr>
            <w:tcW w:w="170" w:type="dxa"/>
            <w:tcBorders/>
            <w:shd w:fill="auto" w:val="clear"/>
            <w:vAlign w:val="center"/>
          </w:tcPr>
          <w:p>
            <w:pPr>
              <w:pStyle w:val="TableContents"/>
              <w:spacing w:before="0" w:after="283"/>
              <w:rPr/>
            </w:pPr>
            <w:r>
              <w:rPr/>
              <w:t> </w:t>
            </w:r>
          </w:p>
        </w:tc>
      </w:tr>
      <w:tr>
        <w:trPr/>
        <w:tc>
          <w:tcPr>
            <w:tcW w:w="34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84" w:type="dxa"/>
            <w:gridSpan w:val="10"/>
            <w:tcBorders/>
            <w:shd w:fill="auto" w:val="clear"/>
            <w:vAlign w:val="center"/>
          </w:tcPr>
          <w:p>
            <w:pPr>
              <w:pStyle w:val="TableContents"/>
              <w:spacing w:before="0" w:after="283"/>
              <w:jc w:val="center"/>
              <w:rPr>
                <w:b/>
              </w:rPr>
            </w:pPr>
            <w:r>
              <w:rPr>
                <w:b/>
              </w:rPr>
              <w:t>(in € thousands)</w:t>
            </w:r>
          </w:p>
        </w:tc>
        <w:tc>
          <w:tcPr>
            <w:tcW w:w="170" w:type="dxa"/>
            <w:tcBorders/>
            <w:shd w:fill="auto" w:val="clear"/>
            <w:vAlign w:val="center"/>
          </w:tcPr>
          <w:p>
            <w:pPr>
              <w:pStyle w:val="TableContents"/>
              <w:spacing w:before="0" w:after="283"/>
              <w:rPr/>
            </w:pPr>
            <w:r>
              <w:rPr/>
              <w:t> </w:t>
            </w:r>
          </w:p>
        </w:tc>
      </w:tr>
      <w:tr>
        <w:trPr/>
        <w:tc>
          <w:tcPr>
            <w:tcW w:w="34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Increase in inventories of work in progress</w:t>
            </w:r>
          </w:p>
        </w:tc>
        <w:tc>
          <w:tcPr>
            <w:tcW w:w="120"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rPr/>
            </w:pPr>
            <w:r>
              <w:rPr/>
              <w:t> </w:t>
            </w:r>
          </w:p>
        </w:tc>
        <w:tc>
          <w:tcPr>
            <w:tcW w:w="1085" w:type="dxa"/>
            <w:tcBorders/>
            <w:shd w:fill="CCEEFF" w:val="clear"/>
            <w:vAlign w:val="center"/>
          </w:tcPr>
          <w:p>
            <w:pPr>
              <w:pStyle w:val="TableContents"/>
              <w:spacing w:before="0" w:after="283"/>
              <w:jc w:val="right"/>
              <w:rPr/>
            </w:pPr>
            <w:r>
              <w:rPr/>
              <w:t>2,100</w:t>
            </w:r>
          </w:p>
        </w:tc>
        <w:tc>
          <w:tcPr>
            <w:tcW w:w="264" w:type="dxa"/>
            <w:tcBorders/>
            <w:shd w:fill="CCEEFF" w:val="clear"/>
            <w:vAlign w:val="center"/>
          </w:tcPr>
          <w:p>
            <w:pPr>
              <w:pStyle w:val="TableContents"/>
              <w:spacing w:before="0" w:after="283"/>
              <w:rPr/>
            </w:pPr>
            <w:r>
              <w:rPr/>
              <w:t> </w:t>
            </w:r>
          </w:p>
        </w:tc>
        <w:tc>
          <w:tcPr>
            <w:tcW w:w="204"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rPr/>
            </w:pPr>
            <w:r>
              <w:rPr/>
              <w:t> </w:t>
            </w:r>
          </w:p>
        </w:tc>
        <w:tc>
          <w:tcPr>
            <w:tcW w:w="778" w:type="dxa"/>
            <w:tcBorders/>
            <w:shd w:fill="CCEEFF" w:val="clear"/>
            <w:vAlign w:val="center"/>
          </w:tcPr>
          <w:p>
            <w:pPr>
              <w:pStyle w:val="TableContents"/>
              <w:spacing w:before="0" w:after="283"/>
              <w:jc w:val="right"/>
              <w:rPr/>
            </w:pPr>
            <w:r>
              <w:rPr/>
              <w:t>414</w:t>
            </w:r>
          </w:p>
        </w:tc>
        <w:tc>
          <w:tcPr>
            <w:tcW w:w="264" w:type="dxa"/>
            <w:tcBorders/>
            <w:shd w:fill="CCEEFF" w:val="clear"/>
            <w:vAlign w:val="center"/>
          </w:tcPr>
          <w:p>
            <w:pPr>
              <w:pStyle w:val="TableContents"/>
              <w:spacing w:before="0" w:after="283"/>
              <w:rPr/>
            </w:pPr>
            <w:r>
              <w:rPr/>
              <w:t> </w:t>
            </w:r>
          </w:p>
        </w:tc>
        <w:tc>
          <w:tcPr>
            <w:tcW w:w="204"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rPr/>
            </w:pPr>
            <w:r>
              <w:rPr/>
              <w:t> </w:t>
            </w:r>
          </w:p>
        </w:tc>
        <w:tc>
          <w:tcPr>
            <w:tcW w:w="782" w:type="dxa"/>
            <w:tcBorders/>
            <w:shd w:fill="CCEEFF" w:val="clear"/>
            <w:vAlign w:val="center"/>
          </w:tcPr>
          <w:p>
            <w:pPr>
              <w:pStyle w:val="TableContents"/>
              <w:spacing w:before="0" w:after="283"/>
              <w:jc w:val="right"/>
              <w:rPr/>
            </w:pPr>
            <w:r>
              <w:rPr/>
              <w:t>757</w:t>
            </w:r>
          </w:p>
        </w:tc>
        <w:tc>
          <w:tcPr>
            <w:tcW w:w="170" w:type="dxa"/>
            <w:tcBorders/>
            <w:shd w:fill="CCEEFF" w:val="clear"/>
            <w:vAlign w:val="center"/>
          </w:tcPr>
          <w:p>
            <w:pPr>
              <w:pStyle w:val="TableContents"/>
              <w:spacing w:before="0" w:after="283"/>
              <w:rPr/>
            </w:pPr>
            <w:r>
              <w:rPr/>
              <w:t> </w:t>
            </w:r>
          </w:p>
        </w:tc>
      </w:tr>
      <w:tr>
        <w:trPr/>
        <w:tc>
          <w:tcPr>
            <w:tcW w:w="34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Increase in inventories finished goods</w:t>
            </w:r>
          </w:p>
        </w:tc>
        <w:tc>
          <w:tcPr>
            <w:tcW w:w="12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085" w:type="dxa"/>
            <w:tcBorders/>
            <w:shd w:fill="auto" w:val="clear"/>
            <w:vAlign w:val="center"/>
          </w:tcPr>
          <w:p>
            <w:pPr>
              <w:pStyle w:val="TableContents"/>
              <w:spacing w:before="0" w:after="283"/>
              <w:jc w:val="right"/>
              <w:rPr/>
            </w:pPr>
            <w:r>
              <w:rPr/>
              <w:t>542</w:t>
            </w:r>
          </w:p>
        </w:tc>
        <w:tc>
          <w:tcPr>
            <w:tcW w:w="264"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778" w:type="dxa"/>
            <w:tcBorders/>
            <w:shd w:fill="auto" w:val="clear"/>
            <w:vAlign w:val="center"/>
          </w:tcPr>
          <w:p>
            <w:pPr>
              <w:pStyle w:val="TableContents"/>
              <w:spacing w:before="0" w:after="283"/>
              <w:jc w:val="right"/>
              <w:rPr/>
            </w:pPr>
            <w:r>
              <w:rPr/>
              <w:t>616</w:t>
            </w:r>
          </w:p>
        </w:tc>
        <w:tc>
          <w:tcPr>
            <w:tcW w:w="264"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782"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34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Write-downs</w:t>
            </w:r>
          </w:p>
        </w:tc>
        <w:tc>
          <w:tcPr>
            <w:tcW w:w="120"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rPr/>
            </w:pPr>
            <w:r>
              <w:rPr/>
              <w:t> </w:t>
            </w:r>
          </w:p>
        </w:tc>
        <w:tc>
          <w:tcPr>
            <w:tcW w:w="1085" w:type="dxa"/>
            <w:tcBorders/>
            <w:shd w:fill="CCEEFF" w:val="clear"/>
            <w:vAlign w:val="center"/>
          </w:tcPr>
          <w:p>
            <w:pPr>
              <w:pStyle w:val="TableContents"/>
              <w:spacing w:before="0" w:after="283"/>
              <w:jc w:val="right"/>
              <w:rPr/>
            </w:pPr>
            <w:r>
              <w:rPr/>
              <w:t>(1,881</w:t>
            </w:r>
          </w:p>
        </w:tc>
        <w:tc>
          <w:tcPr>
            <w:tcW w:w="264" w:type="dxa"/>
            <w:tcBorders/>
            <w:shd w:fill="CCEEFF" w:val="clear"/>
            <w:vAlign w:val="center"/>
          </w:tcPr>
          <w:p>
            <w:pPr>
              <w:pStyle w:val="TableContents"/>
              <w:spacing w:before="0" w:after="283"/>
              <w:rPr/>
            </w:pPr>
            <w:r>
              <w:rPr/>
              <w:t>) </w:t>
            </w:r>
          </w:p>
        </w:tc>
        <w:tc>
          <w:tcPr>
            <w:tcW w:w="204"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rPr/>
            </w:pPr>
            <w:r>
              <w:rPr/>
              <w:t> </w:t>
            </w:r>
          </w:p>
        </w:tc>
        <w:tc>
          <w:tcPr>
            <w:tcW w:w="778" w:type="dxa"/>
            <w:tcBorders/>
            <w:shd w:fill="CCEEFF" w:val="clear"/>
            <w:vAlign w:val="center"/>
          </w:tcPr>
          <w:p>
            <w:pPr>
              <w:pStyle w:val="TableContents"/>
              <w:spacing w:before="0" w:after="283"/>
              <w:jc w:val="right"/>
              <w:rPr/>
            </w:pPr>
            <w:r>
              <w:rPr/>
              <w:t>(462</w:t>
            </w:r>
          </w:p>
        </w:tc>
        <w:tc>
          <w:tcPr>
            <w:tcW w:w="264" w:type="dxa"/>
            <w:tcBorders/>
            <w:shd w:fill="CCEEFF" w:val="clear"/>
            <w:vAlign w:val="center"/>
          </w:tcPr>
          <w:p>
            <w:pPr>
              <w:pStyle w:val="TableContents"/>
              <w:spacing w:before="0" w:after="283"/>
              <w:rPr/>
            </w:pPr>
            <w:r>
              <w:rPr/>
              <w:t>) </w:t>
            </w:r>
          </w:p>
        </w:tc>
        <w:tc>
          <w:tcPr>
            <w:tcW w:w="204"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rPr/>
            </w:pPr>
            <w:r>
              <w:rPr/>
              <w:t> </w:t>
            </w:r>
          </w:p>
        </w:tc>
        <w:tc>
          <w:tcPr>
            <w:tcW w:w="782" w:type="dxa"/>
            <w:tcBorders/>
            <w:shd w:fill="CCEEFF" w:val="clear"/>
            <w:vAlign w:val="center"/>
          </w:tcPr>
          <w:p>
            <w:pPr>
              <w:pStyle w:val="TableContents"/>
              <w:spacing w:before="0" w:after="283"/>
              <w:jc w:val="right"/>
              <w:rPr/>
            </w:pPr>
            <w:r>
              <w:rPr/>
              <w:t>(120</w:t>
            </w:r>
          </w:p>
        </w:tc>
        <w:tc>
          <w:tcPr>
            <w:tcW w:w="170" w:type="dxa"/>
            <w:tcBorders/>
            <w:shd w:fill="CCEEFF" w:val="clear"/>
            <w:vAlign w:val="center"/>
          </w:tcPr>
          <w:p>
            <w:pPr>
              <w:pStyle w:val="TableContents"/>
              <w:spacing w:before="0" w:after="283"/>
              <w:rPr/>
            </w:pPr>
            <w:r>
              <w:rPr/>
              <w:t>) </w:t>
            </w:r>
          </w:p>
        </w:tc>
      </w:tr>
      <w:tr>
        <w:trPr/>
        <w:tc>
          <w:tcPr>
            <w:tcW w:w="34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pBdr>
                <w:top w:val="single" w:sz="2" w:space="1" w:color="000000"/>
              </w:pBdr>
              <w:spacing w:before="0" w:after="0"/>
              <w:rPr/>
            </w:pPr>
            <w:r>
              <w:rPr/>
              <w:t> </w:t>
            </w:r>
          </w:p>
        </w:tc>
        <w:tc>
          <w:tcPr>
            <w:tcW w:w="1085" w:type="dxa"/>
            <w:tcBorders/>
            <w:shd w:fill="auto" w:val="clear"/>
            <w:vAlign w:val="center"/>
          </w:tcPr>
          <w:p>
            <w:pPr>
              <w:pStyle w:val="TableContents"/>
              <w:pBdr>
                <w:top w:val="single" w:sz="2" w:space="1" w:color="000000"/>
              </w:pBdr>
              <w:spacing w:before="0" w:after="0"/>
              <w:rPr/>
            </w:pPr>
            <w:r>
              <w:rPr/>
              <w:t> </w:t>
            </w:r>
          </w:p>
        </w:tc>
        <w:tc>
          <w:tcPr>
            <w:tcW w:w="264"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pBdr>
                <w:top w:val="single" w:sz="2" w:space="1" w:color="000000"/>
              </w:pBdr>
              <w:spacing w:before="0" w:after="0"/>
              <w:rPr/>
            </w:pPr>
            <w:r>
              <w:rPr/>
              <w:t> </w:t>
            </w:r>
          </w:p>
        </w:tc>
        <w:tc>
          <w:tcPr>
            <w:tcW w:w="778" w:type="dxa"/>
            <w:tcBorders/>
            <w:shd w:fill="auto" w:val="clear"/>
            <w:vAlign w:val="center"/>
          </w:tcPr>
          <w:p>
            <w:pPr>
              <w:pStyle w:val="TableContents"/>
              <w:pBdr>
                <w:top w:val="single" w:sz="2" w:space="1" w:color="000000"/>
              </w:pBdr>
              <w:spacing w:before="0" w:after="0"/>
              <w:rPr/>
            </w:pPr>
            <w:r>
              <w:rPr/>
              <w:t> </w:t>
            </w:r>
          </w:p>
        </w:tc>
        <w:tc>
          <w:tcPr>
            <w:tcW w:w="264"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pBdr>
                <w:top w:val="single" w:sz="2" w:space="1" w:color="000000"/>
              </w:pBdr>
              <w:spacing w:before="0" w:after="0"/>
              <w:rPr/>
            </w:pPr>
            <w:r>
              <w:rPr/>
              <w:t> </w:t>
            </w:r>
          </w:p>
        </w:tc>
        <w:tc>
          <w:tcPr>
            <w:tcW w:w="782" w:type="dxa"/>
            <w:tcBorders/>
            <w:shd w:fill="auto" w:val="clear"/>
            <w:vAlign w:val="center"/>
          </w:tcPr>
          <w:p>
            <w:pPr>
              <w:pStyle w:val="TableContents"/>
              <w:pBdr>
                <w:top w:val="single" w:sz="2"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r>
        <w:trPr/>
        <w:tc>
          <w:tcPr>
            <w:tcW w:w="345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 changes in inventories</w:t>
            </w:r>
          </w:p>
        </w:tc>
        <w:tc>
          <w:tcPr>
            <w:tcW w:w="12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085" w:type="dxa"/>
            <w:tcBorders/>
            <w:shd w:fill="auto" w:val="clear"/>
            <w:vAlign w:val="center"/>
          </w:tcPr>
          <w:p>
            <w:pPr>
              <w:pStyle w:val="TableContents"/>
              <w:spacing w:before="0" w:after="283"/>
              <w:jc w:val="right"/>
              <w:rPr>
                <w:b/>
              </w:rPr>
            </w:pPr>
            <w:r>
              <w:rPr>
                <w:b/>
              </w:rPr>
              <w:t>760</w:t>
            </w:r>
          </w:p>
        </w:tc>
        <w:tc>
          <w:tcPr>
            <w:tcW w:w="264"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778" w:type="dxa"/>
            <w:tcBorders/>
            <w:shd w:fill="auto" w:val="clear"/>
            <w:vAlign w:val="center"/>
          </w:tcPr>
          <w:p>
            <w:pPr>
              <w:pStyle w:val="TableContents"/>
              <w:spacing w:before="0" w:after="283"/>
              <w:jc w:val="right"/>
              <w:rPr>
                <w:b/>
              </w:rPr>
            </w:pPr>
            <w:r>
              <w:rPr>
                <w:b/>
              </w:rPr>
              <w:t>568</w:t>
            </w:r>
          </w:p>
        </w:tc>
        <w:tc>
          <w:tcPr>
            <w:tcW w:w="264"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782" w:type="dxa"/>
            <w:tcBorders/>
            <w:shd w:fill="auto" w:val="clear"/>
            <w:vAlign w:val="center"/>
          </w:tcPr>
          <w:p>
            <w:pPr>
              <w:pStyle w:val="TableContents"/>
              <w:spacing w:before="0" w:after="283"/>
              <w:jc w:val="right"/>
              <w:rPr>
                <w:b/>
              </w:rPr>
            </w:pPr>
            <w:r>
              <w:rPr>
                <w:b/>
              </w:rPr>
              <w:t>637</w:t>
            </w:r>
          </w:p>
        </w:tc>
        <w:tc>
          <w:tcPr>
            <w:tcW w:w="170" w:type="dxa"/>
            <w:tcBorders/>
            <w:shd w:fill="auto" w:val="clear"/>
            <w:vAlign w:val="center"/>
          </w:tcPr>
          <w:p>
            <w:pPr>
              <w:pStyle w:val="TableContents"/>
              <w:spacing w:before="0" w:after="283"/>
              <w:rPr/>
            </w:pPr>
            <w:r>
              <w:rPr/>
              <w:t> </w:t>
            </w:r>
          </w:p>
        </w:tc>
      </w:tr>
      <w:tr>
        <w:trPr/>
        <w:tc>
          <w:tcPr>
            <w:tcW w:w="34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pBdr>
                <w:top w:val="double" w:sz="6" w:space="1" w:color="000000"/>
              </w:pBdr>
              <w:spacing w:before="0" w:after="0"/>
              <w:rPr/>
            </w:pPr>
            <w:r>
              <w:rPr/>
              <w:t> </w:t>
            </w:r>
          </w:p>
        </w:tc>
        <w:tc>
          <w:tcPr>
            <w:tcW w:w="1085" w:type="dxa"/>
            <w:tcBorders/>
            <w:shd w:fill="auto" w:val="clear"/>
            <w:vAlign w:val="center"/>
          </w:tcPr>
          <w:p>
            <w:pPr>
              <w:pStyle w:val="TableContents"/>
              <w:pBdr>
                <w:top w:val="double" w:sz="6" w:space="1" w:color="000000"/>
              </w:pBdr>
              <w:spacing w:before="0" w:after="0"/>
              <w:rPr/>
            </w:pPr>
            <w:r>
              <w:rPr/>
              <w:t> </w:t>
            </w:r>
          </w:p>
        </w:tc>
        <w:tc>
          <w:tcPr>
            <w:tcW w:w="264"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pBdr>
                <w:top w:val="double" w:sz="6" w:space="1" w:color="000000"/>
              </w:pBdr>
              <w:spacing w:before="0" w:after="0"/>
              <w:rPr/>
            </w:pPr>
            <w:r>
              <w:rPr/>
              <w:t> </w:t>
            </w:r>
          </w:p>
        </w:tc>
        <w:tc>
          <w:tcPr>
            <w:tcW w:w="778" w:type="dxa"/>
            <w:tcBorders/>
            <w:shd w:fill="auto" w:val="clear"/>
            <w:vAlign w:val="center"/>
          </w:tcPr>
          <w:p>
            <w:pPr>
              <w:pStyle w:val="TableContents"/>
              <w:pBdr>
                <w:top w:val="double" w:sz="6" w:space="1" w:color="000000"/>
              </w:pBdr>
              <w:spacing w:before="0" w:after="0"/>
              <w:rPr/>
            </w:pPr>
            <w:r>
              <w:rPr/>
              <w:t> </w:t>
            </w:r>
          </w:p>
        </w:tc>
        <w:tc>
          <w:tcPr>
            <w:tcW w:w="264"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pBdr>
                <w:top w:val="double" w:sz="6" w:space="1" w:color="000000"/>
              </w:pBdr>
              <w:spacing w:before="0" w:after="0"/>
              <w:rPr/>
            </w:pPr>
            <w:r>
              <w:rPr/>
              <w:t> </w:t>
            </w:r>
          </w:p>
        </w:tc>
        <w:tc>
          <w:tcPr>
            <w:tcW w:w="782" w:type="dxa"/>
            <w:tcBorders/>
            <w:shd w:fill="auto" w:val="clear"/>
            <w:vAlign w:val="center"/>
          </w:tcPr>
          <w:p>
            <w:pPr>
              <w:pStyle w:val="TableContents"/>
              <w:pBdr>
                <w:top w:val="double" w:sz="6"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i/>
          <w:sz w:val="20"/>
        </w:rPr>
      </w:pPr>
      <w:r>
        <w:rPr>
          <w:rFonts w:ascii="Times New Roman" w:hAnsi="Times New Roman"/>
          <w:i/>
          <w:sz w:val="20"/>
        </w:rPr>
        <w:t xml:space="preserve">Comparison of the Years ended December 31, 2021 and December 31, 2022 </w:t>
      </w:r>
    </w:p>
    <w:p>
      <w:pPr>
        <w:pStyle w:val="TextBody"/>
        <w:spacing w:before="120" w:after="0"/>
        <w:jc w:val="both"/>
        <w:rPr>
          <w:rFonts w:ascii="Times New Roman" w:hAnsi="Times New Roman"/>
          <w:sz w:val="20"/>
        </w:rPr>
      </w:pPr>
      <w:r>
        <w:rPr>
          <w:rFonts w:ascii="Times New Roman" w:hAnsi="Times New Roman"/>
          <w:sz w:val="20"/>
        </w:rPr>
        <w:t xml:space="preserve">Changes in inventories of finished goods and work in progress increased from €568 thousand in 2021 to €760 thousand in 2022, primarily due to the ongoing preparations for serial production driving the significant increase in inventories of work in progress. This increase was partially offset by write downs of finished goods and work in progress, which primarily related to the second product version of our CONDOR terminals that were written down to their recoverable amount. This is based on the decision to discontinue production and marketing of the first product version of our CONDOR terminal and to reduce production and marketing of the second product version of our CONDOR terminal in order to meet the increased demand for our advanced third generation CONDOR terminal. </w:t>
      </w:r>
    </w:p>
    <w:p>
      <w:pPr>
        <w:pStyle w:val="TextBody"/>
        <w:spacing w:before="360" w:after="0"/>
        <w:jc w:val="left"/>
        <w:rPr>
          <w:rFonts w:ascii="Times New Roman" w:hAnsi="Times New Roman"/>
          <w:i/>
          <w:sz w:val="20"/>
        </w:rPr>
      </w:pPr>
      <w:r>
        <w:rPr>
          <w:rFonts w:ascii="Times New Roman" w:hAnsi="Times New Roman"/>
          <w:i/>
          <w:sz w:val="20"/>
        </w:rPr>
        <w:t xml:space="preserve">Comparison of the Years ended December 31, 2020 and December 31, 2021 </w:t>
      </w:r>
    </w:p>
    <w:p>
      <w:pPr>
        <w:pStyle w:val="TextBody"/>
        <w:spacing w:before="120" w:after="0"/>
        <w:jc w:val="both"/>
        <w:rPr>
          <w:rFonts w:ascii="Times New Roman" w:hAnsi="Times New Roman"/>
          <w:sz w:val="20"/>
        </w:rPr>
      </w:pPr>
      <w:r>
        <w:rPr>
          <w:rFonts w:ascii="Times New Roman" w:hAnsi="Times New Roman"/>
          <w:sz w:val="20"/>
        </w:rPr>
        <w:t xml:space="preserve">Change in inventories of finished goods and work in progress decreased from €637 thousand in 2020 to €568 thousand in 2021, primarily driven by higher write-downs in the amount of €462 thousand with respect to the first and second product versions of our CONDOR terminals.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Own Work Capitalized </w:t>
      </w:r>
    </w:p>
    <w:p>
      <w:pPr>
        <w:pStyle w:val="TextBody"/>
        <w:spacing w:before="120" w:after="0"/>
        <w:jc w:val="both"/>
        <w:rPr>
          <w:rFonts w:ascii="Times New Roman" w:hAnsi="Times New Roman"/>
          <w:sz w:val="20"/>
        </w:rPr>
      </w:pPr>
      <w:r>
        <w:rPr>
          <w:rFonts w:ascii="Times New Roman" w:hAnsi="Times New Roman"/>
          <w:sz w:val="20"/>
        </w:rPr>
        <w:t xml:space="preserve">Own work capitalized for the periods presented is comprised as follows: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6022"/>
        <w:gridCol w:w="120"/>
        <w:gridCol w:w="107"/>
        <w:gridCol w:w="1005"/>
        <w:gridCol w:w="107"/>
        <w:gridCol w:w="214"/>
        <w:gridCol w:w="107"/>
        <w:gridCol w:w="1005"/>
        <w:gridCol w:w="107"/>
        <w:gridCol w:w="214"/>
        <w:gridCol w:w="107"/>
        <w:gridCol w:w="1010"/>
        <w:gridCol w:w="80"/>
      </w:tblGrid>
      <w:tr>
        <w:trPr/>
        <w:tc>
          <w:tcPr>
            <w:tcW w:w="602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r>
      <w:tr>
        <w:trPr/>
        <w:tc>
          <w:tcPr>
            <w:tcW w:w="602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83" w:type="dxa"/>
            <w:gridSpan w:val="10"/>
            <w:tcBorders>
              <w:bottom w:val="single" w:sz="8" w:space="0" w:color="000000"/>
            </w:tcBorders>
            <w:shd w:fill="auto" w:val="clear"/>
            <w:tcMar>
              <w:bottom w:w="28" w:type="dxa"/>
            </w:tcMar>
            <w:vAlign w:val="center"/>
          </w:tcPr>
          <w:p>
            <w:pPr>
              <w:pStyle w:val="TableContents"/>
              <w:spacing w:before="0" w:after="283"/>
              <w:jc w:val="center"/>
              <w:rPr/>
            </w:pPr>
            <w:r>
              <w:rPr/>
              <w:t>      </w:t>
            </w:r>
            <w:r>
              <w:rPr>
                <w:b/>
              </w:rPr>
              <w:t>For the year ended December 31,      </w:t>
            </w:r>
          </w:p>
        </w:tc>
        <w:tc>
          <w:tcPr>
            <w:tcW w:w="80" w:type="dxa"/>
            <w:tcBorders/>
            <w:shd w:fill="auto" w:val="clear"/>
            <w:vAlign w:val="center"/>
          </w:tcPr>
          <w:p>
            <w:pPr>
              <w:pStyle w:val="TableContents"/>
              <w:spacing w:before="0" w:after="283"/>
              <w:rPr/>
            </w:pPr>
            <w:r>
              <w:rPr/>
              <w:t> </w:t>
            </w:r>
          </w:p>
        </w:tc>
      </w:tr>
      <w:tr>
        <w:trPr/>
        <w:tc>
          <w:tcPr>
            <w:tcW w:w="602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12"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107"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112"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107"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117"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2020</w:t>
            </w:r>
          </w:p>
        </w:tc>
        <w:tc>
          <w:tcPr>
            <w:tcW w:w="80" w:type="dxa"/>
            <w:tcBorders/>
            <w:shd w:fill="auto" w:val="clear"/>
            <w:vAlign w:val="center"/>
          </w:tcPr>
          <w:p>
            <w:pPr>
              <w:pStyle w:val="TableContents"/>
              <w:spacing w:before="0" w:after="283"/>
              <w:rPr/>
            </w:pPr>
            <w:r>
              <w:rPr/>
              <w:t> </w:t>
            </w:r>
          </w:p>
        </w:tc>
      </w:tr>
      <w:tr>
        <w:trPr/>
        <w:tc>
          <w:tcPr>
            <w:tcW w:w="602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83" w:type="dxa"/>
            <w:gridSpan w:val="10"/>
            <w:tcBorders/>
            <w:shd w:fill="auto" w:val="clear"/>
            <w:vAlign w:val="center"/>
          </w:tcPr>
          <w:p>
            <w:pPr>
              <w:pStyle w:val="TableContents"/>
              <w:spacing w:before="0" w:after="283"/>
              <w:jc w:val="center"/>
              <w:rPr>
                <w:b/>
              </w:rPr>
            </w:pPr>
            <w:r>
              <w:rPr>
                <w:b/>
              </w:rPr>
              <w:t>(in € thousands)</w:t>
            </w:r>
          </w:p>
        </w:tc>
        <w:tc>
          <w:tcPr>
            <w:tcW w:w="80" w:type="dxa"/>
            <w:tcBorders/>
            <w:shd w:fill="auto" w:val="clear"/>
            <w:vAlign w:val="center"/>
          </w:tcPr>
          <w:p>
            <w:pPr>
              <w:pStyle w:val="TableContents"/>
              <w:spacing w:before="0" w:after="283"/>
              <w:rPr/>
            </w:pPr>
            <w:r>
              <w:rPr/>
              <w:t> </w:t>
            </w:r>
          </w:p>
        </w:tc>
      </w:tr>
      <w:tr>
        <w:trPr/>
        <w:tc>
          <w:tcPr>
            <w:tcW w:w="6022"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Cost of materials</w:t>
            </w:r>
          </w:p>
        </w:tc>
        <w:tc>
          <w:tcPr>
            <w:tcW w:w="12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005" w:type="dxa"/>
            <w:tcBorders/>
            <w:shd w:fill="CCEEFF" w:val="clear"/>
            <w:vAlign w:val="center"/>
          </w:tcPr>
          <w:p>
            <w:pPr>
              <w:pStyle w:val="TableContents"/>
              <w:spacing w:before="0" w:after="283"/>
              <w:jc w:val="right"/>
              <w:rPr/>
            </w:pPr>
            <w:r>
              <w:rPr/>
              <w:t>689</w:t>
            </w:r>
          </w:p>
        </w:tc>
        <w:tc>
          <w:tcPr>
            <w:tcW w:w="107"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005" w:type="dxa"/>
            <w:tcBorders/>
            <w:shd w:fill="CCEEFF" w:val="clear"/>
            <w:vAlign w:val="center"/>
          </w:tcPr>
          <w:p>
            <w:pPr>
              <w:pStyle w:val="TableContents"/>
              <w:spacing w:before="0" w:after="283"/>
              <w:jc w:val="right"/>
              <w:rPr/>
            </w:pPr>
            <w:r>
              <w:rPr/>
              <w:t>1,995</w:t>
            </w:r>
          </w:p>
        </w:tc>
        <w:tc>
          <w:tcPr>
            <w:tcW w:w="107"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010" w:type="dxa"/>
            <w:tcBorders/>
            <w:shd w:fill="CCEEFF" w:val="clear"/>
            <w:vAlign w:val="center"/>
          </w:tcPr>
          <w:p>
            <w:pPr>
              <w:pStyle w:val="TableContents"/>
              <w:spacing w:before="0" w:after="283"/>
              <w:jc w:val="right"/>
              <w:rPr/>
            </w:pPr>
            <w:r>
              <w:rPr/>
              <w:t>4,073</w:t>
            </w:r>
          </w:p>
        </w:tc>
        <w:tc>
          <w:tcPr>
            <w:tcW w:w="80" w:type="dxa"/>
            <w:tcBorders/>
            <w:shd w:fill="CCEEFF" w:val="clear"/>
            <w:vAlign w:val="center"/>
          </w:tcPr>
          <w:p>
            <w:pPr>
              <w:pStyle w:val="TableContents"/>
              <w:spacing w:before="0" w:after="283"/>
              <w:rPr/>
            </w:pPr>
            <w:r>
              <w:rPr/>
              <w:t> </w:t>
            </w:r>
          </w:p>
        </w:tc>
      </w:tr>
      <w:tr>
        <w:trPr/>
        <w:tc>
          <w:tcPr>
            <w:tcW w:w="6022"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Personnel costs</w:t>
            </w:r>
          </w:p>
        </w:tc>
        <w:tc>
          <w:tcPr>
            <w:tcW w:w="12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005" w:type="dxa"/>
            <w:tcBorders/>
            <w:shd w:fill="auto" w:val="clear"/>
            <w:vAlign w:val="center"/>
          </w:tcPr>
          <w:p>
            <w:pPr>
              <w:pStyle w:val="TableContents"/>
              <w:spacing w:before="0" w:after="283"/>
              <w:jc w:val="right"/>
              <w:rPr/>
            </w:pPr>
            <w:r>
              <w:rPr/>
              <w:t>665</w:t>
            </w:r>
          </w:p>
        </w:tc>
        <w:tc>
          <w:tcPr>
            <w:tcW w:w="107"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005" w:type="dxa"/>
            <w:tcBorders/>
            <w:shd w:fill="auto" w:val="clear"/>
            <w:vAlign w:val="center"/>
          </w:tcPr>
          <w:p>
            <w:pPr>
              <w:pStyle w:val="TableContents"/>
              <w:spacing w:before="0" w:after="283"/>
              <w:jc w:val="right"/>
              <w:rPr/>
            </w:pPr>
            <w:r>
              <w:rPr/>
              <w:t>1,906</w:t>
            </w:r>
          </w:p>
        </w:tc>
        <w:tc>
          <w:tcPr>
            <w:tcW w:w="107"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010" w:type="dxa"/>
            <w:tcBorders/>
            <w:shd w:fill="auto" w:val="clear"/>
            <w:vAlign w:val="center"/>
          </w:tcPr>
          <w:p>
            <w:pPr>
              <w:pStyle w:val="TableContents"/>
              <w:spacing w:before="0" w:after="283"/>
              <w:jc w:val="right"/>
              <w:rPr/>
            </w:pPr>
            <w:r>
              <w:rPr/>
              <w:t>3,921</w:t>
            </w:r>
          </w:p>
        </w:tc>
        <w:tc>
          <w:tcPr>
            <w:tcW w:w="80" w:type="dxa"/>
            <w:tcBorders/>
            <w:shd w:fill="auto" w:val="clear"/>
            <w:vAlign w:val="center"/>
          </w:tcPr>
          <w:p>
            <w:pPr>
              <w:pStyle w:val="TableContents"/>
              <w:spacing w:before="0" w:after="283"/>
              <w:rPr/>
            </w:pPr>
            <w:r>
              <w:rPr/>
              <w:t> </w:t>
            </w:r>
          </w:p>
        </w:tc>
      </w:tr>
      <w:tr>
        <w:trPr/>
        <w:tc>
          <w:tcPr>
            <w:tcW w:w="6022"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Depreciation, amortization and impairment of other intangible assets and property, plant and equipment</w:t>
            </w:r>
          </w:p>
        </w:tc>
        <w:tc>
          <w:tcPr>
            <w:tcW w:w="12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005" w:type="dxa"/>
            <w:tcBorders/>
            <w:shd w:fill="CCEEFF" w:val="clear"/>
            <w:vAlign w:val="center"/>
          </w:tcPr>
          <w:p>
            <w:pPr>
              <w:pStyle w:val="TableContents"/>
              <w:spacing w:before="0" w:after="283"/>
              <w:jc w:val="right"/>
              <w:rPr/>
            </w:pPr>
            <w:r>
              <w:rPr/>
              <w:t>112</w:t>
            </w:r>
          </w:p>
        </w:tc>
        <w:tc>
          <w:tcPr>
            <w:tcW w:w="107"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005" w:type="dxa"/>
            <w:tcBorders/>
            <w:shd w:fill="CCEEFF" w:val="clear"/>
            <w:vAlign w:val="center"/>
          </w:tcPr>
          <w:p>
            <w:pPr>
              <w:pStyle w:val="TableContents"/>
              <w:spacing w:before="0" w:after="283"/>
              <w:jc w:val="right"/>
              <w:rPr/>
            </w:pPr>
            <w:r>
              <w:rPr/>
              <w:t>287</w:t>
            </w:r>
          </w:p>
        </w:tc>
        <w:tc>
          <w:tcPr>
            <w:tcW w:w="107"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010" w:type="dxa"/>
            <w:tcBorders/>
            <w:shd w:fill="CCEEFF" w:val="clear"/>
            <w:vAlign w:val="center"/>
          </w:tcPr>
          <w:p>
            <w:pPr>
              <w:pStyle w:val="TableContents"/>
              <w:spacing w:before="0" w:after="283"/>
              <w:jc w:val="right"/>
              <w:rPr/>
            </w:pPr>
            <w:r>
              <w:rPr/>
              <w:t>802</w:t>
            </w:r>
          </w:p>
        </w:tc>
        <w:tc>
          <w:tcPr>
            <w:tcW w:w="80" w:type="dxa"/>
            <w:tcBorders/>
            <w:shd w:fill="CCEEFF" w:val="clear"/>
            <w:vAlign w:val="center"/>
          </w:tcPr>
          <w:p>
            <w:pPr>
              <w:pStyle w:val="TableContents"/>
              <w:spacing w:before="0" w:after="283"/>
              <w:rPr/>
            </w:pPr>
            <w:r>
              <w:rPr/>
              <w:t> </w:t>
            </w:r>
          </w:p>
        </w:tc>
      </w:tr>
      <w:tr>
        <w:trPr/>
        <w:tc>
          <w:tcPr>
            <w:tcW w:w="6022"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operating costs</w:t>
            </w:r>
          </w:p>
        </w:tc>
        <w:tc>
          <w:tcPr>
            <w:tcW w:w="12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005" w:type="dxa"/>
            <w:tcBorders/>
            <w:shd w:fill="auto" w:val="clear"/>
            <w:vAlign w:val="center"/>
          </w:tcPr>
          <w:p>
            <w:pPr>
              <w:pStyle w:val="TableContents"/>
              <w:spacing w:before="0" w:after="283"/>
              <w:jc w:val="right"/>
              <w:rPr/>
            </w:pPr>
            <w:r>
              <w:rPr/>
              <w:t>101</w:t>
            </w:r>
          </w:p>
        </w:tc>
        <w:tc>
          <w:tcPr>
            <w:tcW w:w="107"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005" w:type="dxa"/>
            <w:tcBorders/>
            <w:shd w:fill="auto" w:val="clear"/>
            <w:vAlign w:val="center"/>
          </w:tcPr>
          <w:p>
            <w:pPr>
              <w:pStyle w:val="TableContents"/>
              <w:spacing w:before="0" w:after="283"/>
              <w:jc w:val="right"/>
              <w:rPr/>
            </w:pPr>
            <w:r>
              <w:rPr/>
              <w:t>427</w:t>
            </w:r>
          </w:p>
        </w:tc>
        <w:tc>
          <w:tcPr>
            <w:tcW w:w="107"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010" w:type="dxa"/>
            <w:tcBorders/>
            <w:shd w:fill="auto" w:val="clear"/>
            <w:vAlign w:val="center"/>
          </w:tcPr>
          <w:p>
            <w:pPr>
              <w:pStyle w:val="TableContents"/>
              <w:spacing w:before="0" w:after="283"/>
              <w:jc w:val="right"/>
              <w:rPr/>
            </w:pPr>
            <w:r>
              <w:rPr/>
              <w:t>579</w:t>
            </w:r>
          </w:p>
        </w:tc>
        <w:tc>
          <w:tcPr>
            <w:tcW w:w="80" w:type="dxa"/>
            <w:tcBorders/>
            <w:shd w:fill="auto" w:val="clear"/>
            <w:vAlign w:val="center"/>
          </w:tcPr>
          <w:p>
            <w:pPr>
              <w:pStyle w:val="TableContents"/>
              <w:spacing w:before="0" w:after="283"/>
              <w:rPr/>
            </w:pPr>
            <w:r>
              <w:rPr/>
              <w:t> </w:t>
            </w:r>
          </w:p>
        </w:tc>
      </w:tr>
      <w:tr>
        <w:trPr/>
        <w:tc>
          <w:tcPr>
            <w:tcW w:w="602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pBdr>
                <w:top w:val="single" w:sz="2" w:space="1" w:color="000000"/>
              </w:pBdr>
              <w:spacing w:before="0" w:after="0"/>
              <w:rPr/>
            </w:pPr>
            <w:r>
              <w:rPr/>
              <w:t> </w:t>
            </w:r>
          </w:p>
        </w:tc>
        <w:tc>
          <w:tcPr>
            <w:tcW w:w="1005" w:type="dxa"/>
            <w:tcBorders/>
            <w:shd w:fill="auto" w:val="clear"/>
            <w:vAlign w:val="center"/>
          </w:tcPr>
          <w:p>
            <w:pPr>
              <w:pStyle w:val="TableContents"/>
              <w:pBdr>
                <w:top w:val="single" w:sz="2" w:space="1" w:color="000000"/>
              </w:pBdr>
              <w:spacing w:before="0" w:after="0"/>
              <w:rPr/>
            </w:pPr>
            <w:r>
              <w:rPr/>
              <w:t> </w:t>
            </w:r>
          </w:p>
        </w:tc>
        <w:tc>
          <w:tcPr>
            <w:tcW w:w="107"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pBdr>
                <w:top w:val="single" w:sz="2" w:space="1" w:color="000000"/>
              </w:pBdr>
              <w:spacing w:before="0" w:after="0"/>
              <w:rPr/>
            </w:pPr>
            <w:r>
              <w:rPr/>
              <w:t> </w:t>
            </w:r>
          </w:p>
        </w:tc>
        <w:tc>
          <w:tcPr>
            <w:tcW w:w="1005" w:type="dxa"/>
            <w:tcBorders/>
            <w:shd w:fill="auto" w:val="clear"/>
            <w:vAlign w:val="center"/>
          </w:tcPr>
          <w:p>
            <w:pPr>
              <w:pStyle w:val="TableContents"/>
              <w:pBdr>
                <w:top w:val="single" w:sz="2" w:space="1" w:color="000000"/>
              </w:pBdr>
              <w:spacing w:before="0" w:after="0"/>
              <w:rPr/>
            </w:pPr>
            <w:r>
              <w:rPr/>
              <w:t> </w:t>
            </w:r>
          </w:p>
        </w:tc>
        <w:tc>
          <w:tcPr>
            <w:tcW w:w="107"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pBdr>
                <w:top w:val="single" w:sz="2" w:space="1" w:color="000000"/>
              </w:pBdr>
              <w:spacing w:before="0" w:after="0"/>
              <w:rPr/>
            </w:pPr>
            <w:r>
              <w:rPr/>
              <w:t> </w:t>
            </w:r>
          </w:p>
        </w:tc>
        <w:tc>
          <w:tcPr>
            <w:tcW w:w="1010" w:type="dxa"/>
            <w:tcBorders/>
            <w:shd w:fill="auto" w:val="clear"/>
            <w:vAlign w:val="center"/>
          </w:tcPr>
          <w:p>
            <w:pPr>
              <w:pStyle w:val="TableContents"/>
              <w:pBdr>
                <w:top w:val="single" w:sz="2" w:space="1" w:color="000000"/>
              </w:pBdr>
              <w:spacing w:before="0" w:after="0"/>
              <w:rPr/>
            </w:pPr>
            <w:r>
              <w:rPr/>
              <w:t> </w:t>
            </w:r>
          </w:p>
        </w:tc>
        <w:tc>
          <w:tcPr>
            <w:tcW w:w="80" w:type="dxa"/>
            <w:tcBorders/>
            <w:shd w:fill="auto" w:val="clear"/>
            <w:vAlign w:val="center"/>
          </w:tcPr>
          <w:p>
            <w:pPr>
              <w:pStyle w:val="TableContents"/>
              <w:spacing w:before="0" w:after="283"/>
              <w:rPr/>
            </w:pPr>
            <w:r>
              <w:rPr/>
              <w:t> </w:t>
            </w:r>
          </w:p>
        </w:tc>
      </w:tr>
      <w:tr>
        <w:trPr/>
        <w:tc>
          <w:tcPr>
            <w:tcW w:w="6022"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 own work capitalized</w:t>
            </w:r>
          </w:p>
        </w:tc>
        <w:tc>
          <w:tcPr>
            <w:tcW w:w="12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005" w:type="dxa"/>
            <w:tcBorders/>
            <w:shd w:fill="CCEEFF" w:val="clear"/>
            <w:vAlign w:val="center"/>
          </w:tcPr>
          <w:p>
            <w:pPr>
              <w:pStyle w:val="TableContents"/>
              <w:spacing w:before="0" w:after="283"/>
              <w:jc w:val="right"/>
              <w:rPr>
                <w:b/>
              </w:rPr>
            </w:pPr>
            <w:r>
              <w:rPr>
                <w:b/>
              </w:rPr>
              <w:t>1,567</w:t>
            </w:r>
          </w:p>
        </w:tc>
        <w:tc>
          <w:tcPr>
            <w:tcW w:w="107"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005" w:type="dxa"/>
            <w:tcBorders/>
            <w:shd w:fill="CCEEFF" w:val="clear"/>
            <w:vAlign w:val="center"/>
          </w:tcPr>
          <w:p>
            <w:pPr>
              <w:pStyle w:val="TableContents"/>
              <w:spacing w:before="0" w:after="283"/>
              <w:jc w:val="right"/>
              <w:rPr>
                <w:b/>
              </w:rPr>
            </w:pPr>
            <w:r>
              <w:rPr>
                <w:b/>
              </w:rPr>
              <w:t>4,615</w:t>
            </w:r>
          </w:p>
        </w:tc>
        <w:tc>
          <w:tcPr>
            <w:tcW w:w="107"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010" w:type="dxa"/>
            <w:tcBorders/>
            <w:shd w:fill="CCEEFF" w:val="clear"/>
            <w:vAlign w:val="center"/>
          </w:tcPr>
          <w:p>
            <w:pPr>
              <w:pStyle w:val="TableContents"/>
              <w:spacing w:before="0" w:after="283"/>
              <w:jc w:val="right"/>
              <w:rPr>
                <w:b/>
              </w:rPr>
            </w:pPr>
            <w:r>
              <w:rPr>
                <w:b/>
              </w:rPr>
              <w:t>9,375</w:t>
            </w:r>
          </w:p>
        </w:tc>
        <w:tc>
          <w:tcPr>
            <w:tcW w:w="80" w:type="dxa"/>
            <w:tcBorders/>
            <w:shd w:fill="CCEEFF" w:val="clear"/>
            <w:vAlign w:val="center"/>
          </w:tcPr>
          <w:p>
            <w:pPr>
              <w:pStyle w:val="TableContents"/>
              <w:spacing w:before="0" w:after="283"/>
              <w:rPr/>
            </w:pPr>
            <w:r>
              <w:rPr/>
              <w:t> </w:t>
            </w:r>
          </w:p>
        </w:tc>
      </w:tr>
      <w:tr>
        <w:trPr/>
        <w:tc>
          <w:tcPr>
            <w:tcW w:w="602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pBdr>
                <w:top w:val="double" w:sz="6" w:space="1" w:color="000000"/>
              </w:pBdr>
              <w:spacing w:before="0" w:after="0"/>
              <w:rPr/>
            </w:pPr>
            <w:r>
              <w:rPr/>
              <w:t> </w:t>
            </w:r>
          </w:p>
        </w:tc>
        <w:tc>
          <w:tcPr>
            <w:tcW w:w="1005" w:type="dxa"/>
            <w:tcBorders/>
            <w:shd w:fill="auto" w:val="clear"/>
            <w:vAlign w:val="center"/>
          </w:tcPr>
          <w:p>
            <w:pPr>
              <w:pStyle w:val="TableContents"/>
              <w:pBdr>
                <w:top w:val="double" w:sz="6" w:space="1" w:color="000000"/>
              </w:pBdr>
              <w:spacing w:before="0" w:after="0"/>
              <w:rPr/>
            </w:pPr>
            <w:r>
              <w:rPr/>
              <w:t> </w:t>
            </w:r>
          </w:p>
        </w:tc>
        <w:tc>
          <w:tcPr>
            <w:tcW w:w="107"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pBdr>
                <w:top w:val="double" w:sz="6" w:space="1" w:color="000000"/>
              </w:pBdr>
              <w:spacing w:before="0" w:after="0"/>
              <w:rPr/>
            </w:pPr>
            <w:r>
              <w:rPr/>
              <w:t> </w:t>
            </w:r>
          </w:p>
        </w:tc>
        <w:tc>
          <w:tcPr>
            <w:tcW w:w="1005" w:type="dxa"/>
            <w:tcBorders/>
            <w:shd w:fill="auto" w:val="clear"/>
            <w:vAlign w:val="center"/>
          </w:tcPr>
          <w:p>
            <w:pPr>
              <w:pStyle w:val="TableContents"/>
              <w:pBdr>
                <w:top w:val="double" w:sz="6" w:space="1" w:color="000000"/>
              </w:pBdr>
              <w:spacing w:before="0" w:after="0"/>
              <w:rPr/>
            </w:pPr>
            <w:r>
              <w:rPr/>
              <w:t> </w:t>
            </w:r>
          </w:p>
        </w:tc>
        <w:tc>
          <w:tcPr>
            <w:tcW w:w="107"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pBdr>
                <w:top w:val="double" w:sz="6" w:space="1" w:color="000000"/>
              </w:pBdr>
              <w:spacing w:before="0" w:after="0"/>
              <w:rPr/>
            </w:pPr>
            <w:r>
              <w:rPr/>
              <w:t> </w:t>
            </w:r>
          </w:p>
        </w:tc>
        <w:tc>
          <w:tcPr>
            <w:tcW w:w="1010" w:type="dxa"/>
            <w:tcBorders/>
            <w:shd w:fill="auto" w:val="clear"/>
            <w:vAlign w:val="center"/>
          </w:tcPr>
          <w:p>
            <w:pPr>
              <w:pStyle w:val="TableContents"/>
              <w:pBdr>
                <w:top w:val="double" w:sz="6" w:space="1" w:color="000000"/>
              </w:pBdr>
              <w:spacing w:before="0" w:after="0"/>
              <w:rPr/>
            </w:pPr>
            <w:r>
              <w:rPr/>
              <w:t> </w:t>
            </w:r>
          </w:p>
        </w:tc>
        <w:tc>
          <w:tcPr>
            <w:tcW w:w="80"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i/>
          <w:sz w:val="20"/>
        </w:rPr>
      </w:pPr>
      <w:r>
        <w:rPr>
          <w:rFonts w:ascii="Times New Roman" w:hAnsi="Times New Roman"/>
          <w:i/>
          <w:sz w:val="20"/>
        </w:rPr>
        <w:t xml:space="preserve">Comparison of the Years ended December 31, 2021 and December 31, 2022 </w:t>
      </w:r>
    </w:p>
    <w:p>
      <w:pPr>
        <w:pStyle w:val="TextBody"/>
        <w:spacing w:before="120" w:after="0"/>
        <w:jc w:val="both"/>
        <w:rPr>
          <w:rFonts w:ascii="Times New Roman" w:hAnsi="Times New Roman"/>
          <w:sz w:val="20"/>
        </w:rPr>
      </w:pPr>
      <w:r>
        <w:rPr>
          <w:rFonts w:ascii="Times New Roman" w:hAnsi="Times New Roman"/>
          <w:sz w:val="20"/>
        </w:rPr>
        <w:t xml:space="preserve">Own work capitalized decreased by 66.0% from €4,615 thousand in 2021 to €1,567 thousand in 2022, primarily due to significantly lower development costs relating to the ongoing adaptation of our SPACE technology (the development of which was initially finalized and followed by customer deliveries in March 2021) for the MEO environment. The decrease in own work capitalized with respect to property, plant and equipment, which in 2022 included the construction of a new link testbed in the United States and the use of HAWK and CONDOR terminals for internal testing and development purposes, further contributed to the overall decrease in own work capitalized. </w:t>
      </w:r>
    </w:p>
    <w:p>
      <w:pPr>
        <w:pStyle w:val="TextBody"/>
        <w:spacing w:before="360" w:after="0"/>
        <w:jc w:val="left"/>
        <w:rPr>
          <w:rFonts w:ascii="Times New Roman" w:hAnsi="Times New Roman"/>
          <w:i/>
          <w:sz w:val="20"/>
        </w:rPr>
      </w:pPr>
      <w:r>
        <w:rPr>
          <w:rFonts w:ascii="Times New Roman" w:hAnsi="Times New Roman"/>
          <w:i/>
          <w:sz w:val="20"/>
        </w:rPr>
        <w:t xml:space="preserve">Comparison of the Years ended December 31, 2020 and December 31, 2021 </w:t>
      </w:r>
    </w:p>
    <w:p>
      <w:pPr>
        <w:pStyle w:val="TextBody"/>
        <w:spacing w:before="120" w:after="0"/>
        <w:jc w:val="both"/>
        <w:rPr>
          <w:rFonts w:ascii="Times New Roman" w:hAnsi="Times New Roman"/>
          <w:sz w:val="20"/>
        </w:rPr>
      </w:pPr>
      <w:r>
        <w:rPr>
          <w:rFonts w:ascii="Times New Roman" w:hAnsi="Times New Roman"/>
          <w:sz w:val="20"/>
        </w:rPr>
        <w:t xml:space="preserve">Own work capitalized decreased by 50.8% from €9,375 thousand in 2020 to €4,615 thousand in 2021, primarily due to the final development of our SPACE technology, followed by delivery of our products based on such final technology to customers in March 2021. </w:t>
      </w:r>
    </w:p>
    <w:p>
      <w:pPr>
        <w:pStyle w:val="TextBody"/>
        <w:spacing w:before="360" w:after="0"/>
        <w:jc w:val="left"/>
        <w:rPr>
          <w:rFonts w:ascii="Times New Roman" w:hAnsi="Times New Roman"/>
          <w:b/>
          <w:i/>
          <w:sz w:val="20"/>
        </w:rPr>
      </w:pPr>
      <w:r>
        <w:rPr>
          <w:rFonts w:ascii="Times New Roman" w:hAnsi="Times New Roman"/>
          <w:b/>
          <w:i/>
          <w:sz w:val="20"/>
        </w:rPr>
        <w:t xml:space="preserve">Operating Loss </w:t>
      </w:r>
    </w:p>
    <w:p>
      <w:pPr>
        <w:pStyle w:val="TextBody"/>
        <w:spacing w:before="120" w:after="0"/>
        <w:jc w:val="left"/>
        <w:rPr>
          <w:rFonts w:ascii="Times New Roman" w:hAnsi="Times New Roman"/>
          <w:i/>
          <w:sz w:val="20"/>
        </w:rPr>
      </w:pPr>
      <w:r>
        <w:rPr>
          <w:rFonts w:ascii="Times New Roman" w:hAnsi="Times New Roman"/>
          <w:i/>
          <w:sz w:val="20"/>
        </w:rPr>
        <w:t xml:space="preserve">Comparison of the Years ended December 31, 2021 and December 31, 2022 </w:t>
      </w:r>
    </w:p>
    <w:p>
      <w:pPr>
        <w:pStyle w:val="TextBody"/>
        <w:spacing w:before="120" w:after="0"/>
        <w:jc w:val="both"/>
        <w:rPr>
          <w:rFonts w:ascii="Times New Roman" w:hAnsi="Times New Roman"/>
          <w:sz w:val="20"/>
        </w:rPr>
      </w:pPr>
      <w:r>
        <w:rPr>
          <w:rFonts w:ascii="Times New Roman" w:hAnsi="Times New Roman"/>
          <w:sz w:val="20"/>
        </w:rPr>
        <w:t xml:space="preserve">Operating loss increased by 74.2% from €42,364 thousand in 2021 to €73,790 thousand in 2022, primarily due to higher investments in our development, production and IT infrastructure and higher personnel costs resulting from headcount growth. The substantial increase in operating loss was further driven by the completion of the development of our AIR technology in mid-2020 and of our SPACE technology in March 2021, following which most expenses incurred to maintain the value of our AIR and SPACE technology have been recognized as expenses, see “—Key Factors Affecting Our Results of Operations—Research &amp; Development.” Broken down by segment, the increase in operating loss was primarily driven by our Space segment. </w:t>
      </w:r>
    </w:p>
    <w:p>
      <w:pPr>
        <w:pStyle w:val="TextBody"/>
        <w:spacing w:before="240" w:after="0"/>
        <w:jc w:val="both"/>
        <w:rPr>
          <w:rFonts w:ascii="Times New Roman" w:hAnsi="Times New Roman"/>
          <w:sz w:val="20"/>
        </w:rPr>
      </w:pPr>
      <w:r>
        <w:rPr>
          <w:rFonts w:ascii="Times New Roman" w:hAnsi="Times New Roman"/>
          <w:sz w:val="20"/>
        </w:rPr>
        <w:t xml:space="preserve">In our Space segment, operating loss increased by 55.5% from a loss of €30,082 thousand in 2021 to a loss of €46,773 thousand in 2022, which was mainly due to higher personnel costs, and other operating expenses. Furthermore, as we completed the development of our SPACE technology in March 2021, the majority of subsequent expenses incurred in connection with our SPACE technology have been recognized as expenses, which further contributed to the increase in operating loss in our Space segment in 2022. </w:t>
      </w:r>
    </w:p>
    <w:p>
      <w:pPr>
        <w:pStyle w:val="TextBody"/>
        <w:spacing w:before="240" w:after="0"/>
        <w:jc w:val="both"/>
        <w:rPr>
          <w:rFonts w:ascii="Times New Roman" w:hAnsi="Times New Roman"/>
          <w:sz w:val="20"/>
        </w:rPr>
      </w:pPr>
      <w:r>
        <w:rPr>
          <w:rFonts w:ascii="Times New Roman" w:hAnsi="Times New Roman"/>
          <w:sz w:val="20"/>
        </w:rPr>
        <w:t xml:space="preserve">In our Air segment, operating loss increased by 93.9% from a loss of €10,793 thousand in 2021 to a loss of €20,929 thousand in 2022, mainly due to significantly higher personnel costs, cost of purchased material and services and other operating expenses. The increase in operating loss was further impacted by the completion of the development of our AIR technology in mid-2020 following which all expenses incurred to maintain the value of our AIR technology have been recognized as expenses. </w:t>
      </w:r>
    </w:p>
    <w:p>
      <w:pPr>
        <w:pStyle w:val="TextBody"/>
        <w:spacing w:before="360" w:after="0"/>
        <w:jc w:val="left"/>
        <w:rPr>
          <w:rFonts w:ascii="Times New Roman" w:hAnsi="Times New Roman"/>
          <w:i/>
          <w:sz w:val="20"/>
        </w:rPr>
      </w:pPr>
      <w:r>
        <w:rPr>
          <w:rFonts w:ascii="Times New Roman" w:hAnsi="Times New Roman"/>
          <w:i/>
          <w:sz w:val="20"/>
        </w:rPr>
        <w:t xml:space="preserve">Comparison of the Years ended December 31, 2020 and December 31, 2021 </w:t>
      </w:r>
    </w:p>
    <w:p>
      <w:pPr>
        <w:pStyle w:val="TextBody"/>
        <w:spacing w:before="120" w:after="0"/>
        <w:jc w:val="both"/>
        <w:rPr>
          <w:rFonts w:ascii="Times New Roman" w:hAnsi="Times New Roman"/>
          <w:sz w:val="20"/>
        </w:rPr>
      </w:pPr>
      <w:r>
        <w:rPr>
          <w:rFonts w:ascii="Times New Roman" w:hAnsi="Times New Roman"/>
          <w:sz w:val="20"/>
        </w:rPr>
        <w:t xml:space="preserve">Operating loss increased by 120.0% from €19,257 thousand in 2020 to €42,364 thousand in 2021, primarily due to higher investments in our development and production infrastructure and higher personnel costs resulting from headcount growth. The substantial increase in operating loss was further driven by the completion of the development of our AIR technology in mid-2020 and of our SPACE technology in March 2021 following which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all expenses incurred to maintain the value of our AIR and SPACE technology have been recognized as expenses, see “—Key Factors Affecting Our Results of Operations—Research and Development.” Broken down by segment, the increase in operating loss was primarily driven by our Space segment. </w:t>
      </w:r>
    </w:p>
    <w:p>
      <w:pPr>
        <w:pStyle w:val="TextBody"/>
        <w:spacing w:before="240" w:after="0"/>
        <w:jc w:val="both"/>
        <w:rPr>
          <w:rFonts w:ascii="Times New Roman" w:hAnsi="Times New Roman"/>
          <w:sz w:val="20"/>
        </w:rPr>
      </w:pPr>
      <w:r>
        <w:rPr>
          <w:rFonts w:ascii="Times New Roman" w:hAnsi="Times New Roman"/>
          <w:sz w:val="20"/>
        </w:rPr>
        <w:t xml:space="preserve">In our Space segment, operating loss increased by 142.8% from a loss of €12,391 thousand in 2020 to €30,082 thousand in 2021, which was mainly due to significantly higher personnel costs and cost of purchased material and services in connection with the initial development and ongoing improvements of our space products. Furthermore, as we completed the development of our SPACE technology in March 2021, all subsequent expenses incurred in connection with our SPACE technology have been recognized as expenses, which further contributed to the increase in operating loss in our Space segment in 2021. </w:t>
      </w:r>
    </w:p>
    <w:p>
      <w:pPr>
        <w:pStyle w:val="TextBody"/>
        <w:spacing w:before="240" w:after="0"/>
        <w:jc w:val="both"/>
        <w:rPr>
          <w:rFonts w:ascii="Times New Roman" w:hAnsi="Times New Roman"/>
          <w:sz w:val="20"/>
        </w:rPr>
      </w:pPr>
      <w:r>
        <w:rPr>
          <w:rFonts w:ascii="Times New Roman" w:hAnsi="Times New Roman"/>
          <w:sz w:val="20"/>
        </w:rPr>
        <w:t xml:space="preserve">In our Air segment, operating loss increased by 68.0% from a loss of €6,423 thousand in 2020 to €10,793 thousand in 2021, mainly due to the significantly higher personnel costs and cost of purchased material and services in connection with the initial development and ongoing improvements of our space products. The increase in operating loss was further impacted by the completion of the development of our AIR technology in mid-2020 following which all expenses incurred to maintain the value of our AIR technology have been recognized as expenses. </w:t>
      </w:r>
    </w:p>
    <w:p>
      <w:pPr>
        <w:pStyle w:val="TextBody"/>
        <w:spacing w:before="360" w:after="0"/>
        <w:jc w:val="left"/>
        <w:rPr>
          <w:rFonts w:ascii="Times New Roman" w:hAnsi="Times New Roman"/>
          <w:b/>
          <w:i/>
          <w:sz w:val="20"/>
        </w:rPr>
      </w:pPr>
      <w:r>
        <w:rPr>
          <w:rFonts w:ascii="Times New Roman" w:hAnsi="Times New Roman"/>
          <w:b/>
          <w:i/>
          <w:sz w:val="20"/>
        </w:rPr>
        <w:t xml:space="preserve">Net Finance Income / Costs </w:t>
      </w:r>
    </w:p>
    <w:p>
      <w:pPr>
        <w:pStyle w:val="TextBody"/>
        <w:spacing w:before="120" w:after="0"/>
        <w:jc w:val="left"/>
        <w:rPr>
          <w:rFonts w:ascii="Times New Roman" w:hAnsi="Times New Roman"/>
          <w:i/>
          <w:sz w:val="20"/>
        </w:rPr>
      </w:pPr>
      <w:r>
        <w:rPr>
          <w:rFonts w:ascii="Times New Roman" w:hAnsi="Times New Roman"/>
          <w:i/>
          <w:sz w:val="20"/>
        </w:rPr>
        <w:t xml:space="preserve">Comparison of the Years ended December 31, 2021 and December 31, 2022 </w:t>
      </w:r>
    </w:p>
    <w:p>
      <w:pPr>
        <w:pStyle w:val="TextBody"/>
        <w:spacing w:before="120" w:after="0"/>
        <w:jc w:val="both"/>
        <w:rPr>
          <w:rFonts w:ascii="Times New Roman" w:hAnsi="Times New Roman"/>
          <w:sz w:val="20"/>
        </w:rPr>
      </w:pPr>
      <w:r>
        <w:rPr>
          <w:rFonts w:ascii="Times New Roman" w:hAnsi="Times New Roman"/>
          <w:sz w:val="20"/>
        </w:rPr>
        <w:t xml:space="preserve">Net finance income / costs decreased from negative €1,322 thousand in 2021 to a gain of €29 thousand in 2022, primarily driven by a significant net foreign exchange gain of €2,574 thousand. This development was partially offset by higher interest and similar expenses primarily relating to the credit agreement we entered into with Formue Nord Fokus A/S, Modelio Equity AB (publ) and Munkekullen 5 förvaltning AB on May 2, 2022. </w:t>
      </w:r>
    </w:p>
    <w:p>
      <w:pPr>
        <w:pStyle w:val="TextBody"/>
        <w:spacing w:before="360" w:after="0"/>
        <w:jc w:val="left"/>
        <w:rPr>
          <w:rFonts w:ascii="Times New Roman" w:hAnsi="Times New Roman"/>
          <w:i/>
          <w:sz w:val="20"/>
        </w:rPr>
      </w:pPr>
      <w:r>
        <w:rPr>
          <w:rFonts w:ascii="Times New Roman" w:hAnsi="Times New Roman"/>
          <w:i/>
          <w:sz w:val="20"/>
        </w:rPr>
        <w:t xml:space="preserve">Comparison of the Years ended December 31, 2020 and December 31, 2021 </w:t>
      </w:r>
    </w:p>
    <w:p>
      <w:pPr>
        <w:pStyle w:val="TextBody"/>
        <w:spacing w:before="120" w:after="0"/>
        <w:jc w:val="both"/>
        <w:rPr>
          <w:rFonts w:ascii="Times New Roman" w:hAnsi="Times New Roman"/>
          <w:sz w:val="20"/>
        </w:rPr>
      </w:pPr>
      <w:r>
        <w:rPr>
          <w:rFonts w:ascii="Times New Roman" w:hAnsi="Times New Roman"/>
          <w:sz w:val="20"/>
        </w:rPr>
        <w:t xml:space="preserve">Net finance income / costs increased by 157.7% from negative €513 thousand in 2020 to negative €1,322 thousand in 2021 due to higher interest and similar expenses primarily relating to the credit agreement we entered into with Formue Nord Fokus A/S, Modelio Equity AB (publ) and Munkekullen 5 förvaltning AB on September 15, 2021. This increase was partially offset by a net foreign exchange gain of €826 thousand in 2021 compared to a net foreign exchange loss of €531 thousand in 2020. </w:t>
      </w:r>
    </w:p>
    <w:p>
      <w:pPr>
        <w:pStyle w:val="TextBody"/>
        <w:spacing w:before="360" w:after="0"/>
        <w:jc w:val="left"/>
        <w:rPr>
          <w:rFonts w:ascii="Times New Roman" w:hAnsi="Times New Roman"/>
          <w:b/>
          <w:i/>
          <w:sz w:val="20"/>
        </w:rPr>
      </w:pPr>
      <w:r>
        <w:rPr>
          <w:rFonts w:ascii="Times New Roman" w:hAnsi="Times New Roman"/>
          <w:b/>
          <w:i/>
          <w:sz w:val="20"/>
        </w:rPr>
        <w:t xml:space="preserve">Loss before Tax </w:t>
      </w:r>
    </w:p>
    <w:p>
      <w:pPr>
        <w:pStyle w:val="TextBody"/>
        <w:spacing w:before="120" w:after="0"/>
        <w:jc w:val="left"/>
        <w:rPr>
          <w:rFonts w:ascii="Times New Roman" w:hAnsi="Times New Roman"/>
          <w:i/>
          <w:sz w:val="20"/>
        </w:rPr>
      </w:pPr>
      <w:r>
        <w:rPr>
          <w:rFonts w:ascii="Times New Roman" w:hAnsi="Times New Roman"/>
          <w:i/>
          <w:sz w:val="20"/>
        </w:rPr>
        <w:t xml:space="preserve">Comparison of the Years ended December 31, 2021 and December 31, 2022 </w:t>
      </w:r>
    </w:p>
    <w:p>
      <w:pPr>
        <w:pStyle w:val="TextBody"/>
        <w:spacing w:before="120" w:after="0"/>
        <w:jc w:val="both"/>
        <w:rPr>
          <w:rFonts w:ascii="Times New Roman" w:hAnsi="Times New Roman"/>
          <w:sz w:val="20"/>
        </w:rPr>
      </w:pPr>
      <w:r>
        <w:rPr>
          <w:rFonts w:ascii="Times New Roman" w:hAnsi="Times New Roman"/>
          <w:sz w:val="20"/>
        </w:rPr>
        <w:t xml:space="preserve">Loss before tax increased by 68.9% from €43,686 thousand in 2021 to €73,806 thousand in 2022, due to the foregoing reasons. </w:t>
      </w:r>
    </w:p>
    <w:p>
      <w:pPr>
        <w:pStyle w:val="TextBody"/>
        <w:spacing w:before="360" w:after="0"/>
        <w:jc w:val="left"/>
        <w:rPr>
          <w:rFonts w:ascii="Times New Roman" w:hAnsi="Times New Roman"/>
          <w:i/>
          <w:sz w:val="20"/>
        </w:rPr>
      </w:pPr>
      <w:r>
        <w:rPr>
          <w:rFonts w:ascii="Times New Roman" w:hAnsi="Times New Roman"/>
          <w:i/>
          <w:sz w:val="20"/>
        </w:rPr>
        <w:t xml:space="preserve">Comparison of the Years ended December 31, 2020 and December 31, 2021 </w:t>
      </w:r>
    </w:p>
    <w:p>
      <w:pPr>
        <w:pStyle w:val="TextBody"/>
        <w:spacing w:before="120" w:after="0"/>
        <w:jc w:val="both"/>
        <w:rPr>
          <w:rFonts w:ascii="Times New Roman" w:hAnsi="Times New Roman"/>
          <w:sz w:val="20"/>
        </w:rPr>
      </w:pPr>
      <w:r>
        <w:rPr>
          <w:rFonts w:ascii="Times New Roman" w:hAnsi="Times New Roman"/>
          <w:sz w:val="20"/>
        </w:rPr>
        <w:t xml:space="preserve">Loss before taxes increased by 121.0% from a loss of €19,770 thousand in 2020 to a loss of €43,686 thousand in 2021 due to the foregoing reasons. </w:t>
      </w:r>
    </w:p>
    <w:p>
      <w:pPr>
        <w:pStyle w:val="TextBody"/>
        <w:spacing w:before="360" w:after="0"/>
        <w:jc w:val="left"/>
        <w:rPr>
          <w:rFonts w:ascii="Times New Roman" w:hAnsi="Times New Roman"/>
          <w:b/>
          <w:sz w:val="20"/>
        </w:rPr>
      </w:pPr>
      <w:bookmarkStart w:id="27" w:name="tx497326_25"/>
      <w:bookmarkEnd w:id="27"/>
      <w:r>
        <w:rPr>
          <w:rFonts w:ascii="Times New Roman" w:hAnsi="Times New Roman"/>
          <w:b/>
          <w:sz w:val="20"/>
        </w:rPr>
        <w:t xml:space="preserve">B. Liquidity and Capital Resources </w:t>
      </w:r>
    </w:p>
    <w:p>
      <w:pPr>
        <w:pStyle w:val="TextBody"/>
        <w:spacing w:before="120" w:after="0"/>
        <w:jc w:val="both"/>
        <w:rPr>
          <w:rFonts w:ascii="Times New Roman" w:hAnsi="Times New Roman"/>
          <w:sz w:val="20"/>
        </w:rPr>
      </w:pPr>
      <w:r>
        <w:rPr>
          <w:rFonts w:ascii="Times New Roman" w:hAnsi="Times New Roman"/>
          <w:sz w:val="20"/>
        </w:rPr>
        <w:t xml:space="preserve">Since our inception, we have not generated significant revenue from the sale of our technology or products and have incurred significant operating losses and negative cash flows from our operations. We are currently in the early phases of serial production and have only recently begun to monetize our technology. To date, we have primarily raised capital and funded our operations with proceeds from the sale of our ordinary shares as well as debt financing. We have also received limited grants from government agencies and similar bodies like the European Union for participation in specific research and development projects. For the year ended December 31, 2022, we recognized a consolidated net loss of €73.8 million. As of December 31, 2022, our net current assets amounted to €30.4 million. In September 2021, we entered into a credit agreement for a credit line of approximately €25 million (see “—Credit Agreement 2021” below), which we fully repaid with the proceeds from our U.S. initial public offering in November 2021. On May 2, 2022, we entered into another credit agreement with the same lenders as under the initial credit agreement for a credit line of €25 million, which we fully repaid with the proceeds from the Credit Agreement 2023 entered into in April 2023 (see “—Credit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Agreement 2022” below). In addition, in July 2022, L3Harris invested approximately €11.2 million by means of a capital increase from authorized capital in exchange for 409,294 new ordinary shares. In connection with this equity investment, we and L3Harris agreed on a strategic cooperation framework pursuant to which we will serve as preferred provider of laser communication solutions to L3Harris and L3Harris, in return, was granted certain collaboration privileges. Subsequently, in April 2023, we entered into the Credit Agreement 2023, a secured loan agreement entered into with , two funds affiliated with a U.S.-based global investment management firm (the “Lenders”), in an amount of $75 million. Concurrently with the entry into the Credit Agreement 2023, two affiliates of the Lenders invested approximately €12.4 million by means of a capital increase from authorized capital in exchange for an aggregate of 565,224 new ordinary shares, which will correspond to an aggregate of 9.1% of our share capital following registration of the capital increase that is currently pending (see “—Debt/Equity Financing with Funds Affiliated with a U.S.-based Global Investment Management Firm” below). As of the date of this Annual Report, we had €51.8 million in available liquidity primarily consisting of cash and cash equivalents. </w:t>
      </w:r>
    </w:p>
    <w:p>
      <w:pPr>
        <w:pStyle w:val="TextBody"/>
        <w:spacing w:before="240" w:after="0"/>
        <w:jc w:val="both"/>
        <w:rPr>
          <w:rFonts w:ascii="Times New Roman" w:hAnsi="Times New Roman"/>
          <w:sz w:val="20"/>
        </w:rPr>
      </w:pPr>
      <w:r>
        <w:rPr>
          <w:rFonts w:ascii="Times New Roman" w:hAnsi="Times New Roman"/>
          <w:sz w:val="20"/>
        </w:rPr>
        <w:t xml:space="preserve">We have planned for significant increases in revenue and cash inflows in 2023 and 2024 as we ramp up the commercial production of our CONDOR and HAWK terminals. While a significant portion of the revenue planned for 2023 is contractually committed, significant amounts of the revenue planned for 2024 are not contractually committed and are based on our expectations regarding the outcome of major public project tenders and negotiations with potential or existing customers. We are actively pursuing multiple commercial opportunities to sell our CONDOR and HAWK terminals to a strongly expanding customer base. To realize these planned increases in revenue, we will need to make additional investments in property, plant and equipment and development and refinement of our products, which will require additional sources of liquidity and financing. </w:t>
      </w:r>
    </w:p>
    <w:p>
      <w:pPr>
        <w:pStyle w:val="TextBody"/>
        <w:spacing w:before="240" w:after="0"/>
        <w:jc w:val="both"/>
        <w:rPr>
          <w:rFonts w:ascii="Times New Roman" w:hAnsi="Times New Roman"/>
          <w:sz w:val="20"/>
        </w:rPr>
      </w:pPr>
      <w:r>
        <w:rPr>
          <w:rFonts w:ascii="Times New Roman" w:hAnsi="Times New Roman"/>
          <w:sz w:val="20"/>
        </w:rPr>
        <w:t xml:space="preserve">Based on our liquidity position as of the date of this Annual Report and our management’s forecast of sources and uses of cash and cash equivalents, we believe that we have sufficient liquidity to finance our operations over at least the next twelve months from the date of this Annual Report. However, there can be no assurance that revenue and the corresponding customer payments will be generated in the amount as expected or at the time needed. A shortfall of revenues and of the corresponding customer payments compared to the budget could require additional external financing to meet our current operational planning. In such a situation, if we should be unable to obtain such additional financing or take other timely actions in response to such circumstances, for example significantly curtailing its current operational budget in 2024, we may be unable to continue as a going concern. As a result, these events and conditions indicate that a material uncertainty exists that may cast significant doubt on our ability to continue as a going concern and, therefore, we may be unable to realize our assets and discharge our liabilities in the normal course of business. </w:t>
      </w:r>
    </w:p>
    <w:p>
      <w:pPr>
        <w:pStyle w:val="TextBody"/>
        <w:spacing w:before="360" w:after="0"/>
        <w:jc w:val="left"/>
        <w:rPr>
          <w:rFonts w:ascii="Times New Roman" w:hAnsi="Times New Roman"/>
          <w:b/>
          <w:i/>
          <w:sz w:val="20"/>
        </w:rPr>
      </w:pPr>
      <w:r>
        <w:rPr>
          <w:rFonts w:ascii="Times New Roman" w:hAnsi="Times New Roman"/>
          <w:b/>
          <w:i/>
          <w:sz w:val="20"/>
        </w:rPr>
        <w:t xml:space="preserve">Credit Agreement 2021 </w:t>
      </w:r>
    </w:p>
    <w:p>
      <w:pPr>
        <w:pStyle w:val="TextBody"/>
        <w:spacing w:before="120" w:after="0"/>
        <w:jc w:val="both"/>
        <w:rPr>
          <w:rFonts w:ascii="Times New Roman" w:hAnsi="Times New Roman"/>
          <w:sz w:val="20"/>
        </w:rPr>
      </w:pPr>
      <w:r>
        <w:rPr>
          <w:rFonts w:ascii="Times New Roman" w:hAnsi="Times New Roman"/>
          <w:sz w:val="20"/>
        </w:rPr>
        <w:t xml:space="preserve">On September 15, 2021, we entered into a credit agreement with Formue Nord Fokus A/S, Modelio Equity AB (publ) and Munkekullen 5 förvaltning AB as lenders for a credit line of approximately €25 million. Any loans under the credit agreement were subject to a drawdown fee of 1% of the utilized amount (minimum amount of €5 million) and an interest rate of 1% per beginning 30 days. Under the credit agreement, we were also required to pay a commitment fee totaling 6% of the aggregate commitment of approximately €25 million. The loan agreement had a maturity date of March 31, 2022 subject to an option for a one-time extension for three months. Following the closing of our initial public offering in the United States, on December 3, 2021, we repaid the outstanding loan amount (plus outstanding interest) under the credit agreement with the proceeds from our initial public offering. </w:t>
      </w:r>
    </w:p>
    <w:p>
      <w:pPr>
        <w:pStyle w:val="TextBody"/>
        <w:spacing w:before="360" w:after="0"/>
        <w:jc w:val="left"/>
        <w:rPr>
          <w:rFonts w:ascii="Times New Roman" w:hAnsi="Times New Roman"/>
          <w:b/>
          <w:i/>
          <w:sz w:val="20"/>
        </w:rPr>
      </w:pPr>
      <w:r>
        <w:rPr>
          <w:rFonts w:ascii="Times New Roman" w:hAnsi="Times New Roman"/>
          <w:b/>
          <w:i/>
          <w:sz w:val="20"/>
        </w:rPr>
        <w:t xml:space="preserve">Credit Agreement 2022 </w:t>
      </w:r>
    </w:p>
    <w:p>
      <w:pPr>
        <w:pStyle w:val="TextBody"/>
        <w:spacing w:before="120" w:after="0"/>
        <w:jc w:val="both"/>
        <w:rPr>
          <w:rFonts w:ascii="Times New Roman" w:hAnsi="Times New Roman"/>
          <w:sz w:val="20"/>
        </w:rPr>
      </w:pPr>
      <w:r>
        <w:rPr>
          <w:rFonts w:ascii="Times New Roman" w:hAnsi="Times New Roman"/>
          <w:sz w:val="20"/>
        </w:rPr>
        <w:t xml:space="preserve">On May 2, 2022, we entered into a credit agreement with Formue Nord Fokus A/S, Modelio Equity AB (publ) and Munkekullen 5 förvaltning AB as lenders for a credit line of €25 million until June 30, 2023. A loan in a nominal amount of €10 million was disbursed thereunder shortly after the date of the credit agreement. In November 2022, we have drawn down an additional amount of approximately €3.1 million. Outstanding loans under the credit agreement were subject to interest rates of 1% per beginning 30-day period commencing in 2022 and 1.25% on any outstanding loan amount per beginning 30-day period commencing in 2023. The credit agreement also required us to pay a commitment fee totaling 6% of the aggregate commitments of €25 million. The commitment fee and interest on the drawn amount were due and payable together with the repayment of the loan amount(s). Following the closing of the Credit Agreement 2023 on April 25, 2023, we repaid the outstanding loan amount (plus outstanding interest) under the 2022 credit agreement with the proceeds from the Credit Agreement 2023.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Debt/Equity Financing with Funds Affiliated with a U.S.-based Global Investment Management Firm </w:t>
      </w:r>
    </w:p>
    <w:p>
      <w:pPr>
        <w:pStyle w:val="TextBody"/>
        <w:spacing w:before="120" w:after="0"/>
        <w:jc w:val="left"/>
        <w:rPr>
          <w:rFonts w:ascii="Times New Roman" w:hAnsi="Times New Roman"/>
          <w:i/>
          <w:sz w:val="20"/>
        </w:rPr>
      </w:pPr>
      <w:r>
        <w:rPr>
          <w:rFonts w:ascii="Times New Roman" w:hAnsi="Times New Roman"/>
          <w:i/>
          <w:sz w:val="20"/>
        </w:rPr>
        <w:t xml:space="preserve">Credit Agreement 2023 </w:t>
      </w:r>
    </w:p>
    <w:p>
      <w:pPr>
        <w:pStyle w:val="TextBody"/>
        <w:spacing w:before="120" w:after="0"/>
        <w:jc w:val="both"/>
        <w:rPr>
          <w:rFonts w:ascii="Times New Roman" w:hAnsi="Times New Roman"/>
          <w:sz w:val="20"/>
        </w:rPr>
      </w:pPr>
      <w:r>
        <w:rPr>
          <w:rFonts w:ascii="Times New Roman" w:hAnsi="Times New Roman"/>
          <w:sz w:val="20"/>
        </w:rPr>
        <w:t xml:space="preserve">On April 25, 2023, our subsidiary, Mynaric USA, entered into a new five-year term loan credit agreement with two funds affiliated with a U.S.-based global investment management firm (the Lenders), and Alter Domus (US) LLC, as administrative agent (the Credit Agreement 2023). Pursuant to the Credit Agreement 2023, the Lenders agreed to provide Mynaric USA with a secured term loan facility in an aggregate principal amount of $75 million. Mynaric USA drew the full amount of the facility (subject to a 1% original issue discount) on the day of the execution of the agreement. In connection with the Credit Agreement 2023, two affiliates of the Lenders agreed to subscribe for and purchase an aggregate of 565,224 new ordinary shares of the Company, which will correspond to an aggregate of 9.1% of our share capital following registration of the capital increase (which is currently pending). For more information on our business, see “—Equity Investment.” </w:t>
      </w:r>
    </w:p>
    <w:p>
      <w:pPr>
        <w:pStyle w:val="TextBody"/>
        <w:spacing w:before="240" w:after="0"/>
        <w:jc w:val="both"/>
        <w:rPr>
          <w:rFonts w:ascii="Times New Roman" w:hAnsi="Times New Roman"/>
          <w:sz w:val="20"/>
        </w:rPr>
      </w:pPr>
      <w:r>
        <w:rPr>
          <w:rFonts w:ascii="Times New Roman" w:hAnsi="Times New Roman"/>
          <w:sz w:val="20"/>
        </w:rPr>
        <w:t xml:space="preserve">The loans under the Credit Agreement 2023 are guaranteed by Mynaric AG and each of its subsidiaries, and are secured by a security interest in substantially all of the assets of the borrower and each of the guarantors. Future subsidiaries of the Company are also required to become guarantors of the loans and to grant a security interest in their assets as security for the loans. </w:t>
      </w:r>
    </w:p>
    <w:p>
      <w:pPr>
        <w:pStyle w:val="TextBody"/>
        <w:spacing w:before="240" w:after="0"/>
        <w:jc w:val="both"/>
        <w:rPr>
          <w:rFonts w:ascii="Times New Roman" w:hAnsi="Times New Roman"/>
          <w:sz w:val="20"/>
        </w:rPr>
      </w:pPr>
      <w:r>
        <w:rPr>
          <w:rFonts w:ascii="Times New Roman" w:hAnsi="Times New Roman"/>
          <w:sz w:val="20"/>
        </w:rPr>
        <w:t xml:space="preserve">A portion of the proceeds of the loans were used to repay in full the Company’s existing indebtedness under the credit agreement entered into in 2022 and for fees and expenses associated with entering into the Credit Agreement 2023, and the balance will be used for general corporate purposes. The loans under the Credit Agreement 2023 bear interest at a rate equal to Term SOFR for a 3-month tenor (subject to a 2% floor), plus a margin of 10%, and for the first two years, interest in an amount equal to 3% can be paid in kind by increasing the principal amount of the loans. The agreement also required Mynaric USA to pay a 1% commitment fee at the time of the drawdown of the loans, and requires Mynaric USA to pay an exit fee to the Lenders at the time the loans are repaid, prepaid or accelerated. The exit fee is calculated as 200% of “invested capital” less the cumulative amount of principal repayments and cash interest payments on the loans received prior to the exit date, with “invested capital” defined to mean $74,250,000 plus the aggregate amount by which the principal amount of the loans is increased as a result of the payment of interest in kind. The exit fee percentage would be reduced to 185% if the exit fee is triggered prior to the fourth anniversary of the drawdown date and 180% if triggered prior to the third anniversary of the drawdown date. In addition, certain partial mandatory prepayments require the payment of a portion of the exit fee prior to the full repayment of the facility. </w:t>
      </w:r>
    </w:p>
    <w:p>
      <w:pPr>
        <w:pStyle w:val="TextBody"/>
        <w:spacing w:before="240" w:after="0"/>
        <w:jc w:val="both"/>
        <w:rPr>
          <w:rFonts w:ascii="Times New Roman" w:hAnsi="Times New Roman"/>
          <w:sz w:val="20"/>
        </w:rPr>
      </w:pPr>
      <w:r>
        <w:rPr>
          <w:rFonts w:ascii="Times New Roman" w:hAnsi="Times New Roman"/>
          <w:sz w:val="20"/>
        </w:rPr>
        <w:t xml:space="preserve">The Credit Agreement 2023 contains customary events of default, as well as customary affirmative and negative covenants, including covenants that limit the ability of the borrower and the guarantors to incur indebtedness or liens, make investments, sell assets, pay dividends or engage in mergers or other corporate transactions. Each such covenant is subject to customary exceptions and qualifications. In addition, the Credit Agreement 2023 contains financial maintenance covenants, including a covenant requiring the Company not to exceed a specified consolidated leverage ratio (as calculated in accordance with the agreement) as of the end of any quarter commencing with the quarter ending March 31, 2025 and a covenant requiring the Company to maintain minimum average weekly liquidity of $10 million during each quarter, commencing with the quarter ending June 30, 2023. </w:t>
      </w:r>
    </w:p>
    <w:p>
      <w:pPr>
        <w:pStyle w:val="TextBody"/>
        <w:spacing w:before="360" w:after="0"/>
        <w:jc w:val="left"/>
        <w:rPr>
          <w:rFonts w:ascii="Times New Roman" w:hAnsi="Times New Roman"/>
          <w:i/>
          <w:sz w:val="20"/>
        </w:rPr>
      </w:pPr>
      <w:r>
        <w:rPr>
          <w:rFonts w:ascii="Times New Roman" w:hAnsi="Times New Roman"/>
          <w:i/>
          <w:sz w:val="20"/>
        </w:rPr>
        <w:t xml:space="preserve">Equity Investment </w:t>
      </w:r>
    </w:p>
    <w:p>
      <w:pPr>
        <w:pStyle w:val="TextBody"/>
        <w:spacing w:before="120" w:after="0"/>
        <w:jc w:val="both"/>
        <w:rPr>
          <w:rFonts w:ascii="Times New Roman" w:hAnsi="Times New Roman"/>
          <w:sz w:val="20"/>
        </w:rPr>
      </w:pPr>
      <w:r>
        <w:rPr>
          <w:rFonts w:ascii="Times New Roman" w:hAnsi="Times New Roman"/>
          <w:sz w:val="20"/>
        </w:rPr>
        <w:t xml:space="preserve">In connection with the Credit Agreement 2023, on April 25, 2023, the Company and two affiliates of the Lenders (the “Subscribers”) entered into a subscription agreement, pursuant to which the Subscribers subscribed for 401,309 and 163,915 (ie., a total of 565,224) new ordinary registered shares, respectively. The placement price for the new shares was €22.019 per ordinary share, resulting in aggregate proceeds raised of €12.4 million. On the same day, the management board of the Company resolved, with the approval of the supervisory board, to increase the Company’s share capital from €5,668,391.00 to €6,233,615.00 by issuing 565,224 new ordinary registered shares by partially utilizing the Authorized Capital 2022/I and with the exclusion of the shareholders’ subscription rights. We applied to the commercial register for the registration of the capital increase on April 27, 2023. Upon effectiveness of the capital increase, the Subscribers will own approximately 6.4% and 2.6%, respectively, of Mynaric’s total share capital following the capital increase.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Cash Flow Statement </w:t>
      </w:r>
    </w:p>
    <w:p>
      <w:pPr>
        <w:pStyle w:val="TextBody"/>
        <w:spacing w:before="120" w:after="0"/>
        <w:jc w:val="both"/>
        <w:rPr>
          <w:rFonts w:ascii="Times New Roman" w:hAnsi="Times New Roman"/>
          <w:sz w:val="20"/>
        </w:rPr>
      </w:pPr>
      <w:r>
        <w:rPr>
          <w:rFonts w:ascii="Times New Roman" w:hAnsi="Times New Roman"/>
          <w:sz w:val="20"/>
        </w:rPr>
        <w:t xml:space="preserve">The following table shows selected information taken from our consolidated statement of cash flows for the years ended December 31, 2022, 2021 and 2020: </w:t>
      </w:r>
    </w:p>
    <w:p>
      <w:pPr>
        <w:pStyle w:val="TextBody"/>
        <w:spacing w:before="0" w:after="0"/>
        <w:jc w:val="left"/>
        <w:rPr/>
      </w:pPr>
      <w:r>
        <w:rPr/>
        <w:t> </w:t>
      </w:r>
    </w:p>
    <w:tbl>
      <w:tblPr>
        <w:tblW w:w="8335" w:type="dxa"/>
        <w:jc w:val="left"/>
        <w:tblInd w:w="0" w:type="dxa"/>
        <w:tblCellMar>
          <w:top w:w="0" w:type="dxa"/>
          <w:left w:w="0" w:type="dxa"/>
          <w:bottom w:w="0" w:type="dxa"/>
          <w:right w:w="0" w:type="dxa"/>
        </w:tblCellMar>
      </w:tblPr>
      <w:tblGrid>
        <w:gridCol w:w="4640"/>
        <w:gridCol w:w="120"/>
        <w:gridCol w:w="68"/>
        <w:gridCol w:w="859"/>
        <w:gridCol w:w="176"/>
        <w:gridCol w:w="136"/>
        <w:gridCol w:w="68"/>
        <w:gridCol w:w="859"/>
        <w:gridCol w:w="176"/>
        <w:gridCol w:w="136"/>
        <w:gridCol w:w="68"/>
        <w:gridCol w:w="859"/>
        <w:gridCol w:w="170"/>
      </w:tblGrid>
      <w:tr>
        <w:trPr/>
        <w:tc>
          <w:tcPr>
            <w:tcW w:w="46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640" w:type="dxa"/>
            <w:vMerge w:val="restart"/>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405" w:type="dxa"/>
            <w:gridSpan w:val="10"/>
            <w:tcBorders>
              <w:bottom w:val="single" w:sz="8" w:space="0" w:color="000000"/>
            </w:tcBorders>
            <w:shd w:fill="auto" w:val="clear"/>
            <w:tcMar>
              <w:bottom w:w="28" w:type="dxa"/>
            </w:tcMar>
            <w:vAlign w:val="center"/>
          </w:tcPr>
          <w:p>
            <w:pPr>
              <w:pStyle w:val="TableContents"/>
              <w:spacing w:before="0" w:after="283"/>
              <w:jc w:val="center"/>
              <w:rPr>
                <w:b/>
              </w:rPr>
            </w:pPr>
            <w:r>
              <w:rPr>
                <w:b/>
              </w:rPr>
              <w:t>For the year ended December 31,</w:t>
            </w:r>
          </w:p>
        </w:tc>
        <w:tc>
          <w:tcPr>
            <w:tcW w:w="170" w:type="dxa"/>
            <w:tcBorders/>
            <w:shd w:fill="auto" w:val="clear"/>
            <w:vAlign w:val="center"/>
          </w:tcPr>
          <w:p>
            <w:pPr>
              <w:pStyle w:val="TableContents"/>
              <w:spacing w:before="0" w:after="283"/>
              <w:rPr/>
            </w:pPr>
            <w:r>
              <w:rPr/>
              <w:t> </w:t>
            </w:r>
          </w:p>
        </w:tc>
      </w:tr>
      <w:tr>
        <w:trPr/>
        <w:tc>
          <w:tcPr>
            <w:tcW w:w="4640"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927"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176"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927"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176"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927"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2020</w:t>
            </w:r>
          </w:p>
        </w:tc>
        <w:tc>
          <w:tcPr>
            <w:tcW w:w="170" w:type="dxa"/>
            <w:tcBorders/>
            <w:shd w:fill="auto" w:val="clear"/>
            <w:vAlign w:val="center"/>
          </w:tcPr>
          <w:p>
            <w:pPr>
              <w:pStyle w:val="TableContents"/>
              <w:spacing w:before="0" w:after="283"/>
              <w:rPr/>
            </w:pPr>
            <w:r>
              <w:rPr/>
              <w:t> </w:t>
            </w:r>
          </w:p>
        </w:tc>
      </w:tr>
      <w:tr>
        <w:trPr/>
        <w:tc>
          <w:tcPr>
            <w:tcW w:w="46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405" w:type="dxa"/>
            <w:gridSpan w:val="10"/>
            <w:tcBorders/>
            <w:shd w:fill="auto" w:val="clear"/>
            <w:vAlign w:val="center"/>
          </w:tcPr>
          <w:p>
            <w:pPr>
              <w:pStyle w:val="TableContents"/>
              <w:spacing w:before="0" w:after="283"/>
              <w:jc w:val="center"/>
              <w:rPr>
                <w:b/>
              </w:rPr>
            </w:pPr>
            <w:r>
              <w:rPr>
                <w:b/>
              </w:rPr>
              <w:t>(in € thousands)</w:t>
            </w:r>
          </w:p>
        </w:tc>
        <w:tc>
          <w:tcPr>
            <w:tcW w:w="170" w:type="dxa"/>
            <w:tcBorders/>
            <w:shd w:fill="auto" w:val="clear"/>
            <w:vAlign w:val="center"/>
          </w:tcPr>
          <w:p>
            <w:pPr>
              <w:pStyle w:val="TableContents"/>
              <w:spacing w:before="0" w:after="283"/>
              <w:rPr/>
            </w:pPr>
            <w:r>
              <w:rPr/>
              <w:t> </w:t>
            </w:r>
          </w:p>
        </w:tc>
      </w:tr>
      <w:tr>
        <w:trPr/>
        <w:tc>
          <w:tcPr>
            <w:tcW w:w="46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859" w:type="dxa"/>
            <w:tcBorders/>
            <w:shd w:fill="CCEEFF" w:val="clear"/>
            <w:vAlign w:val="center"/>
          </w:tcPr>
          <w:p>
            <w:pPr>
              <w:pStyle w:val="TableContents"/>
              <w:spacing w:before="0" w:after="283"/>
              <w:jc w:val="right"/>
              <w:rPr/>
            </w:pPr>
            <w:r>
              <w:rPr/>
              <w:t>(50,215</w:t>
            </w:r>
          </w:p>
        </w:tc>
        <w:tc>
          <w:tcPr>
            <w:tcW w:w="176"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859" w:type="dxa"/>
            <w:tcBorders/>
            <w:shd w:fill="CCEEFF" w:val="clear"/>
            <w:vAlign w:val="center"/>
          </w:tcPr>
          <w:p>
            <w:pPr>
              <w:pStyle w:val="TableContents"/>
              <w:spacing w:before="0" w:after="283"/>
              <w:jc w:val="right"/>
              <w:rPr/>
            </w:pPr>
            <w:r>
              <w:rPr/>
              <w:t>(39,426</w:t>
            </w:r>
          </w:p>
        </w:tc>
        <w:tc>
          <w:tcPr>
            <w:tcW w:w="176"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859" w:type="dxa"/>
            <w:tcBorders/>
            <w:shd w:fill="CCEEFF" w:val="clear"/>
            <w:vAlign w:val="center"/>
          </w:tcPr>
          <w:p>
            <w:pPr>
              <w:pStyle w:val="TableContents"/>
              <w:spacing w:before="0" w:after="283"/>
              <w:jc w:val="right"/>
              <w:rPr/>
            </w:pPr>
            <w:r>
              <w:rPr/>
              <w:t>(16,935</w:t>
            </w:r>
          </w:p>
        </w:tc>
        <w:tc>
          <w:tcPr>
            <w:tcW w:w="170" w:type="dxa"/>
            <w:tcBorders/>
            <w:shd w:fill="CCEEFF" w:val="clear"/>
            <w:vAlign w:val="center"/>
          </w:tcPr>
          <w:p>
            <w:pPr>
              <w:pStyle w:val="TableContents"/>
              <w:spacing w:before="0" w:after="283"/>
              <w:rPr/>
            </w:pPr>
            <w:r>
              <w:rPr/>
              <w:t>) </w:t>
            </w:r>
          </w:p>
        </w:tc>
      </w:tr>
      <w:tr>
        <w:trPr/>
        <w:tc>
          <w:tcPr>
            <w:tcW w:w="46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cash used in investing activities</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859" w:type="dxa"/>
            <w:tcBorders/>
            <w:shd w:fill="auto" w:val="clear"/>
            <w:vAlign w:val="center"/>
          </w:tcPr>
          <w:p>
            <w:pPr>
              <w:pStyle w:val="TableContents"/>
              <w:spacing w:before="0" w:after="283"/>
              <w:jc w:val="right"/>
              <w:rPr/>
            </w:pPr>
            <w:r>
              <w:rPr/>
              <w:t>(11,699</w:t>
            </w:r>
          </w:p>
        </w:tc>
        <w:tc>
          <w:tcPr>
            <w:tcW w:w="176"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859" w:type="dxa"/>
            <w:tcBorders/>
            <w:shd w:fill="auto" w:val="clear"/>
            <w:vAlign w:val="center"/>
          </w:tcPr>
          <w:p>
            <w:pPr>
              <w:pStyle w:val="TableContents"/>
              <w:spacing w:before="0" w:after="283"/>
              <w:jc w:val="right"/>
              <w:rPr/>
            </w:pPr>
            <w:r>
              <w:rPr/>
              <w:t>(10,958</w:t>
            </w:r>
          </w:p>
        </w:tc>
        <w:tc>
          <w:tcPr>
            <w:tcW w:w="176"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859" w:type="dxa"/>
            <w:tcBorders/>
            <w:shd w:fill="auto" w:val="clear"/>
            <w:vAlign w:val="center"/>
          </w:tcPr>
          <w:p>
            <w:pPr>
              <w:pStyle w:val="TableContents"/>
              <w:spacing w:before="0" w:after="283"/>
              <w:jc w:val="right"/>
              <w:rPr/>
            </w:pPr>
            <w:r>
              <w:rPr/>
              <w:t>(14,927</w:t>
            </w:r>
          </w:p>
        </w:tc>
        <w:tc>
          <w:tcPr>
            <w:tcW w:w="170" w:type="dxa"/>
            <w:tcBorders/>
            <w:shd w:fill="auto" w:val="clear"/>
            <w:vAlign w:val="center"/>
          </w:tcPr>
          <w:p>
            <w:pPr>
              <w:pStyle w:val="TableContents"/>
              <w:spacing w:before="0" w:after="283"/>
              <w:rPr/>
            </w:pPr>
            <w:r>
              <w:rPr/>
              <w:t>) </w:t>
            </w:r>
          </w:p>
        </w:tc>
      </w:tr>
      <w:tr>
        <w:trPr/>
        <w:tc>
          <w:tcPr>
            <w:tcW w:w="46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cash from financing activities</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859" w:type="dxa"/>
            <w:tcBorders/>
            <w:shd w:fill="CCEEFF" w:val="clear"/>
            <w:vAlign w:val="center"/>
          </w:tcPr>
          <w:p>
            <w:pPr>
              <w:pStyle w:val="TableContents"/>
              <w:spacing w:before="0" w:after="283"/>
              <w:jc w:val="right"/>
              <w:rPr/>
            </w:pPr>
            <w:r>
              <w:rPr/>
              <w:t>21,968</w:t>
            </w:r>
          </w:p>
        </w:tc>
        <w:tc>
          <w:tcPr>
            <w:tcW w:w="176"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859" w:type="dxa"/>
            <w:tcBorders/>
            <w:shd w:fill="CCEEFF" w:val="clear"/>
            <w:vAlign w:val="center"/>
          </w:tcPr>
          <w:p>
            <w:pPr>
              <w:pStyle w:val="TableContents"/>
              <w:spacing w:before="0" w:after="283"/>
              <w:jc w:val="right"/>
              <w:rPr/>
            </w:pPr>
            <w:r>
              <w:rPr/>
              <w:t>54,802</w:t>
            </w:r>
          </w:p>
        </w:tc>
        <w:tc>
          <w:tcPr>
            <w:tcW w:w="176"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859" w:type="dxa"/>
            <w:tcBorders/>
            <w:shd w:fill="CCEEFF" w:val="clear"/>
            <w:vAlign w:val="center"/>
          </w:tcPr>
          <w:p>
            <w:pPr>
              <w:pStyle w:val="TableContents"/>
              <w:spacing w:before="0" w:after="283"/>
              <w:jc w:val="right"/>
              <w:rPr/>
            </w:pPr>
            <w:r>
              <w:rPr/>
              <w:t>66,257</w:t>
            </w:r>
          </w:p>
        </w:tc>
        <w:tc>
          <w:tcPr>
            <w:tcW w:w="170" w:type="dxa"/>
            <w:tcBorders/>
            <w:shd w:fill="CCEEFF" w:val="clear"/>
            <w:vAlign w:val="center"/>
          </w:tcPr>
          <w:p>
            <w:pPr>
              <w:pStyle w:val="TableContents"/>
              <w:spacing w:before="0" w:after="283"/>
              <w:rPr/>
            </w:pPr>
            <w:r>
              <w:rPr/>
              <w:t> </w:t>
            </w:r>
          </w:p>
        </w:tc>
      </w:tr>
      <w:tr>
        <w:trPr/>
        <w:tc>
          <w:tcPr>
            <w:tcW w:w="46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increase/(decrease) in cash and cash equivalents</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859" w:type="dxa"/>
            <w:tcBorders/>
            <w:shd w:fill="auto" w:val="clear"/>
            <w:vAlign w:val="center"/>
          </w:tcPr>
          <w:p>
            <w:pPr>
              <w:pStyle w:val="TableContents"/>
              <w:spacing w:before="0" w:after="283"/>
              <w:jc w:val="right"/>
              <w:rPr/>
            </w:pPr>
            <w:r>
              <w:rPr/>
              <w:t>(39,946</w:t>
            </w:r>
          </w:p>
        </w:tc>
        <w:tc>
          <w:tcPr>
            <w:tcW w:w="176"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859" w:type="dxa"/>
            <w:tcBorders/>
            <w:shd w:fill="auto" w:val="clear"/>
            <w:vAlign w:val="center"/>
          </w:tcPr>
          <w:p>
            <w:pPr>
              <w:pStyle w:val="TableContents"/>
              <w:spacing w:before="0" w:after="283"/>
              <w:jc w:val="right"/>
              <w:rPr/>
            </w:pPr>
            <w:r>
              <w:rPr/>
              <w:t>4,418</w:t>
            </w:r>
          </w:p>
        </w:tc>
        <w:tc>
          <w:tcPr>
            <w:tcW w:w="176"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859" w:type="dxa"/>
            <w:tcBorders/>
            <w:shd w:fill="auto" w:val="clear"/>
            <w:vAlign w:val="center"/>
          </w:tcPr>
          <w:p>
            <w:pPr>
              <w:pStyle w:val="TableContents"/>
              <w:spacing w:before="0" w:after="283"/>
              <w:jc w:val="right"/>
              <w:rPr/>
            </w:pPr>
            <w:r>
              <w:rPr/>
              <w:t>34,395</w:t>
            </w:r>
          </w:p>
        </w:tc>
        <w:tc>
          <w:tcPr>
            <w:tcW w:w="170" w:type="dxa"/>
            <w:tcBorders/>
            <w:shd w:fill="auto" w:val="clear"/>
            <w:vAlign w:val="center"/>
          </w:tcPr>
          <w:p>
            <w:pPr>
              <w:pStyle w:val="TableContents"/>
              <w:spacing w:before="0" w:after="283"/>
              <w:rPr/>
            </w:pPr>
            <w:r>
              <w:rPr/>
              <w:t> </w:t>
            </w:r>
          </w:p>
        </w:tc>
      </w:tr>
      <w:tr>
        <w:trPr/>
        <w:tc>
          <w:tcPr>
            <w:tcW w:w="46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and cash equivalents at the beginning of the period</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859" w:type="dxa"/>
            <w:tcBorders/>
            <w:shd w:fill="CCEEFF" w:val="clear"/>
            <w:vAlign w:val="center"/>
          </w:tcPr>
          <w:p>
            <w:pPr>
              <w:pStyle w:val="TableContents"/>
              <w:spacing w:before="0" w:after="283"/>
              <w:jc w:val="right"/>
              <w:rPr/>
            </w:pPr>
            <w:r>
              <w:rPr/>
              <w:t>48,143</w:t>
            </w:r>
          </w:p>
        </w:tc>
        <w:tc>
          <w:tcPr>
            <w:tcW w:w="176"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859" w:type="dxa"/>
            <w:tcBorders/>
            <w:shd w:fill="CCEEFF" w:val="clear"/>
            <w:vAlign w:val="center"/>
          </w:tcPr>
          <w:p>
            <w:pPr>
              <w:pStyle w:val="TableContents"/>
              <w:spacing w:before="0" w:after="283"/>
              <w:jc w:val="right"/>
              <w:rPr/>
            </w:pPr>
            <w:r>
              <w:rPr/>
              <w:t>43,198</w:t>
            </w:r>
          </w:p>
        </w:tc>
        <w:tc>
          <w:tcPr>
            <w:tcW w:w="176"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859" w:type="dxa"/>
            <w:tcBorders/>
            <w:shd w:fill="CCEEFF" w:val="clear"/>
            <w:vAlign w:val="center"/>
          </w:tcPr>
          <w:p>
            <w:pPr>
              <w:pStyle w:val="TableContents"/>
              <w:spacing w:before="0" w:after="283"/>
              <w:jc w:val="right"/>
              <w:rPr/>
            </w:pPr>
            <w:r>
              <w:rPr/>
              <w:t>8,914</w:t>
            </w:r>
          </w:p>
        </w:tc>
        <w:tc>
          <w:tcPr>
            <w:tcW w:w="170" w:type="dxa"/>
            <w:tcBorders/>
            <w:shd w:fill="CCEEFF" w:val="clear"/>
            <w:vAlign w:val="center"/>
          </w:tcPr>
          <w:p>
            <w:pPr>
              <w:pStyle w:val="TableContents"/>
              <w:spacing w:before="0" w:after="283"/>
              <w:rPr/>
            </w:pPr>
            <w:r>
              <w:rPr/>
              <w:t> </w:t>
            </w:r>
          </w:p>
        </w:tc>
      </w:tr>
      <w:tr>
        <w:trPr/>
        <w:tc>
          <w:tcPr>
            <w:tcW w:w="46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Cash and cash equivalents at end of period</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859" w:type="dxa"/>
            <w:tcBorders/>
            <w:shd w:fill="auto" w:val="clear"/>
            <w:vAlign w:val="center"/>
          </w:tcPr>
          <w:p>
            <w:pPr>
              <w:pStyle w:val="TableContents"/>
              <w:spacing w:before="0" w:after="283"/>
              <w:jc w:val="right"/>
              <w:rPr/>
            </w:pPr>
            <w:r>
              <w:rPr/>
              <w:t>10,238</w:t>
            </w:r>
          </w:p>
        </w:tc>
        <w:tc>
          <w:tcPr>
            <w:tcW w:w="176"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859" w:type="dxa"/>
            <w:tcBorders/>
            <w:shd w:fill="auto" w:val="clear"/>
            <w:vAlign w:val="center"/>
          </w:tcPr>
          <w:p>
            <w:pPr>
              <w:pStyle w:val="TableContents"/>
              <w:spacing w:before="0" w:after="283"/>
              <w:jc w:val="right"/>
              <w:rPr/>
            </w:pPr>
            <w:r>
              <w:rPr/>
              <w:t>48,143</w:t>
            </w:r>
          </w:p>
        </w:tc>
        <w:tc>
          <w:tcPr>
            <w:tcW w:w="176"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859" w:type="dxa"/>
            <w:tcBorders/>
            <w:shd w:fill="auto" w:val="clear"/>
            <w:vAlign w:val="center"/>
          </w:tcPr>
          <w:p>
            <w:pPr>
              <w:pStyle w:val="TableContents"/>
              <w:spacing w:before="0" w:after="283"/>
              <w:jc w:val="right"/>
              <w:rPr/>
            </w:pPr>
            <w:r>
              <w:rPr/>
              <w:t>43,198</w:t>
            </w:r>
          </w:p>
        </w:tc>
        <w:tc>
          <w:tcPr>
            <w:tcW w:w="170"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i/>
          <w:sz w:val="20"/>
        </w:rPr>
      </w:pPr>
      <w:r>
        <w:rPr>
          <w:rFonts w:ascii="Times New Roman" w:hAnsi="Times New Roman"/>
          <w:i/>
          <w:sz w:val="20"/>
        </w:rPr>
        <w:t xml:space="preserve">Net Cash used in Operating Activities </w:t>
      </w:r>
    </w:p>
    <w:p>
      <w:pPr>
        <w:pStyle w:val="TextBody"/>
        <w:spacing w:before="120" w:after="0"/>
        <w:jc w:val="both"/>
        <w:rPr>
          <w:rFonts w:ascii="Times New Roman" w:hAnsi="Times New Roman"/>
          <w:sz w:val="20"/>
          <w:u w:val="single"/>
        </w:rPr>
      </w:pPr>
      <w:r>
        <w:rPr>
          <w:rFonts w:ascii="Times New Roman" w:hAnsi="Times New Roman"/>
          <w:sz w:val="20"/>
          <w:u w:val="single"/>
        </w:rPr>
        <w:t xml:space="preserve">Comparison of the Years ended December 31, 2021 and December 31, 2022 </w:t>
      </w:r>
    </w:p>
    <w:p>
      <w:pPr>
        <w:pStyle w:val="TextBody"/>
        <w:spacing w:before="120" w:after="0"/>
        <w:jc w:val="both"/>
        <w:rPr>
          <w:rFonts w:ascii="Times New Roman" w:hAnsi="Times New Roman"/>
          <w:sz w:val="20"/>
        </w:rPr>
      </w:pPr>
      <w:r>
        <w:rPr>
          <w:rFonts w:ascii="Times New Roman" w:hAnsi="Times New Roman"/>
          <w:sz w:val="20"/>
        </w:rPr>
        <w:t xml:space="preserve">Net cash used in operating activities increased from a cash outflow of €39.4 million in 2021 to a cash outflow of €50.2 million in 2022, mainly driven by the increase in net loss for 2022. Changes in working capital only had a limited impact on the higher cash outflow as the increase in inventories, which was driven by ongoing preparations for serial production, was almost offset by the increase in contract liabilities and other non-financial liabilities reflecting cash-in from customer contracts. </w:t>
      </w:r>
    </w:p>
    <w:p>
      <w:pPr>
        <w:pStyle w:val="TextBody"/>
        <w:spacing w:before="240" w:after="0"/>
        <w:jc w:val="both"/>
        <w:rPr>
          <w:rFonts w:ascii="Times New Roman" w:hAnsi="Times New Roman"/>
          <w:sz w:val="20"/>
          <w:u w:val="single"/>
        </w:rPr>
      </w:pPr>
      <w:r>
        <w:rPr>
          <w:rFonts w:ascii="Times New Roman" w:hAnsi="Times New Roman"/>
          <w:sz w:val="20"/>
          <w:u w:val="single"/>
        </w:rPr>
        <w:t xml:space="preserve">Comparison of the Years ended December 31, 2020 and December 31, 2021 </w:t>
      </w:r>
    </w:p>
    <w:p>
      <w:pPr>
        <w:pStyle w:val="TextBody"/>
        <w:spacing w:before="120" w:after="0"/>
        <w:jc w:val="both"/>
        <w:rPr>
          <w:rFonts w:ascii="Times New Roman" w:hAnsi="Times New Roman"/>
          <w:sz w:val="20"/>
        </w:rPr>
      </w:pPr>
      <w:r>
        <w:rPr>
          <w:rFonts w:ascii="Times New Roman" w:hAnsi="Times New Roman"/>
          <w:sz w:val="20"/>
        </w:rPr>
        <w:t xml:space="preserve">Net cash used in operating activities increased from a cash outflow of €16.9 million in 2020 to a cash outflow of €39.4 million in 2021, mainly driven by an increase in net loss for 2021. Changes in working capital further contributed to the higher cash outflow as inventories increased due to ongoing preparations for serial production. Adjustments for non-cash items, however, had a positive effect as they increased substantially in 2021 compared to 2020, mainly due to an increase in depreciation, amortization and impairments driven by the completion of the development of our AIR technology in mid-2020 and of our SPACE technology in March 2021. </w:t>
      </w:r>
    </w:p>
    <w:p>
      <w:pPr>
        <w:pStyle w:val="TextBody"/>
        <w:spacing w:before="360" w:after="0"/>
        <w:jc w:val="left"/>
        <w:rPr>
          <w:rFonts w:ascii="Times New Roman" w:hAnsi="Times New Roman"/>
          <w:i/>
          <w:sz w:val="20"/>
        </w:rPr>
      </w:pPr>
      <w:r>
        <w:rPr>
          <w:rFonts w:ascii="Times New Roman" w:hAnsi="Times New Roman"/>
          <w:i/>
          <w:sz w:val="20"/>
        </w:rPr>
        <w:t xml:space="preserve">Net Cash used in Investing Activities </w:t>
      </w:r>
    </w:p>
    <w:p>
      <w:pPr>
        <w:pStyle w:val="TextBody"/>
        <w:spacing w:before="120" w:after="0"/>
        <w:jc w:val="both"/>
        <w:rPr>
          <w:rFonts w:ascii="Times New Roman" w:hAnsi="Times New Roman"/>
          <w:sz w:val="20"/>
          <w:u w:val="single"/>
        </w:rPr>
      </w:pPr>
      <w:r>
        <w:rPr>
          <w:rFonts w:ascii="Times New Roman" w:hAnsi="Times New Roman"/>
          <w:sz w:val="20"/>
          <w:u w:val="single"/>
        </w:rPr>
        <w:t xml:space="preserve">Comparison of the Years ended December 31, 2021 and December 31, 2022 </w:t>
      </w:r>
    </w:p>
    <w:p>
      <w:pPr>
        <w:pStyle w:val="TextBody"/>
        <w:spacing w:before="120" w:after="0"/>
        <w:jc w:val="both"/>
        <w:rPr>
          <w:rFonts w:ascii="Times New Roman" w:hAnsi="Times New Roman"/>
          <w:sz w:val="20"/>
        </w:rPr>
      </w:pPr>
      <w:r>
        <w:rPr>
          <w:rFonts w:ascii="Times New Roman" w:hAnsi="Times New Roman"/>
          <w:sz w:val="20"/>
        </w:rPr>
        <w:t xml:space="preserve">Net cash used in investing activities increased from a cash outflow of €11.0 million in 2021 to a cash outflow of €11.7 million in 2022, which was partially due to the final development of our SPACE technologies which resulted in a lower cash outflow of acquisition of intangible assets and significantly higher cash outflow relating to acquisition of property, plant and equipment. Cash outflow relating to acquisition of property, plant and equipment amounted to €10.1 million in 2022, compared to €7.6 million in 2021, primarily due to the expansion of our development and production capacity at our production facilities. </w:t>
      </w:r>
    </w:p>
    <w:p>
      <w:pPr>
        <w:pStyle w:val="TextBody"/>
        <w:spacing w:before="240" w:after="0"/>
        <w:jc w:val="both"/>
        <w:rPr>
          <w:rFonts w:ascii="Times New Roman" w:hAnsi="Times New Roman"/>
          <w:sz w:val="20"/>
          <w:u w:val="single"/>
        </w:rPr>
      </w:pPr>
      <w:r>
        <w:rPr>
          <w:rFonts w:ascii="Times New Roman" w:hAnsi="Times New Roman"/>
          <w:sz w:val="20"/>
          <w:u w:val="single"/>
        </w:rPr>
        <w:t xml:space="preserve">Comparison of the Years ended December 31, 2020 and December 31, 2021 </w:t>
      </w:r>
    </w:p>
    <w:p>
      <w:pPr>
        <w:pStyle w:val="TextBody"/>
        <w:spacing w:before="120" w:after="0"/>
        <w:jc w:val="both"/>
        <w:rPr>
          <w:rFonts w:ascii="Times New Roman" w:hAnsi="Times New Roman"/>
          <w:sz w:val="20"/>
        </w:rPr>
      </w:pPr>
      <w:r>
        <w:rPr>
          <w:rFonts w:ascii="Times New Roman" w:hAnsi="Times New Roman"/>
          <w:sz w:val="20"/>
        </w:rPr>
        <w:t xml:space="preserve">Net cash used in investing activities improved from a cash outflow of €15.0 million in 2020 to a cash outflow of €11.0 million in 2021. This decrease was partially due to the final development of our AIR and SPACE technologies which resulted in a lower cash outflow of acquisition of intangible assets. Cash outflow relating to acquisition of property, plant and equipment increased from €6.7 million in 2020 to €7.6 million in 2021, primarily driven by the expansion of our development and production capacity at our production facilities. </w:t>
      </w:r>
    </w:p>
    <w:p>
      <w:pPr>
        <w:pStyle w:val="TextBody"/>
        <w:spacing w:before="360" w:after="0"/>
        <w:jc w:val="left"/>
        <w:rPr>
          <w:rFonts w:ascii="Times New Roman" w:hAnsi="Times New Roman"/>
          <w:i/>
          <w:sz w:val="20"/>
        </w:rPr>
      </w:pPr>
      <w:r>
        <w:rPr>
          <w:rFonts w:ascii="Times New Roman" w:hAnsi="Times New Roman"/>
          <w:i/>
          <w:sz w:val="20"/>
        </w:rPr>
        <w:t xml:space="preserve">Net Cash from Financing Activities </w:t>
      </w:r>
    </w:p>
    <w:p>
      <w:pPr>
        <w:pStyle w:val="TextBody"/>
        <w:spacing w:before="120" w:after="0"/>
        <w:jc w:val="both"/>
        <w:rPr>
          <w:rFonts w:ascii="Times New Roman" w:hAnsi="Times New Roman"/>
          <w:sz w:val="20"/>
          <w:u w:val="single"/>
        </w:rPr>
      </w:pPr>
      <w:r>
        <w:rPr>
          <w:rFonts w:ascii="Times New Roman" w:hAnsi="Times New Roman"/>
          <w:sz w:val="20"/>
          <w:u w:val="single"/>
        </w:rPr>
        <w:t xml:space="preserve">Comparison of the Years ended December 31, 2021 and December 31, 2022 </w:t>
      </w:r>
    </w:p>
    <w:p>
      <w:pPr>
        <w:pStyle w:val="TextBody"/>
        <w:spacing w:before="120" w:after="0"/>
        <w:jc w:val="both"/>
        <w:rPr>
          <w:rFonts w:ascii="Times New Roman" w:hAnsi="Times New Roman"/>
          <w:sz w:val="20"/>
        </w:rPr>
      </w:pPr>
      <w:r>
        <w:rPr>
          <w:rFonts w:ascii="Times New Roman" w:hAnsi="Times New Roman"/>
          <w:sz w:val="20"/>
        </w:rPr>
        <w:t xml:space="preserve">Net cash from financing activities decreased from a cash inflow of €54.8 million in 2021 to a cash inflow of €22.0 million in 2022. While cash inflow in 2021 mainly comprised the proceeds from our initial public offering in the U.S., cash inflow in 2022 primarily included proceeds from L3Harris’ equity investment in July 2022 in the amount of €10.9 million and additional proceeds of €13.1 million received under our credit agreement entered into with Formue Nord Fokus A/S, Modelio Equity AB (publ) and Munkekullen 5förvaltning AB in May 2022.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u w:val="single"/>
        </w:rPr>
      </w:pPr>
      <w:r>
        <w:rPr>
          <w:rFonts w:ascii="Times New Roman" w:hAnsi="Times New Roman"/>
          <w:sz w:val="20"/>
          <w:u w:val="single"/>
        </w:rPr>
        <w:t xml:space="preserve">Comparison of the Years ended December 31, 2020 and December 31, 2021 </w:t>
      </w:r>
    </w:p>
    <w:p>
      <w:pPr>
        <w:pStyle w:val="TextBody"/>
        <w:spacing w:before="120" w:after="0"/>
        <w:jc w:val="both"/>
        <w:rPr>
          <w:rFonts w:ascii="Times New Roman" w:hAnsi="Times New Roman"/>
          <w:sz w:val="20"/>
        </w:rPr>
      </w:pPr>
      <w:r>
        <w:rPr>
          <w:rFonts w:ascii="Times New Roman" w:hAnsi="Times New Roman"/>
          <w:sz w:val="20"/>
        </w:rPr>
        <w:t xml:space="preserve">Net cash from financing activities decreased from a cash inflow of €66.3 million in 2020 to a cash inflow of €54.8 million in 2021. While cash inflow overall decreased compared to 2020, the cash inflow of €54.8 million in 2021 was primarily driven by the proceeds from our initial public offering in the U.S. as well as the proceeds from the loan under the credit agreement entered into in September 2021, which we repaid in December 2021, resulting in a cash outflow in the same amount. </w:t>
      </w:r>
    </w:p>
    <w:p>
      <w:pPr>
        <w:pStyle w:val="TextBody"/>
        <w:spacing w:before="360" w:after="0"/>
        <w:jc w:val="left"/>
        <w:rPr>
          <w:rFonts w:ascii="Times New Roman" w:hAnsi="Times New Roman"/>
          <w:b/>
          <w:i/>
          <w:sz w:val="20"/>
        </w:rPr>
      </w:pPr>
      <w:r>
        <w:rPr>
          <w:rFonts w:ascii="Times New Roman" w:hAnsi="Times New Roman"/>
          <w:b/>
          <w:i/>
          <w:sz w:val="20"/>
        </w:rPr>
        <w:t xml:space="preserve">Financial Liabilities </w:t>
      </w:r>
    </w:p>
    <w:p>
      <w:pPr>
        <w:pStyle w:val="TextBody"/>
        <w:spacing w:before="120" w:after="0"/>
        <w:jc w:val="both"/>
        <w:rPr>
          <w:rFonts w:ascii="Times New Roman" w:hAnsi="Times New Roman"/>
          <w:sz w:val="20"/>
        </w:rPr>
      </w:pPr>
      <w:r>
        <w:rPr>
          <w:rFonts w:ascii="Times New Roman" w:hAnsi="Times New Roman"/>
          <w:sz w:val="20"/>
        </w:rPr>
        <w:t xml:space="preserve">The table below summarizes the maturity profile of our financial liabilities based on contractual undiscounted payments as of December 31, 2022: </w:t>
      </w:r>
    </w:p>
    <w:p>
      <w:pPr>
        <w:pStyle w:val="TextBody"/>
        <w:spacing w:before="0" w:after="0"/>
        <w:jc w:val="left"/>
        <w:rPr/>
      </w:pPr>
      <w:r>
        <w:rPr/>
        <w:t> </w:t>
      </w:r>
    </w:p>
    <w:tbl>
      <w:tblPr>
        <w:tblW w:w="7850" w:type="dxa"/>
        <w:jc w:val="left"/>
        <w:tblInd w:w="0" w:type="dxa"/>
        <w:tblCellMar>
          <w:top w:w="0" w:type="dxa"/>
          <w:left w:w="0" w:type="dxa"/>
          <w:bottom w:w="0" w:type="dxa"/>
          <w:right w:w="0" w:type="dxa"/>
        </w:tblCellMar>
      </w:tblPr>
      <w:tblGrid>
        <w:gridCol w:w="2075"/>
        <w:gridCol w:w="120"/>
        <w:gridCol w:w="78"/>
        <w:gridCol w:w="887"/>
        <w:gridCol w:w="60"/>
        <w:gridCol w:w="120"/>
        <w:gridCol w:w="80"/>
        <w:gridCol w:w="915"/>
        <w:gridCol w:w="60"/>
        <w:gridCol w:w="120"/>
        <w:gridCol w:w="60"/>
        <w:gridCol w:w="560"/>
        <w:gridCol w:w="60"/>
        <w:gridCol w:w="120"/>
        <w:gridCol w:w="60"/>
        <w:gridCol w:w="560"/>
        <w:gridCol w:w="60"/>
        <w:gridCol w:w="120"/>
        <w:gridCol w:w="71"/>
        <w:gridCol w:w="669"/>
        <w:gridCol w:w="60"/>
        <w:gridCol w:w="120"/>
        <w:gridCol w:w="60"/>
        <w:gridCol w:w="680"/>
        <w:gridCol w:w="75"/>
      </w:tblGrid>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0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580" w:type="dxa"/>
            <w:gridSpan w:val="22"/>
            <w:tcBorders>
              <w:bottom w:val="single" w:sz="8" w:space="0" w:color="000000"/>
            </w:tcBorders>
            <w:shd w:fill="auto" w:val="clear"/>
            <w:tcMar>
              <w:bottom w:w="28" w:type="dxa"/>
            </w:tcMar>
            <w:vAlign w:val="center"/>
          </w:tcPr>
          <w:p>
            <w:pPr>
              <w:pStyle w:val="TableContents"/>
              <w:spacing w:before="0" w:after="283"/>
              <w:jc w:val="center"/>
              <w:rPr>
                <w:b/>
              </w:rPr>
            </w:pPr>
            <w:r>
              <w:rPr>
                <w:b/>
              </w:rPr>
              <w:t>As of December 31, 2022</w:t>
            </w:r>
          </w:p>
        </w:tc>
        <w:tc>
          <w:tcPr>
            <w:tcW w:w="75" w:type="dxa"/>
            <w:tcBorders/>
            <w:shd w:fill="auto"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6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Carrying</w:t>
              <w:br/>
              <w:t>amount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9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Less than</w:t>
              <w:br/>
              <w:t>1 year</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1 to 3</w:t>
              <w:br/>
              <w:t>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3 to 5</w:t>
              <w:br/>
              <w:t>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More</w:t>
              <w:br/>
              <w:t>than</w:t>
              <w:br/>
              <w:t>5 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Total</w:t>
            </w:r>
          </w:p>
        </w:tc>
        <w:tc>
          <w:tcPr>
            <w:tcW w:w="75" w:type="dxa"/>
            <w:tcBorders/>
            <w:shd w:fill="auto"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580" w:type="dxa"/>
            <w:gridSpan w:val="22"/>
            <w:tcBorders/>
            <w:shd w:fill="auto" w:val="clear"/>
            <w:vAlign w:val="center"/>
          </w:tcPr>
          <w:p>
            <w:pPr>
              <w:pStyle w:val="TableContents"/>
              <w:spacing w:before="0" w:after="283"/>
              <w:jc w:val="center"/>
              <w:rPr>
                <w:b/>
              </w:rPr>
            </w:pPr>
            <w:r>
              <w:rPr>
                <w:b/>
              </w:rPr>
              <w:t>(audited)</w:t>
            </w:r>
          </w:p>
        </w:tc>
        <w:tc>
          <w:tcPr>
            <w:tcW w:w="75" w:type="dxa"/>
            <w:tcBorders/>
            <w:shd w:fill="auto"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580" w:type="dxa"/>
            <w:gridSpan w:val="22"/>
            <w:tcBorders/>
            <w:shd w:fill="auto" w:val="clear"/>
            <w:vAlign w:val="center"/>
          </w:tcPr>
          <w:p>
            <w:pPr>
              <w:pStyle w:val="TableContents"/>
              <w:spacing w:before="0" w:after="283"/>
              <w:jc w:val="center"/>
              <w:rPr>
                <w:b/>
              </w:rPr>
            </w:pPr>
            <w:r>
              <w:rPr>
                <w:b/>
              </w:rPr>
              <w:t>(in € thousand)</w:t>
            </w:r>
          </w:p>
        </w:tc>
        <w:tc>
          <w:tcPr>
            <w:tcW w:w="75" w:type="dxa"/>
            <w:tcBorders/>
            <w:shd w:fill="auto" w:val="clear"/>
            <w:vAlign w:val="center"/>
          </w:tcPr>
          <w:p>
            <w:pPr>
              <w:pStyle w:val="TableContents"/>
              <w:spacing w:before="0" w:after="283"/>
              <w:rPr/>
            </w:pPr>
            <w:r>
              <w:rPr/>
              <w:t> </w:t>
            </w:r>
          </w:p>
        </w:tc>
      </w:tr>
      <w:tr>
        <w:trPr/>
        <w:tc>
          <w:tcPr>
            <w:tcW w:w="20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Trade and other payables</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887" w:type="dxa"/>
            <w:tcBorders/>
            <w:shd w:fill="CCEEFF" w:val="clear"/>
            <w:vAlign w:val="center"/>
          </w:tcPr>
          <w:p>
            <w:pPr>
              <w:pStyle w:val="TableContents"/>
              <w:spacing w:before="0" w:after="283"/>
              <w:jc w:val="right"/>
              <w:rPr/>
            </w:pPr>
            <w:r>
              <w:rPr/>
              <w:t>9,238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915" w:type="dxa"/>
            <w:tcBorders/>
            <w:shd w:fill="CCEEFF" w:val="clear"/>
            <w:vAlign w:val="center"/>
          </w:tcPr>
          <w:p>
            <w:pPr>
              <w:pStyle w:val="TableContents"/>
              <w:spacing w:before="0" w:after="283"/>
              <w:jc w:val="right"/>
              <w:rPr/>
            </w:pPr>
            <w:r>
              <w:rPr/>
              <w:t>9,238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669"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9,238</w:t>
            </w:r>
          </w:p>
        </w:tc>
        <w:tc>
          <w:tcPr>
            <w:tcW w:w="75" w:type="dxa"/>
            <w:tcBorders/>
            <w:shd w:fill="CCEEFF"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Lease liabilities</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887" w:type="dxa"/>
            <w:tcBorders/>
            <w:shd w:fill="auto" w:val="clear"/>
            <w:vAlign w:val="center"/>
          </w:tcPr>
          <w:p>
            <w:pPr>
              <w:pStyle w:val="TableContents"/>
              <w:spacing w:before="0" w:after="283"/>
              <w:jc w:val="right"/>
              <w:rPr/>
            </w:pPr>
            <w:r>
              <w:rPr/>
              <w:t>8,942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915" w:type="dxa"/>
            <w:tcBorders/>
            <w:shd w:fill="auto" w:val="clear"/>
            <w:vAlign w:val="center"/>
          </w:tcPr>
          <w:p>
            <w:pPr>
              <w:pStyle w:val="TableContents"/>
              <w:spacing w:before="0" w:after="283"/>
              <w:jc w:val="right"/>
              <w:rPr/>
            </w:pPr>
            <w:r>
              <w:rPr/>
              <w:t>1,901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1,905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3,405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669" w:type="dxa"/>
            <w:tcBorders/>
            <w:shd w:fill="auto" w:val="clear"/>
            <w:vAlign w:val="center"/>
          </w:tcPr>
          <w:p>
            <w:pPr>
              <w:pStyle w:val="TableContents"/>
              <w:spacing w:before="0" w:after="283"/>
              <w:jc w:val="right"/>
              <w:rPr/>
            </w:pPr>
            <w:r>
              <w:rPr/>
              <w:t>2,372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9,583</w:t>
            </w:r>
          </w:p>
        </w:tc>
        <w:tc>
          <w:tcPr>
            <w:tcW w:w="75" w:type="dxa"/>
            <w:tcBorders/>
            <w:shd w:fill="auto" w:val="clear"/>
            <w:vAlign w:val="center"/>
          </w:tcPr>
          <w:p>
            <w:pPr>
              <w:pStyle w:val="TableContents"/>
              <w:spacing w:before="0" w:after="283"/>
              <w:rPr/>
            </w:pPr>
            <w:r>
              <w:rPr/>
              <w:t> </w:t>
            </w:r>
          </w:p>
        </w:tc>
      </w:tr>
      <w:tr>
        <w:trPr/>
        <w:tc>
          <w:tcPr>
            <w:tcW w:w="20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 financial liabilities</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887" w:type="dxa"/>
            <w:tcBorders/>
            <w:shd w:fill="CCEEFF" w:val="clear"/>
            <w:vAlign w:val="center"/>
          </w:tcPr>
          <w:p>
            <w:pPr>
              <w:pStyle w:val="TableContents"/>
              <w:spacing w:before="0" w:after="283"/>
              <w:jc w:val="right"/>
              <w:rPr/>
            </w:pPr>
            <w:r>
              <w:rPr/>
              <w:t>14,779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915" w:type="dxa"/>
            <w:tcBorders/>
            <w:shd w:fill="CCEEFF" w:val="clear"/>
            <w:vAlign w:val="center"/>
          </w:tcPr>
          <w:p>
            <w:pPr>
              <w:pStyle w:val="TableContents"/>
              <w:spacing w:before="0" w:after="283"/>
              <w:jc w:val="right"/>
              <w:rPr/>
            </w:pPr>
            <w:r>
              <w:rPr/>
              <w:t>14,628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98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180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669"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14,906</w:t>
            </w:r>
          </w:p>
        </w:tc>
        <w:tc>
          <w:tcPr>
            <w:tcW w:w="75" w:type="dxa"/>
            <w:tcBorders/>
            <w:shd w:fill="CCEEFF"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pBdr>
                <w:top w:val="single" w:sz="2" w:space="1" w:color="000000"/>
              </w:pBdr>
              <w:spacing w:before="0" w:after="0"/>
              <w:rPr/>
            </w:pPr>
            <w:r>
              <w:rPr/>
              <w:t> </w:t>
            </w:r>
          </w:p>
        </w:tc>
        <w:tc>
          <w:tcPr>
            <w:tcW w:w="887"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pBdr>
                <w:top w:val="single" w:sz="2" w:space="1" w:color="000000"/>
              </w:pBdr>
              <w:spacing w:before="0" w:after="0"/>
              <w:rPr/>
            </w:pPr>
            <w:r>
              <w:rPr/>
              <w:t> </w:t>
            </w:r>
          </w:p>
        </w:tc>
        <w:tc>
          <w:tcPr>
            <w:tcW w:w="915"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56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56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pBdr>
                <w:top w:val="single" w:sz="2" w:space="1" w:color="000000"/>
              </w:pBdr>
              <w:spacing w:before="0" w:after="0"/>
              <w:rPr/>
            </w:pPr>
            <w:r>
              <w:rPr/>
              <w:t> </w:t>
            </w:r>
          </w:p>
        </w:tc>
        <w:tc>
          <w:tcPr>
            <w:tcW w:w="669"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680"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887" w:type="dxa"/>
            <w:tcBorders/>
            <w:shd w:fill="auto" w:val="clear"/>
            <w:vAlign w:val="center"/>
          </w:tcPr>
          <w:p>
            <w:pPr>
              <w:pStyle w:val="TableContents"/>
              <w:spacing w:before="0" w:after="283"/>
              <w:jc w:val="right"/>
              <w:rPr>
                <w:b/>
              </w:rPr>
            </w:pPr>
            <w:r>
              <w:rPr>
                <w:b/>
              </w:rPr>
              <w:t>32,959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915" w:type="dxa"/>
            <w:tcBorders/>
            <w:shd w:fill="auto" w:val="clear"/>
            <w:vAlign w:val="center"/>
          </w:tcPr>
          <w:p>
            <w:pPr>
              <w:pStyle w:val="TableContents"/>
              <w:spacing w:before="0" w:after="283"/>
              <w:jc w:val="right"/>
              <w:rPr>
                <w:b/>
              </w:rPr>
            </w:pPr>
            <w:r>
              <w:rPr>
                <w:b/>
              </w:rPr>
              <w:t>25,767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b/>
              </w:rPr>
            </w:pPr>
            <w:r>
              <w:rPr>
                <w:b/>
              </w:rPr>
              <w:t>2,003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b/>
              </w:rPr>
            </w:pPr>
            <w:r>
              <w:rPr>
                <w:b/>
              </w:rPr>
              <w:t>3,585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669" w:type="dxa"/>
            <w:tcBorders/>
            <w:shd w:fill="auto" w:val="clear"/>
            <w:vAlign w:val="center"/>
          </w:tcPr>
          <w:p>
            <w:pPr>
              <w:pStyle w:val="TableContents"/>
              <w:spacing w:before="0" w:after="283"/>
              <w:jc w:val="right"/>
              <w:rPr>
                <w:b/>
              </w:rPr>
            </w:pPr>
            <w:r>
              <w:rPr>
                <w:b/>
              </w:rPr>
              <w:t>2,372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b/>
              </w:rPr>
            </w:pPr>
            <w:r>
              <w:rPr>
                <w:b/>
              </w:rPr>
              <w:t>33,727</w:t>
            </w:r>
          </w:p>
        </w:tc>
        <w:tc>
          <w:tcPr>
            <w:tcW w:w="75" w:type="dxa"/>
            <w:tcBorders/>
            <w:shd w:fill="auto"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pBdr>
                <w:top w:val="double" w:sz="6" w:space="1" w:color="000000"/>
              </w:pBdr>
              <w:spacing w:before="0" w:after="0"/>
              <w:rPr/>
            </w:pPr>
            <w:r>
              <w:rPr/>
              <w:t> </w:t>
            </w:r>
          </w:p>
        </w:tc>
        <w:tc>
          <w:tcPr>
            <w:tcW w:w="887" w:type="dxa"/>
            <w:tcBorders/>
            <w:shd w:fill="auto" w:val="clear"/>
            <w:vAlign w:val="center"/>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pBdr>
                <w:top w:val="double" w:sz="6" w:space="1" w:color="000000"/>
              </w:pBdr>
              <w:spacing w:before="0" w:after="0"/>
              <w:rPr/>
            </w:pPr>
            <w:r>
              <w:rPr/>
              <w:t> </w:t>
            </w:r>
          </w:p>
        </w:tc>
        <w:tc>
          <w:tcPr>
            <w:tcW w:w="915" w:type="dxa"/>
            <w:tcBorders/>
            <w:shd w:fill="auto" w:val="clear"/>
            <w:vAlign w:val="center"/>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double" w:sz="6" w:space="1" w:color="000000"/>
              </w:pBdr>
              <w:spacing w:before="0" w:after="0"/>
              <w:rPr/>
            </w:pPr>
            <w:r>
              <w:rPr/>
              <w:t> </w:t>
            </w:r>
          </w:p>
        </w:tc>
        <w:tc>
          <w:tcPr>
            <w:tcW w:w="560" w:type="dxa"/>
            <w:tcBorders/>
            <w:shd w:fill="auto" w:val="clear"/>
            <w:vAlign w:val="center"/>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double" w:sz="6" w:space="1" w:color="000000"/>
              </w:pBdr>
              <w:spacing w:before="0" w:after="0"/>
              <w:rPr/>
            </w:pPr>
            <w:r>
              <w:rPr/>
              <w:t> </w:t>
            </w:r>
          </w:p>
        </w:tc>
        <w:tc>
          <w:tcPr>
            <w:tcW w:w="560" w:type="dxa"/>
            <w:tcBorders/>
            <w:shd w:fill="auto" w:val="clear"/>
            <w:vAlign w:val="center"/>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pBdr>
                <w:top w:val="double" w:sz="6" w:space="1" w:color="000000"/>
              </w:pBdr>
              <w:spacing w:before="0" w:after="0"/>
              <w:rPr/>
            </w:pPr>
            <w:r>
              <w:rPr/>
              <w:t> </w:t>
            </w:r>
          </w:p>
        </w:tc>
        <w:tc>
          <w:tcPr>
            <w:tcW w:w="669" w:type="dxa"/>
            <w:tcBorders/>
            <w:shd w:fill="auto" w:val="clear"/>
            <w:vAlign w:val="center"/>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double" w:sz="6" w:space="1" w:color="000000"/>
              </w:pBdr>
              <w:spacing w:before="0" w:after="0"/>
              <w:rPr/>
            </w:pPr>
            <w:r>
              <w:rPr/>
              <w:t> </w:t>
            </w:r>
          </w:p>
        </w:tc>
        <w:tc>
          <w:tcPr>
            <w:tcW w:w="680" w:type="dxa"/>
            <w:tcBorders/>
            <w:shd w:fill="auto" w:val="clear"/>
            <w:vAlign w:val="center"/>
          </w:tcPr>
          <w:p>
            <w:pPr>
              <w:pStyle w:val="TableContents"/>
              <w:pBdr>
                <w:top w:val="double" w:sz="6"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both"/>
        <w:rPr>
          <w:rFonts w:ascii="Times New Roman" w:hAnsi="Times New Roman"/>
          <w:sz w:val="20"/>
        </w:rPr>
      </w:pPr>
      <w:r>
        <w:rPr>
          <w:rFonts w:ascii="Times New Roman" w:hAnsi="Times New Roman"/>
          <w:sz w:val="20"/>
        </w:rPr>
        <w:t xml:space="preserve">The table below summarizes the maturity profile of our financial liabilities based on contractual undiscounted payments as of December 31, 2021: </w:t>
      </w:r>
    </w:p>
    <w:p>
      <w:pPr>
        <w:pStyle w:val="TextBody"/>
        <w:spacing w:before="0" w:after="0"/>
        <w:jc w:val="left"/>
        <w:rPr/>
      </w:pPr>
      <w:r>
        <w:rPr/>
        <w:t> </w:t>
      </w:r>
    </w:p>
    <w:tbl>
      <w:tblPr>
        <w:tblW w:w="7774" w:type="dxa"/>
        <w:jc w:val="left"/>
        <w:tblInd w:w="0" w:type="dxa"/>
        <w:tblCellMar>
          <w:top w:w="0" w:type="dxa"/>
          <w:left w:w="0" w:type="dxa"/>
          <w:bottom w:w="0" w:type="dxa"/>
          <w:right w:w="0" w:type="dxa"/>
        </w:tblCellMar>
      </w:tblPr>
      <w:tblGrid>
        <w:gridCol w:w="2075"/>
        <w:gridCol w:w="120"/>
        <w:gridCol w:w="78"/>
        <w:gridCol w:w="887"/>
        <w:gridCol w:w="60"/>
        <w:gridCol w:w="120"/>
        <w:gridCol w:w="80"/>
        <w:gridCol w:w="915"/>
        <w:gridCol w:w="60"/>
        <w:gridCol w:w="120"/>
        <w:gridCol w:w="60"/>
        <w:gridCol w:w="560"/>
        <w:gridCol w:w="60"/>
        <w:gridCol w:w="120"/>
        <w:gridCol w:w="60"/>
        <w:gridCol w:w="560"/>
        <w:gridCol w:w="60"/>
        <w:gridCol w:w="120"/>
        <w:gridCol w:w="64"/>
        <w:gridCol w:w="600"/>
        <w:gridCol w:w="60"/>
        <w:gridCol w:w="120"/>
        <w:gridCol w:w="60"/>
        <w:gridCol w:w="680"/>
        <w:gridCol w:w="75"/>
      </w:tblGrid>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0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504" w:type="dxa"/>
            <w:gridSpan w:val="22"/>
            <w:tcBorders>
              <w:bottom w:val="single" w:sz="8" w:space="0" w:color="000000"/>
            </w:tcBorders>
            <w:shd w:fill="auto" w:val="clear"/>
            <w:tcMar>
              <w:bottom w:w="28" w:type="dxa"/>
            </w:tcMar>
            <w:vAlign w:val="center"/>
          </w:tcPr>
          <w:p>
            <w:pPr>
              <w:pStyle w:val="TableContents"/>
              <w:spacing w:before="0" w:after="283"/>
              <w:jc w:val="center"/>
              <w:rPr>
                <w:b/>
              </w:rPr>
            </w:pPr>
            <w:r>
              <w:rPr>
                <w:b/>
              </w:rPr>
              <w:t>As of December 31, 2021</w:t>
            </w:r>
          </w:p>
        </w:tc>
        <w:tc>
          <w:tcPr>
            <w:tcW w:w="75" w:type="dxa"/>
            <w:tcBorders/>
            <w:shd w:fill="auto"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6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Carrying</w:t>
              <w:br/>
              <w:t>amount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9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Less than</w:t>
              <w:br/>
              <w:t>1 year</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1 to 3</w:t>
              <w:br/>
              <w:t>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3 to 5</w:t>
              <w:br/>
              <w:t>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4"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More</w:t>
              <w:br/>
              <w:t>than 5</w:t>
              <w:br/>
              <w:t>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Total</w:t>
            </w:r>
          </w:p>
        </w:tc>
        <w:tc>
          <w:tcPr>
            <w:tcW w:w="75" w:type="dxa"/>
            <w:tcBorders/>
            <w:shd w:fill="auto"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504" w:type="dxa"/>
            <w:gridSpan w:val="22"/>
            <w:tcBorders/>
            <w:shd w:fill="auto" w:val="clear"/>
            <w:vAlign w:val="center"/>
          </w:tcPr>
          <w:p>
            <w:pPr>
              <w:pStyle w:val="TableContents"/>
              <w:spacing w:before="0" w:after="283"/>
              <w:jc w:val="center"/>
              <w:rPr>
                <w:b/>
              </w:rPr>
            </w:pPr>
            <w:r>
              <w:rPr>
                <w:b/>
              </w:rPr>
              <w:t>(audited)</w:t>
            </w:r>
          </w:p>
        </w:tc>
        <w:tc>
          <w:tcPr>
            <w:tcW w:w="75" w:type="dxa"/>
            <w:tcBorders/>
            <w:shd w:fill="auto"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504" w:type="dxa"/>
            <w:gridSpan w:val="22"/>
            <w:tcBorders/>
            <w:shd w:fill="auto" w:val="clear"/>
            <w:vAlign w:val="center"/>
          </w:tcPr>
          <w:p>
            <w:pPr>
              <w:pStyle w:val="TableContents"/>
              <w:spacing w:before="0" w:after="283"/>
              <w:jc w:val="center"/>
              <w:rPr>
                <w:b/>
              </w:rPr>
            </w:pPr>
            <w:r>
              <w:rPr>
                <w:b/>
              </w:rPr>
              <w:t>(in € thousand)</w:t>
            </w:r>
          </w:p>
        </w:tc>
        <w:tc>
          <w:tcPr>
            <w:tcW w:w="75" w:type="dxa"/>
            <w:tcBorders/>
            <w:shd w:fill="auto" w:val="clear"/>
            <w:vAlign w:val="center"/>
          </w:tcPr>
          <w:p>
            <w:pPr>
              <w:pStyle w:val="TableContents"/>
              <w:spacing w:before="0" w:after="283"/>
              <w:rPr/>
            </w:pPr>
            <w:r>
              <w:rPr/>
              <w:t> </w:t>
            </w:r>
          </w:p>
        </w:tc>
      </w:tr>
      <w:tr>
        <w:trPr/>
        <w:tc>
          <w:tcPr>
            <w:tcW w:w="20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Trade and other payables</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887" w:type="dxa"/>
            <w:tcBorders/>
            <w:shd w:fill="CCEEFF" w:val="clear"/>
            <w:vAlign w:val="center"/>
          </w:tcPr>
          <w:p>
            <w:pPr>
              <w:pStyle w:val="TableContents"/>
              <w:spacing w:before="0" w:after="283"/>
              <w:jc w:val="right"/>
              <w:rPr/>
            </w:pPr>
            <w:r>
              <w:rPr/>
              <w:t>8,396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915" w:type="dxa"/>
            <w:tcBorders/>
            <w:shd w:fill="CCEEFF" w:val="clear"/>
            <w:vAlign w:val="center"/>
          </w:tcPr>
          <w:p>
            <w:pPr>
              <w:pStyle w:val="TableContents"/>
              <w:spacing w:before="0" w:after="283"/>
              <w:jc w:val="right"/>
              <w:rPr/>
            </w:pPr>
            <w:r>
              <w:rPr/>
              <w:t>8,396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0"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8,396</w:t>
            </w:r>
          </w:p>
        </w:tc>
        <w:tc>
          <w:tcPr>
            <w:tcW w:w="75" w:type="dxa"/>
            <w:tcBorders/>
            <w:shd w:fill="CCEEFF"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Lease liabilities</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887" w:type="dxa"/>
            <w:tcBorders/>
            <w:shd w:fill="auto" w:val="clear"/>
            <w:vAlign w:val="center"/>
          </w:tcPr>
          <w:p>
            <w:pPr>
              <w:pStyle w:val="TableContents"/>
              <w:spacing w:before="0" w:after="283"/>
              <w:jc w:val="right"/>
              <w:rPr/>
            </w:pPr>
            <w:r>
              <w:rPr/>
              <w:t>9,027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915" w:type="dxa"/>
            <w:tcBorders/>
            <w:shd w:fill="auto" w:val="clear"/>
            <w:vAlign w:val="center"/>
          </w:tcPr>
          <w:p>
            <w:pPr>
              <w:pStyle w:val="TableContents"/>
              <w:spacing w:before="0" w:after="283"/>
              <w:jc w:val="right"/>
              <w:rPr/>
            </w:pPr>
            <w:r>
              <w:rPr/>
              <w:t>1,640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1,605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3,148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00" w:type="dxa"/>
            <w:tcBorders/>
            <w:shd w:fill="auto" w:val="clear"/>
            <w:vAlign w:val="center"/>
          </w:tcPr>
          <w:p>
            <w:pPr>
              <w:pStyle w:val="TableContents"/>
              <w:spacing w:before="0" w:after="283"/>
              <w:jc w:val="right"/>
              <w:rPr/>
            </w:pPr>
            <w:r>
              <w:rPr/>
              <w:t>3,328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9,721</w:t>
            </w:r>
          </w:p>
        </w:tc>
        <w:tc>
          <w:tcPr>
            <w:tcW w:w="75" w:type="dxa"/>
            <w:tcBorders/>
            <w:shd w:fill="auto" w:val="clear"/>
            <w:vAlign w:val="center"/>
          </w:tcPr>
          <w:p>
            <w:pPr>
              <w:pStyle w:val="TableContents"/>
              <w:spacing w:before="0" w:after="283"/>
              <w:rPr/>
            </w:pPr>
            <w:r>
              <w:rPr/>
              <w:t> </w:t>
            </w:r>
          </w:p>
        </w:tc>
      </w:tr>
      <w:tr>
        <w:trPr/>
        <w:tc>
          <w:tcPr>
            <w:tcW w:w="20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 financial liabilities</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887" w:type="dxa"/>
            <w:tcBorders/>
            <w:shd w:fill="CCEEFF" w:val="clear"/>
            <w:vAlign w:val="center"/>
          </w:tcPr>
          <w:p>
            <w:pPr>
              <w:pStyle w:val="TableContents"/>
              <w:spacing w:before="0" w:after="283"/>
              <w:jc w:val="right"/>
              <w:rPr/>
            </w:pPr>
            <w:r>
              <w:rPr/>
              <w:t>37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915" w:type="dxa"/>
            <w:tcBorders/>
            <w:shd w:fill="CCEEFF" w:val="clear"/>
            <w:vAlign w:val="center"/>
          </w:tcPr>
          <w:p>
            <w:pPr>
              <w:pStyle w:val="TableContents"/>
              <w:spacing w:before="0" w:after="283"/>
              <w:jc w:val="right"/>
              <w:rPr/>
            </w:pPr>
            <w:r>
              <w:rPr/>
              <w:t>37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0"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37</w:t>
            </w:r>
          </w:p>
        </w:tc>
        <w:tc>
          <w:tcPr>
            <w:tcW w:w="75" w:type="dxa"/>
            <w:tcBorders/>
            <w:shd w:fill="CCEEFF"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pBdr>
                <w:top w:val="single" w:sz="2" w:space="1" w:color="000000"/>
              </w:pBdr>
              <w:spacing w:before="0" w:after="0"/>
              <w:rPr/>
            </w:pPr>
            <w:r>
              <w:rPr/>
              <w:t> </w:t>
            </w:r>
          </w:p>
        </w:tc>
        <w:tc>
          <w:tcPr>
            <w:tcW w:w="887"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pBdr>
                <w:top w:val="single" w:sz="2" w:space="1" w:color="000000"/>
              </w:pBdr>
              <w:spacing w:before="0" w:after="0"/>
              <w:rPr/>
            </w:pPr>
            <w:r>
              <w:rPr/>
              <w:t> </w:t>
            </w:r>
          </w:p>
        </w:tc>
        <w:tc>
          <w:tcPr>
            <w:tcW w:w="915"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56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56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pBdr>
                <w:top w:val="single" w:sz="2" w:space="1" w:color="000000"/>
              </w:pBdr>
              <w:spacing w:before="0" w:after="0"/>
              <w:rPr/>
            </w:pPr>
            <w:r>
              <w:rPr/>
              <w:t> </w:t>
            </w:r>
          </w:p>
        </w:tc>
        <w:tc>
          <w:tcPr>
            <w:tcW w:w="60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680"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887" w:type="dxa"/>
            <w:tcBorders/>
            <w:shd w:fill="auto" w:val="clear"/>
            <w:vAlign w:val="center"/>
          </w:tcPr>
          <w:p>
            <w:pPr>
              <w:pStyle w:val="TableContents"/>
              <w:spacing w:before="0" w:after="283"/>
              <w:jc w:val="right"/>
              <w:rPr>
                <w:b/>
              </w:rPr>
            </w:pPr>
            <w:r>
              <w:rPr>
                <w:b/>
              </w:rPr>
              <w:t>17,460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915" w:type="dxa"/>
            <w:tcBorders/>
            <w:shd w:fill="auto" w:val="clear"/>
            <w:vAlign w:val="center"/>
          </w:tcPr>
          <w:p>
            <w:pPr>
              <w:pStyle w:val="TableContents"/>
              <w:spacing w:before="0" w:after="283"/>
              <w:jc w:val="right"/>
              <w:rPr>
                <w:b/>
              </w:rPr>
            </w:pPr>
            <w:r>
              <w:rPr>
                <w:b/>
              </w:rPr>
              <w:t>10,073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b/>
              </w:rPr>
            </w:pPr>
            <w:r>
              <w:rPr>
                <w:b/>
              </w:rPr>
              <w:t>1,605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b/>
              </w:rPr>
            </w:pPr>
            <w:r>
              <w:rPr>
                <w:b/>
              </w:rPr>
              <w:t>3,148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00" w:type="dxa"/>
            <w:tcBorders/>
            <w:shd w:fill="auto" w:val="clear"/>
            <w:vAlign w:val="center"/>
          </w:tcPr>
          <w:p>
            <w:pPr>
              <w:pStyle w:val="TableContents"/>
              <w:spacing w:before="0" w:after="283"/>
              <w:jc w:val="right"/>
              <w:rPr>
                <w:b/>
              </w:rPr>
            </w:pPr>
            <w:r>
              <w:rPr>
                <w:b/>
              </w:rPr>
              <w:t>3,328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b/>
              </w:rPr>
            </w:pPr>
            <w:r>
              <w:rPr>
                <w:b/>
              </w:rPr>
              <w:t>18,154</w:t>
            </w:r>
          </w:p>
        </w:tc>
        <w:tc>
          <w:tcPr>
            <w:tcW w:w="75" w:type="dxa"/>
            <w:tcBorders/>
            <w:shd w:fill="auto"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pBdr>
                <w:top w:val="double" w:sz="6" w:space="1" w:color="000000"/>
              </w:pBdr>
              <w:spacing w:before="0" w:after="0"/>
              <w:rPr/>
            </w:pPr>
            <w:r>
              <w:rPr/>
              <w:t> </w:t>
            </w:r>
          </w:p>
        </w:tc>
        <w:tc>
          <w:tcPr>
            <w:tcW w:w="887" w:type="dxa"/>
            <w:tcBorders/>
            <w:shd w:fill="auto" w:val="clear"/>
            <w:vAlign w:val="center"/>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pBdr>
                <w:top w:val="double" w:sz="6" w:space="1" w:color="000000"/>
              </w:pBdr>
              <w:spacing w:before="0" w:after="0"/>
              <w:rPr/>
            </w:pPr>
            <w:r>
              <w:rPr/>
              <w:t> </w:t>
            </w:r>
          </w:p>
        </w:tc>
        <w:tc>
          <w:tcPr>
            <w:tcW w:w="915" w:type="dxa"/>
            <w:tcBorders/>
            <w:shd w:fill="auto" w:val="clear"/>
            <w:vAlign w:val="center"/>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double" w:sz="6" w:space="1" w:color="000000"/>
              </w:pBdr>
              <w:spacing w:before="0" w:after="0"/>
              <w:rPr/>
            </w:pPr>
            <w:r>
              <w:rPr/>
              <w:t> </w:t>
            </w:r>
          </w:p>
        </w:tc>
        <w:tc>
          <w:tcPr>
            <w:tcW w:w="560" w:type="dxa"/>
            <w:tcBorders/>
            <w:shd w:fill="auto" w:val="clear"/>
            <w:vAlign w:val="center"/>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double" w:sz="6" w:space="1" w:color="000000"/>
              </w:pBdr>
              <w:spacing w:before="0" w:after="0"/>
              <w:rPr/>
            </w:pPr>
            <w:r>
              <w:rPr/>
              <w:t> </w:t>
            </w:r>
          </w:p>
        </w:tc>
        <w:tc>
          <w:tcPr>
            <w:tcW w:w="560" w:type="dxa"/>
            <w:tcBorders/>
            <w:shd w:fill="auto" w:val="clear"/>
            <w:vAlign w:val="center"/>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pBdr>
                <w:top w:val="double" w:sz="6" w:space="1" w:color="000000"/>
              </w:pBdr>
              <w:spacing w:before="0" w:after="0"/>
              <w:rPr/>
            </w:pPr>
            <w:r>
              <w:rPr/>
              <w:t> </w:t>
            </w:r>
          </w:p>
        </w:tc>
        <w:tc>
          <w:tcPr>
            <w:tcW w:w="600" w:type="dxa"/>
            <w:tcBorders/>
            <w:shd w:fill="auto" w:val="clear"/>
            <w:vAlign w:val="center"/>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double" w:sz="6" w:space="1" w:color="000000"/>
              </w:pBdr>
              <w:spacing w:before="0" w:after="0"/>
              <w:rPr/>
            </w:pPr>
            <w:r>
              <w:rPr/>
              <w:t> </w:t>
            </w:r>
          </w:p>
        </w:tc>
        <w:tc>
          <w:tcPr>
            <w:tcW w:w="680" w:type="dxa"/>
            <w:tcBorders/>
            <w:shd w:fill="auto" w:val="clear"/>
            <w:vAlign w:val="center"/>
          </w:tcPr>
          <w:p>
            <w:pPr>
              <w:pStyle w:val="TableContents"/>
              <w:pBdr>
                <w:top w:val="double" w:sz="6"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bookmarkStart w:id="28" w:name="tx497326_26"/>
      <w:bookmarkEnd w:id="28"/>
      <w:r>
        <w:rPr>
          <w:rFonts w:ascii="Times New Roman" w:hAnsi="Times New Roman"/>
          <w:b/>
          <w:sz w:val="20"/>
        </w:rPr>
        <w:t xml:space="preserve">C. Research and Development, Patents and Licenses </w:t>
      </w:r>
    </w:p>
    <w:p>
      <w:pPr>
        <w:pStyle w:val="TextBody"/>
        <w:spacing w:before="120" w:after="0"/>
        <w:jc w:val="both"/>
        <w:rPr>
          <w:rFonts w:ascii="Times New Roman" w:hAnsi="Times New Roman"/>
          <w:sz w:val="20"/>
        </w:rPr>
      </w:pPr>
      <w:r>
        <w:rPr>
          <w:rFonts w:ascii="Times New Roman" w:hAnsi="Times New Roman"/>
          <w:sz w:val="20"/>
        </w:rPr>
        <w:t xml:space="preserve">See “Item 4.B. Business Overview—Our Operations—Research &amp; Development and Engineering” and “—Key Factors Affecting Our Results of Operations—Research &amp; Development” in this Item 5. </w:t>
      </w:r>
    </w:p>
    <w:p>
      <w:pPr>
        <w:pStyle w:val="TextBody"/>
        <w:spacing w:before="360" w:after="0"/>
        <w:jc w:val="left"/>
        <w:rPr>
          <w:rFonts w:ascii="Times New Roman" w:hAnsi="Times New Roman"/>
          <w:b/>
          <w:sz w:val="20"/>
        </w:rPr>
      </w:pPr>
      <w:bookmarkStart w:id="29" w:name="tx497326_27"/>
      <w:bookmarkEnd w:id="29"/>
      <w:r>
        <w:rPr>
          <w:rFonts w:ascii="Times New Roman" w:hAnsi="Times New Roman"/>
          <w:b/>
          <w:sz w:val="20"/>
        </w:rPr>
        <w:t xml:space="preserve">D. Trend Information </w:t>
      </w:r>
    </w:p>
    <w:p>
      <w:pPr>
        <w:pStyle w:val="TextBody"/>
        <w:spacing w:before="120" w:after="0"/>
        <w:jc w:val="both"/>
        <w:rPr>
          <w:rFonts w:ascii="Times New Roman" w:hAnsi="Times New Roman"/>
          <w:sz w:val="20"/>
        </w:rPr>
      </w:pPr>
      <w:r>
        <w:rPr>
          <w:rFonts w:ascii="Times New Roman" w:hAnsi="Times New Roman"/>
          <w:sz w:val="20"/>
        </w:rPr>
        <w:t xml:space="preserve">For a discussion of trends, see “—Key Factors Affecting Our Results of Operations,” “A. Operating Results” and “—B. Liquidity and Capital Resources” in this Item 5. and “Item 4. Information on the Company—B. Business Overview.” </w:t>
      </w:r>
    </w:p>
    <w:p>
      <w:pPr>
        <w:pStyle w:val="TextBody"/>
        <w:spacing w:before="360" w:after="0"/>
        <w:jc w:val="left"/>
        <w:rPr>
          <w:rFonts w:ascii="Times New Roman" w:hAnsi="Times New Roman"/>
          <w:b/>
          <w:sz w:val="20"/>
        </w:rPr>
      </w:pPr>
      <w:bookmarkStart w:id="30" w:name="tx497326_28"/>
      <w:bookmarkEnd w:id="30"/>
      <w:r>
        <w:rPr>
          <w:rFonts w:ascii="Times New Roman" w:hAnsi="Times New Roman"/>
          <w:b/>
          <w:sz w:val="20"/>
        </w:rPr>
        <w:t xml:space="preserve">E. Critical Accounting Estimates </w:t>
      </w:r>
    </w:p>
    <w:p>
      <w:pPr>
        <w:pStyle w:val="TextBody"/>
        <w:spacing w:before="120" w:after="0"/>
        <w:jc w:val="both"/>
        <w:rPr>
          <w:rFonts w:ascii="Times New Roman" w:hAnsi="Times New Roman"/>
          <w:sz w:val="20"/>
        </w:rPr>
      </w:pPr>
      <w:r>
        <w:rPr>
          <w:rFonts w:ascii="Times New Roman" w:hAnsi="Times New Roman"/>
          <w:sz w:val="20"/>
        </w:rPr>
        <w:t xml:space="preserve">Our consolidated financial statements are prepared in accordance with IFRS, as issued by the IASB. In preparing our consolidated financial statements, we make assumptions, judgments and estimates that can have a significant impact on amounts reported in our consolidated financial statements. We base our material judgments, estimates and assumptions on historical experience and various other factors that we believe to be reasonable under the circumstances. Actual results could differ materially from these estimates under different assumptions or conditions. We regularly re-evaluate our material judgments, estimates and assumptions. Our material judgments, estimates and assumptions are described in note 4 to our consolidated financial statements included elsewhere in this Annual Report.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bookmarkStart w:id="31" w:name="tx497326_29"/>
      <w:bookmarkEnd w:id="31"/>
      <w:r>
        <w:rPr>
          <w:rFonts w:ascii="Times New Roman" w:hAnsi="Times New Roman"/>
          <w:b/>
          <w:sz w:val="20"/>
        </w:rPr>
        <w:t xml:space="preserve">ITEM 6. DIRECTORS, SENIOR MANAGEMENT AND EMPLOYEES </w:t>
      </w:r>
    </w:p>
    <w:p>
      <w:pPr>
        <w:pStyle w:val="TextBody"/>
        <w:spacing w:before="120" w:after="0"/>
        <w:jc w:val="left"/>
        <w:rPr>
          <w:rFonts w:ascii="Times New Roman" w:hAnsi="Times New Roman"/>
          <w:b/>
          <w:sz w:val="20"/>
        </w:rPr>
      </w:pPr>
      <w:bookmarkStart w:id="32" w:name="tx497326_30"/>
      <w:bookmarkEnd w:id="32"/>
      <w:r>
        <w:rPr>
          <w:rFonts w:ascii="Times New Roman" w:hAnsi="Times New Roman"/>
          <w:b/>
          <w:sz w:val="20"/>
        </w:rPr>
        <w:t xml:space="preserve">A. Directors and Senior Management </w:t>
      </w:r>
    </w:p>
    <w:p>
      <w:pPr>
        <w:pStyle w:val="TextBody"/>
        <w:spacing w:before="120" w:after="0"/>
        <w:jc w:val="left"/>
        <w:rPr>
          <w:rFonts w:ascii="Times New Roman" w:hAnsi="Times New Roman"/>
          <w:b/>
          <w:sz w:val="20"/>
        </w:rPr>
      </w:pPr>
      <w:r>
        <w:rPr>
          <w:rFonts w:ascii="Times New Roman" w:hAnsi="Times New Roman"/>
          <w:b/>
          <w:sz w:val="20"/>
        </w:rPr>
        <w:t xml:space="preserve">Board Structure </w:t>
      </w:r>
    </w:p>
    <w:p>
      <w:pPr>
        <w:pStyle w:val="TextBody"/>
        <w:spacing w:before="120" w:after="0"/>
        <w:jc w:val="both"/>
        <w:rPr>
          <w:rFonts w:ascii="Times New Roman" w:hAnsi="Times New Roman"/>
          <w:sz w:val="20"/>
        </w:rPr>
      </w:pPr>
      <w:r>
        <w:rPr>
          <w:rFonts w:ascii="Times New Roman" w:hAnsi="Times New Roman"/>
          <w:sz w:val="20"/>
        </w:rPr>
        <w:t>We are a German stock corporation (</w:t>
      </w:r>
      <w:r>
        <w:rPr>
          <w:rFonts w:ascii="Times New Roman" w:hAnsi="Times New Roman"/>
          <w:i/>
          <w:sz w:val="20"/>
        </w:rPr>
        <w:t>Aktiengesellschaft</w:t>
      </w:r>
      <w:r>
        <w:rPr>
          <w:rFonts w:ascii="Times New Roman" w:hAnsi="Times New Roman"/>
          <w:sz w:val="20"/>
        </w:rPr>
        <w:t xml:space="preserve"> or </w:t>
      </w:r>
      <w:r>
        <w:rPr>
          <w:rFonts w:ascii="Times New Roman" w:hAnsi="Times New Roman"/>
          <w:i/>
          <w:sz w:val="20"/>
        </w:rPr>
        <w:t>AG</w:t>
      </w:r>
      <w:r>
        <w:rPr>
          <w:rFonts w:ascii="Times New Roman" w:hAnsi="Times New Roman"/>
          <w:sz w:val="20"/>
        </w:rPr>
        <w:t>) with our registered seat in Germany. We are subject to German legislation on stock corporations, most importantly the German Stock Corporation Act (</w:t>
      </w:r>
      <w:r>
        <w:rPr>
          <w:rFonts w:ascii="Times New Roman" w:hAnsi="Times New Roman"/>
          <w:i/>
          <w:sz w:val="20"/>
        </w:rPr>
        <w:t>Aktiengesetz</w:t>
      </w:r>
      <w:r>
        <w:rPr>
          <w:rFonts w:ascii="Times New Roman" w:hAnsi="Times New Roman"/>
          <w:sz w:val="20"/>
        </w:rPr>
        <w:t>). In accordance with the German Stock Corporation Act, our corporate bodies are the management board (</w:t>
      </w:r>
      <w:r>
        <w:rPr>
          <w:rFonts w:ascii="Times New Roman" w:hAnsi="Times New Roman"/>
          <w:i/>
          <w:sz w:val="20"/>
        </w:rPr>
        <w:t>Vorstand</w:t>
      </w:r>
      <w:r>
        <w:rPr>
          <w:rFonts w:ascii="Times New Roman" w:hAnsi="Times New Roman"/>
          <w:sz w:val="20"/>
        </w:rPr>
        <w:t>), the supervisory board (</w:t>
      </w:r>
      <w:r>
        <w:rPr>
          <w:rFonts w:ascii="Times New Roman" w:hAnsi="Times New Roman"/>
          <w:i/>
          <w:sz w:val="20"/>
        </w:rPr>
        <w:t>Aufsichtsrat</w:t>
      </w:r>
      <w:r>
        <w:rPr>
          <w:rFonts w:ascii="Times New Roman" w:hAnsi="Times New Roman"/>
          <w:sz w:val="20"/>
        </w:rPr>
        <w:t>) and the shareholders’ meeting (</w:t>
      </w:r>
      <w:r>
        <w:rPr>
          <w:rFonts w:ascii="Times New Roman" w:hAnsi="Times New Roman"/>
          <w:i/>
          <w:sz w:val="20"/>
        </w:rPr>
        <w:t>Hauptversammlung</w:t>
      </w:r>
      <w:r>
        <w:rPr>
          <w:rFonts w:ascii="Times New Roman" w:hAnsi="Times New Roman"/>
          <w:sz w:val="20"/>
        </w:rPr>
        <w:t xml:space="preserve">). Our management board and supervisory board are entirely separate and, as a rule, no individual may simultaneously be a member of both the management board and the supervisory board. </w:t>
      </w:r>
    </w:p>
    <w:p>
      <w:pPr>
        <w:pStyle w:val="TextBody"/>
        <w:spacing w:before="240" w:after="0"/>
        <w:jc w:val="both"/>
        <w:rPr>
          <w:rFonts w:ascii="Times New Roman" w:hAnsi="Times New Roman"/>
          <w:sz w:val="20"/>
        </w:rPr>
      </w:pPr>
      <w:r>
        <w:rPr>
          <w:rFonts w:ascii="Times New Roman" w:hAnsi="Times New Roman"/>
          <w:sz w:val="20"/>
        </w:rPr>
        <w:t>Our management board is responsible for the day-to-day management of our business in accordance with applicable laws, our articles of association (</w:t>
      </w:r>
      <w:r>
        <w:rPr>
          <w:rFonts w:ascii="Times New Roman" w:hAnsi="Times New Roman"/>
          <w:i/>
          <w:sz w:val="20"/>
        </w:rPr>
        <w:t>Satzung</w:t>
      </w:r>
      <w:r>
        <w:rPr>
          <w:rFonts w:ascii="Times New Roman" w:hAnsi="Times New Roman"/>
          <w:sz w:val="20"/>
        </w:rPr>
        <w:t>) and the management board’s internal rules of procedure (</w:t>
      </w:r>
      <w:r>
        <w:rPr>
          <w:rFonts w:ascii="Times New Roman" w:hAnsi="Times New Roman"/>
          <w:i/>
          <w:sz w:val="20"/>
        </w:rPr>
        <w:t>Geschäftsordnung</w:t>
      </w:r>
      <w:r>
        <w:rPr>
          <w:rFonts w:ascii="Times New Roman" w:hAnsi="Times New Roman"/>
          <w:sz w:val="20"/>
        </w:rPr>
        <w:t xml:space="preserve">). Our management board represents us in our dealings with third parties and is responsible for implementing an internal monitoring system for risk management purposes. </w:t>
      </w:r>
    </w:p>
    <w:p>
      <w:pPr>
        <w:pStyle w:val="TextBody"/>
        <w:spacing w:before="240" w:after="0"/>
        <w:jc w:val="both"/>
        <w:rPr>
          <w:rFonts w:ascii="Times New Roman" w:hAnsi="Times New Roman"/>
          <w:sz w:val="20"/>
        </w:rPr>
      </w:pPr>
      <w:r>
        <w:rPr>
          <w:rFonts w:ascii="Times New Roman" w:hAnsi="Times New Roman"/>
          <w:sz w:val="20"/>
        </w:rPr>
        <w:t xml:space="preserve">The principal function of our supervisory board is to supervise our management board. The supervisory board is also responsible for appointing and removing the members of our management board, representing us in connection with transactions between a current or former member of the management board and us, and granting approvals for certain significant matters. </w:t>
      </w:r>
    </w:p>
    <w:p>
      <w:pPr>
        <w:pStyle w:val="TextBody"/>
        <w:spacing w:before="240" w:after="0"/>
        <w:jc w:val="both"/>
        <w:rPr>
          <w:rFonts w:ascii="Times New Roman" w:hAnsi="Times New Roman"/>
          <w:sz w:val="20"/>
        </w:rPr>
      </w:pPr>
      <w:r>
        <w:rPr>
          <w:rFonts w:ascii="Times New Roman" w:hAnsi="Times New Roman"/>
          <w:sz w:val="20"/>
        </w:rPr>
        <w:t>Under German law, the management board and the supervisory board are solely responsible for and manage their own areas of competency (</w:t>
      </w:r>
      <w:r>
        <w:rPr>
          <w:rFonts w:ascii="Times New Roman" w:hAnsi="Times New Roman"/>
          <w:i/>
          <w:sz w:val="20"/>
        </w:rPr>
        <w:t>Kompetenztrennung</w:t>
      </w:r>
      <w:r>
        <w:rPr>
          <w:rFonts w:ascii="Times New Roman" w:hAnsi="Times New Roman"/>
          <w:sz w:val="20"/>
        </w:rPr>
        <w:t xml:space="preserve">); therefore, neither board may make decisions that, pursuant to applicable law, our articles of association or our internal rules of procedure, are the responsibility of the other board. Members of both boards owe a duty of loyalty and care to us. In carrying out their duties, management board and supervisory board members are required to exercise the standard of care of a prudent and diligent businessperson or supervisory board member, as the case may be. If they fail to observe the appropriate standard of care, they may become liable to the company. </w:t>
      </w:r>
    </w:p>
    <w:p>
      <w:pPr>
        <w:pStyle w:val="TextBody"/>
        <w:spacing w:before="240" w:after="0"/>
        <w:jc w:val="both"/>
        <w:rPr>
          <w:rFonts w:ascii="Times New Roman" w:hAnsi="Times New Roman"/>
          <w:sz w:val="20"/>
        </w:rPr>
      </w:pPr>
      <w:r>
        <w:rPr>
          <w:rFonts w:ascii="Times New Roman" w:hAnsi="Times New Roman"/>
          <w:sz w:val="20"/>
        </w:rPr>
        <w:t xml:space="preserve">In carrying out their duties, members of the management board and the supervisory board may take into account a broad range of considerations when making decisions. These considerations include the company’s interests and the interests of our shareholders, employees, creditors and, to a limited extent, the general public, while respecting the rights of our shareholders to be treated equally. </w:t>
      </w:r>
    </w:p>
    <w:p>
      <w:pPr>
        <w:pStyle w:val="TextBody"/>
        <w:spacing w:before="240" w:after="0"/>
        <w:jc w:val="both"/>
        <w:rPr>
          <w:rFonts w:ascii="Times New Roman" w:hAnsi="Times New Roman"/>
          <w:sz w:val="20"/>
        </w:rPr>
      </w:pPr>
      <w:r>
        <w:rPr>
          <w:rFonts w:ascii="Times New Roman" w:hAnsi="Times New Roman"/>
          <w:sz w:val="20"/>
        </w:rPr>
        <w:t xml:space="preserve">Our supervisory board has comprehensive monitoring responsibilities. To ensure that our supervisory board is in a position to carry out these functions properly, our management board must, among other duties, regularly report to our supervisory board regarding our current business operations and future business planning (including financial, investment and personnel planning). In addition, our supervisory board is entitled to request special reports from the management board at any time. </w:t>
      </w:r>
    </w:p>
    <w:p>
      <w:pPr>
        <w:pStyle w:val="TextBody"/>
        <w:spacing w:before="240" w:after="0"/>
        <w:jc w:val="both"/>
        <w:rPr>
          <w:rFonts w:ascii="Times New Roman" w:hAnsi="Times New Roman"/>
          <w:sz w:val="20"/>
        </w:rPr>
      </w:pPr>
      <w:r>
        <w:rPr>
          <w:rFonts w:ascii="Times New Roman" w:hAnsi="Times New Roman"/>
          <w:sz w:val="20"/>
        </w:rPr>
        <w:t xml:space="preserve">Under German law, our shareholders have no direct recourse against the members of our management board or supervisory board if they have breached their duty of loyalty or care to us. Apart from insolvency or other special circumstances, only we have the ability to claim damages from the management board and supervisory board members. We may only waive these claims to damages or settle these claims if at least three years have passed since the violation of a duty occurred, and our shareholders approve the waiver or settlement at a shareholders’ meeting with a simple majority of the votes cast at such meeting. However, a waiver or settlement is not permitted if shareholders who in the aggregate hold one-tenth or more of our share capital object to the waiver or settlement and have their objection formally recorded in the minutes of the shareholder meeting by a German civil law notary. </w:t>
      </w:r>
    </w:p>
    <w:p>
      <w:pPr>
        <w:pStyle w:val="TextBody"/>
        <w:spacing w:before="240" w:after="0"/>
        <w:jc w:val="both"/>
        <w:rPr>
          <w:rFonts w:ascii="Times New Roman" w:hAnsi="Times New Roman"/>
          <w:sz w:val="20"/>
        </w:rPr>
      </w:pPr>
      <w:r>
        <w:rPr>
          <w:rFonts w:ascii="Times New Roman" w:hAnsi="Times New Roman"/>
          <w:sz w:val="20"/>
        </w:rPr>
        <w:t xml:space="preserve">The following description, as far as it relates to our articles of association, is based on our articles of association dated August 16, 2022. </w:t>
      </w:r>
    </w:p>
    <w:p>
      <w:pPr>
        <w:pStyle w:val="TextBody"/>
        <w:spacing w:before="360" w:after="0"/>
        <w:jc w:val="left"/>
        <w:rPr>
          <w:rFonts w:ascii="Times New Roman" w:hAnsi="Times New Roman"/>
          <w:b/>
          <w:sz w:val="20"/>
        </w:rPr>
      </w:pPr>
      <w:r>
        <w:rPr>
          <w:rFonts w:ascii="Times New Roman" w:hAnsi="Times New Roman"/>
          <w:b/>
          <w:sz w:val="20"/>
        </w:rPr>
        <w:t xml:space="preserve">Management Board </w:t>
      </w:r>
    </w:p>
    <w:p>
      <w:pPr>
        <w:pStyle w:val="TextBody"/>
        <w:spacing w:before="120" w:after="0"/>
        <w:jc w:val="left"/>
        <w:rPr>
          <w:rFonts w:ascii="Times New Roman" w:hAnsi="Times New Roman"/>
          <w:b/>
          <w:i/>
          <w:sz w:val="20"/>
        </w:rPr>
      </w:pPr>
      <w:r>
        <w:rPr>
          <w:rFonts w:ascii="Times New Roman" w:hAnsi="Times New Roman"/>
          <w:b/>
          <w:i/>
          <w:sz w:val="20"/>
        </w:rPr>
        <w:t xml:space="preserve">Overview </w:t>
      </w:r>
    </w:p>
    <w:p>
      <w:pPr>
        <w:pStyle w:val="TextBody"/>
        <w:spacing w:before="120" w:after="0"/>
        <w:jc w:val="both"/>
        <w:rPr>
          <w:rFonts w:ascii="Times New Roman" w:hAnsi="Times New Roman"/>
          <w:sz w:val="20"/>
        </w:rPr>
      </w:pPr>
      <w:r>
        <w:rPr>
          <w:rFonts w:ascii="Times New Roman" w:hAnsi="Times New Roman"/>
          <w:sz w:val="20"/>
        </w:rPr>
        <w:t xml:space="preserve">Under our articles of association, the management board must consist of one or several members. The supervisory board determines the exact number of members of our management board and appoints the chairperson and the deputy chairperson of the management board, if any. If only one member has been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appointed, he or she represents our Company alone. If several management board members are appointed, we are represented by two management board members jointly or by one management board member together with an authorized representative (</w:t>
      </w:r>
      <w:r>
        <w:rPr>
          <w:rFonts w:ascii="Times New Roman" w:hAnsi="Times New Roman"/>
          <w:i/>
          <w:sz w:val="20"/>
        </w:rPr>
        <w:t>Prokurist</w:t>
      </w:r>
      <w:r>
        <w:rPr>
          <w:rFonts w:ascii="Times New Roman" w:hAnsi="Times New Roman"/>
          <w:sz w:val="20"/>
        </w:rPr>
        <w:t xml:space="preserve">). Currently, the management board consists of the following four members: Emin Bulent Altan (Co-Chief Executive Officer), Mustafa Veziroglu (Co-Chief Executive Officer), Stefan Berndt-von Bülow (Chief Financial Officer), and Joachim Horwath (Chief Technology Officer). </w:t>
      </w:r>
    </w:p>
    <w:p>
      <w:pPr>
        <w:pStyle w:val="TextBody"/>
        <w:spacing w:before="240" w:after="0"/>
        <w:jc w:val="both"/>
        <w:rPr>
          <w:rFonts w:ascii="Times New Roman" w:hAnsi="Times New Roman"/>
          <w:sz w:val="20"/>
        </w:rPr>
      </w:pPr>
      <w:r>
        <w:rPr>
          <w:rFonts w:ascii="Times New Roman" w:hAnsi="Times New Roman"/>
          <w:sz w:val="20"/>
        </w:rPr>
        <w:t xml:space="preserve">The members of our management board conduct the day-to-day business of our company in accordance with applicable laws, our articles of association and the rules of procedure for the management board adopted by our supervisory board. The management board is generally responsible for the management of our company and for handling our day-to-day business with third parties, the internal organization of our business and communications with our shareholders. In addition, the management board is responsible for: </w:t>
      </w:r>
    </w:p>
    <w:p>
      <w:pPr>
        <w:pStyle w:val="TextBody"/>
        <w:spacing w:before="0" w:after="0"/>
        <w:jc w:val="left"/>
        <w:rPr/>
      </w:pPr>
      <w:r>
        <w:rPr/>
        <w:t> </w:t>
      </w:r>
    </w:p>
    <w:tbl>
      <w:tblPr>
        <w:tblW w:w="3745" w:type="dxa"/>
        <w:jc w:val="left"/>
        <w:tblInd w:w="0" w:type="dxa"/>
        <w:tblCellMar>
          <w:top w:w="0" w:type="dxa"/>
          <w:left w:w="0" w:type="dxa"/>
          <w:bottom w:w="0" w:type="dxa"/>
          <w:right w:w="0" w:type="dxa"/>
        </w:tblCellMar>
      </w:tblPr>
      <w:tblGrid>
        <w:gridCol w:w="75"/>
        <w:gridCol w:w="110"/>
        <w:gridCol w:w="60"/>
        <w:gridCol w:w="35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50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preparing our annual financial statements;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making a proposal to be submitted to our shareholders’ meeting on how our profits (if any) should be allocated (such proposal to be submitted simultaneously to the supervisory board);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regular reporting to the supervisory board on our current operating and financial performance, our budgeting and planning processes and our performance in relation thereto, and on future business planning (including strategic, financial, investment and personnel planning). </w:t>
            </w:r>
          </w:p>
        </w:tc>
      </w:tr>
    </w:tbl>
    <w:p>
      <w:pPr>
        <w:pStyle w:val="TextBody"/>
        <w:spacing w:before="240" w:after="0"/>
        <w:jc w:val="both"/>
        <w:rPr>
          <w:rFonts w:ascii="Times New Roman" w:hAnsi="Times New Roman"/>
          <w:sz w:val="20"/>
        </w:rPr>
      </w:pPr>
      <w:r>
        <w:rPr>
          <w:rFonts w:ascii="Times New Roman" w:hAnsi="Times New Roman"/>
          <w:sz w:val="20"/>
        </w:rPr>
        <w:t xml:space="preserve">The members of our management board are appointed by our supervisory board for a maximum term of five years. According to the recommendations of the German Corporate Governance Code, the first-time appointment of management board members shall be for a period not more than three years. Reappointment or extension, including a repeated reappointment or extension, of the term for up to five years is permissible. The supervisory board may only revoke the appointment of a management board member prior to the expiration of his or her term for good cause, such as for gross breach of fiduciary duties or if the shareholders’ meeting passes a vote of no-confidence with respect to such member, unless the supervisory board deems the no-confidence vote to be clearly unreasonable. The supervisory board is also responsible for entering into, amending and terminating service agreements with the management board members and, in general, for representing us in disputes involving the management board irrespective of whether in or out of the court. Our supervisory board may delegate any of these tasks to one of its committees, subject to certain exceptions where resolutions must be taken by the supervisory board as a whole. </w:t>
      </w:r>
    </w:p>
    <w:p>
      <w:pPr>
        <w:pStyle w:val="TextBody"/>
        <w:spacing w:before="240" w:after="0"/>
        <w:jc w:val="both"/>
        <w:rPr>
          <w:rFonts w:ascii="Times New Roman" w:hAnsi="Times New Roman"/>
          <w:sz w:val="20"/>
        </w:rPr>
      </w:pPr>
      <w:r>
        <w:rPr>
          <w:rFonts w:ascii="Times New Roman" w:hAnsi="Times New Roman"/>
          <w:sz w:val="20"/>
        </w:rPr>
        <w:t>In addition to matters for which a resolution adopted by all members of the management board is required by law or our articles of association, the rules of procedure for our management board provide that certain matters require a resolution adopted by all members of the management board (</w:t>
      </w:r>
      <w:r>
        <w:rPr>
          <w:rFonts w:ascii="Times New Roman" w:hAnsi="Times New Roman"/>
          <w:i/>
          <w:sz w:val="20"/>
        </w:rPr>
        <w:t>Gesamtzuständigkeit</w:t>
      </w:r>
      <w:r>
        <w:rPr>
          <w:rFonts w:ascii="Times New Roman" w:hAnsi="Times New Roman"/>
          <w:sz w:val="20"/>
        </w:rPr>
        <w:t xml:space="preserve">). In particular, the entire management board shall decide on, among others: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strategy of Mynaric group, fundamental issues of the business policy and any other matters, especially national or international business relations, which are of special importance and scope for the Company and/or its group companies;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annual and multi-year business planning for Mynaric group and in particular the related investment and financial planning;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preparation of the annual financial statements and the management report, the consolidated financial statements and the group management report, as well as semi-annual and quarterly financial reports, interim announcements and other comparable reports;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convocation of the general meeting and the management board’s proposals for resolutions to be passed by the general meeting; </w:t>
            </w:r>
          </w:p>
        </w:tc>
      </w:tr>
    </w:tbl>
    <w:p>
      <w:pPr>
        <w:pStyle w:val="TextBody"/>
        <w:spacing w:before="0" w:after="0"/>
        <w:jc w:val="left"/>
        <w:rPr/>
      </w:pPr>
      <w:r>
        <w:rPr/>
        <w:t> </w:t>
      </w:r>
    </w:p>
    <w:tbl>
      <w:tblPr>
        <w:tblW w:w="4165" w:type="dxa"/>
        <w:jc w:val="left"/>
        <w:tblInd w:w="0" w:type="dxa"/>
        <w:tblCellMar>
          <w:top w:w="0" w:type="dxa"/>
          <w:left w:w="0" w:type="dxa"/>
          <w:bottom w:w="0" w:type="dxa"/>
          <w:right w:w="0" w:type="dxa"/>
        </w:tblCellMar>
      </w:tblPr>
      <w:tblGrid>
        <w:gridCol w:w="75"/>
        <w:gridCol w:w="110"/>
        <w:gridCol w:w="60"/>
        <w:gridCol w:w="39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92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periodic reporting to the supervisory board;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measures and legal transactions requiring the approval of the supervisory board or of the general meeting pursuant to relevant laws, the articles of association or these rules of procedure; </w:t>
            </w:r>
          </w:p>
        </w:tc>
      </w:tr>
    </w:tbl>
    <w:p>
      <w:pPr>
        <w:pStyle w:val="TextBody"/>
        <w:spacing w:before="0" w:after="0"/>
        <w:jc w:val="left"/>
        <w:rPr/>
      </w:pPr>
      <w:r>
        <w:rPr/>
        <w:t> </w:t>
      </w:r>
    </w:p>
    <w:tbl>
      <w:tblPr>
        <w:tblW w:w="4285" w:type="dxa"/>
        <w:jc w:val="left"/>
        <w:tblInd w:w="0" w:type="dxa"/>
        <w:tblCellMar>
          <w:top w:w="0" w:type="dxa"/>
          <w:left w:w="0" w:type="dxa"/>
          <w:bottom w:w="0" w:type="dxa"/>
          <w:right w:w="0" w:type="dxa"/>
        </w:tblCellMar>
      </w:tblPr>
      <w:tblGrid>
        <w:gridCol w:w="75"/>
        <w:gridCol w:w="110"/>
        <w:gridCol w:w="60"/>
        <w:gridCol w:w="40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04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fundamental issues relating to personnel matters;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 setting up or amending of the compensation principles for second level executives and (ii) entering into or amending the terms of employment of any second level executive (including with respect to salary or other compensation); </w:t>
            </w:r>
          </w:p>
        </w:tc>
      </w:tr>
    </w:tbl>
    <w:p>
      <w:pPr>
        <w:pStyle w:val="TextBody"/>
        <w:spacing w:before="0" w:after="0"/>
        <w:jc w:val="left"/>
        <w:rPr/>
      </w:pPr>
      <w:r>
        <w:rPr/>
        <w:t> </w:t>
      </w:r>
    </w:p>
    <w:tbl>
      <w:tblPr>
        <w:tblW w:w="8320" w:type="dxa"/>
        <w:jc w:val="left"/>
        <w:tblInd w:w="0" w:type="dxa"/>
        <w:tblCellMar>
          <w:top w:w="0" w:type="dxa"/>
          <w:left w:w="0" w:type="dxa"/>
          <w:bottom w:w="0" w:type="dxa"/>
          <w:right w:w="0" w:type="dxa"/>
        </w:tblCellMar>
      </w:tblPr>
      <w:tblGrid>
        <w:gridCol w:w="75"/>
        <w:gridCol w:w="110"/>
        <w:gridCol w:w="60"/>
        <w:gridCol w:w="80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07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adoption, amendment and rescission of the business responsibility plan for the management board;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issuance of the declaration relating to the German Corporate Governance Code pursuant to Section 161 German Stock Corporation Act (if applicable);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all matters which are not allocated to the business area of an individual member of the management board under the business responsibility plan;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all matters which have been presented for resolution to the management board by a member of the management board or with respect to which a member of the management board has requested a resolution by the entire management board. </w:t>
            </w:r>
          </w:p>
        </w:tc>
      </w:tr>
    </w:tbl>
    <w:p>
      <w:pPr>
        <w:pStyle w:val="TextBody"/>
        <w:spacing w:before="360" w:after="0"/>
        <w:jc w:val="left"/>
        <w:rPr>
          <w:rFonts w:ascii="Times New Roman" w:hAnsi="Times New Roman"/>
          <w:b/>
          <w:i/>
          <w:sz w:val="20"/>
        </w:rPr>
      </w:pPr>
      <w:r>
        <w:rPr>
          <w:rFonts w:ascii="Times New Roman" w:hAnsi="Times New Roman"/>
          <w:b/>
          <w:i/>
          <w:sz w:val="20"/>
        </w:rPr>
        <w:t xml:space="preserve">Members of our Management Board </w:t>
      </w:r>
    </w:p>
    <w:p>
      <w:pPr>
        <w:pStyle w:val="TextBody"/>
        <w:spacing w:before="120" w:after="0"/>
        <w:jc w:val="both"/>
        <w:rPr>
          <w:rFonts w:ascii="Times New Roman" w:hAnsi="Times New Roman"/>
          <w:sz w:val="20"/>
        </w:rPr>
      </w:pPr>
      <w:r>
        <w:rPr>
          <w:rFonts w:ascii="Times New Roman" w:hAnsi="Times New Roman"/>
          <w:sz w:val="20"/>
        </w:rPr>
        <w:t xml:space="preserve">The following table sets forth the names of the current members of our management board, their ages, the year of expiration of their term as management board members and position: </w:t>
      </w:r>
    </w:p>
    <w:p>
      <w:pPr>
        <w:pStyle w:val="TextBody"/>
        <w:spacing w:before="0" w:after="0"/>
        <w:jc w:val="left"/>
        <w:rPr/>
      </w:pPr>
      <w:r>
        <w:rPr/>
        <w:t> </w:t>
      </w:r>
    </w:p>
    <w:tbl>
      <w:tblPr>
        <w:tblW w:w="6605" w:type="dxa"/>
        <w:jc w:val="left"/>
        <w:tblInd w:w="0" w:type="dxa"/>
        <w:tblCellMar>
          <w:top w:w="0" w:type="dxa"/>
          <w:left w:w="0" w:type="dxa"/>
          <w:bottom w:w="0" w:type="dxa"/>
          <w:right w:w="0" w:type="dxa"/>
        </w:tblCellMar>
      </w:tblPr>
      <w:tblGrid>
        <w:gridCol w:w="2105"/>
        <w:gridCol w:w="120"/>
        <w:gridCol w:w="425"/>
        <w:gridCol w:w="120"/>
        <w:gridCol w:w="1460"/>
        <w:gridCol w:w="120"/>
        <w:gridCol w:w="2255"/>
      </w:tblGrid>
      <w:tr>
        <w:trPr/>
        <w:tc>
          <w:tcPr>
            <w:tcW w:w="21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55" w:type="dxa"/>
            <w:tcBorders/>
            <w:shd w:fill="auto" w:val="clear"/>
            <w:vAlign w:val="center"/>
          </w:tcPr>
          <w:p>
            <w:pPr>
              <w:pStyle w:val="TableContents"/>
              <w:spacing w:before="0" w:after="283"/>
              <w:rPr>
                <w:sz w:val="4"/>
                <w:szCs w:val="4"/>
              </w:rPr>
            </w:pPr>
            <w:r>
              <w:rPr>
                <w:sz w:val="4"/>
                <w:szCs w:val="4"/>
              </w:rPr>
            </w:r>
          </w:p>
        </w:tc>
      </w:tr>
      <w:tr>
        <w:trPr/>
        <w:tc>
          <w:tcPr>
            <w:tcW w:w="2105" w:type="dxa"/>
            <w:tcBorders>
              <w:bottom w:val="single" w:sz="8" w:space="0" w:color="000000"/>
            </w:tcBorders>
            <w:shd w:fill="auto" w:val="clear"/>
            <w:tcMar>
              <w:bottom w:w="28" w:type="dxa"/>
            </w:tcMar>
            <w:vAlign w:val="center"/>
          </w:tcPr>
          <w:p>
            <w:pPr>
              <w:pStyle w:val="TableContents"/>
              <w:spacing w:before="0" w:after="2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425" w:type="dxa"/>
            <w:tcBorders>
              <w:bottom w:val="single" w:sz="8" w:space="0" w:color="000000"/>
            </w:tcBorders>
            <w:shd w:fill="auto" w:val="clear"/>
            <w:tcMar>
              <w:bottom w:w="28" w:type="dxa"/>
            </w:tcMar>
            <w:vAlign w:val="center"/>
          </w:tcPr>
          <w:p>
            <w:pPr>
              <w:pStyle w:val="TableContents"/>
              <w:spacing w:before="0" w:after="283"/>
              <w:jc w:val="center"/>
              <w:rPr>
                <w:b/>
              </w:rPr>
            </w:pPr>
            <w:r>
              <w:rPr>
                <w:b/>
              </w:rPr>
              <w:t>Age</w:t>
            </w:r>
          </w:p>
        </w:tc>
        <w:tc>
          <w:tcPr>
            <w:tcW w:w="120" w:type="dxa"/>
            <w:tcBorders/>
            <w:shd w:fill="auto" w:val="clear"/>
            <w:vAlign w:val="center"/>
          </w:tcPr>
          <w:p>
            <w:pPr>
              <w:pStyle w:val="TableContents"/>
              <w:spacing w:before="0" w:after="283"/>
              <w:rPr/>
            </w:pPr>
            <w:r>
              <w:rPr/>
              <w:t>  </w:t>
            </w:r>
          </w:p>
        </w:tc>
        <w:tc>
          <w:tcPr>
            <w:tcW w:w="1460" w:type="dxa"/>
            <w:tcBorders>
              <w:bottom w:val="single" w:sz="8" w:space="0" w:color="000000"/>
            </w:tcBorders>
            <w:shd w:fill="auto" w:val="clear"/>
            <w:tcMar>
              <w:bottom w:w="28" w:type="dxa"/>
            </w:tcMar>
            <w:vAlign w:val="center"/>
          </w:tcPr>
          <w:p>
            <w:pPr>
              <w:pStyle w:val="TableContents"/>
              <w:spacing w:before="0" w:after="283"/>
              <w:jc w:val="center"/>
              <w:rPr>
                <w:b/>
              </w:rPr>
            </w:pPr>
            <w:r>
              <w:rPr>
                <w:b/>
              </w:rPr>
              <w:t>Year in which</w:t>
              <w:br/>
              <w:t>term expires</w:t>
            </w:r>
          </w:p>
        </w:tc>
        <w:tc>
          <w:tcPr>
            <w:tcW w:w="120" w:type="dxa"/>
            <w:tcBorders/>
            <w:shd w:fill="auto" w:val="clear"/>
            <w:vAlign w:val="center"/>
          </w:tcPr>
          <w:p>
            <w:pPr>
              <w:pStyle w:val="TableContents"/>
              <w:spacing w:before="0" w:after="283"/>
              <w:rPr/>
            </w:pPr>
            <w:r>
              <w:rPr/>
              <w:t>  </w:t>
            </w:r>
          </w:p>
        </w:tc>
        <w:tc>
          <w:tcPr>
            <w:tcW w:w="225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Position</w:t>
            </w:r>
          </w:p>
        </w:tc>
      </w:tr>
      <w:tr>
        <w:trPr/>
        <w:tc>
          <w:tcPr>
            <w:tcW w:w="210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Emin Bulent Altan</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45</w:t>
            </w:r>
          </w:p>
        </w:tc>
        <w:tc>
          <w:tcPr>
            <w:tcW w:w="12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2025</w:t>
            </w:r>
          </w:p>
        </w:tc>
        <w:tc>
          <w:tcPr>
            <w:tcW w:w="120" w:type="dxa"/>
            <w:tcBorders/>
            <w:shd w:fill="auto" w:val="clear"/>
            <w:vAlign w:val="center"/>
          </w:tcPr>
          <w:p>
            <w:pPr>
              <w:pStyle w:val="TableContents"/>
              <w:spacing w:before="0" w:after="283"/>
              <w:rPr/>
            </w:pPr>
            <w:r>
              <w:rPr/>
              <w:t>  </w:t>
            </w:r>
          </w:p>
        </w:tc>
        <w:tc>
          <w:tcPr>
            <w:tcW w:w="225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Co-Chief Executive Officer</w:t>
            </w:r>
          </w:p>
        </w:tc>
      </w:tr>
      <w:tr>
        <w:trPr/>
        <w:tc>
          <w:tcPr>
            <w:tcW w:w="210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Mustafa Veziroglu(1)</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62</w:t>
            </w:r>
          </w:p>
        </w:tc>
        <w:tc>
          <w:tcPr>
            <w:tcW w:w="12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2025</w:t>
            </w:r>
          </w:p>
        </w:tc>
        <w:tc>
          <w:tcPr>
            <w:tcW w:w="120" w:type="dxa"/>
            <w:tcBorders/>
            <w:shd w:fill="auto" w:val="clear"/>
            <w:vAlign w:val="center"/>
          </w:tcPr>
          <w:p>
            <w:pPr>
              <w:pStyle w:val="TableContents"/>
              <w:spacing w:before="0" w:after="283"/>
              <w:rPr/>
            </w:pPr>
            <w:r>
              <w:rPr/>
              <w:t>  </w:t>
            </w:r>
          </w:p>
        </w:tc>
        <w:tc>
          <w:tcPr>
            <w:tcW w:w="225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Co-Chief Executive Officer</w:t>
            </w:r>
          </w:p>
        </w:tc>
      </w:tr>
      <w:tr>
        <w:trPr/>
        <w:tc>
          <w:tcPr>
            <w:tcW w:w="210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Stefan Berndt-von Bülow</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48</w:t>
            </w:r>
          </w:p>
        </w:tc>
        <w:tc>
          <w:tcPr>
            <w:tcW w:w="12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2025</w:t>
            </w:r>
          </w:p>
        </w:tc>
        <w:tc>
          <w:tcPr>
            <w:tcW w:w="120" w:type="dxa"/>
            <w:tcBorders/>
            <w:shd w:fill="auto" w:val="clear"/>
            <w:vAlign w:val="center"/>
          </w:tcPr>
          <w:p>
            <w:pPr>
              <w:pStyle w:val="TableContents"/>
              <w:spacing w:before="0" w:after="283"/>
              <w:rPr/>
            </w:pPr>
            <w:r>
              <w:rPr/>
              <w:t>  </w:t>
            </w:r>
          </w:p>
        </w:tc>
        <w:tc>
          <w:tcPr>
            <w:tcW w:w="225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Chief Financial Officer</w:t>
            </w:r>
          </w:p>
        </w:tc>
      </w:tr>
      <w:tr>
        <w:trPr/>
        <w:tc>
          <w:tcPr>
            <w:tcW w:w="210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Joachim Horwath</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49</w:t>
            </w:r>
          </w:p>
        </w:tc>
        <w:tc>
          <w:tcPr>
            <w:tcW w:w="12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2024</w:t>
            </w:r>
          </w:p>
        </w:tc>
        <w:tc>
          <w:tcPr>
            <w:tcW w:w="120" w:type="dxa"/>
            <w:tcBorders/>
            <w:shd w:fill="auto" w:val="clear"/>
            <w:vAlign w:val="center"/>
          </w:tcPr>
          <w:p>
            <w:pPr>
              <w:pStyle w:val="TableContents"/>
              <w:spacing w:before="0" w:after="283"/>
              <w:rPr/>
            </w:pPr>
            <w:r>
              <w:rPr/>
              <w:t>  </w:t>
            </w:r>
          </w:p>
        </w:tc>
        <w:tc>
          <w:tcPr>
            <w:tcW w:w="225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Chief Technology Officer</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55"/>
        <w:gridCol w:w="9950"/>
      </w:tblGrid>
      <w:tr>
        <w:trPr/>
        <w:tc>
          <w:tcPr>
            <w:tcW w:w="255" w:type="dxa"/>
            <w:tcBorders/>
            <w:shd w:fill="auto" w:val="clear"/>
            <w:vAlign w:val="center"/>
          </w:tcPr>
          <w:p>
            <w:pPr>
              <w:pStyle w:val="TableContents"/>
              <w:spacing w:before="0" w:after="283"/>
              <w:jc w:val="left"/>
              <w:rPr/>
            </w:pPr>
            <w:r>
              <w:rPr/>
              <w:t>(1)</w:t>
            </w:r>
          </w:p>
        </w:tc>
        <w:tc>
          <w:tcPr>
            <w:tcW w:w="995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With effect as of August 15, 2022, Mr. Mustafa Veziroglu was appointed by our supervisory board as an additional member of our management board for a period of three years. On January 31, 2023, our supervisory board appointed Mr. Veziroglu as Co-Chief Executive Officer in addition to Mr. Altan, with effect as of February 1, 2023. </w:t>
            </w:r>
          </w:p>
        </w:tc>
      </w:tr>
    </w:tbl>
    <w:p>
      <w:pPr>
        <w:pStyle w:val="TextBody"/>
        <w:spacing w:before="240" w:after="0"/>
        <w:jc w:val="both"/>
        <w:rPr>
          <w:rFonts w:ascii="Times New Roman" w:hAnsi="Times New Roman"/>
          <w:sz w:val="20"/>
        </w:rPr>
      </w:pPr>
      <w:r>
        <w:rPr>
          <w:rFonts w:ascii="Times New Roman" w:hAnsi="Times New Roman"/>
          <w:sz w:val="20"/>
        </w:rPr>
        <w:t xml:space="preserve">Unless otherwise indicated, the current business address for each management board member is the same as our business address: Dornierstraße 19, 82205 Gilching, Germany. </w:t>
      </w:r>
    </w:p>
    <w:p>
      <w:pPr>
        <w:pStyle w:val="TextBody"/>
        <w:spacing w:before="240" w:after="0"/>
        <w:jc w:val="both"/>
        <w:rPr>
          <w:rFonts w:ascii="Times New Roman" w:hAnsi="Times New Roman"/>
          <w:sz w:val="20"/>
        </w:rPr>
      </w:pPr>
      <w:r>
        <w:rPr>
          <w:rFonts w:ascii="Times New Roman" w:hAnsi="Times New Roman"/>
          <w:sz w:val="20"/>
        </w:rPr>
        <w:t xml:space="preserve">The following is a brief summary of the business experience of the members of our management board: </w:t>
      </w:r>
    </w:p>
    <w:p>
      <w:pPr>
        <w:pStyle w:val="TextBody"/>
        <w:spacing w:before="120" w:after="0"/>
        <w:jc w:val="both"/>
        <w:rPr>
          <w:rFonts w:ascii="Times New Roman" w:hAnsi="Times New Roman"/>
          <w:sz w:val="20"/>
        </w:rPr>
      </w:pPr>
      <w:r>
        <w:rPr>
          <w:rFonts w:ascii="Times New Roman" w:hAnsi="Times New Roman"/>
          <w:b/>
          <w:i/>
          <w:sz w:val="20"/>
        </w:rPr>
        <w:t xml:space="preserve">Emin Bulent Altan </w:t>
      </w:r>
      <w:r>
        <w:rPr>
          <w:rFonts w:ascii="Times New Roman" w:hAnsi="Times New Roman"/>
          <w:sz w:val="20"/>
        </w:rPr>
        <w:t>has been our Chief Executive Officer (CEO) since March 2019 and has served as Co-CEO, alongside Mr. Veziroglu, since February 1, 2023. Mr. Altan has been active in the aerospace industry since 2004, when he started his professional career at Space Exploration Technologies Corp. (SpaceX), a private U.S. aerospace manufacturer and space transportation services company headquartered in Hawthorne, California. He remained with SpaceX until 2014, first serving as an avionics engineer and then as a senior director of avionics from 2004 to 2010, where he was responsible for growing the company’s avionics department, and from 2010 to 2014, as vice president of avionics, where he was responsible for the avionics, software and guidance, navigation and control of the Falcon rockets as well as the Dragon capsules. From 2015 to 2016, Mr. Altan held positions as partner and mentor at the Munich-area industrial start-up accelerator TechFounders, as well as taking on the role of head of innovation and digital transformation at Airbus Defence and Space. In 2016, he returned to SpaceX, where he served as the vice president of Satellite Mission Assurance for SpaceX’s Starlink satellite mega-constellation. He is also the sole proprietor of Altan International LLC, a consulting firm he founded in 2015, and through which he currently advises a venture capital fund with respect to start-up investments. Since November 2020, he is also an investment partner (together with the founder of Apeiron Investment Group Ltd., one of our former shareholders) with, and serves as a member of the recommendation committee of, Alpine Space Ventures Management GmbH, a venture capital and private equity firm investing in space-related businesses. He has also served as chairman of the advisory board of Isar Aerospace Technologies GmbH and is a member of the advisory board of C-Star Isar Ltd. and C-Star Isar Co-Invest Fund LP. Mr. Altan is also a limited partner of Alpine Space Ventures Fund I FLP GmbH &amp; Co. KG. In 2023, Mr. Altan was appointed to the board of Morpheus Space, Inc., a provider of in-space propulsion. Mr. Altan holds a Master of Science degree (</w:t>
      </w:r>
      <w:r>
        <w:rPr>
          <w:rFonts w:ascii="Times New Roman" w:hAnsi="Times New Roman"/>
          <w:i/>
          <w:sz w:val="20"/>
        </w:rPr>
        <w:t>Dipl.-Inf</w:t>
      </w:r>
      <w:r>
        <w:rPr>
          <w:rFonts w:ascii="Times New Roman" w:hAnsi="Times New Roman"/>
          <w:sz w:val="20"/>
        </w:rPr>
        <w:t xml:space="preserve">.) in computer science from the Technical University of Munich and a Master of Science degree in aeronautics and astronautics from Stanford University. </w:t>
      </w:r>
    </w:p>
    <w:p>
      <w:pPr>
        <w:pStyle w:val="TextBody"/>
        <w:spacing w:before="240" w:after="0"/>
        <w:jc w:val="both"/>
        <w:rPr>
          <w:rFonts w:ascii="Times New Roman" w:hAnsi="Times New Roman"/>
          <w:sz w:val="20"/>
        </w:rPr>
      </w:pPr>
      <w:r>
        <w:rPr>
          <w:rFonts w:ascii="Times New Roman" w:hAnsi="Times New Roman"/>
          <w:b/>
          <w:i/>
          <w:sz w:val="20"/>
        </w:rPr>
        <w:t>Mustafa Veziroglu</w:t>
      </w:r>
      <w:r>
        <w:rPr>
          <w:rFonts w:ascii="Times New Roman" w:hAnsi="Times New Roman"/>
          <w:sz w:val="20"/>
        </w:rPr>
        <w:t xml:space="preserve"> has been our Co-CEO, alongside Mr. Altan, since February 1, 2023. Mr. Veziroglu has more than 20 years of experience in executive-level positions in the telecommunications and semiconductor industry. Mr. Veziroglu began his career in 1984 as a design engineer at VLSI Technology Inc. In 1998, he joined Xilinx Inc., where he remained until 2010, during which time he held various positions; from 2001 to 2003, he served as senior director and general manager configuration solutions division, from 2004 to 2007, as vice president and general manager of the market specific products division, and from 2008 to 2010, as vice president of product marketing and business operations. In 2012, he joined Lattice Semiconductor Corporation as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corporate vice president of marketing and business development until 2014. In 2017, Mr. Veziroglu joined SA Photonics, Inc. as vice president of corporate business operations before being appointed chief operating officer, communications and sensing in January 2021, where he led all engineering, program management, sales &amp; marketing, quality and manufacturing operations until December 2021. After the acquisition of SA Photonics by CACI International Inc in December 2021, Mr. Veziroglu was responsible for running all aspects of SA Photonics LLC until his departure in July 2022. Mr. Veziroglu joined us in August 2022 as a member of the management board before being appointed Co-CEO effective February 1, 2023. Mr. Veziroglu holds a Bachelor of Science degree in electrical engineering from the Massachusetts Institute of Technology and a Master of Business Administration degree in marketing and finance from Santa Clara University. </w:t>
      </w:r>
    </w:p>
    <w:p>
      <w:pPr>
        <w:pStyle w:val="TextBody"/>
        <w:spacing w:before="240" w:after="0"/>
        <w:jc w:val="both"/>
        <w:rPr>
          <w:rFonts w:ascii="Times New Roman" w:hAnsi="Times New Roman"/>
          <w:sz w:val="20"/>
        </w:rPr>
      </w:pPr>
      <w:r>
        <w:rPr>
          <w:rFonts w:ascii="Times New Roman" w:hAnsi="Times New Roman"/>
          <w:b/>
          <w:i/>
          <w:sz w:val="20"/>
        </w:rPr>
        <w:t>Stefan Berndt-von Bülow</w:t>
      </w:r>
      <w:r>
        <w:rPr>
          <w:rFonts w:ascii="Times New Roman" w:hAnsi="Times New Roman"/>
          <w:sz w:val="20"/>
        </w:rPr>
        <w:t xml:space="preserve"> has been our Chief Financial Officer (CFO) since September 2020. He began his professional career in 2002 at LKC Kemper, Czarske, v. Gronau, Berz auditors, lawyers, tax consultants. Mr. Berndt-von Bülow’s main task at LKC was the independent preparation and examination of end-of-year accounts, preparation of tax returns and supervision of company audits. In 2008, he joined SHS VIVEON AG as head of accounting and investor relations and was the director of the subsidiary SHS VIVEON GmbH until 2017. He was mainly responsible for the implementation of capital measures and the supervision of merger and acquisitions. In 2017, he joined G&amp;D Currency Technology as head of finance and accounting, where he was responsible for the balance sheet preparation for the G&amp;D Currency Technology group and arranging a multi-million-dollar financing for a major project until the end of 2018. He joined Mynaric at the end of 2018 as head of finance before being appointed as our CFO in September 2020. Mr. Berndt-von Bülow graduated from the University of Munich and holds a degree in Business Administration (</w:t>
      </w:r>
      <w:r>
        <w:rPr>
          <w:rFonts w:ascii="Times New Roman" w:hAnsi="Times New Roman"/>
          <w:i/>
          <w:sz w:val="20"/>
        </w:rPr>
        <w:t>Dipl.-Kaufmann</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 w:hAnsi="Times New Roman"/>
          <w:b/>
          <w:i/>
          <w:sz w:val="20"/>
        </w:rPr>
        <w:t>Joachim Horwath</w:t>
      </w:r>
      <w:r>
        <w:rPr>
          <w:rFonts w:ascii="Times New Roman" w:hAnsi="Times New Roman"/>
          <w:sz w:val="20"/>
        </w:rPr>
        <w:t xml:space="preserve"> has been our Chief Technology Officer (CTO) since 2009. Following a research stay at Siemens optical networks for his thesis “</w:t>
      </w:r>
      <w:r>
        <w:rPr>
          <w:rFonts w:ascii="Times New Roman" w:hAnsi="Times New Roman"/>
          <w:i/>
          <w:sz w:val="20"/>
        </w:rPr>
        <w:t>Simulation of Optical Fiber Amplifiers</w:t>
      </w:r>
      <w:r>
        <w:rPr>
          <w:rFonts w:ascii="Times New Roman" w:hAnsi="Times New Roman"/>
          <w:sz w:val="20"/>
        </w:rPr>
        <w:t xml:space="preserve">” in 2000 and studying atmospheric impacts on optical-free-space communications with the research group OptiKom at the Technical University of Graz, he joined the German Aerospace Center (DLR), Institute of Communications in 2002 as a scientist. During his time at the DLR, he focused on numerical simulations of atmospheric index-of refraction turbulence effects and helped to overcome limitations of wireless laser communication. As a project manager, he led many national and international projects on space to ground optical communications and space system verification. He started optical terminal development at DLR and successfully demonstrated optical communications for the first time on a stratospheric balloon in 2005 (project STROPEX) and on aircraft in 2008 (project ARGOS). He was awarded the </w:t>
      </w:r>
      <w:r>
        <w:rPr>
          <w:rFonts w:ascii="Times New Roman" w:hAnsi="Times New Roman"/>
          <w:i/>
          <w:sz w:val="20"/>
        </w:rPr>
        <w:t>Erwin Schrödinger</w:t>
      </w:r>
      <w:r>
        <w:rPr>
          <w:rFonts w:ascii="Times New Roman" w:hAnsi="Times New Roman"/>
          <w:sz w:val="20"/>
        </w:rPr>
        <w:t xml:space="preserve"> prize in 2015 for his contributions to Quantum Cryptography and has been introduced into the technology hall of fame in 2018 by the space foundation for his contributions to miniaturized and affordable laser communication technology connecting the skies and beyond. In 2009, Mr. Horwath co-founded Mynaric Lasercom GmbH and has been serving as managing director and chief technical officer since then. He also served as member of the management board of our Company from 2017 to 2019 and was re-appointed as a member of the management board in 2021. Mr. Horwath graduated from the Technical University of Graz, Austria, and holds a degree in electrical engineering (</w:t>
      </w:r>
      <w:r>
        <w:rPr>
          <w:rFonts w:ascii="Times New Roman" w:hAnsi="Times New Roman"/>
          <w:i/>
          <w:sz w:val="20"/>
        </w:rPr>
        <w:t>Dipl.-Elektroingenieur</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Supervisory Board </w:t>
      </w:r>
    </w:p>
    <w:p>
      <w:pPr>
        <w:pStyle w:val="TextBody"/>
        <w:spacing w:before="120" w:after="0"/>
        <w:jc w:val="left"/>
        <w:rPr>
          <w:rFonts w:ascii="Times New Roman" w:hAnsi="Times New Roman"/>
          <w:b/>
          <w:i/>
          <w:sz w:val="20"/>
        </w:rPr>
      </w:pPr>
      <w:r>
        <w:rPr>
          <w:rFonts w:ascii="Times New Roman" w:hAnsi="Times New Roman"/>
          <w:b/>
          <w:i/>
          <w:sz w:val="20"/>
        </w:rPr>
        <w:t xml:space="preserve">Overview </w:t>
      </w:r>
    </w:p>
    <w:p>
      <w:pPr>
        <w:pStyle w:val="TextBody"/>
        <w:spacing w:before="120" w:after="0"/>
        <w:jc w:val="both"/>
        <w:rPr>
          <w:rFonts w:ascii="Times New Roman" w:hAnsi="Times New Roman"/>
          <w:sz w:val="20"/>
        </w:rPr>
      </w:pPr>
      <w:r>
        <w:rPr>
          <w:rFonts w:ascii="Times New Roman" w:hAnsi="Times New Roman"/>
          <w:sz w:val="20"/>
        </w:rPr>
        <w:t>German law requires that the supervisory board consists of at least three members, whereby the articles of association may stipulate a higher number. Pursuant to our articles of association, our supervisory board shall consist of five (5) members. As we grow, our supervisory board may be required to include employee representatives subject to the provisions of the German One-Third Employee Participation Act (</w:t>
      </w:r>
      <w:r>
        <w:rPr>
          <w:rFonts w:ascii="Times New Roman" w:hAnsi="Times New Roman"/>
          <w:i/>
          <w:sz w:val="20"/>
        </w:rPr>
        <w:t>Drittelbeteiligungsgesetz</w:t>
      </w:r>
      <w:r>
        <w:rPr>
          <w:rFonts w:ascii="Times New Roman" w:hAnsi="Times New Roman"/>
          <w:sz w:val="20"/>
        </w:rPr>
        <w:t>), which applies to companies that on a regular basis employ more than 500 employees in Germany (on a headcount basis), or the German Co-Determination Act (</w:t>
      </w:r>
      <w:r>
        <w:rPr>
          <w:rFonts w:ascii="Times New Roman" w:hAnsi="Times New Roman"/>
          <w:i/>
          <w:sz w:val="20"/>
        </w:rPr>
        <w:t>Mitbestimmungsgesetz</w:t>
      </w:r>
      <w:r>
        <w:rPr>
          <w:rFonts w:ascii="Times New Roman" w:hAnsi="Times New Roman"/>
          <w:sz w:val="20"/>
        </w:rPr>
        <w:t xml:space="preserve">), which applies to companies that on a regular basis employ more than 2,000 employees in Germany (on a headcount basis). Based on the size of our workforce, none of these provisions currently apply to us and we are not required to include employee representatives as members of our supervisory board. </w:t>
      </w:r>
    </w:p>
    <w:p>
      <w:pPr>
        <w:pStyle w:val="TextBody"/>
        <w:spacing w:before="240" w:after="0"/>
        <w:jc w:val="both"/>
        <w:rPr>
          <w:rFonts w:ascii="Times New Roman" w:hAnsi="Times New Roman"/>
          <w:sz w:val="20"/>
        </w:rPr>
      </w:pPr>
      <w:r>
        <w:rPr>
          <w:rFonts w:ascii="Times New Roman" w:hAnsi="Times New Roman"/>
          <w:sz w:val="20"/>
        </w:rPr>
        <w:t xml:space="preserve">Under German law, the members of a supervisory board may be elected for a maximum term of approximately five years, depending on the date of the annual general shareholders’ meeting at which the members of the supervisory board are elected. This time period may not extend past the end of the shareholders’ meeting ratifying the acts of the supervisory board for the fourth full financial year following the commencement of their respective terms of office. For example, if a potential supervisory board member is elected in May 2022, his or her term of office may not extend past the shareholders’ meeting ratifying the acts of the supervisory board in the financial year 2026.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Re-election, including repeated re-election, is permissible. The shareholders’ meeting may specify a term of office for individual members or all of the members of our supervisory board that is shorter than the maximum term of office and, subject to statutory limits, may set different start and end dates for the term of office of individual supervisory board members. </w:t>
      </w:r>
    </w:p>
    <w:p>
      <w:pPr>
        <w:pStyle w:val="TextBody"/>
        <w:spacing w:before="240" w:after="0"/>
        <w:jc w:val="both"/>
        <w:rPr>
          <w:rFonts w:ascii="Times New Roman" w:hAnsi="Times New Roman"/>
          <w:sz w:val="20"/>
        </w:rPr>
      </w:pPr>
      <w:r>
        <w:rPr>
          <w:rFonts w:ascii="Times New Roman" w:hAnsi="Times New Roman"/>
          <w:sz w:val="20"/>
        </w:rPr>
        <w:t xml:space="preserve">Members of our supervisory board may be dismissed at any time during their term of office by a resolution of the shareholders’ meeting adopted by a simple majority of the votes cast at such meeting. In addition, any member of our supervisory board may resign at any time by giving three month’s written notice of his or her resignation to the chairperson of our supervisory board or, in case the chairperson resigns, to the deputy chairperson. Our supervisory board may agree upon a shorter notice period. </w:t>
      </w:r>
    </w:p>
    <w:p>
      <w:pPr>
        <w:pStyle w:val="TextBody"/>
        <w:spacing w:before="240" w:after="0"/>
        <w:jc w:val="both"/>
        <w:rPr>
          <w:rFonts w:ascii="Times New Roman" w:hAnsi="Times New Roman"/>
          <w:sz w:val="20"/>
        </w:rPr>
      </w:pPr>
      <w:r>
        <w:rPr>
          <w:rFonts w:ascii="Times New Roman" w:hAnsi="Times New Roman"/>
          <w:sz w:val="20"/>
        </w:rPr>
        <w:t xml:space="preserve">The shareholders’ meeting may, at the time when it elects the members of the supervisory board, also elect one or more substitute members. Should the term of office of a member of our supervisory board end prematurely the substitute member will replace such supervisory board member for the remainder of his or her original term of office. Currently, no substitute members have been elected or have been proposed to be elected. </w:t>
      </w:r>
    </w:p>
    <w:p>
      <w:pPr>
        <w:pStyle w:val="TextBody"/>
        <w:spacing w:before="240" w:after="0"/>
        <w:jc w:val="both"/>
        <w:rPr>
          <w:rFonts w:ascii="Times New Roman" w:hAnsi="Times New Roman"/>
          <w:sz w:val="20"/>
        </w:rPr>
      </w:pPr>
      <w:r>
        <w:rPr>
          <w:rFonts w:ascii="Times New Roman" w:hAnsi="Times New Roman"/>
          <w:sz w:val="20"/>
        </w:rPr>
        <w:t xml:space="preserve">Our supervisory board elects a chairperson and a deputy chairperson from among its members. The deputy chairperson assumes the chairperson’s responsibilities and duties whenever the chairperson is unable to discharge his or her duties. Manfred Krischke, Peter Müller-Brühl, Steve Geskos, Hans Königsmann and Vincent Wobbe are the current members of our supervisory board. The members of our supervisory board have elected Manfred Krischke as chairperson of the supervisory board and Peter Müller-Brühl as deputy chairperson of the supervisory board, each for his respective term of office. </w:t>
      </w:r>
    </w:p>
    <w:p>
      <w:pPr>
        <w:pStyle w:val="TextBody"/>
        <w:spacing w:before="240" w:after="0"/>
        <w:jc w:val="both"/>
        <w:rPr>
          <w:rFonts w:ascii="Times New Roman" w:hAnsi="Times New Roman"/>
          <w:sz w:val="20"/>
        </w:rPr>
      </w:pPr>
      <w:r>
        <w:rPr>
          <w:rFonts w:ascii="Times New Roman" w:hAnsi="Times New Roman"/>
          <w:sz w:val="20"/>
        </w:rPr>
        <w:t xml:space="preserve">German law does not require the majority of our supervisory board members to be independent. However, pursuant to recommendations contained in the German Corporate Governance Code (as in force as of the date of this Annual Report), the supervisory board shall include such number of independent members that are independent from the company, its management board and any controlling shareholder as it considers appropriate, taking into account the shareholder structure, and the majority of the supervisory board members shall be independent from the company and its management board. A member of the supervisory board is deemed independent from the company and its management board if such member has no personal or business relationship with the company or the management board that may cause a substantial, and not merely temporary, conflict of interest. </w:t>
      </w:r>
    </w:p>
    <w:p>
      <w:pPr>
        <w:pStyle w:val="TextBody"/>
        <w:spacing w:before="240" w:after="0"/>
        <w:jc w:val="both"/>
        <w:rPr>
          <w:rFonts w:ascii="Times New Roman" w:hAnsi="Times New Roman"/>
          <w:sz w:val="20"/>
        </w:rPr>
      </w:pPr>
      <w:r>
        <w:rPr>
          <w:rFonts w:ascii="Times New Roman" w:hAnsi="Times New Roman"/>
          <w:sz w:val="20"/>
        </w:rPr>
        <w:t xml:space="preserve">Pursuant to the German Corporate Governance Code, in case the supervisory board is composed of no more than six (6) members, at least one (1) member of the supervisory board shall be independent from the controlling shareholder. In case the supervisory board comprises more than six (6) members, at least two (2) members of the supervisory board shall be independent from the controlling shareholder. A member of the supervisory board is considered independent from a controlling shareholder if neither such supervisory board member nor its close family members are a controlling shareholder or part of the executive board of a controlling shareholder and no personal or business relationship with the controlling shareholder exists that may cause a substantial, and not merely temporary, conflict of interest. </w:t>
      </w:r>
    </w:p>
    <w:p>
      <w:pPr>
        <w:pStyle w:val="TextBody"/>
        <w:spacing w:before="240" w:after="0"/>
        <w:jc w:val="both"/>
        <w:rPr>
          <w:rFonts w:ascii="Times New Roman" w:hAnsi="Times New Roman"/>
          <w:sz w:val="20"/>
        </w:rPr>
      </w:pPr>
      <w:r>
        <w:rPr>
          <w:rFonts w:ascii="Times New Roman" w:hAnsi="Times New Roman"/>
          <w:sz w:val="20"/>
        </w:rPr>
        <w:t xml:space="preserve">The supervisory board meets at least four times per year, twice during each of the first and the second half of each financial year. Our articles of association and the supervisory board’s rules of procedure provide that a quorum of the supervisory board members is achieved if at least three of its members participate in the vote. Abstention is regarded as participation in the vote, but is not included in the calculation of the votes cast. Members of our supervisory board are deemed to be participating in a vote if they participate via telephone or video conference, as long as no other member of the supervisory board objects to such form of participation. Any absent member may also participate in the vote by submitting his or her written vote through another member. </w:t>
      </w:r>
    </w:p>
    <w:p>
      <w:pPr>
        <w:pStyle w:val="TextBody"/>
        <w:spacing w:before="240" w:after="0"/>
        <w:jc w:val="both"/>
        <w:rPr>
          <w:rFonts w:ascii="Times New Roman" w:hAnsi="Times New Roman"/>
          <w:sz w:val="20"/>
        </w:rPr>
      </w:pPr>
      <w:r>
        <w:rPr>
          <w:rFonts w:ascii="Times New Roman" w:hAnsi="Times New Roman"/>
          <w:sz w:val="20"/>
        </w:rPr>
        <w:t xml:space="preserve">Resolutions of our supervisory board are passed with a simple majority of the votes cast, unless otherwise required by law, our articles of association or the rules of procedure of our supervisory board. In the event of a tied vote, the chairperson has the tie-breaking vote. </w:t>
      </w:r>
    </w:p>
    <w:p>
      <w:pPr>
        <w:pStyle w:val="TextBody"/>
        <w:spacing w:before="240" w:after="0"/>
        <w:jc w:val="both"/>
        <w:rPr>
          <w:rFonts w:ascii="Times New Roman" w:hAnsi="Times New Roman"/>
          <w:sz w:val="20"/>
        </w:rPr>
      </w:pPr>
      <w:r>
        <w:rPr>
          <w:rFonts w:ascii="Times New Roman" w:hAnsi="Times New Roman"/>
          <w:sz w:val="20"/>
        </w:rPr>
        <w:t xml:space="preserve">Under the German Stock Corporation Act, our supervisory board is not permitted to make management decisions. However, in accordance with German law, our supervisory board determined that certain matters require its prior consent, including: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formation, acquisition, sale and dissolution of companies, business units, fixed and current assets related to operations and participations, silent partnerships as well as related transactions;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establishment and discontinuation of branches of the Company; changes to material strategic objectives of the existing business;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entry into and termination of lease agreements with a fixed term exceeding one year, provided that the annual rent exceeds €250,000;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adoption of measures or entry into agreements or making investments related to property, plant and equipment, and financial assets, exceeding the approved budget, with a value of over €50,000; </w:t>
            </w:r>
          </w:p>
        </w:tc>
      </w:tr>
    </w:tbl>
    <w:p>
      <w:pPr>
        <w:pStyle w:val="TextBody"/>
        <w:spacing w:before="0" w:after="0"/>
        <w:jc w:val="left"/>
        <w:rPr/>
      </w:pPr>
      <w:r>
        <w:rPr/>
        <w:t> </w:t>
      </w:r>
    </w:p>
    <w:tbl>
      <w:tblPr>
        <w:tblW w:w="5470" w:type="dxa"/>
        <w:jc w:val="left"/>
        <w:tblInd w:w="0" w:type="dxa"/>
        <w:tblCellMar>
          <w:top w:w="0" w:type="dxa"/>
          <w:left w:w="0" w:type="dxa"/>
          <w:bottom w:w="0" w:type="dxa"/>
          <w:right w:w="0" w:type="dxa"/>
        </w:tblCellMar>
      </w:tblPr>
      <w:tblGrid>
        <w:gridCol w:w="75"/>
        <w:gridCol w:w="110"/>
        <w:gridCol w:w="60"/>
        <w:gridCol w:w="52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entry into credit agreements exceeding an amount of €500,000;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changes to human resources policy principles, including the introduction, modification and termination of generally applicable polices related to employee compensation, the introduction of occupational pensions or retirement plans or employee profit participation plans as well as economically comparable arrangements (such as trusts, shareholder loans and option agreements);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entry into and termination of agreements with employees with total annual compensation (base salary and including variable compensation components, but excluding fringe benefits and long-term incentive plans) exceeding a gross annual amount of €350,000, including in the context of the recruitment of replacement staff; </w:t>
            </w:r>
          </w:p>
        </w:tc>
      </w:tr>
    </w:tbl>
    <w:p>
      <w:pPr>
        <w:pStyle w:val="TextBody"/>
        <w:spacing w:before="0" w:after="0"/>
        <w:jc w:val="left"/>
        <w:rPr/>
      </w:pPr>
      <w:r>
        <w:rPr/>
        <w:t> </w:t>
      </w:r>
    </w:p>
    <w:tbl>
      <w:tblPr>
        <w:tblW w:w="10030" w:type="dxa"/>
        <w:jc w:val="left"/>
        <w:tblInd w:w="0" w:type="dxa"/>
        <w:tblCellMar>
          <w:top w:w="0" w:type="dxa"/>
          <w:left w:w="0" w:type="dxa"/>
          <w:bottom w:w="0" w:type="dxa"/>
          <w:right w:w="0" w:type="dxa"/>
        </w:tblCellMar>
      </w:tblPr>
      <w:tblGrid>
        <w:gridCol w:w="75"/>
        <w:gridCol w:w="110"/>
        <w:gridCol w:w="60"/>
        <w:gridCol w:w="97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78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termination of employment or other restructuring measures affecting more than 10% of the Company’s total head count;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commencement and termination of legal action having a material effect or a financial risk exceeding €200,000, both by and against the Company; </w:t>
            </w:r>
          </w:p>
        </w:tc>
      </w:tr>
    </w:tbl>
    <w:p>
      <w:pPr>
        <w:pStyle w:val="TextBody"/>
        <w:spacing w:before="0" w:after="0"/>
        <w:jc w:val="left"/>
        <w:rPr/>
      </w:pPr>
      <w:r>
        <w:rPr/>
        <w:t> </w:t>
      </w:r>
    </w:p>
    <w:tbl>
      <w:tblPr>
        <w:tblW w:w="9655" w:type="dxa"/>
        <w:jc w:val="left"/>
        <w:tblInd w:w="0" w:type="dxa"/>
        <w:tblCellMar>
          <w:top w:w="0" w:type="dxa"/>
          <w:left w:w="0" w:type="dxa"/>
          <w:bottom w:w="0" w:type="dxa"/>
          <w:right w:w="0" w:type="dxa"/>
        </w:tblCellMar>
      </w:tblPr>
      <w:tblGrid>
        <w:gridCol w:w="75"/>
        <w:gridCol w:w="110"/>
        <w:gridCol w:w="60"/>
        <w:gridCol w:w="94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41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acquisition, sale or encumbrance of real estate, sections of land and comparable rights as well as their development;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granting shareholder loans and credit to non-affiliates, provided these do not concern the granting of mere terms of credit related to ordinary course supply and services, and the portion not covered by related credit insurance exceeds €200,000; </w:t>
            </w:r>
          </w:p>
        </w:tc>
      </w:tr>
    </w:tbl>
    <w:p>
      <w:pPr>
        <w:pStyle w:val="TextBody"/>
        <w:spacing w:before="0" w:after="0"/>
        <w:jc w:val="left"/>
        <w:rPr/>
      </w:pPr>
      <w:r>
        <w:rPr/>
        <w:t> </w:t>
      </w:r>
    </w:p>
    <w:tbl>
      <w:tblPr>
        <w:tblW w:w="9085" w:type="dxa"/>
        <w:jc w:val="left"/>
        <w:tblInd w:w="0" w:type="dxa"/>
        <w:tblCellMar>
          <w:top w:w="0" w:type="dxa"/>
          <w:left w:w="0" w:type="dxa"/>
          <w:bottom w:w="0" w:type="dxa"/>
          <w:right w:w="0" w:type="dxa"/>
        </w:tblCellMar>
      </w:tblPr>
      <w:tblGrid>
        <w:gridCol w:w="75"/>
        <w:gridCol w:w="110"/>
        <w:gridCol w:w="60"/>
        <w:gridCol w:w="88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84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entry into speculative financial transactions (particularly investment in currencies, derivatives or securities);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granting security interests to third parties (excluding affiliates), particularly the assumption of suretyships and other guarantees;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entry into agreements with members of the Management Board or related persons within the meaning of Section 15 of the German Tax Code or corporations, with the exception of agreements with consolidated companies; </w:t>
            </w:r>
          </w:p>
        </w:tc>
      </w:tr>
    </w:tbl>
    <w:p>
      <w:pPr>
        <w:pStyle w:val="TextBody"/>
        <w:spacing w:before="0" w:after="0"/>
        <w:jc w:val="left"/>
        <w:rPr/>
      </w:pPr>
      <w:r>
        <w:rPr/>
        <w:t> </w:t>
      </w:r>
    </w:p>
    <w:tbl>
      <w:tblPr>
        <w:tblW w:w="7960" w:type="dxa"/>
        <w:jc w:val="left"/>
        <w:tblInd w:w="0" w:type="dxa"/>
        <w:tblCellMar>
          <w:top w:w="0" w:type="dxa"/>
          <w:left w:w="0" w:type="dxa"/>
          <w:bottom w:w="0" w:type="dxa"/>
          <w:right w:w="0" w:type="dxa"/>
        </w:tblCellMar>
      </w:tblPr>
      <w:tblGrid>
        <w:gridCol w:w="75"/>
        <w:gridCol w:w="110"/>
        <w:gridCol w:w="60"/>
        <w:gridCol w:w="77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whole or partial sales of material portions of the Company’s assets or mergers of the Company; </w:t>
            </w:r>
          </w:p>
        </w:tc>
      </w:tr>
    </w:tbl>
    <w:p>
      <w:pPr>
        <w:pStyle w:val="TextBody"/>
        <w:spacing w:before="0" w:after="0"/>
        <w:jc w:val="left"/>
        <w:rPr/>
      </w:pPr>
      <w:r>
        <w:rPr/>
        <w:t> </w:t>
      </w:r>
    </w:p>
    <w:tbl>
      <w:tblPr>
        <w:tblW w:w="9820" w:type="dxa"/>
        <w:jc w:val="left"/>
        <w:tblInd w:w="0" w:type="dxa"/>
        <w:tblCellMar>
          <w:top w:w="0" w:type="dxa"/>
          <w:left w:w="0" w:type="dxa"/>
          <w:bottom w:w="0" w:type="dxa"/>
          <w:right w:w="0" w:type="dxa"/>
        </w:tblCellMar>
      </w:tblPr>
      <w:tblGrid>
        <w:gridCol w:w="75"/>
        <w:gridCol w:w="110"/>
        <w:gridCol w:w="60"/>
        <w:gridCol w:w="95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57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establishment or modification of administrative headquarters, branches or permanent establishments for tax purposes;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grants and revocations of general powers of representation (</w:t>
            </w:r>
            <w:r>
              <w:rPr>
                <w:rFonts w:ascii="Times New Roman" w:hAnsi="Times New Roman"/>
                <w:i/>
                <w:sz w:val="20"/>
              </w:rPr>
              <w:t>Prokura</w:t>
            </w:r>
            <w:r>
              <w:rPr>
                <w:rFonts w:ascii="Times New Roman" w:hAnsi="Times New Roman"/>
                <w:sz w:val="20"/>
              </w:rPr>
              <w:t xml:space="preserve">) and general powers of attorney in accordance with applicable German laws;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adoption of the annual consolidated budget (investment, finance, revenue, profit and staffing plans) as well as the implementation of related measures in affiliated companies that are not included in the consolidated budget;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disposal of tangible and intangible assets (including trademarks, domains and patents) related to the Company’s operations outside the ordinary course of business;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entry into, modification or termination of intercompany agreements within the meaning of Sections 291 et seq. of the German Stock Corporation Act;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entry into, modification or termination of joint venture agreements or consortium contracts and other partnership agreements outside the ordinary course of business; and </w:t>
            </w:r>
          </w:p>
        </w:tc>
      </w:tr>
    </w:tbl>
    <w:p>
      <w:pPr>
        <w:pStyle w:val="TextBody"/>
        <w:spacing w:before="0" w:after="0"/>
        <w:jc w:val="left"/>
        <w:rPr/>
      </w:pPr>
      <w:r>
        <w:rPr/>
        <w:t> </w:t>
      </w:r>
    </w:p>
    <w:tbl>
      <w:tblPr>
        <w:tblW w:w="3595" w:type="dxa"/>
        <w:jc w:val="left"/>
        <w:tblInd w:w="0" w:type="dxa"/>
        <w:tblCellMar>
          <w:top w:w="0" w:type="dxa"/>
          <w:left w:w="0" w:type="dxa"/>
          <w:bottom w:w="0" w:type="dxa"/>
          <w:right w:w="0" w:type="dxa"/>
        </w:tblCellMar>
      </w:tblPr>
      <w:tblGrid>
        <w:gridCol w:w="75"/>
        <w:gridCol w:w="110"/>
        <w:gridCol w:w="60"/>
        <w:gridCol w:w="33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35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changes to material accounting policies. </w:t>
            </w:r>
          </w:p>
        </w:tc>
      </w:tr>
    </w:tbl>
    <w:p>
      <w:pPr>
        <w:pStyle w:val="TextBody"/>
        <w:spacing w:before="240" w:after="0"/>
        <w:jc w:val="both"/>
        <w:rPr>
          <w:rFonts w:ascii="Times New Roman" w:hAnsi="Times New Roman"/>
          <w:sz w:val="20"/>
        </w:rPr>
      </w:pPr>
      <w:r>
        <w:rPr>
          <w:rFonts w:ascii="Times New Roman" w:hAnsi="Times New Roman"/>
          <w:sz w:val="20"/>
        </w:rPr>
        <w:t xml:space="preserve">In addition to the matters that our supervisory board has determined from time to time to require its prior consent, as a matter of German law, certain transactions or other matters may only be carried out or implemented subject to our supervisory board’s prior consent.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Members of our Supervisory Board </w:t>
      </w:r>
    </w:p>
    <w:p>
      <w:pPr>
        <w:pStyle w:val="TextBody"/>
        <w:spacing w:before="120" w:after="0"/>
        <w:jc w:val="both"/>
        <w:rPr>
          <w:rFonts w:ascii="Times New Roman" w:hAnsi="Times New Roman"/>
          <w:sz w:val="20"/>
        </w:rPr>
      </w:pPr>
      <w:r>
        <w:rPr>
          <w:rFonts w:ascii="Times New Roman" w:hAnsi="Times New Roman"/>
          <w:sz w:val="20"/>
        </w:rPr>
        <w:t xml:space="preserve">Pursuant to our articles of association, our supervisory board shall consist of five (5) members. The following table sets forth the names of the current members of our supervisory board, their ages, their terms (which expire on the date of the relevant year’s general shareholders’ meeting) and their principal occupations: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617"/>
        <w:gridCol w:w="120"/>
        <w:gridCol w:w="425"/>
        <w:gridCol w:w="120"/>
        <w:gridCol w:w="1460"/>
        <w:gridCol w:w="120"/>
        <w:gridCol w:w="6343"/>
      </w:tblGrid>
      <w:tr>
        <w:trPr/>
        <w:tc>
          <w:tcPr>
            <w:tcW w:w="161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343" w:type="dxa"/>
            <w:tcBorders/>
            <w:shd w:fill="auto" w:val="clear"/>
            <w:vAlign w:val="center"/>
          </w:tcPr>
          <w:p>
            <w:pPr>
              <w:pStyle w:val="TableContents"/>
              <w:spacing w:before="0" w:after="283"/>
              <w:rPr>
                <w:sz w:val="4"/>
                <w:szCs w:val="4"/>
              </w:rPr>
            </w:pPr>
            <w:r>
              <w:rPr>
                <w:sz w:val="4"/>
                <w:szCs w:val="4"/>
              </w:rPr>
            </w:r>
          </w:p>
        </w:tc>
      </w:tr>
      <w:tr>
        <w:trPr/>
        <w:tc>
          <w:tcPr>
            <w:tcW w:w="1617" w:type="dxa"/>
            <w:tcBorders>
              <w:bottom w:val="single" w:sz="8" w:space="0" w:color="000000"/>
            </w:tcBorders>
            <w:shd w:fill="auto" w:val="clear"/>
            <w:tcMar>
              <w:bottom w:w="28" w:type="dxa"/>
            </w:tcMar>
            <w:vAlign w:val="center"/>
          </w:tcPr>
          <w:p>
            <w:pPr>
              <w:pStyle w:val="TableContents"/>
              <w:spacing w:before="0" w:after="2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425" w:type="dxa"/>
            <w:tcBorders>
              <w:bottom w:val="single" w:sz="8" w:space="0" w:color="000000"/>
            </w:tcBorders>
            <w:shd w:fill="auto" w:val="clear"/>
            <w:tcMar>
              <w:bottom w:w="28" w:type="dxa"/>
            </w:tcMar>
            <w:vAlign w:val="center"/>
          </w:tcPr>
          <w:p>
            <w:pPr>
              <w:pStyle w:val="TableContents"/>
              <w:spacing w:before="0" w:after="283"/>
              <w:jc w:val="center"/>
              <w:rPr>
                <w:b/>
              </w:rPr>
            </w:pPr>
            <w:r>
              <w:rPr>
                <w:b/>
              </w:rPr>
              <w:t>Age</w:t>
            </w:r>
          </w:p>
        </w:tc>
        <w:tc>
          <w:tcPr>
            <w:tcW w:w="120" w:type="dxa"/>
            <w:tcBorders/>
            <w:shd w:fill="auto" w:val="clear"/>
            <w:vAlign w:val="center"/>
          </w:tcPr>
          <w:p>
            <w:pPr>
              <w:pStyle w:val="TableContents"/>
              <w:spacing w:before="0" w:after="283"/>
              <w:rPr/>
            </w:pPr>
            <w:r>
              <w:rPr/>
              <w:t>  </w:t>
            </w:r>
          </w:p>
        </w:tc>
        <w:tc>
          <w:tcPr>
            <w:tcW w:w="1460" w:type="dxa"/>
            <w:tcBorders>
              <w:bottom w:val="single" w:sz="8" w:space="0" w:color="000000"/>
            </w:tcBorders>
            <w:shd w:fill="auto" w:val="clear"/>
            <w:tcMar>
              <w:bottom w:w="28" w:type="dxa"/>
            </w:tcMar>
            <w:vAlign w:val="center"/>
          </w:tcPr>
          <w:p>
            <w:pPr>
              <w:pStyle w:val="TableContents"/>
              <w:spacing w:before="0" w:after="283"/>
              <w:jc w:val="center"/>
              <w:rPr>
                <w:b/>
              </w:rPr>
            </w:pPr>
            <w:r>
              <w:rPr>
                <w:b/>
              </w:rPr>
              <w:t>Year in which</w:t>
              <w:br/>
              <w:t>term expires</w:t>
            </w:r>
          </w:p>
        </w:tc>
        <w:tc>
          <w:tcPr>
            <w:tcW w:w="120" w:type="dxa"/>
            <w:tcBorders/>
            <w:shd w:fill="auto" w:val="clear"/>
            <w:vAlign w:val="center"/>
          </w:tcPr>
          <w:p>
            <w:pPr>
              <w:pStyle w:val="TableContents"/>
              <w:spacing w:before="0" w:after="283"/>
              <w:rPr/>
            </w:pPr>
            <w:r>
              <w:rPr/>
              <w:t>  </w:t>
            </w:r>
          </w:p>
        </w:tc>
        <w:tc>
          <w:tcPr>
            <w:tcW w:w="6343"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Principal occupation</w:t>
            </w:r>
          </w:p>
        </w:tc>
      </w:tr>
      <w:tr>
        <w:trPr/>
        <w:tc>
          <w:tcPr>
            <w:tcW w:w="161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Dr. Manfred Krischke</w:t>
            </w:r>
          </w:p>
          <w:p>
            <w:pPr>
              <w:pStyle w:val="TableContents"/>
              <w:spacing w:before="0" w:after="20"/>
              <w:jc w:val="both"/>
              <w:rPr>
                <w:rFonts w:ascii="Times New Roman" w:hAnsi="Times New Roman"/>
                <w:sz w:val="20"/>
              </w:rPr>
            </w:pPr>
            <w:r>
              <w:rPr>
                <w:rFonts w:ascii="Times New Roman" w:hAnsi="Times New Roman"/>
                <w:sz w:val="20"/>
              </w:rPr>
              <w:t>(chairperson)</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57</w:t>
            </w:r>
          </w:p>
        </w:tc>
        <w:tc>
          <w:tcPr>
            <w:tcW w:w="12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2023</w:t>
            </w:r>
          </w:p>
        </w:tc>
        <w:tc>
          <w:tcPr>
            <w:tcW w:w="120" w:type="dxa"/>
            <w:tcBorders/>
            <w:shd w:fill="auto" w:val="clear"/>
            <w:vAlign w:val="center"/>
          </w:tcPr>
          <w:p>
            <w:pPr>
              <w:pStyle w:val="TableContents"/>
              <w:spacing w:before="0" w:after="283"/>
              <w:rPr/>
            </w:pPr>
            <w:r>
              <w:rPr/>
              <w:t>  </w:t>
            </w:r>
          </w:p>
        </w:tc>
        <w:tc>
          <w:tcPr>
            <w:tcW w:w="634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Chief executive officer of CloudEO AG</w:t>
            </w:r>
          </w:p>
        </w:tc>
      </w:tr>
      <w:tr>
        <w:trPr/>
        <w:tc>
          <w:tcPr>
            <w:tcW w:w="161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Peter Müller-Brühl(1)</w:t>
            </w:r>
          </w:p>
          <w:p>
            <w:pPr>
              <w:pStyle w:val="TableContents"/>
              <w:spacing w:before="0" w:after="20"/>
              <w:jc w:val="both"/>
              <w:rPr>
                <w:rFonts w:ascii="Times New Roman" w:hAnsi="Times New Roman"/>
                <w:sz w:val="20"/>
              </w:rPr>
            </w:pPr>
            <w:r>
              <w:rPr>
                <w:rFonts w:ascii="Times New Roman" w:hAnsi="Times New Roman"/>
                <w:sz w:val="20"/>
              </w:rPr>
              <w:t>(deputy chairperson)</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55</w:t>
            </w:r>
          </w:p>
        </w:tc>
        <w:tc>
          <w:tcPr>
            <w:tcW w:w="12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2023</w:t>
            </w:r>
          </w:p>
        </w:tc>
        <w:tc>
          <w:tcPr>
            <w:tcW w:w="120" w:type="dxa"/>
            <w:tcBorders/>
            <w:shd w:fill="auto" w:val="clear"/>
            <w:vAlign w:val="center"/>
          </w:tcPr>
          <w:p>
            <w:pPr>
              <w:pStyle w:val="TableContents"/>
              <w:spacing w:before="0" w:after="283"/>
              <w:rPr/>
            </w:pPr>
            <w:r>
              <w:rPr/>
              <w:t>  </w:t>
            </w:r>
          </w:p>
        </w:tc>
        <w:tc>
          <w:tcPr>
            <w:tcW w:w="634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Co-chief executive officer of GreenCom Networks AG</w:t>
            </w:r>
          </w:p>
        </w:tc>
      </w:tr>
      <w:tr>
        <w:trPr/>
        <w:tc>
          <w:tcPr>
            <w:tcW w:w="161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Steve Geskos</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45</w:t>
            </w:r>
          </w:p>
        </w:tc>
        <w:tc>
          <w:tcPr>
            <w:tcW w:w="12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2023</w:t>
            </w:r>
          </w:p>
        </w:tc>
        <w:tc>
          <w:tcPr>
            <w:tcW w:w="120" w:type="dxa"/>
            <w:tcBorders/>
            <w:shd w:fill="auto" w:val="clear"/>
            <w:vAlign w:val="center"/>
          </w:tcPr>
          <w:p>
            <w:pPr>
              <w:pStyle w:val="TableContents"/>
              <w:spacing w:before="0" w:after="283"/>
              <w:rPr/>
            </w:pPr>
            <w:r>
              <w:rPr/>
              <w:t>  </w:t>
            </w:r>
          </w:p>
        </w:tc>
        <w:tc>
          <w:tcPr>
            <w:tcW w:w="634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Managing director of Rose Park Advisors</w:t>
            </w:r>
          </w:p>
        </w:tc>
      </w:tr>
      <w:tr>
        <w:trPr/>
        <w:tc>
          <w:tcPr>
            <w:tcW w:w="161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Hans Königsmann</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59</w:t>
            </w:r>
          </w:p>
        </w:tc>
        <w:tc>
          <w:tcPr>
            <w:tcW w:w="12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2023</w:t>
            </w:r>
          </w:p>
        </w:tc>
        <w:tc>
          <w:tcPr>
            <w:tcW w:w="120" w:type="dxa"/>
            <w:tcBorders/>
            <w:shd w:fill="auto" w:val="clear"/>
            <w:vAlign w:val="center"/>
          </w:tcPr>
          <w:p>
            <w:pPr>
              <w:pStyle w:val="TableContents"/>
              <w:spacing w:before="0" w:after="283"/>
              <w:rPr/>
            </w:pPr>
            <w:r>
              <w:rPr/>
              <w:t>  </w:t>
            </w:r>
          </w:p>
        </w:tc>
        <w:tc>
          <w:tcPr>
            <w:tcW w:w="634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Former vice president of flight reliability at SpaceX</w:t>
            </w:r>
          </w:p>
        </w:tc>
      </w:tr>
      <w:tr>
        <w:trPr/>
        <w:tc>
          <w:tcPr>
            <w:tcW w:w="161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Vincent Wobbe</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36</w:t>
            </w:r>
          </w:p>
        </w:tc>
        <w:tc>
          <w:tcPr>
            <w:tcW w:w="12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2023</w:t>
            </w:r>
          </w:p>
        </w:tc>
        <w:tc>
          <w:tcPr>
            <w:tcW w:w="120" w:type="dxa"/>
            <w:tcBorders/>
            <w:shd w:fill="auto" w:val="clear"/>
            <w:vAlign w:val="center"/>
          </w:tcPr>
          <w:p>
            <w:pPr>
              <w:pStyle w:val="TableContents"/>
              <w:spacing w:before="0" w:after="283"/>
              <w:rPr/>
            </w:pPr>
            <w:r>
              <w:rPr/>
              <w:t>  </w:t>
            </w:r>
          </w:p>
        </w:tc>
        <w:tc>
          <w:tcPr>
            <w:tcW w:w="634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Head of public markets investments &amp; co-head equity capital markets of Apeiron Investment Group</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77"/>
        <w:gridCol w:w="9928"/>
      </w:tblGrid>
      <w:tr>
        <w:trPr/>
        <w:tc>
          <w:tcPr>
            <w:tcW w:w="277" w:type="dxa"/>
            <w:tcBorders/>
            <w:shd w:fill="auto" w:val="clear"/>
            <w:vAlign w:val="center"/>
          </w:tcPr>
          <w:p>
            <w:pPr>
              <w:pStyle w:val="TableContents"/>
              <w:spacing w:before="0" w:after="283"/>
              <w:jc w:val="left"/>
              <w:rPr/>
            </w:pPr>
            <w:r>
              <w:rPr/>
              <w:t>(1)</w:t>
            </w:r>
          </w:p>
        </w:tc>
        <w:tc>
          <w:tcPr>
            <w:tcW w:w="9928"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Peter Müller-Brühl was elected deputy chairperson in the supervisory board meeting held on October 5, 2021 following resignation of Gerd Gruppe as member of the supervisory board. </w:t>
            </w:r>
          </w:p>
        </w:tc>
      </w:tr>
    </w:tbl>
    <w:p>
      <w:pPr>
        <w:pStyle w:val="TextBody"/>
        <w:spacing w:before="240" w:after="0"/>
        <w:jc w:val="both"/>
        <w:rPr>
          <w:rFonts w:ascii="Times New Roman" w:hAnsi="Times New Roman"/>
          <w:sz w:val="20"/>
        </w:rPr>
      </w:pPr>
      <w:r>
        <w:rPr>
          <w:rFonts w:ascii="Times New Roman" w:hAnsi="Times New Roman"/>
          <w:sz w:val="20"/>
        </w:rPr>
        <w:t xml:space="preserve">Unless otherwise indicated, the current business address for each supervisory board member is the same as our business address: Dornierstraße 19, 82205 Gilching, Germany. </w:t>
      </w:r>
    </w:p>
    <w:p>
      <w:pPr>
        <w:pStyle w:val="TextBody"/>
        <w:spacing w:before="240" w:after="0"/>
        <w:jc w:val="both"/>
        <w:rPr>
          <w:rFonts w:ascii="Times New Roman" w:hAnsi="Times New Roman"/>
          <w:sz w:val="20"/>
        </w:rPr>
      </w:pPr>
      <w:r>
        <w:rPr>
          <w:rFonts w:ascii="Times New Roman" w:hAnsi="Times New Roman"/>
          <w:sz w:val="20"/>
        </w:rPr>
        <w:t xml:space="preserve">The following is a brief summary of the business experience of the members of our supervisory board: </w:t>
      </w:r>
    </w:p>
    <w:p>
      <w:pPr>
        <w:pStyle w:val="TextBody"/>
        <w:spacing w:before="120" w:after="0"/>
        <w:jc w:val="both"/>
        <w:rPr>
          <w:rFonts w:ascii="Times New Roman" w:hAnsi="Times New Roman"/>
          <w:sz w:val="20"/>
        </w:rPr>
      </w:pPr>
      <w:r>
        <w:rPr>
          <w:rFonts w:ascii="Times New Roman" w:hAnsi="Times New Roman"/>
          <w:b/>
          <w:i/>
          <w:sz w:val="20"/>
        </w:rPr>
        <w:t>Dr.</w:t>
      </w:r>
      <w:r>
        <w:rPr>
          <w:rFonts w:ascii="Times New Roman" w:hAnsi="Times New Roman"/>
          <w:sz w:val="20"/>
        </w:rPr>
        <w:t> </w:t>
      </w:r>
      <w:r>
        <w:rPr>
          <w:rFonts w:ascii="Times New Roman" w:hAnsi="Times New Roman"/>
          <w:b/>
          <w:i/>
          <w:sz w:val="20"/>
        </w:rPr>
        <w:t>Manfred Krischke</w:t>
      </w:r>
      <w:r>
        <w:rPr>
          <w:rFonts w:ascii="Times New Roman" w:hAnsi="Times New Roman"/>
          <w:sz w:val="20"/>
        </w:rPr>
        <w:t xml:space="preserve"> has been a member of our supervisory board since May 2017 and currently serves as chairperson of our supervisory board. He received a doctorate in aerospace engineering from the Technical University of Munich. Mr. Krischke has been the co-founder and chief executive officer of cloudeo AG since 2012, which operates a vendor independent, data agnostic market platform through which customers can obtain professional geo-information services from leading national and international providers at low cost. Since 2011, he has also been a managing shareholder of SCANDO Beteiligungs GmbH. From 2005 to 2010, Mr. Krischke served as a managing director of Intermap Technologies GmbH, a company providing geospatial solutions that allow GIS professionals in commercial and government organizations worldwide to build a broad range of applications. In 1998, he founded RapidEye AG, a provider of quality high-resolution satellite imagery and derived geo-information products, and was its chief executive officer until 2004; in 2011 he also served as its interim chief executive officer. From 1991 to 1998, he was a business development manager at Kayser-Threde GmbH. Mr. Krischke also served as a member of the supervisory board of RapidEye AG from 2009 to 2011 and as chairman of the supervisory board of Hyperganic Technologies AG, a company that develops software for advanced industrial 3D printers, from 2017 to 2021. As of August 2022, Mr. Krischke serves as a member of the supervisory board of Skyroads AG, a company that develops technology to manage routes, ensure overall safety and provide for passenger mobility and cargo transport. </w:t>
      </w:r>
    </w:p>
    <w:p>
      <w:pPr>
        <w:pStyle w:val="TextBody"/>
        <w:spacing w:before="240" w:after="0"/>
        <w:jc w:val="both"/>
        <w:rPr>
          <w:rFonts w:ascii="Times New Roman" w:hAnsi="Times New Roman"/>
          <w:sz w:val="20"/>
        </w:rPr>
      </w:pPr>
      <w:r>
        <w:rPr>
          <w:rFonts w:ascii="Times New Roman" w:hAnsi="Times New Roman"/>
          <w:b/>
          <w:i/>
          <w:sz w:val="20"/>
        </w:rPr>
        <w:t>Peter Müller-Brühl</w:t>
      </w:r>
      <w:r>
        <w:rPr>
          <w:rFonts w:ascii="Times New Roman" w:hAnsi="Times New Roman"/>
          <w:sz w:val="20"/>
        </w:rPr>
        <w:t xml:space="preserve"> has been a member of our supervisory board since July 2018. Mr. Müller-Brühl holds business degrees from Middlesex University in London and the European School of Business (ESB) in Reutlingen, Germany, as well as an MBA from Ottawa University, Canada. He started his career in the publishing industry in New York and Moscow and, after he received his MBA, continued in the automotive industry in different commercial and technology management roles until 2008, when he left as chief information officer/chief technology officer Germany for DaimlerChrysler AG. He went on to gain 13 years’ experience as a serial entrepreneur in various technology start-ups, as co-founder and member of executive management teams. He served as a venture partner at SpaceTec Capital Partners GmbH, a venture capital consulting firm, from 2008 to 2011, as co-chief executive officer at RapidEye AG, a provider of quality high-resolution satellite imagery and derived geo-information products, from 2011 to 2012, and currently serves as co-CEO and member of the management board of GreenCom Networks AG, a next generation energy service provider. He has served as chairman of the supervisory board and member of the audit and compensation committee of cloudeo AG since 2012, member of the supervisory board and member of the audit and compensation committee of Protection ONE GmbH since 2016 to 2020, member of the supervisory board at Seidel GmbH &amp; Co. KG since 2015 and member of the supervisory board of Xpay Holding AG since 2019. </w:t>
      </w:r>
    </w:p>
    <w:p>
      <w:pPr>
        <w:pStyle w:val="TextBody"/>
        <w:spacing w:before="240" w:after="0"/>
        <w:jc w:val="both"/>
        <w:rPr>
          <w:rFonts w:ascii="Times New Roman" w:hAnsi="Times New Roman"/>
          <w:sz w:val="20"/>
        </w:rPr>
      </w:pPr>
      <w:r>
        <w:rPr>
          <w:rFonts w:ascii="Times New Roman" w:hAnsi="Times New Roman"/>
          <w:b/>
          <w:i/>
          <w:sz w:val="20"/>
        </w:rPr>
        <w:t>Steve Geskos</w:t>
      </w:r>
      <w:r>
        <w:rPr>
          <w:rFonts w:ascii="Times New Roman" w:hAnsi="Times New Roman"/>
          <w:sz w:val="20"/>
        </w:rPr>
        <w:t xml:space="preserve"> has been a member of our supervisory board since May 2021. He received a B.A. in history from Brandeis University and an MBA in finance and operations from NYU Stern School of Business. Mr. Geskos has been an investor in public and private companies for over twenty years. He started his career as 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research associate at Citigroup Salomon Smith Barney in 2000, before joining Jennison Associates LLC as an equity analyst from 2002 to 2006. From 2006 to 2008, he was a portfolio manager and analyst at Perry Capital, before joining MissionPoint Capital Partners as partner and portfolio manager from 2009 to 2011. In 2011, Mr. Geskos joined Fortress Investment Group as a managing director, where he managed a global equity long/short fund for Fortress Investment Group’s liquid markets business until 2018. During this time, he invested across the capital structure in both a public and private capacity with a particular emphasis on cyclical industries and hard asset classes. Mr. Geskos currently serves as a managing director at Rose Park Advisors, an investment firm focused on identifying investment opportunities by applying the frameworks of disruptive innovation, which he joined in 2019. Mr. Geskos also serves in the supervisory board of XPay Group, a position which he assumed in October 2021 and on the board of directors of Norsk Titanium, a position he assumed in January 2021. </w:t>
      </w:r>
    </w:p>
    <w:p>
      <w:pPr>
        <w:pStyle w:val="TextBody"/>
        <w:spacing w:before="240" w:after="0"/>
        <w:jc w:val="both"/>
        <w:rPr>
          <w:rFonts w:ascii="Times New Roman" w:hAnsi="Times New Roman"/>
          <w:sz w:val="20"/>
        </w:rPr>
      </w:pPr>
      <w:r>
        <w:rPr>
          <w:rFonts w:ascii="Times New Roman" w:hAnsi="Times New Roman"/>
          <w:b/>
          <w:i/>
          <w:sz w:val="20"/>
        </w:rPr>
        <w:t>Hans Königsmann</w:t>
      </w:r>
      <w:r>
        <w:rPr>
          <w:rFonts w:ascii="Times New Roman" w:hAnsi="Times New Roman"/>
          <w:sz w:val="20"/>
        </w:rPr>
        <w:t xml:space="preserve"> has been a member of our supervisory board since October 2021. He holds a degree in aerospace engineering (</w:t>
      </w:r>
      <w:r>
        <w:rPr>
          <w:rFonts w:ascii="Times New Roman" w:hAnsi="Times New Roman"/>
          <w:i/>
          <w:sz w:val="20"/>
        </w:rPr>
        <w:t>Dipl.-Ingenieur</w:t>
      </w:r>
      <w:r>
        <w:rPr>
          <w:rFonts w:ascii="Times New Roman" w:hAnsi="Times New Roman"/>
          <w:sz w:val="20"/>
        </w:rPr>
        <w:t xml:space="preserve">, </w:t>
      </w:r>
      <w:r>
        <w:rPr>
          <w:rFonts w:ascii="Times New Roman" w:hAnsi="Times New Roman"/>
          <w:i/>
          <w:sz w:val="20"/>
        </w:rPr>
        <w:t>Aerospace</w:t>
      </w:r>
      <w:r>
        <w:rPr>
          <w:rFonts w:ascii="Times New Roman" w:hAnsi="Times New Roman"/>
          <w:sz w:val="20"/>
        </w:rPr>
        <w:t xml:space="preserve">) from the Technical University Berlin and a Ph.D. in aerospace engineering and production technology from the University of Bremen. Mr. Königsmann started his career in 1989, first as research assistant and later as space system division manager, at the Center of Applied Space Technology and Microgravity at the University of Bremen. In 1996, he joined Microcosm, Inc. as chief scientist, responsible, among other things, for the development of algorithms and simulations to control spacecraft attitude and orbital position. In 2002, Mr. Königsmann joined Space Exploration Technologies (SpaceX), where he remained for nearly 20 years until his retirement in 2021. During his time at SpaceX, he held the positions of vice president Avionics until 2008, vice president launch chief engineer until 2012 and vice president of flight reliability until 2021. Ultimately, he was responsible for the reliability from production through the operational lifecycle of the vehicles Falcon 9 and Dragon, including re-used boosters and fairing. Mr. Königsmann was awarded the NASA Distinguished Public Service Medal in 2014, the highest form of recognition by NASA for non-Government individuals. Since June 2022, Hans Königsmann is a member of the supervisory board of OHB SE. </w:t>
      </w:r>
    </w:p>
    <w:p>
      <w:pPr>
        <w:pStyle w:val="TextBody"/>
        <w:spacing w:before="240" w:after="0"/>
        <w:jc w:val="both"/>
        <w:rPr>
          <w:rFonts w:ascii="Times New Roman" w:hAnsi="Times New Roman"/>
          <w:sz w:val="20"/>
        </w:rPr>
      </w:pPr>
      <w:r>
        <w:rPr>
          <w:rFonts w:ascii="Times New Roman" w:hAnsi="Times New Roman"/>
          <w:b/>
          <w:i/>
          <w:sz w:val="20"/>
        </w:rPr>
        <w:t>Vincent Wobbe</w:t>
      </w:r>
      <w:r>
        <w:rPr>
          <w:rFonts w:ascii="Times New Roman" w:hAnsi="Times New Roman"/>
          <w:sz w:val="20"/>
        </w:rPr>
        <w:t xml:space="preserve"> has been a member of our supervisory board since June 2021. Mr. Wobbe holds a Master of Science in Financial Management from Kedge Business School and Hull University Business School and a Bachelor of Science in European Management from the European Business School Oestrich-Winkel. Mr. Wobbe has over a decade of experience in corporate finance and equity capital markets. He started his career in corporate finance at Société Générale Corporate and Investment Banking in 2010, before joining BNP Paribas from 2014 to 2016. In 2016, he joined Deutsche Bank Aktiengesellschaft in London, where he advised and executed equity capital raisings for pan-European issuers until 2019. In 2020, Mr. Wobbe joined Apeiron Investment Group Ltd. to head of public markets investments and the equity capital markets team. He currently serves on the supervisory boards of nextmarkets AG and DEAG Deutsche Entertainment Aktiengesellschaft, as well as the administrative board of 029 Group SE. </w:t>
      </w:r>
    </w:p>
    <w:p>
      <w:pPr>
        <w:pStyle w:val="TextBody"/>
        <w:spacing w:before="360" w:after="0"/>
        <w:jc w:val="left"/>
        <w:rPr>
          <w:rFonts w:ascii="Times New Roman" w:hAnsi="Times New Roman"/>
          <w:b/>
          <w:i/>
          <w:sz w:val="20"/>
        </w:rPr>
      </w:pPr>
      <w:r>
        <w:rPr>
          <w:rFonts w:ascii="Times New Roman" w:hAnsi="Times New Roman"/>
          <w:b/>
          <w:i/>
          <w:sz w:val="20"/>
        </w:rPr>
        <w:t xml:space="preserve">Board Diversity </w:t>
      </w:r>
    </w:p>
    <w:p>
      <w:pPr>
        <w:pStyle w:val="TextBody"/>
        <w:spacing w:before="120" w:after="0"/>
        <w:jc w:val="both"/>
        <w:rPr>
          <w:rFonts w:ascii="Times New Roman" w:hAnsi="Times New Roman"/>
          <w:sz w:val="20"/>
        </w:rPr>
      </w:pPr>
      <w:r>
        <w:rPr>
          <w:rFonts w:ascii="Times New Roman" w:hAnsi="Times New Roman"/>
          <w:sz w:val="20"/>
        </w:rPr>
        <w:t xml:space="preserve">The table below provides certain information regarding the diversity of the supervisory board as of the date of this Annual Report. </w:t>
      </w:r>
    </w:p>
    <w:p>
      <w:pPr>
        <w:pStyle w:val="TextBody"/>
        <w:spacing w:before="480" w:after="0"/>
        <w:jc w:val="center"/>
        <w:rPr>
          <w:rFonts w:ascii="Times New Roman" w:hAnsi="Times New Roman"/>
          <w:b/>
          <w:sz w:val="20"/>
        </w:rPr>
      </w:pPr>
      <w:r>
        <w:rPr>
          <w:rFonts w:ascii="Times New Roman" w:hAnsi="Times New Roman"/>
          <w:b/>
          <w:sz w:val="20"/>
        </w:rPr>
        <w:t xml:space="preserve">Board Diversity Matrix </w:t>
      </w:r>
    </w:p>
    <w:p>
      <w:pPr>
        <w:pStyle w:val="TextBody"/>
        <w:spacing w:before="0" w:after="0"/>
        <w:jc w:val="left"/>
        <w:rPr/>
      </w:pPr>
      <w:r>
        <w:rPr/>
        <w:t> </w:t>
      </w:r>
    </w:p>
    <w:tbl>
      <w:tblPr>
        <w:tblW w:w="5095" w:type="dxa"/>
        <w:jc w:val="left"/>
        <w:tblInd w:w="0" w:type="dxa"/>
        <w:tblCellMar>
          <w:top w:w="0" w:type="dxa"/>
          <w:left w:w="0" w:type="dxa"/>
          <w:bottom w:w="0" w:type="dxa"/>
          <w:right w:w="0" w:type="dxa"/>
        </w:tblCellMar>
      </w:tblPr>
      <w:tblGrid>
        <w:gridCol w:w="3935"/>
        <w:gridCol w:w="120"/>
        <w:gridCol w:w="60"/>
        <w:gridCol w:w="905"/>
        <w:gridCol w:w="75"/>
      </w:tblGrid>
      <w:tr>
        <w:trPr/>
        <w:tc>
          <w:tcPr>
            <w:tcW w:w="39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93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Country of Principal Executive Offices: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jc w:val="right"/>
              <w:rPr/>
            </w:pPr>
            <w:r>
              <w:rPr/>
              <w:t>Germany</w:t>
            </w:r>
          </w:p>
        </w:tc>
        <w:tc>
          <w:tcPr>
            <w:tcW w:w="75" w:type="dxa"/>
            <w:tcBorders/>
            <w:shd w:fill="auto" w:val="clear"/>
            <w:vAlign w:val="center"/>
          </w:tcPr>
          <w:p>
            <w:pPr>
              <w:pStyle w:val="TableContents"/>
              <w:spacing w:before="0" w:after="283"/>
              <w:rPr/>
            </w:pPr>
            <w:r>
              <w:rPr/>
              <w:t> </w:t>
            </w:r>
          </w:p>
        </w:tc>
      </w:tr>
      <w:tr>
        <w:trPr/>
        <w:tc>
          <w:tcPr>
            <w:tcW w:w="393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Foreign Private Issuer</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jc w:val="right"/>
              <w:rPr/>
            </w:pPr>
            <w:r>
              <w:rPr/>
              <w:t>Yes</w:t>
            </w:r>
          </w:p>
        </w:tc>
        <w:tc>
          <w:tcPr>
            <w:tcW w:w="75" w:type="dxa"/>
            <w:tcBorders/>
            <w:shd w:fill="auto" w:val="clear"/>
            <w:vAlign w:val="center"/>
          </w:tcPr>
          <w:p>
            <w:pPr>
              <w:pStyle w:val="TableContents"/>
              <w:spacing w:before="0" w:after="283"/>
              <w:rPr/>
            </w:pPr>
            <w:r>
              <w:rPr/>
              <w:t> </w:t>
            </w:r>
          </w:p>
        </w:tc>
      </w:tr>
      <w:tr>
        <w:trPr/>
        <w:tc>
          <w:tcPr>
            <w:tcW w:w="393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Disclosure Prohibited under Home Country Law</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jc w:val="right"/>
              <w:rPr/>
            </w:pPr>
            <w:r>
              <w:rPr/>
              <w:t>No</w:t>
            </w:r>
          </w:p>
        </w:tc>
        <w:tc>
          <w:tcPr>
            <w:tcW w:w="75" w:type="dxa"/>
            <w:tcBorders/>
            <w:shd w:fill="auto" w:val="clear"/>
            <w:vAlign w:val="center"/>
          </w:tcPr>
          <w:p>
            <w:pPr>
              <w:pStyle w:val="TableContents"/>
              <w:spacing w:before="0" w:after="283"/>
              <w:rPr/>
            </w:pPr>
            <w:r>
              <w:rPr/>
              <w:t> </w:t>
            </w:r>
          </w:p>
        </w:tc>
      </w:tr>
      <w:tr>
        <w:trPr/>
        <w:tc>
          <w:tcPr>
            <w:tcW w:w="393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Total Number of Directors and Board Observers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jc w:val="right"/>
              <w:rPr/>
            </w:pPr>
            <w:r>
              <w:rPr/>
              <w:t>5</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8905" w:type="dxa"/>
        <w:jc w:val="left"/>
        <w:tblInd w:w="0" w:type="dxa"/>
        <w:tblCellMar>
          <w:top w:w="0" w:type="dxa"/>
          <w:left w:w="0" w:type="dxa"/>
          <w:bottom w:w="0" w:type="dxa"/>
          <w:right w:w="0" w:type="dxa"/>
        </w:tblCellMar>
      </w:tblPr>
      <w:tblGrid>
        <w:gridCol w:w="4820"/>
        <w:gridCol w:w="120"/>
        <w:gridCol w:w="226"/>
        <w:gridCol w:w="529"/>
        <w:gridCol w:w="60"/>
        <w:gridCol w:w="120"/>
        <w:gridCol w:w="159"/>
        <w:gridCol w:w="371"/>
        <w:gridCol w:w="60"/>
        <w:gridCol w:w="120"/>
        <w:gridCol w:w="370"/>
        <w:gridCol w:w="865"/>
        <w:gridCol w:w="60"/>
        <w:gridCol w:w="120"/>
        <w:gridCol w:w="249"/>
        <w:gridCol w:w="581"/>
        <w:gridCol w:w="75"/>
      </w:tblGrid>
      <w:tr>
        <w:trPr/>
        <w:tc>
          <w:tcPr>
            <w:tcW w:w="48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8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Female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3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Male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3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Non-Binary</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3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Did Not</w:t>
              <w:br/>
              <w:t>Disclose</w:t>
              <w:br/>
              <w:t>Gender</w:t>
            </w:r>
          </w:p>
        </w:tc>
        <w:tc>
          <w:tcPr>
            <w:tcW w:w="75" w:type="dxa"/>
            <w:tcBorders/>
            <w:shd w:fill="auto" w:val="clear"/>
            <w:vAlign w:val="center"/>
          </w:tcPr>
          <w:p>
            <w:pPr>
              <w:pStyle w:val="TableContents"/>
              <w:spacing w:before="0" w:after="283"/>
              <w:rPr/>
            </w:pPr>
            <w:r>
              <w:rPr/>
              <w:t> </w:t>
            </w:r>
          </w:p>
        </w:tc>
      </w:tr>
      <w:tr>
        <w:trPr/>
        <w:tc>
          <w:tcPr>
            <w:tcW w:w="482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Part I: Gender Identity</w:t>
            </w:r>
          </w:p>
        </w:tc>
        <w:tc>
          <w:tcPr>
            <w:tcW w:w="120" w:type="dxa"/>
            <w:tcBorders/>
            <w:shd w:fill="CCEEFF" w:val="clear"/>
            <w:vAlign w:val="center"/>
          </w:tcPr>
          <w:p>
            <w:pPr>
              <w:pStyle w:val="TableContents"/>
              <w:spacing w:before="0" w:after="283"/>
              <w:rPr/>
            </w:pPr>
            <w:r>
              <w:rPr/>
              <w:t>  </w:t>
            </w:r>
          </w:p>
        </w:tc>
        <w:tc>
          <w:tcPr>
            <w:tcW w:w="226" w:type="dxa"/>
            <w:tcBorders/>
            <w:shd w:fill="CCEEFF" w:val="clear"/>
            <w:vAlign w:val="center"/>
          </w:tcPr>
          <w:p>
            <w:pPr>
              <w:pStyle w:val="TableContents"/>
              <w:spacing w:before="0" w:after="283"/>
              <w:rPr>
                <w:sz w:val="4"/>
                <w:szCs w:val="4"/>
              </w:rPr>
            </w:pPr>
            <w:r>
              <w:rPr>
                <w:sz w:val="4"/>
                <w:szCs w:val="4"/>
              </w:rPr>
            </w:r>
          </w:p>
        </w:tc>
        <w:tc>
          <w:tcPr>
            <w:tcW w:w="52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rPr>
                <w:sz w:val="4"/>
                <w:szCs w:val="4"/>
              </w:rPr>
            </w:pPr>
            <w:r>
              <w:rPr>
                <w:sz w:val="4"/>
                <w:szCs w:val="4"/>
              </w:rPr>
            </w:r>
          </w:p>
        </w:tc>
        <w:tc>
          <w:tcPr>
            <w:tcW w:w="37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370" w:type="dxa"/>
            <w:tcBorders/>
            <w:shd w:fill="CCEEFF" w:val="clear"/>
            <w:vAlign w:val="center"/>
          </w:tcPr>
          <w:p>
            <w:pPr>
              <w:pStyle w:val="TableContents"/>
              <w:spacing w:before="0" w:after="283"/>
              <w:rPr>
                <w:sz w:val="4"/>
                <w:szCs w:val="4"/>
              </w:rPr>
            </w:pPr>
            <w:r>
              <w:rPr>
                <w:sz w:val="4"/>
                <w:szCs w:val="4"/>
              </w:rPr>
            </w:r>
          </w:p>
        </w:tc>
        <w:tc>
          <w:tcPr>
            <w:tcW w:w="86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249" w:type="dxa"/>
            <w:tcBorders/>
            <w:shd w:fill="CCEEFF" w:val="clear"/>
            <w:vAlign w:val="center"/>
          </w:tcPr>
          <w:p>
            <w:pPr>
              <w:pStyle w:val="TableContents"/>
              <w:spacing w:before="0" w:after="283"/>
              <w:rPr>
                <w:sz w:val="4"/>
                <w:szCs w:val="4"/>
              </w:rPr>
            </w:pPr>
            <w:r>
              <w:rPr>
                <w:sz w:val="4"/>
                <w:szCs w:val="4"/>
              </w:rPr>
            </w:r>
          </w:p>
        </w:tc>
        <w:tc>
          <w:tcPr>
            <w:tcW w:w="581"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48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Directors</w:t>
            </w:r>
          </w:p>
        </w:tc>
        <w:tc>
          <w:tcPr>
            <w:tcW w:w="120"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c>
          <w:tcPr>
            <w:tcW w:w="529"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371" w:type="dxa"/>
            <w:tcBorders/>
            <w:shd w:fill="auto" w:val="clear"/>
            <w:vAlign w:val="center"/>
          </w:tcPr>
          <w:p>
            <w:pPr>
              <w:pStyle w:val="TableContents"/>
              <w:spacing w:before="0" w:after="283"/>
              <w:jc w:val="right"/>
              <w:rPr/>
            </w:pPr>
            <w:r>
              <w:rPr/>
              <w:t>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865"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rPr/>
            </w:pPr>
            <w:r>
              <w:rPr/>
              <w:t> </w:t>
            </w:r>
          </w:p>
        </w:tc>
        <w:tc>
          <w:tcPr>
            <w:tcW w:w="581"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r>
        <w:trPr/>
        <w:tc>
          <w:tcPr>
            <w:tcW w:w="482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Part II: Demographic Background</w:t>
            </w:r>
          </w:p>
        </w:tc>
        <w:tc>
          <w:tcPr>
            <w:tcW w:w="120" w:type="dxa"/>
            <w:tcBorders/>
            <w:shd w:fill="CCEEFF" w:val="clear"/>
            <w:vAlign w:val="center"/>
          </w:tcPr>
          <w:p>
            <w:pPr>
              <w:pStyle w:val="TableContents"/>
              <w:spacing w:before="0" w:after="283"/>
              <w:rPr/>
            </w:pPr>
            <w:r>
              <w:rPr/>
              <w:t>  </w:t>
            </w:r>
          </w:p>
        </w:tc>
        <w:tc>
          <w:tcPr>
            <w:tcW w:w="226" w:type="dxa"/>
            <w:tcBorders/>
            <w:shd w:fill="CCEEFF" w:val="clear"/>
            <w:vAlign w:val="center"/>
          </w:tcPr>
          <w:p>
            <w:pPr>
              <w:pStyle w:val="TableContents"/>
              <w:spacing w:before="0" w:after="283"/>
              <w:rPr>
                <w:sz w:val="4"/>
                <w:szCs w:val="4"/>
              </w:rPr>
            </w:pPr>
            <w:r>
              <w:rPr>
                <w:sz w:val="4"/>
                <w:szCs w:val="4"/>
              </w:rPr>
            </w:r>
          </w:p>
        </w:tc>
        <w:tc>
          <w:tcPr>
            <w:tcW w:w="52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rPr>
                <w:sz w:val="4"/>
                <w:szCs w:val="4"/>
              </w:rPr>
            </w:pPr>
            <w:r>
              <w:rPr>
                <w:sz w:val="4"/>
                <w:szCs w:val="4"/>
              </w:rPr>
            </w:r>
          </w:p>
        </w:tc>
        <w:tc>
          <w:tcPr>
            <w:tcW w:w="37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370" w:type="dxa"/>
            <w:tcBorders/>
            <w:shd w:fill="CCEEFF" w:val="clear"/>
            <w:vAlign w:val="center"/>
          </w:tcPr>
          <w:p>
            <w:pPr>
              <w:pStyle w:val="TableContents"/>
              <w:spacing w:before="0" w:after="283"/>
              <w:rPr>
                <w:sz w:val="4"/>
                <w:szCs w:val="4"/>
              </w:rPr>
            </w:pPr>
            <w:r>
              <w:rPr>
                <w:sz w:val="4"/>
                <w:szCs w:val="4"/>
              </w:rPr>
            </w:r>
          </w:p>
        </w:tc>
        <w:tc>
          <w:tcPr>
            <w:tcW w:w="86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249" w:type="dxa"/>
            <w:tcBorders/>
            <w:shd w:fill="CCEEFF" w:val="clear"/>
            <w:vAlign w:val="center"/>
          </w:tcPr>
          <w:p>
            <w:pPr>
              <w:pStyle w:val="TableContents"/>
              <w:spacing w:before="0" w:after="283"/>
              <w:rPr>
                <w:sz w:val="4"/>
                <w:szCs w:val="4"/>
              </w:rPr>
            </w:pPr>
            <w:r>
              <w:rPr>
                <w:sz w:val="4"/>
                <w:szCs w:val="4"/>
              </w:rPr>
            </w:r>
          </w:p>
        </w:tc>
        <w:tc>
          <w:tcPr>
            <w:tcW w:w="581"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48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Underrepresented Individual in Home Country Jurisdiction</w:t>
            </w:r>
          </w:p>
        </w:tc>
        <w:tc>
          <w:tcPr>
            <w:tcW w:w="120"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jc w:val="center"/>
              <w:rPr/>
            </w:pPr>
            <w:r>
              <w:rPr/>
              <w:t> </w:t>
            </w:r>
          </w:p>
        </w:tc>
        <w:tc>
          <w:tcPr>
            <w:tcW w:w="3664" w:type="dxa"/>
            <w:gridSpan w:val="13"/>
            <w:tcBorders/>
            <w:shd w:fill="auto" w:val="clear"/>
            <w:vAlign w:val="center"/>
          </w:tcPr>
          <w:p>
            <w:pPr>
              <w:pStyle w:val="TableContents"/>
              <w:spacing w:before="0" w:after="283"/>
              <w:jc w:val="center"/>
              <w:rPr/>
            </w:pPr>
            <w:r>
              <w:rPr/>
              <w:t>0</w:t>
            </w:r>
          </w:p>
        </w:tc>
        <w:tc>
          <w:tcPr>
            <w:tcW w:w="75" w:type="dxa"/>
            <w:tcBorders/>
            <w:shd w:fill="auto" w:val="clear"/>
            <w:vAlign w:val="center"/>
          </w:tcPr>
          <w:p>
            <w:pPr>
              <w:pStyle w:val="TableContents"/>
              <w:spacing w:before="0" w:after="283"/>
              <w:rPr/>
            </w:pPr>
            <w:r>
              <w:rPr/>
              <w:t> </w:t>
            </w:r>
          </w:p>
        </w:tc>
      </w:tr>
      <w:tr>
        <w:trPr/>
        <w:tc>
          <w:tcPr>
            <w:tcW w:w="48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LGBTQ+</w:t>
            </w:r>
          </w:p>
        </w:tc>
        <w:tc>
          <w:tcPr>
            <w:tcW w:w="120" w:type="dxa"/>
            <w:tcBorders/>
            <w:shd w:fill="CCEEFF" w:val="clear"/>
            <w:vAlign w:val="center"/>
          </w:tcPr>
          <w:p>
            <w:pPr>
              <w:pStyle w:val="TableContents"/>
              <w:spacing w:before="0" w:after="283"/>
              <w:rPr/>
            </w:pPr>
            <w:r>
              <w:rPr/>
              <w:t>  </w:t>
            </w:r>
          </w:p>
        </w:tc>
        <w:tc>
          <w:tcPr>
            <w:tcW w:w="226" w:type="dxa"/>
            <w:tcBorders/>
            <w:shd w:fill="CCEEFF" w:val="clear"/>
            <w:vAlign w:val="center"/>
          </w:tcPr>
          <w:p>
            <w:pPr>
              <w:pStyle w:val="TableContents"/>
              <w:spacing w:before="0" w:after="283"/>
              <w:jc w:val="center"/>
              <w:rPr/>
            </w:pPr>
            <w:r>
              <w:rPr/>
              <w:t> </w:t>
            </w:r>
          </w:p>
        </w:tc>
        <w:tc>
          <w:tcPr>
            <w:tcW w:w="3664" w:type="dxa"/>
            <w:gridSpan w:val="13"/>
            <w:tcBorders/>
            <w:shd w:fill="CCEEFF" w:val="clear"/>
            <w:vAlign w:val="center"/>
          </w:tcPr>
          <w:p>
            <w:pPr>
              <w:pStyle w:val="TableContents"/>
              <w:spacing w:before="0" w:after="283"/>
              <w:jc w:val="center"/>
              <w:rPr/>
            </w:pPr>
            <w:r>
              <w:rPr/>
              <w:t>1</w:t>
            </w:r>
          </w:p>
        </w:tc>
        <w:tc>
          <w:tcPr>
            <w:tcW w:w="75" w:type="dxa"/>
            <w:tcBorders/>
            <w:shd w:fill="CCEEFF" w:val="clear"/>
            <w:vAlign w:val="center"/>
          </w:tcPr>
          <w:p>
            <w:pPr>
              <w:pStyle w:val="TableContents"/>
              <w:spacing w:before="0" w:after="283"/>
              <w:rPr/>
            </w:pPr>
            <w:r>
              <w:rPr/>
              <w:t> </w:t>
            </w:r>
          </w:p>
        </w:tc>
      </w:tr>
      <w:tr>
        <w:trPr/>
        <w:tc>
          <w:tcPr>
            <w:tcW w:w="48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Did Note Disclose Demographic Backgrounds</w:t>
            </w:r>
          </w:p>
        </w:tc>
        <w:tc>
          <w:tcPr>
            <w:tcW w:w="120"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jc w:val="center"/>
              <w:rPr/>
            </w:pPr>
            <w:r>
              <w:rPr/>
              <w:t> </w:t>
            </w:r>
          </w:p>
        </w:tc>
        <w:tc>
          <w:tcPr>
            <w:tcW w:w="3664" w:type="dxa"/>
            <w:gridSpan w:val="13"/>
            <w:tcBorders/>
            <w:shd w:fill="auto" w:val="clear"/>
            <w:vAlign w:val="center"/>
          </w:tcPr>
          <w:p>
            <w:pPr>
              <w:pStyle w:val="TableContents"/>
              <w:spacing w:before="0" w:after="283"/>
              <w:jc w:val="center"/>
              <w:rPr/>
            </w:pPr>
            <w:r>
              <w:rPr/>
              <w:t>2</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bookmarkStart w:id="33" w:name="tx497326_31"/>
      <w:bookmarkEnd w:id="33"/>
      <w:r>
        <w:rPr>
          <w:rFonts w:ascii="Times New Roman" w:hAnsi="Times New Roman"/>
          <w:b/>
          <w:sz w:val="20"/>
        </w:rPr>
        <w:t xml:space="preserve">B. Compensation </w:t>
      </w:r>
    </w:p>
    <w:p>
      <w:pPr>
        <w:pStyle w:val="TextBody"/>
        <w:spacing w:before="120" w:after="0"/>
        <w:jc w:val="left"/>
        <w:rPr>
          <w:rFonts w:ascii="Times New Roman" w:hAnsi="Times New Roman"/>
          <w:b/>
          <w:i/>
          <w:sz w:val="20"/>
        </w:rPr>
      </w:pPr>
      <w:r>
        <w:rPr>
          <w:rFonts w:ascii="Times New Roman" w:hAnsi="Times New Roman"/>
          <w:b/>
          <w:i/>
          <w:sz w:val="20"/>
        </w:rPr>
        <w:t xml:space="preserve">Compensation of Management Board Members </w:t>
      </w:r>
    </w:p>
    <w:p>
      <w:pPr>
        <w:pStyle w:val="TextBody"/>
        <w:spacing w:before="120" w:after="0"/>
        <w:jc w:val="both"/>
        <w:rPr>
          <w:rFonts w:ascii="Times New Roman" w:hAnsi="Times New Roman"/>
          <w:sz w:val="20"/>
        </w:rPr>
      </w:pPr>
      <w:r>
        <w:rPr>
          <w:rFonts w:ascii="Times New Roman" w:hAnsi="Times New Roman"/>
          <w:sz w:val="20"/>
        </w:rPr>
        <w:t xml:space="preserve">The remuneration for management board members consists of three components: </w:t>
      </w:r>
    </w:p>
    <w:p>
      <w:pPr>
        <w:pStyle w:val="TextBody"/>
        <w:spacing w:before="0" w:after="0"/>
        <w:jc w:val="left"/>
        <w:rPr/>
      </w:pPr>
      <w:r>
        <w:rPr/>
        <w:t> </w:t>
      </w:r>
    </w:p>
    <w:tbl>
      <w:tblPr>
        <w:tblW w:w="5335" w:type="dxa"/>
        <w:jc w:val="left"/>
        <w:tblInd w:w="0" w:type="dxa"/>
        <w:tblCellMar>
          <w:top w:w="0" w:type="dxa"/>
          <w:left w:w="0" w:type="dxa"/>
          <w:bottom w:w="0" w:type="dxa"/>
          <w:right w:w="0" w:type="dxa"/>
        </w:tblCellMar>
      </w:tblPr>
      <w:tblGrid>
        <w:gridCol w:w="75"/>
        <w:gridCol w:w="110"/>
        <w:gridCol w:w="60"/>
        <w:gridCol w:w="50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 non-performance-related remuneration (fixed remuneration), </w:t>
            </w:r>
          </w:p>
        </w:tc>
      </w:tr>
    </w:tbl>
    <w:p>
      <w:pPr>
        <w:pStyle w:val="TextBody"/>
        <w:spacing w:before="0" w:after="0"/>
        <w:jc w:val="left"/>
        <w:rPr/>
      </w:pPr>
      <w:r>
        <w:rPr/>
        <w:t> </w:t>
      </w:r>
    </w:p>
    <w:tbl>
      <w:tblPr>
        <w:tblW w:w="3040" w:type="dxa"/>
        <w:jc w:val="left"/>
        <w:tblInd w:w="0" w:type="dxa"/>
        <w:tblCellMar>
          <w:top w:w="0" w:type="dxa"/>
          <w:left w:w="0" w:type="dxa"/>
          <w:bottom w:w="0" w:type="dxa"/>
          <w:right w:w="0" w:type="dxa"/>
        </w:tblCellMar>
      </w:tblPr>
      <w:tblGrid>
        <w:gridCol w:w="75"/>
        <w:gridCol w:w="110"/>
        <w:gridCol w:w="60"/>
        <w:gridCol w:w="27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performance-related bonuses, and </w:t>
            </w:r>
          </w:p>
        </w:tc>
      </w:tr>
    </w:tbl>
    <w:p>
      <w:pPr>
        <w:pStyle w:val="TextBody"/>
        <w:spacing w:before="0" w:after="0"/>
        <w:jc w:val="left"/>
        <w:rPr/>
      </w:pPr>
      <w:r>
        <w:rPr/>
        <w:t> </w:t>
      </w:r>
    </w:p>
    <w:tbl>
      <w:tblPr>
        <w:tblW w:w="1465" w:type="dxa"/>
        <w:jc w:val="left"/>
        <w:tblInd w:w="0" w:type="dxa"/>
        <w:tblCellMar>
          <w:top w:w="0" w:type="dxa"/>
          <w:left w:w="0" w:type="dxa"/>
          <w:bottom w:w="0" w:type="dxa"/>
          <w:right w:w="0" w:type="dxa"/>
        </w:tblCellMar>
      </w:tblPr>
      <w:tblGrid>
        <w:gridCol w:w="75"/>
        <w:gridCol w:w="110"/>
        <w:gridCol w:w="60"/>
        <w:gridCol w:w="12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stock options. </w:t>
            </w:r>
          </w:p>
        </w:tc>
      </w:tr>
    </w:tbl>
    <w:p>
      <w:pPr>
        <w:pStyle w:val="TextBody"/>
        <w:spacing w:before="240" w:after="0"/>
        <w:jc w:val="both"/>
        <w:rPr>
          <w:rFonts w:ascii="Times New Roman" w:hAnsi="Times New Roman"/>
          <w:sz w:val="20"/>
        </w:rPr>
      </w:pPr>
      <w:r>
        <w:rPr>
          <w:rFonts w:ascii="Times New Roman" w:hAnsi="Times New Roman"/>
          <w:sz w:val="20"/>
        </w:rPr>
        <w:t xml:space="preserve">The amount of the remuneration for the members of the management board largely depends on a member’s area of responsibility, individual performance and the performance of the management board as a whole. It also takes into account our economic and financial success and is intended to provide an incentive for long-term and sustainable corporate governance, while linking the interests of the management board members to those of our shareholders. </w:t>
      </w:r>
    </w:p>
    <w:p>
      <w:pPr>
        <w:pStyle w:val="TextBody"/>
        <w:spacing w:before="240" w:after="0"/>
        <w:jc w:val="both"/>
        <w:rPr>
          <w:rFonts w:ascii="Times New Roman" w:hAnsi="Times New Roman"/>
          <w:sz w:val="20"/>
        </w:rPr>
      </w:pPr>
      <w:r>
        <w:rPr>
          <w:rFonts w:ascii="Times New Roman" w:hAnsi="Times New Roman"/>
          <w:sz w:val="20"/>
        </w:rPr>
        <w:t xml:space="preserve">The overall remuneration for the members of the management board (excluding stock options and fringe benefits) comprises approximately 66% in fixed remuneration and 33% in performance-related remuneration in the event of 100% target achievement. </w:t>
      </w:r>
    </w:p>
    <w:p>
      <w:pPr>
        <w:pStyle w:val="TextBody"/>
        <w:spacing w:before="360" w:after="0"/>
        <w:jc w:val="left"/>
        <w:rPr>
          <w:rFonts w:ascii="Times New Roman" w:hAnsi="Times New Roman"/>
          <w:i/>
          <w:sz w:val="20"/>
        </w:rPr>
      </w:pPr>
      <w:r>
        <w:rPr>
          <w:rFonts w:ascii="Times New Roman" w:hAnsi="Times New Roman"/>
          <w:i/>
          <w:sz w:val="20"/>
        </w:rPr>
        <w:t xml:space="preserve">Non-Performance-Related Remuneration </w:t>
      </w:r>
    </w:p>
    <w:p>
      <w:pPr>
        <w:pStyle w:val="TextBody"/>
        <w:spacing w:before="120" w:after="0"/>
        <w:jc w:val="both"/>
        <w:rPr>
          <w:rFonts w:ascii="Times New Roman" w:hAnsi="Times New Roman"/>
          <w:sz w:val="20"/>
        </w:rPr>
      </w:pPr>
      <w:r>
        <w:rPr>
          <w:rFonts w:ascii="Times New Roman" w:hAnsi="Times New Roman"/>
          <w:sz w:val="20"/>
        </w:rPr>
        <w:t xml:space="preserve">The fixed, non-performance-related remuneration comprises (i) a fixed annual base salary, which is generally paid out in equal instalments, and (ii) market standard fringe benefits. Fringe benefits mainly consist of expenses for company housing, contribution payments to a statutory and private health and care insurance and other remuneration in kind. </w:t>
      </w:r>
    </w:p>
    <w:p>
      <w:pPr>
        <w:pStyle w:val="TextBody"/>
        <w:spacing w:before="360" w:after="0"/>
        <w:jc w:val="left"/>
        <w:rPr>
          <w:rFonts w:ascii="Times New Roman" w:hAnsi="Times New Roman"/>
          <w:i/>
          <w:sz w:val="20"/>
        </w:rPr>
      </w:pPr>
      <w:r>
        <w:rPr>
          <w:rFonts w:ascii="Times New Roman" w:hAnsi="Times New Roman"/>
          <w:i/>
          <w:sz w:val="20"/>
        </w:rPr>
        <w:t xml:space="preserve">Performance-Related Remuneration </w:t>
      </w:r>
    </w:p>
    <w:p>
      <w:pPr>
        <w:pStyle w:val="TextBody"/>
        <w:spacing w:before="120" w:after="0"/>
        <w:jc w:val="both"/>
        <w:rPr>
          <w:rFonts w:ascii="Times New Roman" w:hAnsi="Times New Roman"/>
          <w:sz w:val="20"/>
          <w:u w:val="single"/>
        </w:rPr>
      </w:pPr>
      <w:r>
        <w:rPr>
          <w:rFonts w:ascii="Times New Roman" w:hAnsi="Times New Roman"/>
          <w:sz w:val="20"/>
          <w:u w:val="single"/>
        </w:rPr>
        <w:t xml:space="preserve">Short-term variable remuneration (STI) </w:t>
      </w:r>
    </w:p>
    <w:p>
      <w:pPr>
        <w:pStyle w:val="TextBody"/>
        <w:spacing w:before="120" w:after="0"/>
        <w:jc w:val="both"/>
        <w:rPr>
          <w:rFonts w:ascii="Times New Roman" w:hAnsi="Times New Roman"/>
          <w:sz w:val="20"/>
        </w:rPr>
      </w:pPr>
      <w:r>
        <w:rPr>
          <w:rFonts w:ascii="Times New Roman" w:hAnsi="Times New Roman"/>
          <w:sz w:val="20"/>
        </w:rPr>
        <w:t xml:space="preserve">The performance-related remuneration comprises of an annual bonus designed to reward the operational implementation of the corporate strategy in the respective financial year. </w:t>
      </w:r>
    </w:p>
    <w:p>
      <w:pPr>
        <w:pStyle w:val="TextBody"/>
        <w:spacing w:before="240" w:after="0"/>
        <w:jc w:val="both"/>
        <w:rPr>
          <w:rFonts w:ascii="Times New Roman" w:hAnsi="Times New Roman"/>
          <w:sz w:val="20"/>
        </w:rPr>
      </w:pPr>
      <w:r>
        <w:rPr>
          <w:rFonts w:ascii="Times New Roman" w:hAnsi="Times New Roman"/>
          <w:sz w:val="20"/>
        </w:rPr>
        <w:t xml:space="preserve">The amount of the annual bonus is generally calculated on the basis of the achievement of certain performance targets as defined by the supervisory board. For this purpose, the supervisory board has defined a target amount that determines the amount of the bonus payment in the event of a 100% target achievement and which corresponds to 50% of the annual (gross) base salary of each management board member, in case of Mr. Emin Bulent Altan, to 50% of the total annual (gross) base salary paid both by Mynaric AG and Mynaric USA Inc. </w:t>
      </w:r>
    </w:p>
    <w:p>
      <w:pPr>
        <w:pStyle w:val="TextBody"/>
        <w:spacing w:before="240" w:after="0"/>
        <w:jc w:val="both"/>
        <w:rPr>
          <w:rFonts w:ascii="Times New Roman" w:hAnsi="Times New Roman"/>
          <w:sz w:val="20"/>
        </w:rPr>
      </w:pPr>
      <w:r>
        <w:rPr>
          <w:rFonts w:ascii="Times New Roman" w:hAnsi="Times New Roman"/>
          <w:sz w:val="20"/>
        </w:rPr>
        <w:t xml:space="preserve">The annual bonus for 2021 was paid to the members of the management board in June 2022 and is therefore allocated to the remuneration awarded and due within the meaning of Section 162 para. 1 sentence 1 AktG in 2022. Mustafa Veziroglu was not a member of the management board in 2021 and has therefore not received any annual bonus for 2021. The annual bonus for 2022 will be determined and paid in 2023 and is therefore allocated to the remuneration awarded and due within the meaning of Section 162 section 1 sentence 1 AktG in 2022. The annual bonus for 2022 will therefore be disclosed in the remuneration report for 2023. </w:t>
      </w:r>
    </w:p>
    <w:p>
      <w:pPr>
        <w:pStyle w:val="TextBody"/>
        <w:spacing w:before="240" w:after="0"/>
        <w:jc w:val="both"/>
        <w:rPr>
          <w:rFonts w:ascii="Times New Roman" w:hAnsi="Times New Roman"/>
          <w:sz w:val="20"/>
        </w:rPr>
      </w:pPr>
      <w:r>
        <w:rPr>
          <w:rFonts w:ascii="Times New Roman" w:hAnsi="Times New Roman"/>
          <w:sz w:val="20"/>
        </w:rPr>
        <w:t xml:space="preserve">For the annual bonus 2021, the supervisory board has defined two performance targets, an operational target and a financial target, with both targets being equally weighted within the overall target achievement. In addition, the supervisory board has the possibility to take into account extraordinary circumstances, which have not been foreseen when defining the performance targets for the annual bonus, by way of an additional payout amount of up to 30% of the respective target amount. </w:t>
      </w:r>
    </w:p>
    <w:p>
      <w:pPr>
        <w:pStyle w:val="TextBody"/>
        <w:spacing w:before="240" w:after="0"/>
        <w:jc w:val="both"/>
        <w:rPr>
          <w:rFonts w:ascii="Times New Roman" w:hAnsi="Times New Roman"/>
          <w:sz w:val="20"/>
        </w:rPr>
      </w:pPr>
      <w:r>
        <w:rPr>
          <w:rFonts w:ascii="Times New Roman" w:hAnsi="Times New Roman"/>
          <w:sz w:val="20"/>
        </w:rPr>
        <w:t xml:space="preserve">The operating target has been based on the number of terminals delivered to customers in the financial year 2021. For this purpose, the supervisory board set a target value of 23 terminals delivered to customers for the operating target, which corresponds to a 100% target achievement. Less than 15 terminals delivered to customers corresponds to a target achievement of 0% and 40 terminals delivered to customers corresponds to a target achievement of 300%. An increase in target achievement above 300% is not possible (cap). </w:t>
      </w:r>
    </w:p>
    <w:p>
      <w:pPr>
        <w:pStyle w:val="TextBody"/>
        <w:spacing w:before="240" w:after="0"/>
        <w:jc w:val="both"/>
        <w:rPr>
          <w:rFonts w:ascii="Times New Roman" w:hAnsi="Times New Roman"/>
          <w:sz w:val="20"/>
        </w:rPr>
      </w:pPr>
      <w:r>
        <w:rPr>
          <w:rFonts w:ascii="Times New Roman" w:hAnsi="Times New Roman"/>
          <w:sz w:val="20"/>
        </w:rPr>
        <w:t xml:space="preserve">The financial target has been based on the amount of payments received from customers in the financial year 2021. For this purpose, the supervisory board has set a target value of €10.0 million for the financial target,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which corresponds to a 100% target achievement. Payments of less than €7.0 million correspond to a target achievement of 0% and payments of €20.0 correspond to a target achievement of 300%. An increase in the target achievement beyond 300% is not possible (cap). </w:t>
      </w:r>
    </w:p>
    <w:p>
      <w:pPr>
        <w:pStyle w:val="TextBody"/>
        <w:spacing w:before="240" w:after="0"/>
        <w:jc w:val="both"/>
        <w:rPr>
          <w:rFonts w:ascii="Times New Roman" w:hAnsi="Times New Roman"/>
          <w:sz w:val="20"/>
        </w:rPr>
      </w:pPr>
      <w:r>
        <w:rPr>
          <w:rFonts w:ascii="Times New Roman" w:hAnsi="Times New Roman"/>
          <w:sz w:val="20"/>
        </w:rPr>
        <w:t xml:space="preserve">In addition to the annual bonus, each management board member is entitled to a one-time bonus for investments by strategic investors which exceed 5% of our then current share capital. The one-time bonus is set to amount to 1% of the acquired funds (payment into the share capital or into the capital reserve) and is capped at €1,000,000. In the case of a capital increase with subscription rights, only those investments which go beyond the investor’s subscription rights count towards the 5% threshold. The special bonus is a reward for the management board member’s performance in acquiring strategic investors for us. In connection with the Credit Agreement 2023 and the equity investment in April 2023, the members of the management board will receive a bonus payment in the aggregate amount of approximately €500,000. </w:t>
      </w:r>
    </w:p>
    <w:p>
      <w:pPr>
        <w:pStyle w:val="TextBody"/>
        <w:spacing w:before="240" w:after="0"/>
        <w:jc w:val="both"/>
        <w:rPr>
          <w:rFonts w:ascii="Times New Roman" w:hAnsi="Times New Roman"/>
          <w:sz w:val="20"/>
          <w:u w:val="single"/>
        </w:rPr>
      </w:pPr>
      <w:r>
        <w:rPr>
          <w:rFonts w:ascii="Times New Roman" w:hAnsi="Times New Roman"/>
          <w:sz w:val="20"/>
          <w:u w:val="single"/>
        </w:rPr>
        <w:t xml:space="preserve">Long-term variable remuneration (LTI) </w:t>
      </w:r>
    </w:p>
    <w:p>
      <w:pPr>
        <w:pStyle w:val="TextBody"/>
        <w:spacing w:before="120" w:after="0"/>
        <w:jc w:val="both"/>
        <w:rPr>
          <w:rFonts w:ascii="Times New Roman" w:hAnsi="Times New Roman"/>
          <w:sz w:val="20"/>
        </w:rPr>
      </w:pPr>
      <w:r>
        <w:rPr>
          <w:rFonts w:ascii="Times New Roman" w:hAnsi="Times New Roman"/>
          <w:sz w:val="20"/>
        </w:rPr>
        <w:t xml:space="preserve">The members of the management board also receive a long-term variable remuneration in the form of stock options, which provides an incentive to the management board members to contribute to our long-term sustainable development and links the interests of the management board members to those of our shareholders. </w:t>
      </w:r>
    </w:p>
    <w:p>
      <w:pPr>
        <w:pStyle w:val="TextBody"/>
        <w:spacing w:before="240" w:after="0"/>
        <w:jc w:val="both"/>
        <w:rPr>
          <w:rFonts w:ascii="Times New Roman" w:hAnsi="Times New Roman"/>
          <w:sz w:val="20"/>
        </w:rPr>
      </w:pPr>
      <w:r>
        <w:rPr>
          <w:rFonts w:ascii="Times New Roman" w:hAnsi="Times New Roman"/>
          <w:sz w:val="20"/>
        </w:rPr>
        <w:t xml:space="preserve">In 2022, the current members of the management board have been granted in total 108,000 stock options under the 2022 Plan. For more information, see “—Share-Based Incentive Plans—Stock Option Program 2022.” </w:t>
      </w:r>
    </w:p>
    <w:p>
      <w:pPr>
        <w:pStyle w:val="TextBody"/>
        <w:spacing w:before="360" w:after="0"/>
        <w:jc w:val="left"/>
        <w:rPr>
          <w:rFonts w:ascii="Times New Roman" w:hAnsi="Times New Roman"/>
          <w:i/>
          <w:sz w:val="20"/>
        </w:rPr>
      </w:pPr>
      <w:r>
        <w:rPr>
          <w:rFonts w:ascii="Times New Roman" w:hAnsi="Times New Roman"/>
          <w:i/>
          <w:sz w:val="20"/>
        </w:rPr>
        <w:t xml:space="preserve">Compensation of the Members of the Management Board in 2022 </w:t>
      </w:r>
    </w:p>
    <w:p>
      <w:pPr>
        <w:pStyle w:val="TextBody"/>
        <w:spacing w:before="120" w:after="0"/>
        <w:jc w:val="both"/>
        <w:rPr>
          <w:rFonts w:ascii="Times New Roman" w:hAnsi="Times New Roman"/>
          <w:sz w:val="20"/>
        </w:rPr>
      </w:pPr>
      <w:r>
        <w:rPr>
          <w:rFonts w:ascii="Times New Roman" w:hAnsi="Times New Roman"/>
          <w:sz w:val="20"/>
        </w:rPr>
        <w:t xml:space="preserve">The following table presents the fixed and variable remuneration components awarded due to the current members of the management board in 2022 in accordance with Section 162 para. 1 sentence 1 AktG. The table includes all remuneration amounts actually received by the individual management board member in the financial year (“awarded”) and all remuneration legally due but not yet received (“due”). </w:t>
      </w:r>
    </w:p>
    <w:p>
      <w:pPr>
        <w:pStyle w:val="TextBody"/>
        <w:spacing w:before="240" w:after="0"/>
        <w:jc w:val="both"/>
        <w:rPr>
          <w:rFonts w:ascii="Times New Roman" w:hAnsi="Times New Roman"/>
          <w:sz w:val="20"/>
        </w:rPr>
      </w:pPr>
      <w:r>
        <w:rPr>
          <w:rFonts w:ascii="Times New Roman" w:hAnsi="Times New Roman"/>
          <w:sz w:val="20"/>
        </w:rPr>
        <w:t xml:space="preserve">The amount of the annual bonus (short-term variable remuneration) for 2022 will be determined and paid out in 2023 and will therefore be included in the remuneration awarded and due within the meaning of Section 162 para. 1 sentence 1 AktG in 2023, whereby the remuneration awarded and due within the meaning of Section 162 para. 1 sentence 1 AktG in 2022 also includes the annual bonus for 2021 which was paid out in June 2022. Accordingly, the information provided in the tables below differs from the information about management board remuneration presented in the notes of the Annual Report 2022 (note 5.32.2). These differences are due to the differing presentation requirements under the German Corporate Governance Code and IFRS. The share-based remuneration in the form of stock options granted in the financial year 2022 is disclosed with its value, </w:t>
      </w:r>
      <w:r>
        <w:rPr>
          <w:rFonts w:ascii="Times New Roman" w:hAnsi="Times New Roman"/>
          <w:i/>
          <w:sz w:val="20"/>
        </w:rPr>
        <w:t>i.e.</w:t>
      </w:r>
      <w:r>
        <w:rPr>
          <w:rFonts w:ascii="Times New Roman" w:hAnsi="Times New Roman"/>
          <w:sz w:val="20"/>
        </w:rPr>
        <w:t xml:space="preserve"> the number of stock options granted, multiplied by the fair market value at the time of granting. </w:t>
      </w:r>
    </w:p>
    <w:p>
      <w:pPr>
        <w:pStyle w:val="TextBody"/>
        <w:spacing w:before="0" w:after="0"/>
        <w:jc w:val="left"/>
        <w:rPr/>
      </w:pPr>
      <w:r>
        <w:rPr/>
        <w:t> </w:t>
      </w:r>
    </w:p>
    <w:tbl>
      <w:tblPr>
        <w:tblW w:w="12717" w:type="dxa"/>
        <w:jc w:val="left"/>
        <w:tblInd w:w="0" w:type="dxa"/>
        <w:tblCellMar>
          <w:top w:w="0" w:type="dxa"/>
          <w:left w:w="0" w:type="dxa"/>
          <w:bottom w:w="0" w:type="dxa"/>
          <w:right w:w="0" w:type="dxa"/>
        </w:tblCellMar>
      </w:tblPr>
      <w:tblGrid>
        <w:gridCol w:w="1370"/>
        <w:gridCol w:w="60"/>
        <w:gridCol w:w="93"/>
        <w:gridCol w:w="872"/>
        <w:gridCol w:w="60"/>
        <w:gridCol w:w="60"/>
        <w:gridCol w:w="60"/>
        <w:gridCol w:w="440"/>
        <w:gridCol w:w="275"/>
        <w:gridCol w:w="60"/>
        <w:gridCol w:w="131"/>
        <w:gridCol w:w="834"/>
        <w:gridCol w:w="60"/>
        <w:gridCol w:w="60"/>
        <w:gridCol w:w="60"/>
        <w:gridCol w:w="440"/>
        <w:gridCol w:w="275"/>
        <w:gridCol w:w="60"/>
        <w:gridCol w:w="131"/>
        <w:gridCol w:w="834"/>
        <w:gridCol w:w="215"/>
        <w:gridCol w:w="60"/>
        <w:gridCol w:w="60"/>
        <w:gridCol w:w="440"/>
        <w:gridCol w:w="275"/>
        <w:gridCol w:w="60"/>
        <w:gridCol w:w="130"/>
        <w:gridCol w:w="835"/>
        <w:gridCol w:w="250"/>
        <w:gridCol w:w="69"/>
        <w:gridCol w:w="69"/>
        <w:gridCol w:w="516"/>
        <w:gridCol w:w="275"/>
        <w:gridCol w:w="60"/>
        <w:gridCol w:w="131"/>
        <w:gridCol w:w="834"/>
        <w:gridCol w:w="80"/>
        <w:gridCol w:w="80"/>
        <w:gridCol w:w="80"/>
        <w:gridCol w:w="588"/>
        <w:gridCol w:w="275"/>
        <w:gridCol w:w="60"/>
        <w:gridCol w:w="93"/>
        <w:gridCol w:w="872"/>
        <w:gridCol w:w="75"/>
      </w:tblGrid>
      <w:tr>
        <w:trPr/>
        <w:tc>
          <w:tcPr>
            <w:tcW w:w="13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3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12" w:type="dxa"/>
            <w:gridSpan w:val="4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75" w:type="dxa"/>
            <w:tcBorders/>
            <w:shd w:fill="auto" w:val="clear"/>
            <w:vAlign w:val="center"/>
          </w:tcPr>
          <w:p>
            <w:pPr>
              <w:pStyle w:val="TableContents"/>
              <w:spacing w:before="0" w:after="283"/>
              <w:rPr/>
            </w:pPr>
            <w:r>
              <w:rPr/>
              <w:t> </w:t>
            </w:r>
          </w:p>
        </w:tc>
      </w:tr>
      <w:tr>
        <w:trPr/>
        <w:tc>
          <w:tcPr>
            <w:tcW w:w="13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5"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Annual base</w:t>
              <w:br/>
              <w:t>salary</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5"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Special</w:t>
              <w:br/>
              <w:t>payment(3)</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0"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Fringe benefits</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69"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Short-term</w:t>
              <w:br/>
              <w:t>variable</w:t>
              <w:br/>
              <w:t>remuneration</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93"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Long-term</w:t>
              <w:br/>
              <w:t>variable</w:t>
              <w:br/>
              <w:t>remuneration</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Total</w:t>
            </w:r>
          </w:p>
        </w:tc>
        <w:tc>
          <w:tcPr>
            <w:tcW w:w="75" w:type="dxa"/>
            <w:tcBorders/>
            <w:shd w:fill="auto" w:val="clear"/>
            <w:vAlign w:val="center"/>
          </w:tcPr>
          <w:p>
            <w:pPr>
              <w:pStyle w:val="TableContents"/>
              <w:spacing w:before="0" w:after="283"/>
              <w:rPr/>
            </w:pPr>
            <w:r>
              <w:rPr/>
              <w:t> </w:t>
            </w:r>
          </w:p>
        </w:tc>
      </w:tr>
      <w:tr>
        <w:trPr/>
        <w:tc>
          <w:tcPr>
            <w:tcW w:w="1370" w:type="dxa"/>
            <w:tcBorders/>
            <w:shd w:fill="auto" w:val="clear"/>
            <w:vAlign w:val="center"/>
          </w:tcPr>
          <w:p>
            <w:pPr>
              <w:pStyle w:val="TableContents"/>
              <w:spacing w:before="0" w:after="283"/>
              <w:rPr>
                <w:b/>
              </w:rPr>
            </w:pPr>
            <w:r>
              <w:rPr>
                <w:b/>
              </w:rPr>
              <w:t>Management board member</w:t>
            </w:r>
          </w:p>
        </w:tc>
        <w:tc>
          <w:tcPr>
            <w:tcW w:w="60" w:type="dxa"/>
            <w:tcBorders/>
            <w:shd w:fill="auto" w:val="clear"/>
            <w:vAlign w:val="center"/>
          </w:tcPr>
          <w:p>
            <w:pPr>
              <w:pStyle w:val="TableContents"/>
              <w:spacing w:before="0" w:after="283"/>
              <w:rPr/>
            </w:pPr>
            <w:r>
              <w:rPr/>
              <w:t> </w:t>
            </w:r>
          </w:p>
        </w:tc>
        <w:tc>
          <w:tcPr>
            <w:tcW w:w="965" w:type="dxa"/>
            <w:gridSpan w:val="2"/>
            <w:tcBorders/>
            <w:shd w:fill="auto" w:val="clear"/>
            <w:vAlign w:val="center"/>
          </w:tcPr>
          <w:p>
            <w:pPr>
              <w:pStyle w:val="TableContents"/>
              <w:spacing w:before="0" w:after="283"/>
              <w:jc w:val="center"/>
              <w:rPr>
                <w:b/>
              </w:rPr>
            </w:pPr>
            <w:r>
              <w:rPr>
                <w:b/>
              </w:rPr>
              <w:t>(in €</w:t>
              <w:br/>
              <w:t>thousand)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gridSpan w:val="2"/>
            <w:tcBorders/>
            <w:shd w:fill="auto" w:val="clear"/>
            <w:vAlign w:val="center"/>
          </w:tcPr>
          <w:p>
            <w:pPr>
              <w:pStyle w:val="TableContents"/>
              <w:spacing w:before="0" w:after="283"/>
              <w:jc w:val="center"/>
              <w:rPr>
                <w:b/>
              </w:rPr>
            </w:pPr>
            <w:r>
              <w:rPr>
                <w:b/>
              </w:rPr>
              <w:t>(in</w:t>
              <w:br/>
              <w:t>%)</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5" w:type="dxa"/>
            <w:gridSpan w:val="2"/>
            <w:tcBorders/>
            <w:shd w:fill="auto" w:val="clear"/>
            <w:vAlign w:val="center"/>
          </w:tcPr>
          <w:p>
            <w:pPr>
              <w:pStyle w:val="TableContents"/>
              <w:spacing w:before="0" w:after="283"/>
              <w:jc w:val="center"/>
              <w:rPr>
                <w:b/>
              </w:rPr>
            </w:pPr>
            <w:r>
              <w:rPr>
                <w:b/>
              </w:rPr>
              <w:t>(in €</w:t>
              <w:br/>
              <w:t>thousand)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gridSpan w:val="2"/>
            <w:tcBorders/>
            <w:shd w:fill="auto" w:val="clear"/>
            <w:vAlign w:val="center"/>
          </w:tcPr>
          <w:p>
            <w:pPr>
              <w:pStyle w:val="TableContents"/>
              <w:spacing w:before="0" w:after="283"/>
              <w:jc w:val="center"/>
              <w:rPr>
                <w:b/>
              </w:rPr>
            </w:pPr>
            <w:r>
              <w:rPr>
                <w:b/>
              </w:rPr>
              <w:t>(in</w:t>
              <w:br/>
              <w:t>%)</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5" w:type="dxa"/>
            <w:gridSpan w:val="2"/>
            <w:tcBorders/>
            <w:shd w:fill="auto" w:val="clear"/>
            <w:vAlign w:val="center"/>
          </w:tcPr>
          <w:p>
            <w:pPr>
              <w:pStyle w:val="TableContents"/>
              <w:spacing w:before="0" w:after="283"/>
              <w:jc w:val="center"/>
              <w:rPr>
                <w:b/>
              </w:rPr>
            </w:pPr>
            <w:r>
              <w:rPr>
                <w:b/>
              </w:rPr>
              <w:t>(in €</w:t>
              <w:br/>
              <w:t>thousand)</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gridSpan w:val="2"/>
            <w:tcBorders/>
            <w:shd w:fill="auto" w:val="clear"/>
            <w:vAlign w:val="center"/>
          </w:tcPr>
          <w:p>
            <w:pPr>
              <w:pStyle w:val="TableContents"/>
              <w:spacing w:before="0" w:after="283"/>
              <w:jc w:val="center"/>
              <w:rPr>
                <w:b/>
              </w:rPr>
            </w:pPr>
            <w:r>
              <w:rPr>
                <w:b/>
              </w:rPr>
              <w:t>(in</w:t>
              <w:br/>
              <w:t>%)</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5" w:type="dxa"/>
            <w:gridSpan w:val="2"/>
            <w:tcBorders/>
            <w:shd w:fill="auto" w:val="clear"/>
            <w:vAlign w:val="center"/>
          </w:tcPr>
          <w:p>
            <w:pPr>
              <w:pStyle w:val="TableContents"/>
              <w:spacing w:before="0" w:after="283"/>
              <w:jc w:val="center"/>
              <w:rPr>
                <w:b/>
              </w:rPr>
            </w:pPr>
            <w:r>
              <w:rPr>
                <w:b/>
              </w:rPr>
              <w:t>(in €</w:t>
              <w:br/>
              <w:t>thousand)</w:t>
            </w:r>
          </w:p>
        </w:tc>
        <w:tc>
          <w:tcPr>
            <w:tcW w:w="25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585" w:type="dxa"/>
            <w:gridSpan w:val="2"/>
            <w:tcBorders/>
            <w:shd w:fill="auto" w:val="clear"/>
            <w:vAlign w:val="center"/>
          </w:tcPr>
          <w:p>
            <w:pPr>
              <w:pStyle w:val="TableContents"/>
              <w:spacing w:before="0" w:after="283"/>
              <w:jc w:val="center"/>
              <w:rPr>
                <w:b/>
              </w:rPr>
            </w:pPr>
            <w:r>
              <w:rPr>
                <w:b/>
              </w:rPr>
              <w:t>(in</w:t>
              <w:br/>
              <w:t>%)</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5" w:type="dxa"/>
            <w:gridSpan w:val="2"/>
            <w:tcBorders/>
            <w:shd w:fill="auto" w:val="clear"/>
            <w:vAlign w:val="center"/>
          </w:tcPr>
          <w:p>
            <w:pPr>
              <w:pStyle w:val="TableContents"/>
              <w:spacing w:before="0" w:after="283"/>
              <w:jc w:val="center"/>
              <w:rPr>
                <w:b/>
              </w:rPr>
            </w:pPr>
            <w:r>
              <w:rPr>
                <w:b/>
              </w:rPr>
              <w:t>(in €</w:t>
              <w:br/>
              <w:t>thousand)</w:t>
            </w:r>
          </w:p>
        </w:tc>
        <w:tc>
          <w:tcPr>
            <w:tcW w:w="8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68" w:type="dxa"/>
            <w:gridSpan w:val="2"/>
            <w:tcBorders/>
            <w:shd w:fill="auto" w:val="clear"/>
            <w:vAlign w:val="center"/>
          </w:tcPr>
          <w:p>
            <w:pPr>
              <w:pStyle w:val="TableContents"/>
              <w:spacing w:before="0" w:after="283"/>
              <w:jc w:val="center"/>
              <w:rPr>
                <w:b/>
              </w:rPr>
            </w:pPr>
            <w:r>
              <w:rPr>
                <w:b/>
              </w:rPr>
              <w:t>(in</w:t>
              <w:br/>
              <w:t>%)</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5" w:type="dxa"/>
            <w:gridSpan w:val="2"/>
            <w:tcBorders/>
            <w:shd w:fill="auto" w:val="clear"/>
            <w:vAlign w:val="center"/>
          </w:tcPr>
          <w:p>
            <w:pPr>
              <w:pStyle w:val="TableContents"/>
              <w:spacing w:before="0" w:after="283"/>
              <w:jc w:val="center"/>
              <w:rPr>
                <w:b/>
              </w:rPr>
            </w:pPr>
            <w:r>
              <w:rPr>
                <w:b/>
              </w:rPr>
              <w:t>(in €</w:t>
              <w:br/>
              <w:t>thousand)</w:t>
            </w:r>
          </w:p>
        </w:tc>
        <w:tc>
          <w:tcPr>
            <w:tcW w:w="75" w:type="dxa"/>
            <w:tcBorders/>
            <w:shd w:fill="auto" w:val="clear"/>
            <w:vAlign w:val="center"/>
          </w:tcPr>
          <w:p>
            <w:pPr>
              <w:pStyle w:val="TableContents"/>
              <w:spacing w:before="0" w:after="283"/>
              <w:rPr/>
            </w:pPr>
            <w:r>
              <w:rPr/>
              <w:t> </w:t>
            </w:r>
          </w:p>
        </w:tc>
      </w:tr>
      <w:tr>
        <w:trPr/>
        <w:tc>
          <w:tcPr>
            <w:tcW w:w="13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Emin Bulent Altan</w:t>
            </w:r>
          </w:p>
        </w:tc>
        <w:tc>
          <w:tcPr>
            <w:tcW w:w="6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872" w:type="dxa"/>
            <w:tcBorders/>
            <w:shd w:fill="CCEEFF" w:val="clear"/>
            <w:vAlign w:val="center"/>
          </w:tcPr>
          <w:p>
            <w:pPr>
              <w:pStyle w:val="TableContents"/>
              <w:spacing w:before="0" w:after="283"/>
              <w:jc w:val="right"/>
              <w:rPr/>
            </w:pPr>
            <w:r>
              <w:rPr/>
              <w:t>473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0" w:type="dxa"/>
            <w:tcBorders/>
            <w:shd w:fill="CCEEFF" w:val="clear"/>
            <w:vAlign w:val="center"/>
          </w:tcPr>
          <w:p>
            <w:pPr>
              <w:pStyle w:val="TableContents"/>
              <w:spacing w:before="0" w:after="283"/>
              <w:jc w:val="right"/>
              <w:rPr/>
            </w:pPr>
            <w:r>
              <w:rPr/>
              <w:t>34.2</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834" w:type="dxa"/>
            <w:tcBorders/>
            <w:shd w:fill="CCEEFF" w:val="clear"/>
            <w:vAlign w:val="center"/>
          </w:tcPr>
          <w:p>
            <w:pPr>
              <w:pStyle w:val="TableContents"/>
              <w:spacing w:before="0" w:after="283"/>
              <w:jc w:val="right"/>
              <w:rPr/>
            </w:pPr>
            <w:r>
              <w:rPr/>
              <w:t>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0" w:type="dxa"/>
            <w:tcBorders/>
            <w:shd w:fill="CCEEFF" w:val="clear"/>
            <w:vAlign w:val="center"/>
          </w:tcPr>
          <w:p>
            <w:pPr>
              <w:pStyle w:val="TableContents"/>
              <w:spacing w:before="0" w:after="283"/>
              <w:jc w:val="right"/>
              <w:rPr/>
            </w:pPr>
            <w:r>
              <w:rPr/>
              <w:t>1.0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834" w:type="dxa"/>
            <w:tcBorders/>
            <w:shd w:fill="CCEEFF" w:val="clear"/>
            <w:vAlign w:val="center"/>
          </w:tcPr>
          <w:p>
            <w:pPr>
              <w:pStyle w:val="TableContents"/>
              <w:spacing w:before="0" w:after="283"/>
              <w:jc w:val="right"/>
              <w:rPr/>
            </w:pPr>
            <w:r>
              <w:rPr/>
              <w:t>120</w:t>
            </w:r>
          </w:p>
        </w:tc>
        <w:tc>
          <w:tcPr>
            <w:tcW w:w="2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0" w:type="dxa"/>
            <w:tcBorders/>
            <w:shd w:fill="CCEEFF" w:val="clear"/>
            <w:vAlign w:val="center"/>
          </w:tcPr>
          <w:p>
            <w:pPr>
              <w:pStyle w:val="TableContents"/>
              <w:spacing w:before="0" w:after="283"/>
              <w:jc w:val="right"/>
              <w:rPr/>
            </w:pPr>
            <w:r>
              <w:rPr/>
              <w:t>14.7</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835" w:type="dxa"/>
            <w:tcBorders/>
            <w:shd w:fill="CCEEFF" w:val="clear"/>
            <w:vAlign w:val="center"/>
          </w:tcPr>
          <w:p>
            <w:pPr>
              <w:pStyle w:val="TableContents"/>
              <w:spacing w:before="0" w:after="283"/>
              <w:jc w:val="right"/>
              <w:rPr/>
            </w:pPr>
            <w:r>
              <w:rPr/>
              <w:t>152</w:t>
            </w:r>
          </w:p>
        </w:tc>
        <w:tc>
          <w:tcPr>
            <w:tcW w:w="250" w:type="dxa"/>
            <w:tcBorders/>
            <w:shd w:fill="CCEEFF" w:val="clear"/>
            <w:vAlign w:val="center"/>
          </w:tcPr>
          <w:p>
            <w:pPr>
              <w:pStyle w:val="TableContents"/>
              <w:spacing w:before="0" w:after="283"/>
              <w:rPr/>
            </w:pPr>
            <w:r>
              <w:rPr/>
              <w:t>(5) </w:t>
            </w:r>
          </w:p>
        </w:tc>
        <w:tc>
          <w:tcPr>
            <w:tcW w:w="69"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516" w:type="dxa"/>
            <w:tcBorders/>
            <w:shd w:fill="CCEEFF" w:val="clear"/>
            <w:vAlign w:val="center"/>
          </w:tcPr>
          <w:p>
            <w:pPr>
              <w:pStyle w:val="TableContents"/>
              <w:spacing w:before="0" w:after="283"/>
              <w:jc w:val="right"/>
              <w:rPr/>
            </w:pPr>
            <w:r>
              <w:rPr/>
              <w:t>18.6</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834" w:type="dxa"/>
            <w:tcBorders/>
            <w:shd w:fill="CCEEFF" w:val="clear"/>
            <w:vAlign w:val="center"/>
          </w:tcPr>
          <w:p>
            <w:pPr>
              <w:pStyle w:val="TableContents"/>
              <w:spacing w:before="0" w:after="283"/>
              <w:jc w:val="right"/>
              <w:rPr/>
            </w:pPr>
            <w:r>
              <w:rPr/>
              <w:t>65</w:t>
            </w:r>
          </w:p>
        </w:tc>
        <w:tc>
          <w:tcPr>
            <w:tcW w:w="8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588" w:type="dxa"/>
            <w:tcBorders/>
            <w:shd w:fill="CCEEFF" w:val="clear"/>
            <w:vAlign w:val="center"/>
          </w:tcPr>
          <w:p>
            <w:pPr>
              <w:pStyle w:val="TableContents"/>
              <w:spacing w:before="0" w:after="283"/>
              <w:jc w:val="right"/>
              <w:rPr/>
            </w:pPr>
            <w:r>
              <w:rPr/>
              <w:t>7.9</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872" w:type="dxa"/>
            <w:tcBorders/>
            <w:shd w:fill="CCEEFF" w:val="clear"/>
            <w:vAlign w:val="center"/>
          </w:tcPr>
          <w:p>
            <w:pPr>
              <w:pStyle w:val="TableContents"/>
              <w:spacing w:before="0" w:after="283"/>
              <w:jc w:val="right"/>
              <w:rPr/>
            </w:pPr>
            <w:r>
              <w:rPr/>
              <w:t>818</w:t>
            </w:r>
          </w:p>
        </w:tc>
        <w:tc>
          <w:tcPr>
            <w:tcW w:w="75" w:type="dxa"/>
            <w:tcBorders/>
            <w:shd w:fill="CCEEFF" w:val="clear"/>
            <w:vAlign w:val="center"/>
          </w:tcPr>
          <w:p>
            <w:pPr>
              <w:pStyle w:val="TableContents"/>
              <w:spacing w:before="0" w:after="283"/>
              <w:rPr/>
            </w:pPr>
            <w:r>
              <w:rPr/>
              <w:t> </w:t>
            </w:r>
          </w:p>
        </w:tc>
      </w:tr>
      <w:tr>
        <w:trPr/>
        <w:tc>
          <w:tcPr>
            <w:tcW w:w="13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Mustafa Veziroglu(1)</w:t>
            </w:r>
          </w:p>
        </w:tc>
        <w:tc>
          <w:tcPr>
            <w:tcW w:w="6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872" w:type="dxa"/>
            <w:tcBorders/>
            <w:shd w:fill="auto" w:val="clear"/>
            <w:vAlign w:val="center"/>
          </w:tcPr>
          <w:p>
            <w:pPr>
              <w:pStyle w:val="TableContents"/>
              <w:spacing w:before="0" w:after="283"/>
              <w:jc w:val="right"/>
              <w:rPr/>
            </w:pPr>
            <w:r>
              <w:rPr/>
              <w:t>129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jc w:val="right"/>
              <w:rPr/>
            </w:pPr>
            <w:r>
              <w:rPr/>
              <w:t>49.4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834"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jc w:val="right"/>
              <w:rPr/>
            </w:pPr>
            <w:r>
              <w:rPr/>
              <w:t>0.0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834" w:type="dxa"/>
            <w:tcBorders/>
            <w:shd w:fill="auto" w:val="clear"/>
            <w:vAlign w:val="center"/>
          </w:tcPr>
          <w:p>
            <w:pPr>
              <w:pStyle w:val="TableContents"/>
              <w:spacing w:before="0" w:after="283"/>
              <w:jc w:val="right"/>
              <w:rPr/>
            </w:pPr>
            <w:r>
              <w:rPr/>
              <w:t>82</w:t>
            </w:r>
          </w:p>
        </w:tc>
        <w:tc>
          <w:tcPr>
            <w:tcW w:w="215" w:type="dxa"/>
            <w:tcBorders/>
            <w:shd w:fill="auto" w:val="clear"/>
            <w:vAlign w:val="center"/>
          </w:tcPr>
          <w:p>
            <w:pPr>
              <w:pStyle w:val="TableContents"/>
              <w:spacing w:before="0" w:after="283"/>
              <w:rPr/>
            </w:pPr>
            <w:r>
              <w:rPr/>
              <w:t>(4)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jc w:val="right"/>
              <w:rPr/>
            </w:pPr>
            <w:r>
              <w:rPr/>
              <w:t>31.4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835" w:type="dxa"/>
            <w:tcBorders/>
            <w:shd w:fill="auto" w:val="clear"/>
            <w:vAlign w:val="center"/>
          </w:tcPr>
          <w:p>
            <w:pPr>
              <w:pStyle w:val="TableContents"/>
              <w:spacing w:before="0" w:after="283"/>
              <w:jc w:val="right"/>
              <w:rPr/>
            </w:pPr>
            <w:r>
              <w:rPr/>
              <w:t>0</w:t>
            </w:r>
          </w:p>
        </w:tc>
        <w:tc>
          <w:tcPr>
            <w:tcW w:w="25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516" w:type="dxa"/>
            <w:tcBorders/>
            <w:shd w:fill="auto" w:val="clear"/>
            <w:vAlign w:val="center"/>
          </w:tcPr>
          <w:p>
            <w:pPr>
              <w:pStyle w:val="TableContents"/>
              <w:spacing w:before="0" w:after="283"/>
              <w:jc w:val="right"/>
              <w:rPr/>
            </w:pPr>
            <w:r>
              <w:rPr/>
              <w:t>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834" w:type="dxa"/>
            <w:tcBorders/>
            <w:shd w:fill="auto" w:val="clear"/>
            <w:vAlign w:val="center"/>
          </w:tcPr>
          <w:p>
            <w:pPr>
              <w:pStyle w:val="TableContents"/>
              <w:spacing w:before="0" w:after="283"/>
              <w:jc w:val="right"/>
              <w:rPr/>
            </w:pPr>
            <w:r>
              <w:rPr/>
              <w:t>50</w:t>
            </w:r>
          </w:p>
        </w:tc>
        <w:tc>
          <w:tcPr>
            <w:tcW w:w="8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588" w:type="dxa"/>
            <w:tcBorders/>
            <w:shd w:fill="auto" w:val="clear"/>
            <w:vAlign w:val="center"/>
          </w:tcPr>
          <w:p>
            <w:pPr>
              <w:pStyle w:val="TableContents"/>
              <w:spacing w:before="0" w:after="283"/>
              <w:jc w:val="right"/>
              <w:rPr/>
            </w:pPr>
            <w:r>
              <w:rPr/>
              <w:t>19.6</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872" w:type="dxa"/>
            <w:tcBorders/>
            <w:shd w:fill="auto" w:val="clear"/>
            <w:vAlign w:val="center"/>
          </w:tcPr>
          <w:p>
            <w:pPr>
              <w:pStyle w:val="TableContents"/>
              <w:spacing w:before="0" w:after="283"/>
              <w:jc w:val="right"/>
              <w:rPr/>
            </w:pPr>
            <w:r>
              <w:rPr/>
              <w:t>261</w:t>
            </w:r>
          </w:p>
        </w:tc>
        <w:tc>
          <w:tcPr>
            <w:tcW w:w="75" w:type="dxa"/>
            <w:tcBorders/>
            <w:shd w:fill="auto" w:val="clear"/>
            <w:vAlign w:val="center"/>
          </w:tcPr>
          <w:p>
            <w:pPr>
              <w:pStyle w:val="TableContents"/>
              <w:spacing w:before="0" w:after="283"/>
              <w:rPr/>
            </w:pPr>
            <w:r>
              <w:rPr/>
              <w:t> </w:t>
            </w:r>
          </w:p>
        </w:tc>
      </w:tr>
      <w:tr>
        <w:trPr/>
        <w:tc>
          <w:tcPr>
            <w:tcW w:w="13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Stefan Berndt-von Bülow</w:t>
            </w:r>
          </w:p>
        </w:tc>
        <w:tc>
          <w:tcPr>
            <w:tcW w:w="6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872" w:type="dxa"/>
            <w:tcBorders/>
            <w:shd w:fill="CCEEFF" w:val="clear"/>
            <w:vAlign w:val="center"/>
          </w:tcPr>
          <w:p>
            <w:pPr>
              <w:pStyle w:val="TableContents"/>
              <w:spacing w:before="0" w:after="283"/>
              <w:jc w:val="right"/>
              <w:rPr/>
            </w:pPr>
            <w:r>
              <w:rPr/>
              <w:t>263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0" w:type="dxa"/>
            <w:tcBorders/>
            <w:shd w:fill="CCEEFF" w:val="clear"/>
            <w:vAlign w:val="center"/>
          </w:tcPr>
          <w:p>
            <w:pPr>
              <w:pStyle w:val="TableContents"/>
              <w:spacing w:before="0" w:after="283"/>
              <w:jc w:val="right"/>
              <w:rPr/>
            </w:pPr>
            <w:r>
              <w:rPr/>
              <w:t>50.3</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834" w:type="dxa"/>
            <w:tcBorders/>
            <w:shd w:fill="CCEEFF" w:val="clear"/>
            <w:vAlign w:val="center"/>
          </w:tcPr>
          <w:p>
            <w:pPr>
              <w:pStyle w:val="TableContents"/>
              <w:spacing w:before="0" w:after="283"/>
              <w:jc w:val="right"/>
              <w:rPr/>
            </w:pPr>
            <w:r>
              <w:rPr/>
              <w:t>62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0" w:type="dxa"/>
            <w:tcBorders/>
            <w:shd w:fill="CCEEFF" w:val="clear"/>
            <w:vAlign w:val="center"/>
          </w:tcPr>
          <w:p>
            <w:pPr>
              <w:pStyle w:val="TableContents"/>
              <w:spacing w:before="0" w:after="283"/>
              <w:jc w:val="right"/>
              <w:rPr/>
            </w:pPr>
            <w:r>
              <w:rPr/>
              <w:t>11.9</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834" w:type="dxa"/>
            <w:tcBorders/>
            <w:shd w:fill="CCEEFF" w:val="clear"/>
            <w:vAlign w:val="center"/>
          </w:tcPr>
          <w:p>
            <w:pPr>
              <w:pStyle w:val="TableContents"/>
              <w:spacing w:before="0" w:after="283"/>
              <w:jc w:val="right"/>
              <w:rPr/>
            </w:pPr>
            <w:r>
              <w:rPr/>
              <w:t>6</w:t>
            </w:r>
          </w:p>
        </w:tc>
        <w:tc>
          <w:tcPr>
            <w:tcW w:w="2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0" w:type="dxa"/>
            <w:tcBorders/>
            <w:shd w:fill="CCEEFF" w:val="clear"/>
            <w:vAlign w:val="center"/>
          </w:tcPr>
          <w:p>
            <w:pPr>
              <w:pStyle w:val="TableContents"/>
              <w:spacing w:before="0" w:after="283"/>
              <w:jc w:val="right"/>
              <w:rPr/>
            </w:pPr>
            <w:r>
              <w:rPr/>
              <w:t>1.1</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835" w:type="dxa"/>
            <w:tcBorders/>
            <w:shd w:fill="CCEEFF" w:val="clear"/>
            <w:vAlign w:val="center"/>
          </w:tcPr>
          <w:p>
            <w:pPr>
              <w:pStyle w:val="TableContents"/>
              <w:spacing w:before="0" w:after="283"/>
              <w:jc w:val="right"/>
              <w:rPr/>
            </w:pPr>
            <w:r>
              <w:rPr/>
              <w:t>142</w:t>
            </w:r>
          </w:p>
        </w:tc>
        <w:tc>
          <w:tcPr>
            <w:tcW w:w="250" w:type="dxa"/>
            <w:tcBorders/>
            <w:shd w:fill="CCEEFF" w:val="clear"/>
            <w:vAlign w:val="center"/>
          </w:tcPr>
          <w:p>
            <w:pPr>
              <w:pStyle w:val="TableContents"/>
              <w:spacing w:before="0" w:after="283"/>
              <w:rPr/>
            </w:pPr>
            <w:r>
              <w:rPr/>
              <w:t>(5) </w:t>
            </w:r>
          </w:p>
        </w:tc>
        <w:tc>
          <w:tcPr>
            <w:tcW w:w="69"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516" w:type="dxa"/>
            <w:tcBorders/>
            <w:shd w:fill="CCEEFF" w:val="clear"/>
            <w:vAlign w:val="center"/>
          </w:tcPr>
          <w:p>
            <w:pPr>
              <w:pStyle w:val="TableContents"/>
              <w:spacing w:before="0" w:after="283"/>
              <w:jc w:val="right"/>
              <w:rPr/>
            </w:pPr>
            <w:r>
              <w:rPr/>
              <w:t>27.2</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834" w:type="dxa"/>
            <w:tcBorders/>
            <w:shd w:fill="CCEEFF" w:val="clear"/>
            <w:vAlign w:val="center"/>
          </w:tcPr>
          <w:p>
            <w:pPr>
              <w:pStyle w:val="TableContents"/>
              <w:spacing w:before="0" w:after="283"/>
              <w:jc w:val="right"/>
              <w:rPr/>
            </w:pPr>
            <w:r>
              <w:rPr/>
              <w:t>50</w:t>
            </w:r>
          </w:p>
        </w:tc>
        <w:tc>
          <w:tcPr>
            <w:tcW w:w="8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588" w:type="dxa"/>
            <w:tcBorders/>
            <w:shd w:fill="CCEEFF" w:val="clear"/>
            <w:vAlign w:val="center"/>
          </w:tcPr>
          <w:p>
            <w:pPr>
              <w:pStyle w:val="TableContents"/>
              <w:spacing w:before="0" w:after="283"/>
              <w:jc w:val="right"/>
              <w:rPr/>
            </w:pPr>
            <w:r>
              <w:rPr/>
              <w:t>9.6</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872" w:type="dxa"/>
            <w:tcBorders/>
            <w:shd w:fill="CCEEFF" w:val="clear"/>
            <w:vAlign w:val="center"/>
          </w:tcPr>
          <w:p>
            <w:pPr>
              <w:pStyle w:val="TableContents"/>
              <w:spacing w:before="0" w:after="283"/>
              <w:jc w:val="right"/>
              <w:rPr/>
            </w:pPr>
            <w:r>
              <w:rPr/>
              <w:t>522</w:t>
            </w:r>
          </w:p>
        </w:tc>
        <w:tc>
          <w:tcPr>
            <w:tcW w:w="75" w:type="dxa"/>
            <w:tcBorders/>
            <w:shd w:fill="CCEEFF" w:val="clear"/>
            <w:vAlign w:val="center"/>
          </w:tcPr>
          <w:p>
            <w:pPr>
              <w:pStyle w:val="TableContents"/>
              <w:spacing w:before="0" w:after="283"/>
              <w:rPr/>
            </w:pPr>
            <w:r>
              <w:rPr/>
              <w:t> </w:t>
            </w:r>
          </w:p>
        </w:tc>
      </w:tr>
      <w:tr>
        <w:trPr/>
        <w:tc>
          <w:tcPr>
            <w:tcW w:w="13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Joachim Horwath(2)</w:t>
            </w:r>
          </w:p>
        </w:tc>
        <w:tc>
          <w:tcPr>
            <w:tcW w:w="6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872" w:type="dxa"/>
            <w:tcBorders/>
            <w:shd w:fill="auto" w:val="clear"/>
            <w:vAlign w:val="center"/>
          </w:tcPr>
          <w:p>
            <w:pPr>
              <w:pStyle w:val="TableContents"/>
              <w:spacing w:before="0" w:after="283"/>
              <w:jc w:val="right"/>
              <w:rPr/>
            </w:pPr>
            <w:r>
              <w:rPr/>
              <w:t>263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jc w:val="right"/>
              <w:rPr/>
            </w:pPr>
            <w:r>
              <w:rPr/>
              <w:t>50.3</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834" w:type="dxa"/>
            <w:tcBorders/>
            <w:shd w:fill="auto" w:val="clear"/>
            <w:vAlign w:val="center"/>
          </w:tcPr>
          <w:p>
            <w:pPr>
              <w:pStyle w:val="TableContents"/>
              <w:spacing w:before="0" w:after="283"/>
              <w:jc w:val="right"/>
              <w:rPr/>
            </w:pPr>
            <w:r>
              <w:rPr/>
              <w:t>62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jc w:val="right"/>
              <w:rPr/>
            </w:pPr>
            <w:r>
              <w:rPr/>
              <w:t>11.9</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834" w:type="dxa"/>
            <w:tcBorders/>
            <w:shd w:fill="auto" w:val="clear"/>
            <w:vAlign w:val="center"/>
          </w:tcPr>
          <w:p>
            <w:pPr>
              <w:pStyle w:val="TableContents"/>
              <w:spacing w:before="0" w:after="283"/>
              <w:jc w:val="right"/>
              <w:rPr/>
            </w:pPr>
            <w:r>
              <w:rPr/>
              <w:t>6</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jc w:val="right"/>
              <w:rPr/>
            </w:pPr>
            <w:r>
              <w:rPr/>
              <w:t>1.1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835" w:type="dxa"/>
            <w:tcBorders/>
            <w:shd w:fill="auto" w:val="clear"/>
            <w:vAlign w:val="center"/>
          </w:tcPr>
          <w:p>
            <w:pPr>
              <w:pStyle w:val="TableContents"/>
              <w:spacing w:before="0" w:after="283"/>
              <w:jc w:val="right"/>
              <w:rPr/>
            </w:pPr>
            <w:r>
              <w:rPr/>
              <w:t>142</w:t>
            </w:r>
          </w:p>
        </w:tc>
        <w:tc>
          <w:tcPr>
            <w:tcW w:w="250" w:type="dxa"/>
            <w:tcBorders/>
            <w:shd w:fill="auto" w:val="clear"/>
            <w:vAlign w:val="center"/>
          </w:tcPr>
          <w:p>
            <w:pPr>
              <w:pStyle w:val="TableContents"/>
              <w:spacing w:before="0" w:after="283"/>
              <w:rPr/>
            </w:pPr>
            <w:r>
              <w:rPr/>
              <w:t>(5) </w:t>
            </w:r>
          </w:p>
        </w:tc>
        <w:tc>
          <w:tcPr>
            <w:tcW w:w="6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516" w:type="dxa"/>
            <w:tcBorders/>
            <w:shd w:fill="auto" w:val="clear"/>
            <w:vAlign w:val="center"/>
          </w:tcPr>
          <w:p>
            <w:pPr>
              <w:pStyle w:val="TableContents"/>
              <w:spacing w:before="0" w:after="283"/>
              <w:jc w:val="right"/>
              <w:rPr/>
            </w:pPr>
            <w:r>
              <w:rPr/>
              <w:t>27.2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834" w:type="dxa"/>
            <w:tcBorders/>
            <w:shd w:fill="auto" w:val="clear"/>
            <w:vAlign w:val="center"/>
          </w:tcPr>
          <w:p>
            <w:pPr>
              <w:pStyle w:val="TableContents"/>
              <w:spacing w:before="0" w:after="283"/>
              <w:jc w:val="right"/>
              <w:rPr/>
            </w:pPr>
            <w:r>
              <w:rPr/>
              <w:t>50</w:t>
            </w:r>
          </w:p>
        </w:tc>
        <w:tc>
          <w:tcPr>
            <w:tcW w:w="8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588" w:type="dxa"/>
            <w:tcBorders/>
            <w:shd w:fill="auto" w:val="clear"/>
            <w:vAlign w:val="center"/>
          </w:tcPr>
          <w:p>
            <w:pPr>
              <w:pStyle w:val="TableContents"/>
              <w:spacing w:before="0" w:after="283"/>
              <w:jc w:val="right"/>
              <w:rPr/>
            </w:pPr>
            <w:r>
              <w:rPr/>
              <w:t>9.6</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872" w:type="dxa"/>
            <w:tcBorders/>
            <w:shd w:fill="auto" w:val="clear"/>
            <w:vAlign w:val="center"/>
          </w:tcPr>
          <w:p>
            <w:pPr>
              <w:pStyle w:val="TableContents"/>
              <w:spacing w:before="0" w:after="283"/>
              <w:jc w:val="right"/>
              <w:rPr/>
            </w:pPr>
            <w:r>
              <w:rPr/>
              <w:t>522</w:t>
            </w:r>
          </w:p>
        </w:tc>
        <w:tc>
          <w:tcPr>
            <w:tcW w:w="75" w:type="dxa"/>
            <w:tcBorders/>
            <w:shd w:fill="auto" w:val="clear"/>
            <w:vAlign w:val="center"/>
          </w:tcPr>
          <w:p>
            <w:pPr>
              <w:pStyle w:val="TableContents"/>
              <w:spacing w:before="0" w:after="283"/>
              <w:rPr/>
            </w:pPr>
            <w:r>
              <w:rPr/>
              <w:t> </w:t>
            </w:r>
          </w:p>
        </w:tc>
      </w:tr>
      <w:tr>
        <w:trPr/>
        <w:tc>
          <w:tcPr>
            <w:tcW w:w="137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6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872" w:type="dxa"/>
            <w:tcBorders/>
            <w:shd w:fill="CCEEFF" w:val="clear"/>
            <w:vAlign w:val="center"/>
          </w:tcPr>
          <w:p>
            <w:pPr>
              <w:pStyle w:val="TableContents"/>
              <w:spacing w:before="0" w:after="283"/>
              <w:jc w:val="right"/>
              <w:rPr/>
            </w:pPr>
            <w:r>
              <w:rPr/>
              <w:t>1,128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0" w:type="dxa"/>
            <w:tcBorders/>
            <w:shd w:fill="CCEEFF" w:val="clear"/>
            <w:vAlign w:val="center"/>
          </w:tcPr>
          <w:p>
            <w:pPr>
              <w:pStyle w:val="TableContents"/>
              <w:spacing w:before="0" w:after="283"/>
              <w:jc w:val="right"/>
              <w:rPr/>
            </w:pPr>
            <w:r>
              <w:rPr/>
              <w:t>53.1</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834" w:type="dxa"/>
            <w:tcBorders/>
            <w:shd w:fill="CCEEFF" w:val="clear"/>
            <w:vAlign w:val="center"/>
          </w:tcPr>
          <w:p>
            <w:pPr>
              <w:pStyle w:val="TableContents"/>
              <w:spacing w:before="0" w:after="283"/>
              <w:jc w:val="right"/>
              <w:rPr/>
            </w:pPr>
            <w:r>
              <w:rPr/>
              <w:t>132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0" w:type="dxa"/>
            <w:tcBorders/>
            <w:shd w:fill="CCEEFF" w:val="clear"/>
            <w:vAlign w:val="center"/>
          </w:tcPr>
          <w:p>
            <w:pPr>
              <w:pStyle w:val="TableContents"/>
              <w:spacing w:before="0" w:after="283"/>
              <w:jc w:val="right"/>
              <w:rPr/>
            </w:pPr>
            <w:r>
              <w:rPr/>
              <w:t>6.2</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834" w:type="dxa"/>
            <w:tcBorders/>
            <w:shd w:fill="CCEEFF" w:val="clear"/>
            <w:vAlign w:val="center"/>
          </w:tcPr>
          <w:p>
            <w:pPr>
              <w:pStyle w:val="TableContents"/>
              <w:spacing w:before="0" w:after="283"/>
              <w:jc w:val="right"/>
              <w:rPr/>
            </w:pPr>
            <w:r>
              <w:rPr/>
              <w:t>214</w:t>
            </w:r>
          </w:p>
        </w:tc>
        <w:tc>
          <w:tcPr>
            <w:tcW w:w="2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0" w:type="dxa"/>
            <w:tcBorders/>
            <w:shd w:fill="CCEEFF" w:val="clear"/>
            <w:vAlign w:val="center"/>
          </w:tcPr>
          <w:p>
            <w:pPr>
              <w:pStyle w:val="TableContents"/>
              <w:spacing w:before="0" w:after="283"/>
              <w:jc w:val="right"/>
              <w:rPr/>
            </w:pPr>
            <w:r>
              <w:rPr/>
              <w:t>10.1</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835" w:type="dxa"/>
            <w:tcBorders/>
            <w:shd w:fill="CCEEFF" w:val="clear"/>
            <w:vAlign w:val="center"/>
          </w:tcPr>
          <w:p>
            <w:pPr>
              <w:pStyle w:val="TableContents"/>
              <w:spacing w:before="0" w:after="283"/>
              <w:jc w:val="right"/>
              <w:rPr/>
            </w:pPr>
            <w:r>
              <w:rPr/>
              <w:t>436</w:t>
            </w:r>
          </w:p>
        </w:tc>
        <w:tc>
          <w:tcPr>
            <w:tcW w:w="25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516" w:type="dxa"/>
            <w:tcBorders/>
            <w:shd w:fill="CCEEFF" w:val="clear"/>
            <w:vAlign w:val="center"/>
          </w:tcPr>
          <w:p>
            <w:pPr>
              <w:pStyle w:val="TableContents"/>
              <w:spacing w:before="0" w:after="283"/>
              <w:jc w:val="right"/>
              <w:rPr/>
            </w:pPr>
            <w:r>
              <w:rPr/>
              <w:t>20.5</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834" w:type="dxa"/>
            <w:tcBorders/>
            <w:shd w:fill="CCEEFF" w:val="clear"/>
            <w:vAlign w:val="center"/>
          </w:tcPr>
          <w:p>
            <w:pPr>
              <w:pStyle w:val="TableContents"/>
              <w:spacing w:before="0" w:after="283"/>
              <w:jc w:val="right"/>
              <w:rPr/>
            </w:pPr>
            <w:r>
              <w:rPr/>
              <w:t>215</w:t>
            </w:r>
          </w:p>
        </w:tc>
        <w:tc>
          <w:tcPr>
            <w:tcW w:w="8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588" w:type="dxa"/>
            <w:tcBorders/>
            <w:shd w:fill="CCEEFF" w:val="clear"/>
            <w:vAlign w:val="center"/>
          </w:tcPr>
          <w:p>
            <w:pPr>
              <w:pStyle w:val="TableContents"/>
              <w:spacing w:before="0" w:after="283"/>
              <w:jc w:val="right"/>
              <w:rPr/>
            </w:pPr>
            <w:r>
              <w:rPr/>
              <w:t>10.1</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872" w:type="dxa"/>
            <w:tcBorders/>
            <w:shd w:fill="CCEEFF" w:val="clear"/>
            <w:vAlign w:val="center"/>
          </w:tcPr>
          <w:p>
            <w:pPr>
              <w:pStyle w:val="TableContents"/>
              <w:spacing w:before="0" w:after="283"/>
              <w:jc w:val="right"/>
              <w:rPr/>
            </w:pPr>
            <w:r>
              <w:rPr/>
              <w:t>2,123</w:t>
            </w:r>
          </w:p>
        </w:tc>
        <w:tc>
          <w:tcPr>
            <w:tcW w:w="75" w:type="dxa"/>
            <w:tcBorders/>
            <w:shd w:fill="CCEEFF"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65" w:type="dxa"/>
        <w:jc w:val="left"/>
        <w:tblInd w:w="0" w:type="dxa"/>
        <w:tblCellMar>
          <w:top w:w="0" w:type="dxa"/>
          <w:left w:w="0" w:type="dxa"/>
          <w:bottom w:w="0" w:type="dxa"/>
          <w:right w:w="0" w:type="dxa"/>
        </w:tblCellMar>
      </w:tblPr>
      <w:tblGrid>
        <w:gridCol w:w="305"/>
        <w:gridCol w:w="4760"/>
      </w:tblGrid>
      <w:tr>
        <w:trPr/>
        <w:tc>
          <w:tcPr>
            <w:tcW w:w="305" w:type="dxa"/>
            <w:tcBorders/>
            <w:shd w:fill="auto" w:val="clear"/>
            <w:vAlign w:val="center"/>
          </w:tcPr>
          <w:p>
            <w:pPr>
              <w:pStyle w:val="TableContents"/>
              <w:spacing w:before="0" w:after="283"/>
              <w:jc w:val="left"/>
              <w:rPr/>
            </w:pPr>
            <w:r>
              <w:rPr/>
              <w:t>(1)</w:t>
            </w:r>
          </w:p>
        </w:tc>
        <w:tc>
          <w:tcPr>
            <w:tcW w:w="47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Member of the management board since August 15, 2022. </w:t>
            </w:r>
          </w:p>
        </w:tc>
      </w:tr>
    </w:tbl>
    <w:tbl>
      <w:tblPr>
        <w:tblW w:w="5200" w:type="dxa"/>
        <w:jc w:val="left"/>
        <w:tblInd w:w="0" w:type="dxa"/>
        <w:tblCellMar>
          <w:top w:w="0" w:type="dxa"/>
          <w:left w:w="0" w:type="dxa"/>
          <w:bottom w:w="0" w:type="dxa"/>
          <w:right w:w="0" w:type="dxa"/>
        </w:tblCellMar>
      </w:tblPr>
      <w:tblGrid>
        <w:gridCol w:w="305"/>
        <w:gridCol w:w="4895"/>
      </w:tblGrid>
      <w:tr>
        <w:trPr/>
        <w:tc>
          <w:tcPr>
            <w:tcW w:w="305" w:type="dxa"/>
            <w:tcBorders/>
            <w:shd w:fill="auto" w:val="clear"/>
            <w:vAlign w:val="center"/>
          </w:tcPr>
          <w:p>
            <w:pPr>
              <w:pStyle w:val="TableContents"/>
              <w:spacing w:before="0" w:after="283"/>
              <w:jc w:val="left"/>
              <w:rPr/>
            </w:pPr>
            <w:r>
              <w:rPr/>
              <w:t>(2)</w:t>
            </w:r>
          </w:p>
        </w:tc>
        <w:tc>
          <w:tcPr>
            <w:tcW w:w="48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Member of the management board since February 17, 2021. </w:t>
            </w:r>
          </w:p>
        </w:tc>
      </w:tr>
    </w:tbl>
    <w:tbl>
      <w:tblPr>
        <w:tblW w:w="6580" w:type="dxa"/>
        <w:jc w:val="left"/>
        <w:tblInd w:w="0" w:type="dxa"/>
        <w:tblCellMar>
          <w:top w:w="0" w:type="dxa"/>
          <w:left w:w="0" w:type="dxa"/>
          <w:bottom w:w="0" w:type="dxa"/>
          <w:right w:w="0" w:type="dxa"/>
        </w:tblCellMar>
      </w:tblPr>
      <w:tblGrid>
        <w:gridCol w:w="305"/>
        <w:gridCol w:w="6275"/>
      </w:tblGrid>
      <w:tr>
        <w:trPr/>
        <w:tc>
          <w:tcPr>
            <w:tcW w:w="305" w:type="dxa"/>
            <w:tcBorders/>
            <w:shd w:fill="auto" w:val="clear"/>
            <w:vAlign w:val="center"/>
          </w:tcPr>
          <w:p>
            <w:pPr>
              <w:pStyle w:val="TableContents"/>
              <w:spacing w:before="0" w:after="283"/>
              <w:jc w:val="left"/>
              <w:rPr/>
            </w:pPr>
            <w:r>
              <w:rPr/>
              <w:t>(3)</w:t>
            </w:r>
          </w:p>
        </w:tc>
        <w:tc>
          <w:tcPr>
            <w:tcW w:w="627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Special payment for the extension of appointment to the management board. </w:t>
            </w:r>
          </w:p>
        </w:tc>
      </w:tr>
    </w:tbl>
    <w:tbl>
      <w:tblPr>
        <w:tblW w:w="5200" w:type="dxa"/>
        <w:jc w:val="left"/>
        <w:tblInd w:w="0" w:type="dxa"/>
        <w:tblCellMar>
          <w:top w:w="0" w:type="dxa"/>
          <w:left w:w="0" w:type="dxa"/>
          <w:bottom w:w="0" w:type="dxa"/>
          <w:right w:w="0" w:type="dxa"/>
        </w:tblCellMar>
      </w:tblPr>
      <w:tblGrid>
        <w:gridCol w:w="305"/>
        <w:gridCol w:w="4895"/>
      </w:tblGrid>
      <w:tr>
        <w:trPr/>
        <w:tc>
          <w:tcPr>
            <w:tcW w:w="305" w:type="dxa"/>
            <w:tcBorders/>
            <w:shd w:fill="auto" w:val="clear"/>
            <w:vAlign w:val="center"/>
          </w:tcPr>
          <w:p>
            <w:pPr>
              <w:pStyle w:val="TableContents"/>
              <w:spacing w:before="0" w:after="283"/>
              <w:jc w:val="left"/>
              <w:rPr/>
            </w:pPr>
            <w:r>
              <w:rPr/>
              <w:t>(4)</w:t>
            </w:r>
          </w:p>
        </w:tc>
        <w:tc>
          <w:tcPr>
            <w:tcW w:w="48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Includes €80 thousand for transfer of residence to Germany. </w:t>
            </w:r>
          </w:p>
        </w:tc>
      </w:tr>
    </w:tbl>
    <w:tbl>
      <w:tblPr>
        <w:tblW w:w="10205" w:type="dxa"/>
        <w:jc w:val="left"/>
        <w:tblInd w:w="0" w:type="dxa"/>
        <w:tblCellMar>
          <w:top w:w="0" w:type="dxa"/>
          <w:left w:w="0" w:type="dxa"/>
          <w:bottom w:w="0" w:type="dxa"/>
          <w:right w:w="0" w:type="dxa"/>
        </w:tblCellMar>
      </w:tblPr>
      <w:tblGrid>
        <w:gridCol w:w="259"/>
        <w:gridCol w:w="9946"/>
      </w:tblGrid>
      <w:tr>
        <w:trPr/>
        <w:tc>
          <w:tcPr>
            <w:tcW w:w="259" w:type="dxa"/>
            <w:tcBorders/>
            <w:shd w:fill="auto" w:val="clear"/>
            <w:vAlign w:val="center"/>
          </w:tcPr>
          <w:p>
            <w:pPr>
              <w:pStyle w:val="TableContents"/>
              <w:spacing w:before="0" w:after="283"/>
              <w:jc w:val="left"/>
              <w:rPr/>
            </w:pPr>
            <w:r>
              <w:rPr/>
              <w:t>(5)</w:t>
            </w:r>
          </w:p>
        </w:tc>
        <w:tc>
          <w:tcPr>
            <w:tcW w:w="9946"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Based on the target achievements of the operational target and the financial target, the overall target achievement of the annual bonus 2021 was 0%. Includes additional payout amount of 30% for IPO on Nasdaq Global Select Market and bonus for investment by L3Harris as strategic investor. </w:t>
            </w:r>
          </w:p>
        </w:tc>
      </w:tr>
    </w:tbl>
    <w:p>
      <w:pPr>
        <w:pStyle w:val="TextBody"/>
        <w:spacing w:before="240" w:after="0"/>
        <w:jc w:val="both"/>
        <w:rPr>
          <w:rFonts w:ascii="Times New Roman" w:hAnsi="Times New Roman"/>
          <w:sz w:val="20"/>
        </w:rPr>
      </w:pPr>
      <w:r>
        <w:rPr>
          <w:rFonts w:ascii="Times New Roman" w:hAnsi="Times New Roman"/>
          <w:sz w:val="20"/>
        </w:rPr>
        <w:t xml:space="preserve">Mr. Altan received additional remuneration for his activities as director of Mynaric USA Inc., which is reflected in the aggregate remuneration described above. The other members of the management board did not receive any remuneration during their term for their positions in our subsidiaries.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Other Remuneration Rules </w:t>
      </w:r>
    </w:p>
    <w:p>
      <w:pPr>
        <w:pStyle w:val="TextBody"/>
        <w:spacing w:before="120" w:after="0"/>
        <w:jc w:val="both"/>
        <w:rPr>
          <w:rFonts w:ascii="Times New Roman" w:hAnsi="Times New Roman"/>
          <w:sz w:val="20"/>
          <w:u w:val="single"/>
        </w:rPr>
      </w:pPr>
      <w:r>
        <w:rPr>
          <w:rFonts w:ascii="Times New Roman" w:hAnsi="Times New Roman"/>
          <w:sz w:val="20"/>
          <w:u w:val="single"/>
        </w:rPr>
        <w:t xml:space="preserve">Maximum Remuneration </w:t>
      </w:r>
    </w:p>
    <w:p>
      <w:pPr>
        <w:pStyle w:val="TextBody"/>
        <w:spacing w:before="120" w:after="0"/>
        <w:jc w:val="both"/>
        <w:rPr>
          <w:rFonts w:ascii="Times New Roman" w:hAnsi="Times New Roman"/>
          <w:sz w:val="20"/>
        </w:rPr>
      </w:pPr>
      <w:r>
        <w:rPr>
          <w:rFonts w:ascii="Times New Roman" w:hAnsi="Times New Roman"/>
          <w:sz w:val="20"/>
        </w:rPr>
        <w:t xml:space="preserve">Pursuant to the German Stock Corporation Act, the supervisory board has set a maximum compensation for the members of the management board. This amounts to €6,000,000 for the CEO and €4,000,000 for each ordinary member of the management board for one financial year—irrespective of whether payment is made in this financial year or at a later date. </w:t>
      </w:r>
    </w:p>
    <w:p>
      <w:pPr>
        <w:pStyle w:val="TextBody"/>
        <w:spacing w:before="240" w:after="0"/>
        <w:jc w:val="both"/>
        <w:rPr>
          <w:rFonts w:ascii="Times New Roman" w:hAnsi="Times New Roman"/>
          <w:sz w:val="20"/>
          <w:u w:val="single"/>
        </w:rPr>
      </w:pPr>
      <w:r>
        <w:rPr>
          <w:rFonts w:ascii="Times New Roman" w:hAnsi="Times New Roman"/>
          <w:sz w:val="20"/>
          <w:u w:val="single"/>
        </w:rPr>
        <w:t xml:space="preserve">Penalty and clawback rules </w:t>
      </w:r>
    </w:p>
    <w:p>
      <w:pPr>
        <w:pStyle w:val="TextBody"/>
        <w:spacing w:before="120" w:after="0"/>
        <w:jc w:val="both"/>
        <w:rPr>
          <w:rFonts w:ascii="Times New Roman" w:hAnsi="Times New Roman"/>
          <w:sz w:val="20"/>
        </w:rPr>
      </w:pPr>
      <w:r>
        <w:rPr>
          <w:rFonts w:ascii="Times New Roman" w:hAnsi="Times New Roman"/>
          <w:sz w:val="20"/>
        </w:rPr>
        <w:t xml:space="preserve">If necessary, the supervisory board may withhold (penalty clause) or retract (clawback) variable remuneration components if a management board member is in serious breach of their obligations, particularly their compliance obligations. The current employment contracts of all management board members include such clawback provisions. We did not make use of our right to withhold or retract variable remuneration in financial year 2022. </w:t>
      </w:r>
    </w:p>
    <w:p>
      <w:pPr>
        <w:pStyle w:val="TextBody"/>
        <w:spacing w:before="240" w:after="0"/>
        <w:jc w:val="both"/>
        <w:rPr>
          <w:rFonts w:ascii="Times New Roman" w:hAnsi="Times New Roman"/>
          <w:sz w:val="20"/>
          <w:u w:val="single"/>
        </w:rPr>
      </w:pPr>
      <w:r>
        <w:rPr>
          <w:rFonts w:ascii="Times New Roman" w:hAnsi="Times New Roman"/>
          <w:sz w:val="20"/>
          <w:u w:val="single"/>
        </w:rPr>
        <w:t xml:space="preserve">Severance payments </w:t>
      </w:r>
    </w:p>
    <w:p>
      <w:pPr>
        <w:pStyle w:val="TextBody"/>
        <w:spacing w:before="120" w:after="0"/>
        <w:jc w:val="both"/>
        <w:rPr>
          <w:rFonts w:ascii="Times New Roman" w:hAnsi="Times New Roman"/>
          <w:sz w:val="20"/>
        </w:rPr>
      </w:pPr>
      <w:r>
        <w:rPr>
          <w:rFonts w:ascii="Times New Roman" w:hAnsi="Times New Roman"/>
          <w:sz w:val="20"/>
        </w:rPr>
        <w:t xml:space="preserve">Service contracts with our members of the management board contain severance payment provisions that comply with the recommendations of the German Corporate Governance Code. </w:t>
      </w:r>
    </w:p>
    <w:p>
      <w:pPr>
        <w:pStyle w:val="TextBody"/>
        <w:spacing w:before="240" w:after="0"/>
        <w:jc w:val="both"/>
        <w:rPr>
          <w:rFonts w:ascii="Times New Roman" w:hAnsi="Times New Roman"/>
          <w:sz w:val="20"/>
        </w:rPr>
      </w:pPr>
      <w:r>
        <w:rPr>
          <w:rFonts w:ascii="Times New Roman" w:hAnsi="Times New Roman"/>
          <w:sz w:val="20"/>
        </w:rPr>
        <w:t xml:space="preserve">In the event of premature termination of the service agreement, payments by us to the management board member, including fringe benefits, shall not exceed the value of two years’ compensation (severance payment cap) and shall compensate no more than the remaining term of the employment contract. If the service contract is terminated for cause within the sphere of the management board member, no payments will be made to the respective member. </w:t>
      </w:r>
    </w:p>
    <w:p>
      <w:pPr>
        <w:pStyle w:val="TextBody"/>
        <w:spacing w:before="240" w:after="0"/>
        <w:jc w:val="both"/>
        <w:rPr>
          <w:rFonts w:ascii="Times New Roman" w:hAnsi="Times New Roman"/>
          <w:sz w:val="20"/>
        </w:rPr>
      </w:pPr>
      <w:r>
        <w:rPr>
          <w:rFonts w:ascii="Times New Roman" w:hAnsi="Times New Roman"/>
          <w:sz w:val="20"/>
        </w:rPr>
        <w:t xml:space="preserve">The severance payment cap is calculated on the basis of the total compensation for the previous full financial year and, where appropriate, also the expected total compensation for the current financial year. </w:t>
      </w:r>
    </w:p>
    <w:p>
      <w:pPr>
        <w:pStyle w:val="TextBody"/>
        <w:spacing w:before="240" w:after="0"/>
        <w:jc w:val="both"/>
        <w:rPr>
          <w:rFonts w:ascii="Times New Roman" w:hAnsi="Times New Roman"/>
          <w:sz w:val="20"/>
          <w:u w:val="single"/>
        </w:rPr>
      </w:pPr>
      <w:r>
        <w:rPr>
          <w:rFonts w:ascii="Times New Roman" w:hAnsi="Times New Roman"/>
          <w:sz w:val="20"/>
          <w:u w:val="single"/>
        </w:rPr>
        <w:t xml:space="preserve">Change of control </w:t>
      </w:r>
    </w:p>
    <w:p>
      <w:pPr>
        <w:pStyle w:val="TextBody"/>
        <w:spacing w:before="120" w:after="0"/>
        <w:jc w:val="both"/>
        <w:rPr>
          <w:rFonts w:ascii="Times New Roman" w:hAnsi="Times New Roman"/>
          <w:sz w:val="20"/>
        </w:rPr>
      </w:pPr>
      <w:r>
        <w:rPr>
          <w:rFonts w:ascii="Times New Roman" w:hAnsi="Times New Roman"/>
          <w:sz w:val="20"/>
        </w:rPr>
        <w:t xml:space="preserve">With the exception of Bulent Altan’s service contract, service contracts with our management board members do not contain any provisions in the event of a “change-of-control” (as defined below). Under Mr. Altan’s service contract, Mr. Altan or we have the right to terminate the service contract in the event of a change-of-control against payment of a severance payment equivalent to the value of a half a year’s compensation (whereby no more than the remaining term of the employment contract is to be compensated). For purpose of this provision, a “change-of-control” is defined as the resignation from office of at least three supervisory board members. </w:t>
      </w:r>
    </w:p>
    <w:p>
      <w:pPr>
        <w:pStyle w:val="TextBody"/>
        <w:spacing w:before="240" w:after="0"/>
        <w:jc w:val="both"/>
        <w:rPr>
          <w:rFonts w:ascii="Times New Roman" w:hAnsi="Times New Roman"/>
          <w:sz w:val="20"/>
        </w:rPr>
      </w:pPr>
      <w:r>
        <w:rPr>
          <w:rFonts w:ascii="Times New Roman" w:hAnsi="Times New Roman"/>
          <w:sz w:val="20"/>
        </w:rPr>
        <w:t xml:space="preserve">In addition, the 2022 Plan provides for the following regulation in the event of a change-of-control: </w:t>
      </w:r>
    </w:p>
    <w:p>
      <w:pPr>
        <w:pStyle w:val="TextBody"/>
        <w:spacing w:before="120" w:after="0"/>
        <w:jc w:val="both"/>
        <w:rPr>
          <w:rFonts w:ascii="Times New Roman" w:hAnsi="Times New Roman"/>
          <w:sz w:val="20"/>
        </w:rPr>
      </w:pPr>
      <w:r>
        <w:rPr>
          <w:rFonts w:ascii="Times New Roman" w:hAnsi="Times New Roman"/>
          <w:sz w:val="20"/>
        </w:rPr>
        <w:t xml:space="preserve">A change-of-control exists if a shareholder holds more than 50% of our shares and/or voting rights. In the event of a change-of-control, all participants under the 2022 Plan have the right to forfeit stock options against payment of a settlement in the amount of the purchase price paid in the course of the change-of-control (or offered to the shareholders in the event of a public offer) or, if such a purchase price is not known, in the amount of the price of our share or the price of the right or certificate representing our share in the trading system with the highest total trading volume in our shares during the last 30 trading days prior to the day on which we become aware of the change-of-control and, in the case of stock options, less the exercise price. </w:t>
      </w:r>
    </w:p>
    <w:p>
      <w:pPr>
        <w:pStyle w:val="TextBody"/>
        <w:spacing w:before="240" w:after="0"/>
        <w:jc w:val="both"/>
        <w:rPr>
          <w:rFonts w:ascii="Times New Roman" w:hAnsi="Times New Roman"/>
          <w:sz w:val="20"/>
        </w:rPr>
      </w:pPr>
      <w:r>
        <w:rPr>
          <w:rFonts w:ascii="Times New Roman" w:hAnsi="Times New Roman"/>
          <w:sz w:val="20"/>
        </w:rPr>
        <w:t xml:space="preserve">Prior stock option plans provide for the following provision in the event of a change-of-control: </w:t>
      </w:r>
    </w:p>
    <w:p>
      <w:pPr>
        <w:pStyle w:val="TextBody"/>
        <w:spacing w:before="120" w:after="0"/>
        <w:jc w:val="both"/>
        <w:rPr>
          <w:rFonts w:ascii="Times New Roman" w:hAnsi="Times New Roman"/>
          <w:sz w:val="20"/>
        </w:rPr>
      </w:pPr>
      <w:r>
        <w:rPr>
          <w:rFonts w:ascii="Times New Roman" w:hAnsi="Times New Roman"/>
          <w:sz w:val="20"/>
        </w:rPr>
        <w:t xml:space="preserve">If the vesting period has not yet expired at the time the change-of-control takes effect, or if the vesting period has expired but the exercise requirements of the stock option plan are not met, the members of the management board are entitled to waive the subscription rights within two weeks of the announcement of the change-of-control by making a unilateral declaration to us. In this case, the management board members are entitled to a compensation payment in the amount of the purchase price per share paid in the course of the change-of-control less the exercise price. For purpose of this provision, a “change-of-control” is defined as the acquisition of more than 50% of our shares by a new shareholder. </w:t>
      </w:r>
    </w:p>
    <w:p>
      <w:pPr>
        <w:pStyle w:val="TextBody"/>
        <w:spacing w:before="240" w:after="0"/>
        <w:jc w:val="both"/>
        <w:rPr>
          <w:rFonts w:ascii="Times New Roman" w:hAnsi="Times New Roman"/>
          <w:sz w:val="20"/>
          <w:u w:val="single"/>
        </w:rPr>
      </w:pPr>
      <w:r>
        <w:rPr>
          <w:rFonts w:ascii="Times New Roman" w:hAnsi="Times New Roman"/>
          <w:sz w:val="20"/>
          <w:u w:val="single"/>
        </w:rPr>
        <w:t xml:space="preserve">Non-competition clause </w:t>
      </w:r>
    </w:p>
    <w:p>
      <w:pPr>
        <w:pStyle w:val="TextBody"/>
        <w:spacing w:before="240" w:after="0"/>
        <w:jc w:val="both"/>
        <w:rPr>
          <w:rFonts w:ascii="Times New Roman" w:hAnsi="Times New Roman"/>
          <w:sz w:val="20"/>
        </w:rPr>
      </w:pPr>
      <w:r>
        <w:rPr>
          <w:rFonts w:ascii="Times New Roman" w:hAnsi="Times New Roman"/>
          <w:sz w:val="20"/>
        </w:rPr>
        <w:t xml:space="preserve">The current service contracts with the members of our management board do not provide for any post-contractual non-competition clauses.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Share Ownership of Management Board Members </w:t>
      </w:r>
    </w:p>
    <w:p>
      <w:pPr>
        <w:pStyle w:val="TextBody"/>
        <w:spacing w:before="120" w:after="0"/>
        <w:jc w:val="both"/>
        <w:rPr>
          <w:rFonts w:ascii="Times New Roman" w:hAnsi="Times New Roman"/>
          <w:sz w:val="20"/>
        </w:rPr>
      </w:pPr>
      <w:r>
        <w:rPr>
          <w:rFonts w:ascii="Times New Roman" w:hAnsi="Times New Roman"/>
          <w:sz w:val="20"/>
        </w:rPr>
        <w:t xml:space="preserve">Mr. Altan currently holds 4,545 ADSs representing 1,136 ordinary shares in our Company. Mr. Berndt-von Bülow currently holds 696 ADSs representing 174 ordinary shares in our Company. Mr. Horwath holds 220,527 ordinary shares in our Company; he currently does not hold any ADSs. </w:t>
      </w:r>
    </w:p>
    <w:p>
      <w:pPr>
        <w:pStyle w:val="TextBody"/>
        <w:spacing w:before="360" w:after="0"/>
        <w:jc w:val="left"/>
        <w:rPr>
          <w:rFonts w:ascii="Times New Roman" w:hAnsi="Times New Roman"/>
          <w:i/>
          <w:sz w:val="20"/>
        </w:rPr>
      </w:pPr>
      <w:r>
        <w:rPr>
          <w:rFonts w:ascii="Times New Roman" w:hAnsi="Times New Roman"/>
          <w:i/>
          <w:sz w:val="20"/>
        </w:rPr>
        <w:t xml:space="preserve">Option Ownership of Management Board Members </w:t>
      </w:r>
    </w:p>
    <w:p>
      <w:pPr>
        <w:pStyle w:val="TextBody"/>
        <w:spacing w:before="120" w:after="0"/>
        <w:jc w:val="both"/>
        <w:rPr>
          <w:rFonts w:ascii="Times New Roman" w:hAnsi="Times New Roman"/>
          <w:sz w:val="20"/>
        </w:rPr>
      </w:pPr>
      <w:r>
        <w:rPr>
          <w:rFonts w:ascii="Times New Roman" w:hAnsi="Times New Roman"/>
          <w:sz w:val="20"/>
        </w:rPr>
        <w:t xml:space="preserve">The following table sets forth the option ownership of our current and former management board members as of April 28, 2023: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86"/>
        <w:gridCol w:w="120"/>
        <w:gridCol w:w="339"/>
        <w:gridCol w:w="791"/>
        <w:gridCol w:w="268"/>
        <w:gridCol w:w="60"/>
        <w:gridCol w:w="60"/>
        <w:gridCol w:w="1520"/>
        <w:gridCol w:w="60"/>
        <w:gridCol w:w="120"/>
        <w:gridCol w:w="84"/>
        <w:gridCol w:w="791"/>
        <w:gridCol w:w="60"/>
        <w:gridCol w:w="120"/>
        <w:gridCol w:w="60"/>
        <w:gridCol w:w="1925"/>
        <w:gridCol w:w="60"/>
        <w:gridCol w:w="120"/>
        <w:gridCol w:w="60"/>
        <w:gridCol w:w="1925"/>
        <w:gridCol w:w="76"/>
      </w:tblGrid>
      <w:tr>
        <w:trPr/>
        <w:tc>
          <w:tcPr>
            <w:tcW w:w="158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25"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1586" w:type="dxa"/>
            <w:tcBorders>
              <w:bottom w:val="single" w:sz="8" w:space="0" w:color="000000"/>
            </w:tcBorders>
            <w:shd w:fill="auto" w:val="clear"/>
            <w:tcMar>
              <w:bottom w:w="28" w:type="dxa"/>
            </w:tcMar>
            <w:vAlign w:val="center"/>
          </w:tcPr>
          <w:p>
            <w:pPr>
              <w:pStyle w:val="TableContents"/>
              <w:spacing w:before="0" w:after="2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113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Number of</w:t>
              <w:br/>
              <w:t>Options</w:t>
            </w:r>
          </w:p>
        </w:tc>
        <w:tc>
          <w:tcPr>
            <w:tcW w:w="26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Title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7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Exercise</w:t>
              <w:br/>
              <w:t>Price</w:t>
              <w:br/>
              <w:t>(in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8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Grant Date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8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Expiration Date</w:t>
            </w:r>
          </w:p>
        </w:tc>
        <w:tc>
          <w:tcPr>
            <w:tcW w:w="76" w:type="dxa"/>
            <w:tcBorders/>
            <w:shd w:fill="auto" w:val="clear"/>
            <w:vAlign w:val="center"/>
          </w:tcPr>
          <w:p>
            <w:pPr>
              <w:pStyle w:val="TableContents"/>
              <w:spacing w:before="0" w:after="283"/>
              <w:rPr/>
            </w:pPr>
            <w:r>
              <w:rPr/>
              <w:t> </w:t>
            </w:r>
          </w:p>
        </w:tc>
      </w:tr>
      <w:tr>
        <w:trPr/>
        <w:tc>
          <w:tcPr>
            <w:tcW w:w="1586"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Emin Bulent Altan</w:t>
            </w:r>
          </w:p>
        </w:tc>
        <w:tc>
          <w:tcPr>
            <w:tcW w:w="120" w:type="dxa"/>
            <w:tcBorders/>
            <w:shd w:fill="CCEEFF" w:val="clear"/>
            <w:vAlign w:val="center"/>
          </w:tcPr>
          <w:p>
            <w:pPr>
              <w:pStyle w:val="TableContents"/>
              <w:spacing w:before="0" w:after="283"/>
              <w:rPr/>
            </w:pPr>
            <w:r>
              <w:rPr/>
              <w:t>  </w:t>
            </w:r>
          </w:p>
        </w:tc>
        <w:tc>
          <w:tcPr>
            <w:tcW w:w="339" w:type="dxa"/>
            <w:tcBorders/>
            <w:shd w:fill="CCEEFF" w:val="clear"/>
            <w:vAlign w:val="center"/>
          </w:tcPr>
          <w:p>
            <w:pPr>
              <w:pStyle w:val="TableContents"/>
              <w:spacing w:before="0" w:after="283"/>
              <w:rPr/>
            </w:pPr>
            <w:r>
              <w:rPr/>
              <w:t> </w:t>
            </w:r>
          </w:p>
        </w:tc>
        <w:tc>
          <w:tcPr>
            <w:tcW w:w="791" w:type="dxa"/>
            <w:tcBorders/>
            <w:shd w:fill="CCEEFF" w:val="clear"/>
            <w:vAlign w:val="center"/>
          </w:tcPr>
          <w:p>
            <w:pPr>
              <w:pStyle w:val="TableContents"/>
              <w:spacing w:before="0" w:after="283"/>
              <w:jc w:val="right"/>
              <w:rPr/>
            </w:pPr>
            <w:r>
              <w:rPr/>
              <w:t>*</w:t>
            </w:r>
          </w:p>
        </w:tc>
        <w:tc>
          <w:tcPr>
            <w:tcW w:w="268" w:type="dxa"/>
            <w:tcBorders/>
            <w:shd w:fill="CCEEFF" w:val="clear"/>
            <w:vAlign w:val="center"/>
          </w:tcPr>
          <w:p>
            <w:pPr>
              <w:pStyle w:val="TableContents"/>
              <w:spacing w:before="0" w:after="283"/>
              <w:rPr/>
            </w:pPr>
            <w:r>
              <w:rPr/>
              <w:t>(1)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20" w:type="dxa"/>
            <w:tcBorders/>
            <w:shd w:fill="CCEEFF" w:val="clear"/>
            <w:vAlign w:val="center"/>
          </w:tcPr>
          <w:p>
            <w:pPr>
              <w:pStyle w:val="TableContents"/>
              <w:spacing w:before="0" w:after="283"/>
              <w:jc w:val="right"/>
              <w:rPr/>
            </w:pPr>
            <w:r>
              <w:rPr/>
              <w:t>Ordinary shares</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791" w:type="dxa"/>
            <w:tcBorders/>
            <w:shd w:fill="CCEEFF" w:val="clear"/>
            <w:vAlign w:val="center"/>
          </w:tcPr>
          <w:p>
            <w:pPr>
              <w:pStyle w:val="TableContents"/>
              <w:spacing w:before="0" w:after="283"/>
              <w:jc w:val="right"/>
              <w:rPr/>
            </w:pPr>
            <w:r>
              <w:rPr/>
              <w:t>42.46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jc w:val="right"/>
              <w:rPr/>
            </w:pPr>
            <w:r>
              <w:rPr/>
              <w:t>September 27, 2019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jc w:val="right"/>
              <w:rPr/>
            </w:pPr>
            <w:r>
              <w:rPr/>
              <w:t>September 27, 2026</w:t>
            </w:r>
          </w:p>
        </w:tc>
        <w:tc>
          <w:tcPr>
            <w:tcW w:w="76" w:type="dxa"/>
            <w:tcBorders/>
            <w:shd w:fill="CCEEFF" w:val="clear"/>
            <w:vAlign w:val="center"/>
          </w:tcPr>
          <w:p>
            <w:pPr>
              <w:pStyle w:val="TableContents"/>
              <w:spacing w:before="0" w:after="283"/>
              <w:rPr/>
            </w:pPr>
            <w:r>
              <w:rPr/>
              <w:t> </w:t>
            </w:r>
          </w:p>
        </w:tc>
      </w:tr>
      <w:tr>
        <w:trPr/>
        <w:tc>
          <w:tcPr>
            <w:tcW w:w="1586"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339" w:type="dxa"/>
            <w:tcBorders/>
            <w:shd w:fill="CCEEFF" w:val="clear"/>
            <w:vAlign w:val="center"/>
          </w:tcPr>
          <w:p>
            <w:pPr>
              <w:pStyle w:val="TableContents"/>
              <w:spacing w:before="0" w:after="283"/>
              <w:rPr/>
            </w:pPr>
            <w:r>
              <w:rPr/>
              <w:t> </w:t>
            </w:r>
          </w:p>
        </w:tc>
        <w:tc>
          <w:tcPr>
            <w:tcW w:w="791" w:type="dxa"/>
            <w:tcBorders/>
            <w:shd w:fill="CCEEFF" w:val="clear"/>
            <w:vAlign w:val="center"/>
          </w:tcPr>
          <w:p>
            <w:pPr>
              <w:pStyle w:val="TableContents"/>
              <w:spacing w:before="0" w:after="283"/>
              <w:jc w:val="right"/>
              <w:rPr/>
            </w:pPr>
            <w:r>
              <w:rPr/>
              <w:t>*</w:t>
            </w:r>
          </w:p>
        </w:tc>
        <w:tc>
          <w:tcPr>
            <w:tcW w:w="268" w:type="dxa"/>
            <w:tcBorders/>
            <w:shd w:fill="CCEEFF" w:val="clear"/>
            <w:vAlign w:val="center"/>
          </w:tcPr>
          <w:p>
            <w:pPr>
              <w:pStyle w:val="TableContents"/>
              <w:spacing w:before="0" w:after="283"/>
              <w:rPr/>
            </w:pPr>
            <w:r>
              <w:rPr/>
              <w:t>(1)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20" w:type="dxa"/>
            <w:tcBorders/>
            <w:shd w:fill="CCEEFF" w:val="clear"/>
            <w:vAlign w:val="center"/>
          </w:tcPr>
          <w:p>
            <w:pPr>
              <w:pStyle w:val="TableContents"/>
              <w:spacing w:before="0" w:after="283"/>
              <w:jc w:val="right"/>
              <w:rPr/>
            </w:pPr>
            <w:r>
              <w:rPr/>
              <w:t>Ordinary shares</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791" w:type="dxa"/>
            <w:tcBorders/>
            <w:shd w:fill="CCEEFF" w:val="clear"/>
            <w:vAlign w:val="center"/>
          </w:tcPr>
          <w:p>
            <w:pPr>
              <w:pStyle w:val="TableContents"/>
              <w:spacing w:before="0" w:after="283"/>
              <w:jc w:val="right"/>
              <w:rPr/>
            </w:pPr>
            <w:r>
              <w:rPr/>
              <w:t>61.27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jc w:val="right"/>
              <w:rPr/>
            </w:pPr>
            <w:r>
              <w:rPr/>
              <w:t>September 30, 2020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jc w:val="right"/>
              <w:rPr/>
            </w:pPr>
            <w:r>
              <w:rPr/>
              <w:t>September 30, 2027</w:t>
            </w:r>
          </w:p>
        </w:tc>
        <w:tc>
          <w:tcPr>
            <w:tcW w:w="76" w:type="dxa"/>
            <w:tcBorders/>
            <w:shd w:fill="CCEEFF" w:val="clear"/>
            <w:vAlign w:val="center"/>
          </w:tcPr>
          <w:p>
            <w:pPr>
              <w:pStyle w:val="TableContents"/>
              <w:spacing w:before="0" w:after="283"/>
              <w:rPr/>
            </w:pPr>
            <w:r>
              <w:rPr/>
              <w:t> </w:t>
            </w:r>
          </w:p>
        </w:tc>
      </w:tr>
      <w:tr>
        <w:trPr/>
        <w:tc>
          <w:tcPr>
            <w:tcW w:w="1586"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339" w:type="dxa"/>
            <w:tcBorders/>
            <w:shd w:fill="CCEEFF" w:val="clear"/>
            <w:vAlign w:val="center"/>
          </w:tcPr>
          <w:p>
            <w:pPr>
              <w:pStyle w:val="TableContents"/>
              <w:spacing w:before="0" w:after="283"/>
              <w:rPr/>
            </w:pPr>
            <w:r>
              <w:rPr/>
              <w:t> </w:t>
            </w:r>
          </w:p>
        </w:tc>
        <w:tc>
          <w:tcPr>
            <w:tcW w:w="791" w:type="dxa"/>
            <w:tcBorders/>
            <w:shd w:fill="CCEEFF" w:val="clear"/>
            <w:vAlign w:val="center"/>
          </w:tcPr>
          <w:p>
            <w:pPr>
              <w:pStyle w:val="TableContents"/>
              <w:spacing w:before="0" w:after="283"/>
              <w:jc w:val="right"/>
              <w:rPr/>
            </w:pPr>
            <w:r>
              <w:rPr/>
              <w:t>*</w:t>
            </w:r>
          </w:p>
        </w:tc>
        <w:tc>
          <w:tcPr>
            <w:tcW w:w="268" w:type="dxa"/>
            <w:tcBorders/>
            <w:shd w:fill="CCEEFF" w:val="clear"/>
            <w:vAlign w:val="center"/>
          </w:tcPr>
          <w:p>
            <w:pPr>
              <w:pStyle w:val="TableContents"/>
              <w:spacing w:before="0" w:after="283"/>
              <w:rPr/>
            </w:pPr>
            <w:r>
              <w:rPr/>
              <w:t>(2)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20" w:type="dxa"/>
            <w:tcBorders/>
            <w:shd w:fill="CCEEFF" w:val="clear"/>
            <w:vAlign w:val="center"/>
          </w:tcPr>
          <w:p>
            <w:pPr>
              <w:pStyle w:val="TableContents"/>
              <w:spacing w:before="0" w:after="283"/>
              <w:jc w:val="right"/>
              <w:rPr/>
            </w:pPr>
            <w:r>
              <w:rPr/>
              <w:t>Ordinary shares</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791" w:type="dxa"/>
            <w:tcBorders/>
            <w:shd w:fill="CCEEFF" w:val="clear"/>
            <w:vAlign w:val="center"/>
          </w:tcPr>
          <w:p>
            <w:pPr>
              <w:pStyle w:val="TableContents"/>
              <w:spacing w:before="0" w:after="283"/>
              <w:jc w:val="right"/>
              <w:rPr/>
            </w:pPr>
            <w:r>
              <w:rPr/>
              <w:t>61.27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jc w:val="right"/>
              <w:rPr/>
            </w:pPr>
            <w:r>
              <w:rPr/>
              <w:t>September 30, 2020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jc w:val="right"/>
              <w:rPr/>
            </w:pPr>
            <w:r>
              <w:rPr/>
              <w:t>September 30, 2027</w:t>
            </w:r>
          </w:p>
        </w:tc>
        <w:tc>
          <w:tcPr>
            <w:tcW w:w="76" w:type="dxa"/>
            <w:tcBorders/>
            <w:shd w:fill="CCEEFF" w:val="clear"/>
            <w:vAlign w:val="center"/>
          </w:tcPr>
          <w:p>
            <w:pPr>
              <w:pStyle w:val="TableContents"/>
              <w:spacing w:before="0" w:after="283"/>
              <w:rPr/>
            </w:pPr>
            <w:r>
              <w:rPr/>
              <w:t> </w:t>
            </w:r>
          </w:p>
        </w:tc>
      </w:tr>
      <w:tr>
        <w:trPr/>
        <w:tc>
          <w:tcPr>
            <w:tcW w:w="1586"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339" w:type="dxa"/>
            <w:tcBorders/>
            <w:shd w:fill="CCEEFF" w:val="clear"/>
            <w:vAlign w:val="center"/>
          </w:tcPr>
          <w:p>
            <w:pPr>
              <w:pStyle w:val="TableContents"/>
              <w:spacing w:before="0" w:after="283"/>
              <w:rPr/>
            </w:pPr>
            <w:r>
              <w:rPr/>
              <w:t> </w:t>
            </w:r>
          </w:p>
        </w:tc>
        <w:tc>
          <w:tcPr>
            <w:tcW w:w="791" w:type="dxa"/>
            <w:tcBorders/>
            <w:shd w:fill="CCEEFF" w:val="clear"/>
            <w:vAlign w:val="center"/>
          </w:tcPr>
          <w:p>
            <w:pPr>
              <w:pStyle w:val="TableContents"/>
              <w:spacing w:before="0" w:after="283"/>
              <w:jc w:val="right"/>
              <w:rPr/>
            </w:pPr>
            <w:r>
              <w:rPr/>
              <w:t>*</w:t>
            </w:r>
          </w:p>
        </w:tc>
        <w:tc>
          <w:tcPr>
            <w:tcW w:w="268" w:type="dxa"/>
            <w:tcBorders/>
            <w:shd w:fill="CCEEFF" w:val="clear"/>
            <w:vAlign w:val="center"/>
          </w:tcPr>
          <w:p>
            <w:pPr>
              <w:pStyle w:val="TableContents"/>
              <w:spacing w:before="0" w:after="283"/>
              <w:rPr/>
            </w:pPr>
            <w:r>
              <w:rPr/>
              <w:t>(3)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20" w:type="dxa"/>
            <w:tcBorders/>
            <w:shd w:fill="CCEEFF" w:val="clear"/>
            <w:vAlign w:val="center"/>
          </w:tcPr>
          <w:p>
            <w:pPr>
              <w:pStyle w:val="TableContents"/>
              <w:spacing w:before="0" w:after="283"/>
              <w:jc w:val="right"/>
              <w:rPr/>
            </w:pPr>
            <w:r>
              <w:rPr/>
              <w:t>Ordinary shares</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791" w:type="dxa"/>
            <w:tcBorders/>
            <w:shd w:fill="CCEEFF" w:val="clear"/>
            <w:vAlign w:val="center"/>
          </w:tcPr>
          <w:p>
            <w:pPr>
              <w:pStyle w:val="TableContents"/>
              <w:spacing w:before="0" w:after="283"/>
              <w:jc w:val="right"/>
              <w:rPr/>
            </w:pPr>
            <w:r>
              <w:rPr/>
              <w:t>32.90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jc w:val="right"/>
              <w:rPr/>
            </w:pPr>
            <w:r>
              <w:rPr/>
              <w:t>September 30, 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jc w:val="right"/>
              <w:rPr/>
            </w:pPr>
            <w:r>
              <w:rPr/>
              <w:t>September 30, 2031</w:t>
            </w:r>
          </w:p>
        </w:tc>
        <w:tc>
          <w:tcPr>
            <w:tcW w:w="76" w:type="dxa"/>
            <w:tcBorders/>
            <w:shd w:fill="CCEEFF" w:val="clear"/>
            <w:vAlign w:val="center"/>
          </w:tcPr>
          <w:p>
            <w:pPr>
              <w:pStyle w:val="TableContents"/>
              <w:spacing w:before="0" w:after="283"/>
              <w:rPr/>
            </w:pPr>
            <w:r>
              <w:rPr/>
              <w:t> </w:t>
            </w:r>
          </w:p>
        </w:tc>
      </w:tr>
      <w:tr>
        <w:trPr/>
        <w:tc>
          <w:tcPr>
            <w:tcW w:w="1586"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Mustafa Veziroglu</w:t>
            </w:r>
          </w:p>
        </w:tc>
        <w:tc>
          <w:tcPr>
            <w:tcW w:w="12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w:t>
            </w:r>
          </w:p>
        </w:tc>
        <w:tc>
          <w:tcPr>
            <w:tcW w:w="268" w:type="dxa"/>
            <w:tcBorders/>
            <w:shd w:fill="auto" w:val="clear"/>
            <w:vAlign w:val="center"/>
          </w:tcPr>
          <w:p>
            <w:pPr>
              <w:pStyle w:val="TableContents"/>
              <w:spacing w:before="0" w:after="283"/>
              <w:rPr/>
            </w:pPr>
            <w:r>
              <w:rPr/>
              <w:t>(3)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0" w:type="dxa"/>
            <w:tcBorders/>
            <w:shd w:fill="auto" w:val="clear"/>
            <w:vAlign w:val="center"/>
          </w:tcPr>
          <w:p>
            <w:pPr>
              <w:pStyle w:val="TableContents"/>
              <w:spacing w:before="0" w:after="283"/>
              <w:jc w:val="right"/>
              <w:rPr/>
            </w:pPr>
            <w:r>
              <w:rPr/>
              <w:t>Ordinary shares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32.90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jc w:val="right"/>
              <w:rPr/>
            </w:pPr>
            <w:r>
              <w:rPr/>
              <w:t>September 30,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jc w:val="right"/>
              <w:rPr/>
            </w:pPr>
            <w:r>
              <w:rPr/>
              <w:t>September 30, 2031</w:t>
            </w:r>
          </w:p>
        </w:tc>
        <w:tc>
          <w:tcPr>
            <w:tcW w:w="76" w:type="dxa"/>
            <w:tcBorders/>
            <w:shd w:fill="auto" w:val="clear"/>
            <w:vAlign w:val="center"/>
          </w:tcPr>
          <w:p>
            <w:pPr>
              <w:pStyle w:val="TableContents"/>
              <w:spacing w:before="0" w:after="283"/>
              <w:rPr/>
            </w:pPr>
            <w:r>
              <w:rPr/>
              <w:t> </w:t>
            </w:r>
          </w:p>
        </w:tc>
      </w:tr>
      <w:tr>
        <w:trPr/>
        <w:tc>
          <w:tcPr>
            <w:tcW w:w="1586"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Stefan Berndt-von Bülow</w:t>
            </w:r>
          </w:p>
        </w:tc>
        <w:tc>
          <w:tcPr>
            <w:tcW w:w="120" w:type="dxa"/>
            <w:tcBorders/>
            <w:shd w:fill="CCEEFF" w:val="clear"/>
            <w:vAlign w:val="center"/>
          </w:tcPr>
          <w:p>
            <w:pPr>
              <w:pStyle w:val="TableContents"/>
              <w:spacing w:before="0" w:after="283"/>
              <w:rPr/>
            </w:pPr>
            <w:r>
              <w:rPr/>
              <w:t>  </w:t>
            </w:r>
          </w:p>
        </w:tc>
        <w:tc>
          <w:tcPr>
            <w:tcW w:w="339" w:type="dxa"/>
            <w:tcBorders/>
            <w:shd w:fill="CCEEFF" w:val="clear"/>
            <w:vAlign w:val="center"/>
          </w:tcPr>
          <w:p>
            <w:pPr>
              <w:pStyle w:val="TableContents"/>
              <w:spacing w:before="0" w:after="283"/>
              <w:rPr/>
            </w:pPr>
            <w:r>
              <w:rPr/>
              <w:t> </w:t>
            </w:r>
          </w:p>
        </w:tc>
        <w:tc>
          <w:tcPr>
            <w:tcW w:w="791" w:type="dxa"/>
            <w:tcBorders/>
            <w:shd w:fill="CCEEFF" w:val="clear"/>
            <w:vAlign w:val="center"/>
          </w:tcPr>
          <w:p>
            <w:pPr>
              <w:pStyle w:val="TableContents"/>
              <w:spacing w:before="0" w:after="283"/>
              <w:jc w:val="right"/>
              <w:rPr/>
            </w:pPr>
            <w:r>
              <w:rPr/>
              <w:t>*</w:t>
            </w:r>
          </w:p>
        </w:tc>
        <w:tc>
          <w:tcPr>
            <w:tcW w:w="268" w:type="dxa"/>
            <w:tcBorders/>
            <w:shd w:fill="CCEEFF" w:val="clear"/>
            <w:vAlign w:val="center"/>
          </w:tcPr>
          <w:p>
            <w:pPr>
              <w:pStyle w:val="TableContents"/>
              <w:spacing w:before="0" w:after="283"/>
              <w:rPr/>
            </w:pPr>
            <w:r>
              <w:rPr/>
              <w:t>(1)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20" w:type="dxa"/>
            <w:tcBorders/>
            <w:shd w:fill="CCEEFF" w:val="clear"/>
            <w:vAlign w:val="center"/>
          </w:tcPr>
          <w:p>
            <w:pPr>
              <w:pStyle w:val="TableContents"/>
              <w:spacing w:before="0" w:after="283"/>
              <w:jc w:val="right"/>
              <w:rPr/>
            </w:pPr>
            <w:r>
              <w:rPr/>
              <w:t>Ordinary shares</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791" w:type="dxa"/>
            <w:tcBorders/>
            <w:shd w:fill="CCEEFF" w:val="clear"/>
            <w:vAlign w:val="center"/>
          </w:tcPr>
          <w:p>
            <w:pPr>
              <w:pStyle w:val="TableContents"/>
              <w:spacing w:before="0" w:after="283"/>
              <w:jc w:val="right"/>
              <w:rPr/>
            </w:pPr>
            <w:r>
              <w:rPr/>
              <w:t>41.03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jc w:val="right"/>
              <w:rPr/>
            </w:pPr>
            <w:r>
              <w:rPr/>
              <w:t>December 30, 2019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jc w:val="right"/>
              <w:rPr/>
            </w:pPr>
            <w:r>
              <w:rPr/>
              <w:t>December 30, 2026</w:t>
            </w:r>
          </w:p>
        </w:tc>
        <w:tc>
          <w:tcPr>
            <w:tcW w:w="76" w:type="dxa"/>
            <w:tcBorders/>
            <w:shd w:fill="CCEEFF" w:val="clear"/>
            <w:vAlign w:val="center"/>
          </w:tcPr>
          <w:p>
            <w:pPr>
              <w:pStyle w:val="TableContents"/>
              <w:spacing w:before="0" w:after="283"/>
              <w:rPr/>
            </w:pPr>
            <w:r>
              <w:rPr/>
              <w:t> </w:t>
            </w:r>
          </w:p>
        </w:tc>
      </w:tr>
      <w:tr>
        <w:trPr/>
        <w:tc>
          <w:tcPr>
            <w:tcW w:w="1586"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339" w:type="dxa"/>
            <w:tcBorders/>
            <w:shd w:fill="CCEEFF" w:val="clear"/>
            <w:vAlign w:val="center"/>
          </w:tcPr>
          <w:p>
            <w:pPr>
              <w:pStyle w:val="TableContents"/>
              <w:spacing w:before="0" w:after="283"/>
              <w:rPr/>
            </w:pPr>
            <w:r>
              <w:rPr/>
              <w:t> </w:t>
            </w:r>
          </w:p>
        </w:tc>
        <w:tc>
          <w:tcPr>
            <w:tcW w:w="791" w:type="dxa"/>
            <w:tcBorders/>
            <w:shd w:fill="CCEEFF" w:val="clear"/>
            <w:vAlign w:val="center"/>
          </w:tcPr>
          <w:p>
            <w:pPr>
              <w:pStyle w:val="TableContents"/>
              <w:spacing w:before="0" w:after="283"/>
              <w:jc w:val="right"/>
              <w:rPr/>
            </w:pPr>
            <w:r>
              <w:rPr/>
              <w:t>*</w:t>
            </w:r>
          </w:p>
        </w:tc>
        <w:tc>
          <w:tcPr>
            <w:tcW w:w="268" w:type="dxa"/>
            <w:tcBorders/>
            <w:shd w:fill="CCEEFF" w:val="clear"/>
            <w:vAlign w:val="center"/>
          </w:tcPr>
          <w:p>
            <w:pPr>
              <w:pStyle w:val="TableContents"/>
              <w:spacing w:before="0" w:after="283"/>
              <w:rPr/>
            </w:pPr>
            <w:r>
              <w:rPr/>
              <w:t>(1)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20" w:type="dxa"/>
            <w:tcBorders/>
            <w:shd w:fill="CCEEFF" w:val="clear"/>
            <w:vAlign w:val="center"/>
          </w:tcPr>
          <w:p>
            <w:pPr>
              <w:pStyle w:val="TableContents"/>
              <w:spacing w:before="0" w:after="283"/>
              <w:jc w:val="right"/>
              <w:rPr/>
            </w:pPr>
            <w:r>
              <w:rPr/>
              <w:t>Ordinary shares</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791" w:type="dxa"/>
            <w:tcBorders/>
            <w:shd w:fill="CCEEFF" w:val="clear"/>
            <w:vAlign w:val="center"/>
          </w:tcPr>
          <w:p>
            <w:pPr>
              <w:pStyle w:val="TableContents"/>
              <w:spacing w:before="0" w:after="283"/>
              <w:jc w:val="right"/>
              <w:rPr/>
            </w:pPr>
            <w:r>
              <w:rPr/>
              <w:t>47.25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jc w:val="right"/>
              <w:rPr/>
            </w:pPr>
            <w:r>
              <w:rPr/>
              <w:t>June 30, 2020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jc w:val="right"/>
              <w:rPr/>
            </w:pPr>
            <w:r>
              <w:rPr/>
              <w:t>June 30, 2027</w:t>
            </w:r>
          </w:p>
        </w:tc>
        <w:tc>
          <w:tcPr>
            <w:tcW w:w="76" w:type="dxa"/>
            <w:tcBorders/>
            <w:shd w:fill="CCEEFF" w:val="clear"/>
            <w:vAlign w:val="center"/>
          </w:tcPr>
          <w:p>
            <w:pPr>
              <w:pStyle w:val="TableContents"/>
              <w:spacing w:before="0" w:after="283"/>
              <w:rPr/>
            </w:pPr>
            <w:r>
              <w:rPr/>
              <w:t> </w:t>
            </w:r>
          </w:p>
        </w:tc>
      </w:tr>
      <w:tr>
        <w:trPr/>
        <w:tc>
          <w:tcPr>
            <w:tcW w:w="1586"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339" w:type="dxa"/>
            <w:tcBorders/>
            <w:shd w:fill="CCEEFF" w:val="clear"/>
            <w:vAlign w:val="center"/>
          </w:tcPr>
          <w:p>
            <w:pPr>
              <w:pStyle w:val="TableContents"/>
              <w:spacing w:before="0" w:after="283"/>
              <w:rPr/>
            </w:pPr>
            <w:r>
              <w:rPr/>
              <w:t> </w:t>
            </w:r>
          </w:p>
        </w:tc>
        <w:tc>
          <w:tcPr>
            <w:tcW w:w="791" w:type="dxa"/>
            <w:tcBorders/>
            <w:shd w:fill="CCEEFF" w:val="clear"/>
            <w:vAlign w:val="center"/>
          </w:tcPr>
          <w:p>
            <w:pPr>
              <w:pStyle w:val="TableContents"/>
              <w:spacing w:before="0" w:after="283"/>
              <w:jc w:val="right"/>
              <w:rPr/>
            </w:pPr>
            <w:r>
              <w:rPr/>
              <w:t>*</w:t>
            </w:r>
          </w:p>
        </w:tc>
        <w:tc>
          <w:tcPr>
            <w:tcW w:w="268" w:type="dxa"/>
            <w:tcBorders/>
            <w:shd w:fill="CCEEFF" w:val="clear"/>
            <w:vAlign w:val="center"/>
          </w:tcPr>
          <w:p>
            <w:pPr>
              <w:pStyle w:val="TableContents"/>
              <w:spacing w:before="0" w:after="283"/>
              <w:rPr/>
            </w:pPr>
            <w:r>
              <w:rPr/>
              <w:t>(2)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20" w:type="dxa"/>
            <w:tcBorders/>
            <w:shd w:fill="CCEEFF" w:val="clear"/>
            <w:vAlign w:val="center"/>
          </w:tcPr>
          <w:p>
            <w:pPr>
              <w:pStyle w:val="TableContents"/>
              <w:spacing w:before="0" w:after="283"/>
              <w:jc w:val="right"/>
              <w:rPr/>
            </w:pPr>
            <w:r>
              <w:rPr/>
              <w:t>Ordinary shares</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791" w:type="dxa"/>
            <w:tcBorders/>
            <w:shd w:fill="CCEEFF" w:val="clear"/>
            <w:vAlign w:val="center"/>
          </w:tcPr>
          <w:p>
            <w:pPr>
              <w:pStyle w:val="TableContents"/>
              <w:spacing w:before="0" w:after="283"/>
              <w:jc w:val="right"/>
              <w:rPr/>
            </w:pPr>
            <w:r>
              <w:rPr/>
              <w:t>61.27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jc w:val="right"/>
              <w:rPr/>
            </w:pPr>
            <w:r>
              <w:rPr/>
              <w:t>September 30, 2020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jc w:val="right"/>
              <w:rPr/>
            </w:pPr>
            <w:r>
              <w:rPr/>
              <w:t>September 30, 2027</w:t>
            </w:r>
          </w:p>
        </w:tc>
        <w:tc>
          <w:tcPr>
            <w:tcW w:w="76" w:type="dxa"/>
            <w:tcBorders/>
            <w:shd w:fill="CCEEFF" w:val="clear"/>
            <w:vAlign w:val="center"/>
          </w:tcPr>
          <w:p>
            <w:pPr>
              <w:pStyle w:val="TableContents"/>
              <w:spacing w:before="0" w:after="283"/>
              <w:rPr/>
            </w:pPr>
            <w:r>
              <w:rPr/>
              <w:t> </w:t>
            </w:r>
          </w:p>
        </w:tc>
      </w:tr>
      <w:tr>
        <w:trPr/>
        <w:tc>
          <w:tcPr>
            <w:tcW w:w="1586"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339" w:type="dxa"/>
            <w:tcBorders/>
            <w:shd w:fill="CCEEFF" w:val="clear"/>
            <w:vAlign w:val="center"/>
          </w:tcPr>
          <w:p>
            <w:pPr>
              <w:pStyle w:val="TableContents"/>
              <w:spacing w:before="0" w:after="283"/>
              <w:rPr/>
            </w:pPr>
            <w:r>
              <w:rPr/>
              <w:t> </w:t>
            </w:r>
          </w:p>
        </w:tc>
        <w:tc>
          <w:tcPr>
            <w:tcW w:w="791" w:type="dxa"/>
            <w:tcBorders/>
            <w:shd w:fill="CCEEFF" w:val="clear"/>
            <w:vAlign w:val="center"/>
          </w:tcPr>
          <w:p>
            <w:pPr>
              <w:pStyle w:val="TableContents"/>
              <w:spacing w:before="0" w:after="283"/>
              <w:jc w:val="right"/>
              <w:rPr/>
            </w:pPr>
            <w:r>
              <w:rPr/>
              <w:t>*</w:t>
            </w:r>
          </w:p>
        </w:tc>
        <w:tc>
          <w:tcPr>
            <w:tcW w:w="268" w:type="dxa"/>
            <w:tcBorders/>
            <w:shd w:fill="CCEEFF" w:val="clear"/>
            <w:vAlign w:val="center"/>
          </w:tcPr>
          <w:p>
            <w:pPr>
              <w:pStyle w:val="TableContents"/>
              <w:spacing w:before="0" w:after="283"/>
              <w:rPr/>
            </w:pPr>
            <w:r>
              <w:rPr/>
              <w:t>(4)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20" w:type="dxa"/>
            <w:tcBorders/>
            <w:shd w:fill="CCEEFF" w:val="clear"/>
            <w:vAlign w:val="center"/>
          </w:tcPr>
          <w:p>
            <w:pPr>
              <w:pStyle w:val="TableContents"/>
              <w:spacing w:before="0" w:after="283"/>
              <w:jc w:val="right"/>
              <w:rPr/>
            </w:pPr>
            <w:r>
              <w:rPr/>
              <w:t>Ordinary shares</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791" w:type="dxa"/>
            <w:tcBorders/>
            <w:shd w:fill="CCEEFF" w:val="clear"/>
            <w:vAlign w:val="center"/>
          </w:tcPr>
          <w:p>
            <w:pPr>
              <w:pStyle w:val="TableContents"/>
              <w:spacing w:before="0" w:after="283"/>
              <w:jc w:val="right"/>
              <w:rPr/>
            </w:pPr>
            <w:r>
              <w:rPr/>
              <w:t>71.15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jc w:val="right"/>
              <w:rPr/>
            </w:pPr>
            <w:r>
              <w:rPr/>
              <w:t>June 30, 2021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jc w:val="right"/>
              <w:rPr/>
            </w:pPr>
            <w:r>
              <w:rPr/>
              <w:t>June 30, 2028</w:t>
            </w:r>
          </w:p>
        </w:tc>
        <w:tc>
          <w:tcPr>
            <w:tcW w:w="76" w:type="dxa"/>
            <w:tcBorders/>
            <w:shd w:fill="CCEEFF" w:val="clear"/>
            <w:vAlign w:val="center"/>
          </w:tcPr>
          <w:p>
            <w:pPr>
              <w:pStyle w:val="TableContents"/>
              <w:spacing w:before="0" w:after="283"/>
              <w:rPr/>
            </w:pPr>
            <w:r>
              <w:rPr/>
              <w:t> </w:t>
            </w:r>
          </w:p>
        </w:tc>
      </w:tr>
      <w:tr>
        <w:trPr/>
        <w:tc>
          <w:tcPr>
            <w:tcW w:w="1586"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339" w:type="dxa"/>
            <w:tcBorders/>
            <w:shd w:fill="CCEEFF" w:val="clear"/>
            <w:vAlign w:val="center"/>
          </w:tcPr>
          <w:p>
            <w:pPr>
              <w:pStyle w:val="TableContents"/>
              <w:spacing w:before="0" w:after="283"/>
              <w:rPr/>
            </w:pPr>
            <w:r>
              <w:rPr/>
              <w:t> </w:t>
            </w:r>
          </w:p>
        </w:tc>
        <w:tc>
          <w:tcPr>
            <w:tcW w:w="791" w:type="dxa"/>
            <w:tcBorders/>
            <w:shd w:fill="CCEEFF" w:val="clear"/>
            <w:vAlign w:val="center"/>
          </w:tcPr>
          <w:p>
            <w:pPr>
              <w:pStyle w:val="TableContents"/>
              <w:spacing w:before="0" w:after="283"/>
              <w:jc w:val="right"/>
              <w:rPr/>
            </w:pPr>
            <w:r>
              <w:rPr/>
              <w:t>*</w:t>
            </w:r>
          </w:p>
        </w:tc>
        <w:tc>
          <w:tcPr>
            <w:tcW w:w="268" w:type="dxa"/>
            <w:tcBorders/>
            <w:shd w:fill="CCEEFF" w:val="clear"/>
            <w:vAlign w:val="center"/>
          </w:tcPr>
          <w:p>
            <w:pPr>
              <w:pStyle w:val="TableContents"/>
              <w:spacing w:before="0" w:after="283"/>
              <w:rPr/>
            </w:pPr>
            <w:r>
              <w:rPr/>
              <w:t>(3)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20" w:type="dxa"/>
            <w:tcBorders/>
            <w:shd w:fill="CCEEFF" w:val="clear"/>
            <w:vAlign w:val="center"/>
          </w:tcPr>
          <w:p>
            <w:pPr>
              <w:pStyle w:val="TableContents"/>
              <w:spacing w:before="0" w:after="283"/>
              <w:jc w:val="right"/>
              <w:rPr/>
            </w:pPr>
            <w:r>
              <w:rPr/>
              <w:t>Ordinary shares</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791" w:type="dxa"/>
            <w:tcBorders/>
            <w:shd w:fill="CCEEFF" w:val="clear"/>
            <w:vAlign w:val="center"/>
          </w:tcPr>
          <w:p>
            <w:pPr>
              <w:pStyle w:val="TableContents"/>
              <w:spacing w:before="0" w:after="283"/>
              <w:jc w:val="right"/>
              <w:rPr/>
            </w:pPr>
            <w:r>
              <w:rPr/>
              <w:t>32.90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jc w:val="right"/>
              <w:rPr/>
            </w:pPr>
            <w:r>
              <w:rPr/>
              <w:t>September 30, 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jc w:val="right"/>
              <w:rPr/>
            </w:pPr>
            <w:r>
              <w:rPr/>
              <w:t>September 30, 2031</w:t>
            </w:r>
          </w:p>
        </w:tc>
        <w:tc>
          <w:tcPr>
            <w:tcW w:w="76" w:type="dxa"/>
            <w:tcBorders/>
            <w:shd w:fill="CCEEFF" w:val="clear"/>
            <w:vAlign w:val="center"/>
          </w:tcPr>
          <w:p>
            <w:pPr>
              <w:pStyle w:val="TableContents"/>
              <w:spacing w:before="0" w:after="283"/>
              <w:rPr/>
            </w:pPr>
            <w:r>
              <w:rPr/>
              <w:t> </w:t>
            </w:r>
          </w:p>
        </w:tc>
      </w:tr>
      <w:tr>
        <w:trPr/>
        <w:tc>
          <w:tcPr>
            <w:tcW w:w="1586"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Joachim Horwath</w:t>
            </w:r>
          </w:p>
        </w:tc>
        <w:tc>
          <w:tcPr>
            <w:tcW w:w="12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w:t>
            </w:r>
          </w:p>
        </w:tc>
        <w:tc>
          <w:tcPr>
            <w:tcW w:w="268" w:type="dxa"/>
            <w:tcBorders/>
            <w:shd w:fill="auto" w:val="clear"/>
            <w:vAlign w:val="center"/>
          </w:tcPr>
          <w:p>
            <w:pPr>
              <w:pStyle w:val="TableContents"/>
              <w:spacing w:before="0" w:after="283"/>
              <w:rPr/>
            </w:pPr>
            <w:r>
              <w:rPr/>
              <w:t>(1)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0" w:type="dxa"/>
            <w:tcBorders/>
            <w:shd w:fill="auto" w:val="clear"/>
            <w:vAlign w:val="center"/>
          </w:tcPr>
          <w:p>
            <w:pPr>
              <w:pStyle w:val="TableContents"/>
              <w:spacing w:before="0" w:after="283"/>
              <w:jc w:val="right"/>
              <w:rPr/>
            </w:pPr>
            <w:r>
              <w:rPr/>
              <w:t>Ordinary shares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42.46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jc w:val="right"/>
              <w:rPr/>
            </w:pPr>
            <w:r>
              <w:rPr/>
              <w:t>September 27, 2019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jc w:val="right"/>
              <w:rPr/>
            </w:pPr>
            <w:r>
              <w:rPr/>
              <w:t>September 27, 2026</w:t>
            </w:r>
          </w:p>
        </w:tc>
        <w:tc>
          <w:tcPr>
            <w:tcW w:w="76" w:type="dxa"/>
            <w:tcBorders/>
            <w:shd w:fill="auto" w:val="clear"/>
            <w:vAlign w:val="center"/>
          </w:tcPr>
          <w:p>
            <w:pPr>
              <w:pStyle w:val="TableContents"/>
              <w:spacing w:before="0" w:after="283"/>
              <w:rPr/>
            </w:pPr>
            <w:r>
              <w:rPr/>
              <w:t> </w:t>
            </w:r>
          </w:p>
        </w:tc>
      </w:tr>
      <w:tr>
        <w:trPr/>
        <w:tc>
          <w:tcPr>
            <w:tcW w:w="158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w:t>
            </w:r>
          </w:p>
        </w:tc>
        <w:tc>
          <w:tcPr>
            <w:tcW w:w="268" w:type="dxa"/>
            <w:tcBorders/>
            <w:shd w:fill="auto" w:val="clear"/>
            <w:vAlign w:val="center"/>
          </w:tcPr>
          <w:p>
            <w:pPr>
              <w:pStyle w:val="TableContents"/>
              <w:spacing w:before="0" w:after="283"/>
              <w:rPr/>
            </w:pPr>
            <w:r>
              <w:rPr/>
              <w:t>(4)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0" w:type="dxa"/>
            <w:tcBorders/>
            <w:shd w:fill="auto" w:val="clear"/>
            <w:vAlign w:val="center"/>
          </w:tcPr>
          <w:p>
            <w:pPr>
              <w:pStyle w:val="TableContents"/>
              <w:spacing w:before="0" w:after="283"/>
              <w:jc w:val="right"/>
              <w:rPr/>
            </w:pPr>
            <w:r>
              <w:rPr/>
              <w:t>Ordinary shares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71.15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jc w:val="right"/>
              <w:rPr/>
            </w:pPr>
            <w:r>
              <w:rPr/>
              <w:t>June 30, 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jc w:val="right"/>
              <w:rPr/>
            </w:pPr>
            <w:r>
              <w:rPr/>
              <w:t>June 30, 2028</w:t>
            </w:r>
          </w:p>
        </w:tc>
        <w:tc>
          <w:tcPr>
            <w:tcW w:w="76" w:type="dxa"/>
            <w:tcBorders/>
            <w:shd w:fill="auto" w:val="clear"/>
            <w:vAlign w:val="center"/>
          </w:tcPr>
          <w:p>
            <w:pPr>
              <w:pStyle w:val="TableContents"/>
              <w:spacing w:before="0" w:after="283"/>
              <w:rPr/>
            </w:pPr>
            <w:r>
              <w:rPr/>
              <w:t> </w:t>
            </w:r>
          </w:p>
        </w:tc>
      </w:tr>
      <w:tr>
        <w:trPr/>
        <w:tc>
          <w:tcPr>
            <w:tcW w:w="158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w:t>
            </w:r>
          </w:p>
        </w:tc>
        <w:tc>
          <w:tcPr>
            <w:tcW w:w="268" w:type="dxa"/>
            <w:tcBorders/>
            <w:shd w:fill="auto" w:val="clear"/>
            <w:vAlign w:val="center"/>
          </w:tcPr>
          <w:p>
            <w:pPr>
              <w:pStyle w:val="TableContents"/>
              <w:spacing w:before="0" w:after="283"/>
              <w:rPr/>
            </w:pPr>
            <w:r>
              <w:rPr/>
              <w:t>(3)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0" w:type="dxa"/>
            <w:tcBorders/>
            <w:shd w:fill="auto" w:val="clear"/>
            <w:vAlign w:val="center"/>
          </w:tcPr>
          <w:p>
            <w:pPr>
              <w:pStyle w:val="TableContents"/>
              <w:spacing w:before="0" w:after="283"/>
              <w:jc w:val="right"/>
              <w:rPr/>
            </w:pPr>
            <w:r>
              <w:rPr/>
              <w:t>Ordinary shares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32.90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jc w:val="right"/>
              <w:rPr/>
            </w:pPr>
            <w:r>
              <w:rPr/>
              <w:t>September 30,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jc w:val="right"/>
              <w:rPr/>
            </w:pPr>
            <w:r>
              <w:rPr/>
              <w:t>September 30, 2031</w:t>
            </w:r>
          </w:p>
        </w:tc>
        <w:tc>
          <w:tcPr>
            <w:tcW w:w="76" w:type="dxa"/>
            <w:tcBorders/>
            <w:shd w:fill="auto" w:val="clear"/>
            <w:vAlign w:val="center"/>
          </w:tcPr>
          <w:p>
            <w:pPr>
              <w:pStyle w:val="TableContents"/>
              <w:spacing w:before="0" w:after="283"/>
              <w:rPr/>
            </w:pPr>
            <w:r>
              <w:rPr/>
              <w:t> </w:t>
            </w:r>
          </w:p>
        </w:tc>
      </w:tr>
      <w:tr>
        <w:trPr/>
        <w:tc>
          <w:tcPr>
            <w:tcW w:w="1586"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Wolfram Peschko(5)</w:t>
            </w:r>
          </w:p>
        </w:tc>
        <w:tc>
          <w:tcPr>
            <w:tcW w:w="120" w:type="dxa"/>
            <w:tcBorders/>
            <w:shd w:fill="CCEEFF" w:val="clear"/>
            <w:vAlign w:val="center"/>
          </w:tcPr>
          <w:p>
            <w:pPr>
              <w:pStyle w:val="TableContents"/>
              <w:spacing w:before="0" w:after="283"/>
              <w:rPr/>
            </w:pPr>
            <w:r>
              <w:rPr/>
              <w:t>  </w:t>
            </w:r>
          </w:p>
        </w:tc>
        <w:tc>
          <w:tcPr>
            <w:tcW w:w="339" w:type="dxa"/>
            <w:tcBorders/>
            <w:shd w:fill="CCEEFF" w:val="clear"/>
            <w:vAlign w:val="center"/>
          </w:tcPr>
          <w:p>
            <w:pPr>
              <w:pStyle w:val="TableContents"/>
              <w:spacing w:before="0" w:after="283"/>
              <w:rPr/>
            </w:pPr>
            <w:r>
              <w:rPr/>
              <w:t> </w:t>
            </w:r>
          </w:p>
        </w:tc>
        <w:tc>
          <w:tcPr>
            <w:tcW w:w="791" w:type="dxa"/>
            <w:tcBorders/>
            <w:shd w:fill="CCEEFF" w:val="clear"/>
            <w:vAlign w:val="center"/>
          </w:tcPr>
          <w:p>
            <w:pPr>
              <w:pStyle w:val="TableContents"/>
              <w:spacing w:before="0" w:after="283"/>
              <w:jc w:val="right"/>
              <w:rPr/>
            </w:pPr>
            <w:r>
              <w:rPr/>
              <w:t>*</w:t>
            </w:r>
          </w:p>
        </w:tc>
        <w:tc>
          <w:tcPr>
            <w:tcW w:w="268" w:type="dxa"/>
            <w:tcBorders/>
            <w:shd w:fill="CCEEFF" w:val="clear"/>
            <w:vAlign w:val="center"/>
          </w:tcPr>
          <w:p>
            <w:pPr>
              <w:pStyle w:val="TableContents"/>
              <w:spacing w:before="0" w:after="283"/>
              <w:rPr/>
            </w:pPr>
            <w:r>
              <w:rPr/>
              <w:t>(1)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20" w:type="dxa"/>
            <w:tcBorders/>
            <w:shd w:fill="CCEEFF" w:val="clear"/>
            <w:vAlign w:val="center"/>
          </w:tcPr>
          <w:p>
            <w:pPr>
              <w:pStyle w:val="TableContents"/>
              <w:spacing w:before="0" w:after="283"/>
              <w:jc w:val="right"/>
              <w:rPr/>
            </w:pPr>
            <w:r>
              <w:rPr/>
              <w:t>Ordinary shares</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791" w:type="dxa"/>
            <w:tcBorders/>
            <w:shd w:fill="CCEEFF" w:val="clear"/>
            <w:vAlign w:val="center"/>
          </w:tcPr>
          <w:p>
            <w:pPr>
              <w:pStyle w:val="TableContents"/>
              <w:spacing w:before="0" w:after="283"/>
              <w:jc w:val="right"/>
              <w:rPr/>
            </w:pPr>
            <w:r>
              <w:rPr/>
              <w:t>42.46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jc w:val="right"/>
              <w:rPr/>
            </w:pPr>
            <w:r>
              <w:rPr/>
              <w:t>September 27, 2019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jc w:val="right"/>
              <w:rPr/>
            </w:pPr>
            <w:r>
              <w:rPr/>
              <w:t>September 27, 2026</w:t>
            </w:r>
          </w:p>
        </w:tc>
        <w:tc>
          <w:tcPr>
            <w:tcW w:w="76" w:type="dxa"/>
            <w:tcBorders/>
            <w:shd w:fill="CCEEFF" w:val="clear"/>
            <w:vAlign w:val="center"/>
          </w:tcPr>
          <w:p>
            <w:pPr>
              <w:pStyle w:val="TableContents"/>
              <w:spacing w:before="0" w:after="283"/>
              <w:rPr/>
            </w:pPr>
            <w:r>
              <w:rPr/>
              <w:t> </w:t>
            </w:r>
          </w:p>
        </w:tc>
      </w:tr>
      <w:tr>
        <w:trPr/>
        <w:tc>
          <w:tcPr>
            <w:tcW w:w="1586"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339" w:type="dxa"/>
            <w:tcBorders/>
            <w:shd w:fill="CCEEFF" w:val="clear"/>
            <w:vAlign w:val="center"/>
          </w:tcPr>
          <w:p>
            <w:pPr>
              <w:pStyle w:val="TableContents"/>
              <w:spacing w:before="0" w:after="283"/>
              <w:rPr/>
            </w:pPr>
            <w:r>
              <w:rPr/>
              <w:t> </w:t>
            </w:r>
          </w:p>
        </w:tc>
        <w:tc>
          <w:tcPr>
            <w:tcW w:w="791" w:type="dxa"/>
            <w:tcBorders/>
            <w:shd w:fill="CCEEFF" w:val="clear"/>
            <w:vAlign w:val="center"/>
          </w:tcPr>
          <w:p>
            <w:pPr>
              <w:pStyle w:val="TableContents"/>
              <w:spacing w:before="0" w:after="283"/>
              <w:jc w:val="right"/>
              <w:rPr/>
            </w:pPr>
            <w:r>
              <w:rPr/>
              <w:t>*</w:t>
            </w:r>
          </w:p>
        </w:tc>
        <w:tc>
          <w:tcPr>
            <w:tcW w:w="268" w:type="dxa"/>
            <w:tcBorders/>
            <w:shd w:fill="CCEEFF" w:val="clear"/>
            <w:vAlign w:val="center"/>
          </w:tcPr>
          <w:p>
            <w:pPr>
              <w:pStyle w:val="TableContents"/>
              <w:spacing w:before="0" w:after="283"/>
              <w:rPr/>
            </w:pPr>
            <w:r>
              <w:rPr/>
              <w:t>(1)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20" w:type="dxa"/>
            <w:tcBorders/>
            <w:shd w:fill="CCEEFF" w:val="clear"/>
            <w:vAlign w:val="center"/>
          </w:tcPr>
          <w:p>
            <w:pPr>
              <w:pStyle w:val="TableContents"/>
              <w:spacing w:before="0" w:after="283"/>
              <w:jc w:val="right"/>
              <w:rPr/>
            </w:pPr>
            <w:r>
              <w:rPr/>
              <w:t>Ordinary shares</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791" w:type="dxa"/>
            <w:tcBorders/>
            <w:shd w:fill="CCEEFF" w:val="clear"/>
            <w:vAlign w:val="center"/>
          </w:tcPr>
          <w:p>
            <w:pPr>
              <w:pStyle w:val="TableContents"/>
              <w:spacing w:before="0" w:after="283"/>
              <w:jc w:val="right"/>
              <w:rPr/>
            </w:pPr>
            <w:r>
              <w:rPr/>
              <w:t>47.25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jc w:val="right"/>
              <w:rPr/>
            </w:pPr>
            <w:r>
              <w:rPr/>
              <w:t>June 30, 2020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5" w:type="dxa"/>
            <w:tcBorders/>
            <w:shd w:fill="CCEEFF" w:val="clear"/>
            <w:vAlign w:val="center"/>
          </w:tcPr>
          <w:p>
            <w:pPr>
              <w:pStyle w:val="TableContents"/>
              <w:spacing w:before="0" w:after="283"/>
              <w:jc w:val="right"/>
              <w:rPr/>
            </w:pPr>
            <w:r>
              <w:rPr/>
              <w:t>June 30, 2027</w:t>
            </w:r>
          </w:p>
        </w:tc>
        <w:tc>
          <w:tcPr>
            <w:tcW w:w="76" w:type="dxa"/>
            <w:tcBorders/>
            <w:shd w:fill="CCEEFF" w:val="clear"/>
            <w:vAlign w:val="center"/>
          </w:tcPr>
          <w:p>
            <w:pPr>
              <w:pStyle w:val="TableContents"/>
              <w:spacing w:before="0" w:after="283"/>
              <w:rPr/>
            </w:pPr>
            <w:r>
              <w:rPr/>
              <w:t> </w:t>
            </w:r>
          </w:p>
        </w:tc>
      </w:tr>
      <w:tr>
        <w:trPr/>
        <w:tc>
          <w:tcPr>
            <w:tcW w:w="1586"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Hubertus Edler von Janecek(5)</w:t>
            </w:r>
          </w:p>
        </w:tc>
        <w:tc>
          <w:tcPr>
            <w:tcW w:w="12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w:t>
            </w:r>
          </w:p>
        </w:tc>
        <w:tc>
          <w:tcPr>
            <w:tcW w:w="268" w:type="dxa"/>
            <w:tcBorders/>
            <w:shd w:fill="auto" w:val="clear"/>
            <w:vAlign w:val="center"/>
          </w:tcPr>
          <w:p>
            <w:pPr>
              <w:pStyle w:val="TableContents"/>
              <w:spacing w:before="0" w:after="283"/>
              <w:rPr/>
            </w:pPr>
            <w:r>
              <w:rPr/>
              <w:t>(1)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0" w:type="dxa"/>
            <w:tcBorders/>
            <w:shd w:fill="auto" w:val="clear"/>
            <w:vAlign w:val="center"/>
          </w:tcPr>
          <w:p>
            <w:pPr>
              <w:pStyle w:val="TableContents"/>
              <w:spacing w:before="0" w:after="283"/>
              <w:jc w:val="right"/>
              <w:rPr/>
            </w:pPr>
            <w:r>
              <w:rPr/>
              <w:t>Ordinary shares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42.46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jc w:val="right"/>
              <w:rPr/>
            </w:pPr>
            <w:r>
              <w:rPr/>
              <w:t>September 27, 2019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jc w:val="right"/>
              <w:rPr/>
            </w:pPr>
            <w:r>
              <w:rPr/>
              <w:t>September 27, 2026</w:t>
            </w:r>
          </w:p>
        </w:tc>
        <w:tc>
          <w:tcPr>
            <w:tcW w:w="76" w:type="dxa"/>
            <w:tcBorders/>
            <w:shd w:fill="auto" w:val="clear"/>
            <w:vAlign w:val="center"/>
          </w:tcPr>
          <w:p>
            <w:pPr>
              <w:pStyle w:val="TableContents"/>
              <w:spacing w:before="0" w:after="283"/>
              <w:rPr/>
            </w:pPr>
            <w:r>
              <w:rPr/>
              <w:t> </w:t>
            </w:r>
          </w:p>
        </w:tc>
      </w:tr>
      <w:tr>
        <w:trPr/>
        <w:tc>
          <w:tcPr>
            <w:tcW w:w="158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w:t>
            </w:r>
          </w:p>
        </w:tc>
        <w:tc>
          <w:tcPr>
            <w:tcW w:w="268" w:type="dxa"/>
            <w:tcBorders/>
            <w:shd w:fill="auto" w:val="clear"/>
            <w:vAlign w:val="center"/>
          </w:tcPr>
          <w:p>
            <w:pPr>
              <w:pStyle w:val="TableContents"/>
              <w:spacing w:before="0" w:after="283"/>
              <w:rPr/>
            </w:pPr>
            <w:r>
              <w:rPr/>
              <w:t>(1)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0" w:type="dxa"/>
            <w:tcBorders/>
            <w:shd w:fill="auto" w:val="clear"/>
            <w:vAlign w:val="center"/>
          </w:tcPr>
          <w:p>
            <w:pPr>
              <w:pStyle w:val="TableContents"/>
              <w:spacing w:before="0" w:after="283"/>
              <w:jc w:val="right"/>
              <w:rPr/>
            </w:pPr>
            <w:r>
              <w:rPr/>
              <w:t>Ordinary shares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47.25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jc w:val="right"/>
              <w:rPr/>
            </w:pPr>
            <w:r>
              <w:rPr/>
              <w:t>June 30, 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jc w:val="right"/>
              <w:rPr/>
            </w:pPr>
            <w:r>
              <w:rPr/>
              <w:t>June 30, 2027</w:t>
            </w:r>
          </w:p>
        </w:tc>
        <w:tc>
          <w:tcPr>
            <w:tcW w:w="76"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6850" w:type="dxa"/>
        <w:jc w:val="left"/>
        <w:tblInd w:w="0" w:type="dxa"/>
        <w:tblCellMar>
          <w:top w:w="0" w:type="dxa"/>
          <w:left w:w="0" w:type="dxa"/>
          <w:bottom w:w="0" w:type="dxa"/>
          <w:right w:w="0" w:type="dxa"/>
        </w:tblCellMar>
      </w:tblPr>
      <w:tblGrid>
        <w:gridCol w:w="155"/>
        <w:gridCol w:w="6695"/>
      </w:tblGrid>
      <w:tr>
        <w:trPr/>
        <w:tc>
          <w:tcPr>
            <w:tcW w:w="155" w:type="dxa"/>
            <w:tcBorders/>
            <w:shd w:fill="auto" w:val="clear"/>
            <w:vAlign w:val="center"/>
          </w:tcPr>
          <w:p>
            <w:pPr>
              <w:pStyle w:val="TableContents"/>
              <w:spacing w:before="0" w:after="283"/>
              <w:jc w:val="left"/>
              <w:rPr/>
            </w:pPr>
            <w:r>
              <w:rPr/>
              <w:t>*</w:t>
            </w:r>
          </w:p>
        </w:tc>
        <w:tc>
          <w:tcPr>
            <w:tcW w:w="66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Indicates beneficial ownership of less than 1% of our outstanding ordinary shares. </w:t>
            </w:r>
          </w:p>
        </w:tc>
      </w:tr>
    </w:tbl>
    <w:tbl>
      <w:tblPr>
        <w:tblW w:w="2755" w:type="dxa"/>
        <w:jc w:val="left"/>
        <w:tblInd w:w="0" w:type="dxa"/>
        <w:tblCellMar>
          <w:top w:w="0" w:type="dxa"/>
          <w:left w:w="0" w:type="dxa"/>
          <w:bottom w:w="0" w:type="dxa"/>
          <w:right w:w="0" w:type="dxa"/>
        </w:tblCellMar>
      </w:tblPr>
      <w:tblGrid>
        <w:gridCol w:w="305"/>
        <w:gridCol w:w="2450"/>
      </w:tblGrid>
      <w:tr>
        <w:trPr/>
        <w:tc>
          <w:tcPr>
            <w:tcW w:w="305" w:type="dxa"/>
            <w:tcBorders/>
            <w:shd w:fill="auto" w:val="clear"/>
            <w:vAlign w:val="center"/>
          </w:tcPr>
          <w:p>
            <w:pPr>
              <w:pStyle w:val="TableContents"/>
              <w:spacing w:before="0" w:after="283"/>
              <w:jc w:val="left"/>
              <w:rPr/>
            </w:pPr>
            <w:r>
              <w:rPr/>
              <w:t>(1)</w:t>
            </w:r>
          </w:p>
        </w:tc>
        <w:tc>
          <w:tcPr>
            <w:tcW w:w="245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Granted under the 2019 Plan. </w:t>
            </w:r>
          </w:p>
        </w:tc>
      </w:tr>
    </w:tbl>
    <w:tbl>
      <w:tblPr>
        <w:tblW w:w="2755" w:type="dxa"/>
        <w:jc w:val="left"/>
        <w:tblInd w:w="0" w:type="dxa"/>
        <w:tblCellMar>
          <w:top w:w="0" w:type="dxa"/>
          <w:left w:w="0" w:type="dxa"/>
          <w:bottom w:w="0" w:type="dxa"/>
          <w:right w:w="0" w:type="dxa"/>
        </w:tblCellMar>
      </w:tblPr>
      <w:tblGrid>
        <w:gridCol w:w="305"/>
        <w:gridCol w:w="2450"/>
      </w:tblGrid>
      <w:tr>
        <w:trPr/>
        <w:tc>
          <w:tcPr>
            <w:tcW w:w="305" w:type="dxa"/>
            <w:tcBorders/>
            <w:shd w:fill="auto" w:val="clear"/>
            <w:vAlign w:val="center"/>
          </w:tcPr>
          <w:p>
            <w:pPr>
              <w:pStyle w:val="TableContents"/>
              <w:spacing w:before="0" w:after="283"/>
              <w:jc w:val="left"/>
              <w:rPr/>
            </w:pPr>
            <w:r>
              <w:rPr/>
              <w:t>(2)</w:t>
            </w:r>
          </w:p>
        </w:tc>
        <w:tc>
          <w:tcPr>
            <w:tcW w:w="245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Granted under the 2020 Plan. </w:t>
            </w:r>
          </w:p>
        </w:tc>
      </w:tr>
    </w:tbl>
    <w:tbl>
      <w:tblPr>
        <w:tblW w:w="2755" w:type="dxa"/>
        <w:jc w:val="left"/>
        <w:tblInd w:w="0" w:type="dxa"/>
        <w:tblCellMar>
          <w:top w:w="0" w:type="dxa"/>
          <w:left w:w="0" w:type="dxa"/>
          <w:bottom w:w="0" w:type="dxa"/>
          <w:right w:w="0" w:type="dxa"/>
        </w:tblCellMar>
      </w:tblPr>
      <w:tblGrid>
        <w:gridCol w:w="305"/>
        <w:gridCol w:w="2450"/>
      </w:tblGrid>
      <w:tr>
        <w:trPr/>
        <w:tc>
          <w:tcPr>
            <w:tcW w:w="305" w:type="dxa"/>
            <w:tcBorders/>
            <w:shd w:fill="auto" w:val="clear"/>
            <w:vAlign w:val="center"/>
          </w:tcPr>
          <w:p>
            <w:pPr>
              <w:pStyle w:val="TableContents"/>
              <w:spacing w:before="0" w:after="283"/>
              <w:jc w:val="left"/>
              <w:rPr/>
            </w:pPr>
            <w:r>
              <w:rPr/>
              <w:t>(3)</w:t>
            </w:r>
          </w:p>
        </w:tc>
        <w:tc>
          <w:tcPr>
            <w:tcW w:w="245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Granted under the 2022 Plan. </w:t>
            </w:r>
          </w:p>
        </w:tc>
      </w:tr>
    </w:tbl>
    <w:tbl>
      <w:tblPr>
        <w:tblW w:w="2755" w:type="dxa"/>
        <w:jc w:val="left"/>
        <w:tblInd w:w="0" w:type="dxa"/>
        <w:tblCellMar>
          <w:top w:w="0" w:type="dxa"/>
          <w:left w:w="0" w:type="dxa"/>
          <w:bottom w:w="0" w:type="dxa"/>
          <w:right w:w="0" w:type="dxa"/>
        </w:tblCellMar>
      </w:tblPr>
      <w:tblGrid>
        <w:gridCol w:w="305"/>
        <w:gridCol w:w="2450"/>
      </w:tblGrid>
      <w:tr>
        <w:trPr/>
        <w:tc>
          <w:tcPr>
            <w:tcW w:w="305" w:type="dxa"/>
            <w:tcBorders/>
            <w:shd w:fill="auto" w:val="clear"/>
            <w:vAlign w:val="center"/>
          </w:tcPr>
          <w:p>
            <w:pPr>
              <w:pStyle w:val="TableContents"/>
              <w:spacing w:before="0" w:after="283"/>
              <w:jc w:val="left"/>
              <w:rPr/>
            </w:pPr>
            <w:r>
              <w:rPr/>
              <w:t>(4)</w:t>
            </w:r>
          </w:p>
        </w:tc>
        <w:tc>
          <w:tcPr>
            <w:tcW w:w="245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Granted under the 2021 Plan. </w:t>
            </w:r>
          </w:p>
        </w:tc>
      </w:tr>
    </w:tbl>
    <w:tbl>
      <w:tblPr>
        <w:tblW w:w="10030" w:type="dxa"/>
        <w:jc w:val="left"/>
        <w:tblInd w:w="0" w:type="dxa"/>
        <w:tblCellMar>
          <w:top w:w="0" w:type="dxa"/>
          <w:left w:w="0" w:type="dxa"/>
          <w:bottom w:w="0" w:type="dxa"/>
          <w:right w:w="0" w:type="dxa"/>
        </w:tblCellMar>
      </w:tblPr>
      <w:tblGrid>
        <w:gridCol w:w="305"/>
        <w:gridCol w:w="9725"/>
      </w:tblGrid>
      <w:tr>
        <w:trPr/>
        <w:tc>
          <w:tcPr>
            <w:tcW w:w="305" w:type="dxa"/>
            <w:tcBorders/>
            <w:shd w:fill="auto" w:val="clear"/>
            <w:vAlign w:val="center"/>
          </w:tcPr>
          <w:p>
            <w:pPr>
              <w:pStyle w:val="TableContents"/>
              <w:spacing w:before="0" w:after="283"/>
              <w:jc w:val="left"/>
              <w:rPr/>
            </w:pPr>
            <w:r>
              <w:rPr/>
              <w:t>(5)</w:t>
            </w:r>
          </w:p>
        </w:tc>
        <w:tc>
          <w:tcPr>
            <w:tcW w:w="972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Mr. Peschko and Mr. Edler von Janecek both resigned from our management board in June and July 2020, respectively. </w:t>
            </w:r>
          </w:p>
        </w:tc>
      </w:tr>
    </w:tbl>
    <w:p>
      <w:pPr>
        <w:pStyle w:val="TextBody"/>
        <w:spacing w:before="360" w:after="0"/>
        <w:jc w:val="left"/>
        <w:rPr>
          <w:rFonts w:ascii="Times New Roman" w:hAnsi="Times New Roman"/>
          <w:b/>
          <w:i/>
          <w:sz w:val="20"/>
        </w:rPr>
      </w:pPr>
      <w:r>
        <w:rPr>
          <w:rFonts w:ascii="Times New Roman" w:hAnsi="Times New Roman"/>
          <w:b/>
          <w:i/>
          <w:sz w:val="20"/>
        </w:rPr>
        <w:t xml:space="preserve">Compensation of Supervisory Board Members </w:t>
      </w:r>
    </w:p>
    <w:p>
      <w:pPr>
        <w:pStyle w:val="TextBody"/>
        <w:spacing w:before="120" w:after="0"/>
        <w:jc w:val="both"/>
        <w:rPr>
          <w:rFonts w:ascii="Times New Roman" w:hAnsi="Times New Roman"/>
          <w:sz w:val="20"/>
        </w:rPr>
      </w:pPr>
      <w:r>
        <w:rPr>
          <w:rFonts w:ascii="Times New Roman" w:hAnsi="Times New Roman"/>
          <w:sz w:val="20"/>
        </w:rPr>
        <w:t xml:space="preserve">Each member of the supervisory board is entitled to a fixed annual compensation of €60,000 (€120,000 and €90,000 in the case of the chairperson and the deputy chairperson, respectively). Supervisory board members who at the same time are members of the audit committee will receive an additional fixed annual compensation of €20,000 (€30,000 for the chairperson of the audit committee). In addition, each member of the supervisory board receives an attendance fee of €500 per meeting for participating in a meeting or a resolution passed by telephone. </w:t>
      </w:r>
    </w:p>
    <w:p>
      <w:pPr>
        <w:pStyle w:val="TextBody"/>
        <w:spacing w:before="240" w:after="0"/>
        <w:jc w:val="both"/>
        <w:rPr>
          <w:rFonts w:ascii="Times New Roman" w:hAnsi="Times New Roman"/>
          <w:sz w:val="20"/>
        </w:rPr>
      </w:pPr>
      <w:r>
        <w:rPr>
          <w:rFonts w:ascii="Times New Roman" w:hAnsi="Times New Roman"/>
          <w:sz w:val="20"/>
        </w:rPr>
        <w:t xml:space="preserve">The compensation is payable after the end of the financial year. A member of the supervisory board who serves for only a portion of a given financial year or who holds the position of chairman or vice chairman of the supervisory board for only a portion of a given financial year will only be remunerated pro rata. In addition, the members of the supervisory board will be reimbursed for their reasonable out-of-pocket expenses incurred in the performance of their duties as supervisory board members as well as the value-added tax on their compensation and out-of-pocket expenses. In addition, the members of the supervisory board are covered by a D&amp;O insurance policy in line with market practice.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The following table shows the fixed remuneration awarded to our current supervisory board members. </w:t>
      </w:r>
    </w:p>
    <w:p>
      <w:pPr>
        <w:pStyle w:val="TextBody"/>
        <w:spacing w:before="0" w:after="0"/>
        <w:jc w:val="left"/>
        <w:rPr/>
      </w:pPr>
      <w:r>
        <w:rPr/>
        <w:t> </w:t>
      </w:r>
    </w:p>
    <w:tbl>
      <w:tblPr>
        <w:tblW w:w="6620" w:type="dxa"/>
        <w:jc w:val="left"/>
        <w:tblInd w:w="0" w:type="dxa"/>
        <w:tblCellMar>
          <w:top w:w="0" w:type="dxa"/>
          <w:left w:w="0" w:type="dxa"/>
          <w:bottom w:w="0" w:type="dxa"/>
          <w:right w:w="0" w:type="dxa"/>
        </w:tblCellMar>
      </w:tblPr>
      <w:tblGrid>
        <w:gridCol w:w="2810"/>
        <w:gridCol w:w="120"/>
        <w:gridCol w:w="192"/>
        <w:gridCol w:w="1223"/>
        <w:gridCol w:w="75"/>
        <w:gridCol w:w="150"/>
        <w:gridCol w:w="223"/>
        <w:gridCol w:w="967"/>
        <w:gridCol w:w="75"/>
        <w:gridCol w:w="150"/>
        <w:gridCol w:w="76"/>
        <w:gridCol w:w="484"/>
        <w:gridCol w:w="75"/>
      </w:tblGrid>
      <w:tr>
        <w:trPr/>
        <w:tc>
          <w:tcPr>
            <w:tcW w:w="28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8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615" w:type="dxa"/>
            <w:gridSpan w:val="10"/>
            <w:tcBorders>
              <w:bottom w:val="single" w:sz="8" w:space="0" w:color="000000"/>
            </w:tcBorders>
            <w:shd w:fill="auto" w:val="clear"/>
            <w:tcMar>
              <w:bottom w:w="28" w:type="dxa"/>
            </w:tcMar>
            <w:vAlign w:val="center"/>
          </w:tcPr>
          <w:p>
            <w:pPr>
              <w:pStyle w:val="TableContents"/>
              <w:spacing w:before="0" w:after="283"/>
              <w:jc w:val="center"/>
              <w:rPr>
                <w:b/>
              </w:rPr>
            </w:pPr>
            <w:r>
              <w:rPr>
                <w:b/>
              </w:rPr>
              <w:t>For the year ended</w:t>
              <w:br/>
              <w:t>December 31, 2022</w:t>
            </w:r>
          </w:p>
        </w:tc>
        <w:tc>
          <w:tcPr>
            <w:tcW w:w="75" w:type="dxa"/>
            <w:tcBorders/>
            <w:shd w:fill="auto" w:val="clear"/>
            <w:vAlign w:val="center"/>
          </w:tcPr>
          <w:p>
            <w:pPr>
              <w:pStyle w:val="TableContents"/>
              <w:spacing w:before="0" w:after="283"/>
              <w:rPr/>
            </w:pPr>
            <w:r>
              <w:rPr/>
              <w:t> </w:t>
            </w:r>
          </w:p>
        </w:tc>
      </w:tr>
      <w:tr>
        <w:trPr/>
        <w:tc>
          <w:tcPr>
            <w:tcW w:w="28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Fixed</w:t>
              <w:br/>
              <w:t>remuneration</w:t>
            </w:r>
          </w:p>
        </w:tc>
        <w:tc>
          <w:tcPr>
            <w:tcW w:w="75"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19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Attendance</w:t>
              <w:br/>
              <w:t>fees</w:t>
            </w:r>
          </w:p>
        </w:tc>
        <w:tc>
          <w:tcPr>
            <w:tcW w:w="75"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56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Total</w:t>
            </w:r>
          </w:p>
        </w:tc>
        <w:tc>
          <w:tcPr>
            <w:tcW w:w="75" w:type="dxa"/>
            <w:tcBorders/>
            <w:shd w:fill="auto" w:val="clear"/>
            <w:vAlign w:val="center"/>
          </w:tcPr>
          <w:p>
            <w:pPr>
              <w:pStyle w:val="TableContents"/>
              <w:spacing w:before="0" w:after="283"/>
              <w:rPr/>
            </w:pPr>
            <w:r>
              <w:rPr/>
              <w:t> </w:t>
            </w:r>
          </w:p>
        </w:tc>
      </w:tr>
      <w:tr>
        <w:trPr/>
        <w:tc>
          <w:tcPr>
            <w:tcW w:w="28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615" w:type="dxa"/>
            <w:gridSpan w:val="10"/>
            <w:tcBorders/>
            <w:shd w:fill="auto" w:val="clear"/>
            <w:vAlign w:val="center"/>
          </w:tcPr>
          <w:p>
            <w:pPr>
              <w:pStyle w:val="TableContents"/>
              <w:spacing w:before="0" w:after="283"/>
              <w:jc w:val="center"/>
              <w:rPr>
                <w:b/>
              </w:rPr>
            </w:pPr>
            <w:r>
              <w:rPr>
                <w:b/>
              </w:rPr>
              <w:t>(in € thousand)</w:t>
            </w:r>
          </w:p>
        </w:tc>
        <w:tc>
          <w:tcPr>
            <w:tcW w:w="75" w:type="dxa"/>
            <w:tcBorders/>
            <w:shd w:fill="auto" w:val="clear"/>
            <w:vAlign w:val="center"/>
          </w:tcPr>
          <w:p>
            <w:pPr>
              <w:pStyle w:val="TableContents"/>
              <w:spacing w:before="0" w:after="283"/>
              <w:rPr/>
            </w:pPr>
            <w:r>
              <w:rPr/>
              <w:t> </w:t>
            </w:r>
          </w:p>
        </w:tc>
      </w:tr>
      <w:tr>
        <w:trPr/>
        <w:tc>
          <w:tcPr>
            <w:tcW w:w="28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Members of our supervisory board</w:t>
            </w:r>
          </w:p>
        </w:tc>
        <w:tc>
          <w:tcPr>
            <w:tcW w:w="12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sz w:val="4"/>
                <w:szCs w:val="4"/>
              </w:rPr>
            </w:pPr>
            <w:r>
              <w:rPr>
                <w:sz w:val="4"/>
                <w:szCs w:val="4"/>
              </w:rPr>
            </w:r>
          </w:p>
        </w:tc>
        <w:tc>
          <w:tcPr>
            <w:tcW w:w="1223"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c>
          <w:tcPr>
            <w:tcW w:w="150" w:type="dxa"/>
            <w:tcBorders/>
            <w:shd w:fill="CCEEFF" w:val="clear"/>
            <w:vAlign w:val="center"/>
          </w:tcPr>
          <w:p>
            <w:pPr>
              <w:pStyle w:val="TableContents"/>
              <w:spacing w:before="0" w:after="283"/>
              <w:rPr/>
            </w:pPr>
            <w:r>
              <w:rPr/>
              <w:t>  </w:t>
            </w:r>
          </w:p>
        </w:tc>
        <w:tc>
          <w:tcPr>
            <w:tcW w:w="223" w:type="dxa"/>
            <w:tcBorders/>
            <w:shd w:fill="CCEEFF" w:val="clear"/>
            <w:vAlign w:val="center"/>
          </w:tcPr>
          <w:p>
            <w:pPr>
              <w:pStyle w:val="TableContents"/>
              <w:spacing w:before="0" w:after="283"/>
              <w:rPr>
                <w:sz w:val="4"/>
                <w:szCs w:val="4"/>
              </w:rPr>
            </w:pPr>
            <w:r>
              <w:rPr>
                <w:sz w:val="4"/>
                <w:szCs w:val="4"/>
              </w:rPr>
            </w:r>
          </w:p>
        </w:tc>
        <w:tc>
          <w:tcPr>
            <w:tcW w:w="967"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c>
          <w:tcPr>
            <w:tcW w:w="15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sz w:val="4"/>
                <w:szCs w:val="4"/>
              </w:rPr>
            </w:pPr>
            <w:r>
              <w:rPr>
                <w:sz w:val="4"/>
                <w:szCs w:val="4"/>
              </w:rPr>
            </w:r>
          </w:p>
        </w:tc>
        <w:tc>
          <w:tcPr>
            <w:tcW w:w="484"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28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Dr. Manfred Krischke(1)</w:t>
            </w:r>
          </w:p>
        </w:tc>
        <w:tc>
          <w:tcPr>
            <w:tcW w:w="12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223" w:type="dxa"/>
            <w:tcBorders/>
            <w:shd w:fill="auto" w:val="clear"/>
            <w:vAlign w:val="center"/>
          </w:tcPr>
          <w:p>
            <w:pPr>
              <w:pStyle w:val="TableContents"/>
              <w:spacing w:before="0" w:after="283"/>
              <w:jc w:val="right"/>
              <w:rPr/>
            </w:pPr>
            <w:r>
              <w:rPr/>
              <w:t>140</w:t>
            </w:r>
          </w:p>
        </w:tc>
        <w:tc>
          <w:tcPr>
            <w:tcW w:w="75"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967" w:type="dxa"/>
            <w:tcBorders/>
            <w:shd w:fill="auto" w:val="clear"/>
            <w:vAlign w:val="center"/>
          </w:tcPr>
          <w:p>
            <w:pPr>
              <w:pStyle w:val="TableContents"/>
              <w:spacing w:before="0" w:after="283"/>
              <w:jc w:val="right"/>
              <w:rPr/>
            </w:pPr>
            <w:r>
              <w:rPr/>
              <w:t>11</w:t>
            </w:r>
          </w:p>
        </w:tc>
        <w:tc>
          <w:tcPr>
            <w:tcW w:w="75"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484" w:type="dxa"/>
            <w:tcBorders/>
            <w:shd w:fill="auto" w:val="clear"/>
            <w:vAlign w:val="center"/>
          </w:tcPr>
          <w:p>
            <w:pPr>
              <w:pStyle w:val="TableContents"/>
              <w:spacing w:before="0" w:after="283"/>
              <w:jc w:val="right"/>
              <w:rPr/>
            </w:pPr>
            <w:r>
              <w:rPr/>
              <w:t>151</w:t>
            </w:r>
          </w:p>
        </w:tc>
        <w:tc>
          <w:tcPr>
            <w:tcW w:w="75" w:type="dxa"/>
            <w:tcBorders/>
            <w:shd w:fill="auto" w:val="clear"/>
            <w:vAlign w:val="center"/>
          </w:tcPr>
          <w:p>
            <w:pPr>
              <w:pStyle w:val="TableContents"/>
              <w:spacing w:before="0" w:after="283"/>
              <w:rPr/>
            </w:pPr>
            <w:r>
              <w:rPr/>
              <w:t> </w:t>
            </w:r>
          </w:p>
        </w:tc>
      </w:tr>
      <w:tr>
        <w:trPr/>
        <w:tc>
          <w:tcPr>
            <w:tcW w:w="28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Peter Müller-Brühl(2)</w:t>
            </w:r>
          </w:p>
        </w:tc>
        <w:tc>
          <w:tcPr>
            <w:tcW w:w="12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223" w:type="dxa"/>
            <w:tcBorders/>
            <w:shd w:fill="CCEEFF" w:val="clear"/>
            <w:vAlign w:val="center"/>
          </w:tcPr>
          <w:p>
            <w:pPr>
              <w:pStyle w:val="TableContents"/>
              <w:spacing w:before="0" w:after="283"/>
              <w:jc w:val="right"/>
              <w:rPr/>
            </w:pPr>
            <w:r>
              <w:rPr/>
              <w:t>110</w:t>
            </w:r>
          </w:p>
        </w:tc>
        <w:tc>
          <w:tcPr>
            <w:tcW w:w="75"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223" w:type="dxa"/>
            <w:tcBorders/>
            <w:shd w:fill="CCEEFF" w:val="clear"/>
            <w:vAlign w:val="center"/>
          </w:tcPr>
          <w:p>
            <w:pPr>
              <w:pStyle w:val="TableContents"/>
              <w:spacing w:before="0" w:after="283"/>
              <w:rPr/>
            </w:pPr>
            <w:r>
              <w:rPr/>
              <w:t> </w:t>
            </w:r>
          </w:p>
        </w:tc>
        <w:tc>
          <w:tcPr>
            <w:tcW w:w="967" w:type="dxa"/>
            <w:tcBorders/>
            <w:shd w:fill="CCEEFF" w:val="clear"/>
            <w:vAlign w:val="center"/>
          </w:tcPr>
          <w:p>
            <w:pPr>
              <w:pStyle w:val="TableContents"/>
              <w:spacing w:before="0" w:after="283"/>
              <w:jc w:val="right"/>
              <w:rPr/>
            </w:pPr>
            <w:r>
              <w:rPr/>
              <w:t>11</w:t>
            </w:r>
          </w:p>
        </w:tc>
        <w:tc>
          <w:tcPr>
            <w:tcW w:w="75"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484" w:type="dxa"/>
            <w:tcBorders/>
            <w:shd w:fill="CCEEFF" w:val="clear"/>
            <w:vAlign w:val="center"/>
          </w:tcPr>
          <w:p>
            <w:pPr>
              <w:pStyle w:val="TableContents"/>
              <w:spacing w:before="0" w:after="283"/>
              <w:jc w:val="right"/>
              <w:rPr/>
            </w:pPr>
            <w:r>
              <w:rPr/>
              <w:t>121</w:t>
            </w:r>
          </w:p>
        </w:tc>
        <w:tc>
          <w:tcPr>
            <w:tcW w:w="75" w:type="dxa"/>
            <w:tcBorders/>
            <w:shd w:fill="CCEEFF" w:val="clear"/>
            <w:vAlign w:val="center"/>
          </w:tcPr>
          <w:p>
            <w:pPr>
              <w:pStyle w:val="TableContents"/>
              <w:spacing w:before="0" w:after="283"/>
              <w:rPr/>
            </w:pPr>
            <w:r>
              <w:rPr/>
              <w:t> </w:t>
            </w:r>
          </w:p>
        </w:tc>
      </w:tr>
      <w:tr>
        <w:trPr/>
        <w:tc>
          <w:tcPr>
            <w:tcW w:w="28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Steve Geskos(3)</w:t>
            </w:r>
          </w:p>
        </w:tc>
        <w:tc>
          <w:tcPr>
            <w:tcW w:w="12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223" w:type="dxa"/>
            <w:tcBorders/>
            <w:shd w:fill="auto" w:val="clear"/>
            <w:vAlign w:val="center"/>
          </w:tcPr>
          <w:p>
            <w:pPr>
              <w:pStyle w:val="TableContents"/>
              <w:spacing w:before="0" w:after="283"/>
              <w:jc w:val="right"/>
              <w:rPr/>
            </w:pPr>
            <w:r>
              <w:rPr/>
              <w:t>90</w:t>
            </w:r>
          </w:p>
        </w:tc>
        <w:tc>
          <w:tcPr>
            <w:tcW w:w="75"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967" w:type="dxa"/>
            <w:tcBorders/>
            <w:shd w:fill="auto" w:val="clear"/>
            <w:vAlign w:val="center"/>
          </w:tcPr>
          <w:p>
            <w:pPr>
              <w:pStyle w:val="TableContents"/>
              <w:spacing w:before="0" w:after="283"/>
              <w:jc w:val="right"/>
              <w:rPr/>
            </w:pPr>
            <w:r>
              <w:rPr/>
              <w:t>11</w:t>
            </w:r>
          </w:p>
        </w:tc>
        <w:tc>
          <w:tcPr>
            <w:tcW w:w="75"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484" w:type="dxa"/>
            <w:tcBorders/>
            <w:shd w:fill="auto" w:val="clear"/>
            <w:vAlign w:val="center"/>
          </w:tcPr>
          <w:p>
            <w:pPr>
              <w:pStyle w:val="TableContents"/>
              <w:spacing w:before="0" w:after="283"/>
              <w:jc w:val="right"/>
              <w:rPr/>
            </w:pPr>
            <w:r>
              <w:rPr/>
              <w:t>101</w:t>
            </w:r>
          </w:p>
        </w:tc>
        <w:tc>
          <w:tcPr>
            <w:tcW w:w="75" w:type="dxa"/>
            <w:tcBorders/>
            <w:shd w:fill="auto" w:val="clear"/>
            <w:vAlign w:val="center"/>
          </w:tcPr>
          <w:p>
            <w:pPr>
              <w:pStyle w:val="TableContents"/>
              <w:spacing w:before="0" w:after="283"/>
              <w:rPr/>
            </w:pPr>
            <w:r>
              <w:rPr/>
              <w:t> </w:t>
            </w:r>
          </w:p>
        </w:tc>
      </w:tr>
      <w:tr>
        <w:trPr/>
        <w:tc>
          <w:tcPr>
            <w:tcW w:w="28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Hans Königsmann</w:t>
            </w:r>
          </w:p>
        </w:tc>
        <w:tc>
          <w:tcPr>
            <w:tcW w:w="12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223" w:type="dxa"/>
            <w:tcBorders/>
            <w:shd w:fill="CCEEFF" w:val="clear"/>
            <w:vAlign w:val="center"/>
          </w:tcPr>
          <w:p>
            <w:pPr>
              <w:pStyle w:val="TableContents"/>
              <w:spacing w:before="0" w:after="283"/>
              <w:jc w:val="right"/>
              <w:rPr/>
            </w:pPr>
            <w:r>
              <w:rPr/>
              <w:t>60</w:t>
            </w:r>
          </w:p>
        </w:tc>
        <w:tc>
          <w:tcPr>
            <w:tcW w:w="75"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223" w:type="dxa"/>
            <w:tcBorders/>
            <w:shd w:fill="CCEEFF" w:val="clear"/>
            <w:vAlign w:val="center"/>
          </w:tcPr>
          <w:p>
            <w:pPr>
              <w:pStyle w:val="TableContents"/>
              <w:spacing w:before="0" w:after="283"/>
              <w:rPr/>
            </w:pPr>
            <w:r>
              <w:rPr/>
              <w:t> </w:t>
            </w:r>
          </w:p>
        </w:tc>
        <w:tc>
          <w:tcPr>
            <w:tcW w:w="967" w:type="dxa"/>
            <w:tcBorders/>
            <w:shd w:fill="CCEEFF" w:val="clear"/>
            <w:vAlign w:val="center"/>
          </w:tcPr>
          <w:p>
            <w:pPr>
              <w:pStyle w:val="TableContents"/>
              <w:spacing w:before="0" w:after="283"/>
              <w:jc w:val="right"/>
              <w:rPr/>
            </w:pPr>
            <w:r>
              <w:rPr/>
              <w:t>6</w:t>
            </w:r>
          </w:p>
        </w:tc>
        <w:tc>
          <w:tcPr>
            <w:tcW w:w="75"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484" w:type="dxa"/>
            <w:tcBorders/>
            <w:shd w:fill="CCEEFF" w:val="clear"/>
            <w:vAlign w:val="center"/>
          </w:tcPr>
          <w:p>
            <w:pPr>
              <w:pStyle w:val="TableContents"/>
              <w:spacing w:before="0" w:after="283"/>
              <w:jc w:val="right"/>
              <w:rPr/>
            </w:pPr>
            <w:r>
              <w:rPr/>
              <w:t>66</w:t>
            </w:r>
          </w:p>
        </w:tc>
        <w:tc>
          <w:tcPr>
            <w:tcW w:w="75" w:type="dxa"/>
            <w:tcBorders/>
            <w:shd w:fill="CCEEFF" w:val="clear"/>
            <w:vAlign w:val="center"/>
          </w:tcPr>
          <w:p>
            <w:pPr>
              <w:pStyle w:val="TableContents"/>
              <w:spacing w:before="0" w:after="283"/>
              <w:rPr/>
            </w:pPr>
            <w:r>
              <w:rPr/>
              <w:t> </w:t>
            </w:r>
          </w:p>
        </w:tc>
      </w:tr>
      <w:tr>
        <w:trPr/>
        <w:tc>
          <w:tcPr>
            <w:tcW w:w="28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Vincent Wobbe</w:t>
            </w:r>
          </w:p>
        </w:tc>
        <w:tc>
          <w:tcPr>
            <w:tcW w:w="12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223" w:type="dxa"/>
            <w:tcBorders/>
            <w:shd w:fill="auto" w:val="clear"/>
            <w:vAlign w:val="center"/>
          </w:tcPr>
          <w:p>
            <w:pPr>
              <w:pStyle w:val="TableContents"/>
              <w:spacing w:before="0" w:after="283"/>
              <w:jc w:val="right"/>
              <w:rPr/>
            </w:pPr>
            <w:r>
              <w:rPr/>
              <w:t>60</w:t>
            </w:r>
          </w:p>
        </w:tc>
        <w:tc>
          <w:tcPr>
            <w:tcW w:w="75"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967" w:type="dxa"/>
            <w:tcBorders/>
            <w:shd w:fill="auto" w:val="clear"/>
            <w:vAlign w:val="center"/>
          </w:tcPr>
          <w:p>
            <w:pPr>
              <w:pStyle w:val="TableContents"/>
              <w:spacing w:before="0" w:after="283"/>
              <w:jc w:val="right"/>
              <w:rPr/>
            </w:pPr>
            <w:r>
              <w:rPr/>
              <w:t>7</w:t>
            </w:r>
          </w:p>
        </w:tc>
        <w:tc>
          <w:tcPr>
            <w:tcW w:w="75"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484" w:type="dxa"/>
            <w:tcBorders/>
            <w:shd w:fill="auto" w:val="clear"/>
            <w:vAlign w:val="center"/>
          </w:tcPr>
          <w:p>
            <w:pPr>
              <w:pStyle w:val="TableContents"/>
              <w:spacing w:before="0" w:after="283"/>
              <w:jc w:val="right"/>
              <w:rPr/>
            </w:pPr>
            <w:r>
              <w:rPr/>
              <w:t>67</w:t>
            </w:r>
          </w:p>
        </w:tc>
        <w:tc>
          <w:tcPr>
            <w:tcW w:w="75" w:type="dxa"/>
            <w:tcBorders/>
            <w:shd w:fill="auto" w:val="clear"/>
            <w:vAlign w:val="center"/>
          </w:tcPr>
          <w:p>
            <w:pPr>
              <w:pStyle w:val="TableContents"/>
              <w:spacing w:before="0" w:after="283"/>
              <w:rPr/>
            </w:pPr>
            <w:r>
              <w:rPr/>
              <w:t> </w:t>
            </w:r>
          </w:p>
        </w:tc>
      </w:tr>
      <w:tr>
        <w:trPr/>
        <w:tc>
          <w:tcPr>
            <w:tcW w:w="28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pBdr>
                <w:top w:val="single" w:sz="2" w:space="1" w:color="000000"/>
              </w:pBdr>
              <w:spacing w:before="0" w:after="0"/>
              <w:rPr/>
            </w:pPr>
            <w:r>
              <w:rPr/>
              <w:t> </w:t>
            </w:r>
          </w:p>
        </w:tc>
        <w:tc>
          <w:tcPr>
            <w:tcW w:w="1223"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pBdr>
                <w:top w:val="single" w:sz="2" w:space="1" w:color="000000"/>
              </w:pBdr>
              <w:spacing w:before="0" w:after="0"/>
              <w:rPr/>
            </w:pPr>
            <w:r>
              <w:rPr/>
              <w:t> </w:t>
            </w:r>
          </w:p>
        </w:tc>
        <w:tc>
          <w:tcPr>
            <w:tcW w:w="967"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pBdr>
                <w:top w:val="single" w:sz="2" w:space="1" w:color="000000"/>
              </w:pBdr>
              <w:spacing w:before="0" w:after="0"/>
              <w:rPr/>
            </w:pPr>
            <w:r>
              <w:rPr/>
              <w:t> </w:t>
            </w:r>
          </w:p>
        </w:tc>
        <w:tc>
          <w:tcPr>
            <w:tcW w:w="484"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281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223" w:type="dxa"/>
            <w:tcBorders/>
            <w:shd w:fill="CCEEFF" w:val="clear"/>
            <w:vAlign w:val="center"/>
          </w:tcPr>
          <w:p>
            <w:pPr>
              <w:pStyle w:val="TableContents"/>
              <w:spacing w:before="0" w:after="283"/>
              <w:jc w:val="right"/>
              <w:rPr>
                <w:b/>
              </w:rPr>
            </w:pPr>
            <w:r>
              <w:rPr>
                <w:b/>
              </w:rPr>
              <w:t>460</w:t>
            </w:r>
          </w:p>
        </w:tc>
        <w:tc>
          <w:tcPr>
            <w:tcW w:w="75"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223" w:type="dxa"/>
            <w:tcBorders/>
            <w:shd w:fill="CCEEFF" w:val="clear"/>
            <w:vAlign w:val="center"/>
          </w:tcPr>
          <w:p>
            <w:pPr>
              <w:pStyle w:val="TableContents"/>
              <w:spacing w:before="0" w:after="283"/>
              <w:rPr/>
            </w:pPr>
            <w:r>
              <w:rPr/>
              <w:t> </w:t>
            </w:r>
          </w:p>
        </w:tc>
        <w:tc>
          <w:tcPr>
            <w:tcW w:w="967" w:type="dxa"/>
            <w:tcBorders/>
            <w:shd w:fill="CCEEFF" w:val="clear"/>
            <w:vAlign w:val="center"/>
          </w:tcPr>
          <w:p>
            <w:pPr>
              <w:pStyle w:val="TableContents"/>
              <w:spacing w:before="0" w:after="283"/>
              <w:jc w:val="right"/>
              <w:rPr>
                <w:b/>
              </w:rPr>
            </w:pPr>
            <w:r>
              <w:rPr>
                <w:b/>
              </w:rPr>
              <w:t>46</w:t>
            </w:r>
          </w:p>
        </w:tc>
        <w:tc>
          <w:tcPr>
            <w:tcW w:w="75"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484" w:type="dxa"/>
            <w:tcBorders/>
            <w:shd w:fill="CCEEFF" w:val="clear"/>
            <w:vAlign w:val="center"/>
          </w:tcPr>
          <w:p>
            <w:pPr>
              <w:pStyle w:val="TableContents"/>
              <w:spacing w:before="0" w:after="283"/>
              <w:jc w:val="right"/>
              <w:rPr>
                <w:b/>
              </w:rPr>
            </w:pPr>
            <w:r>
              <w:rPr>
                <w:b/>
              </w:rPr>
              <w:t>506</w:t>
            </w:r>
          </w:p>
        </w:tc>
        <w:tc>
          <w:tcPr>
            <w:tcW w:w="75" w:type="dxa"/>
            <w:tcBorders/>
            <w:shd w:fill="CCEEFF" w:val="clear"/>
            <w:vAlign w:val="center"/>
          </w:tcPr>
          <w:p>
            <w:pPr>
              <w:pStyle w:val="TableContents"/>
              <w:spacing w:before="0" w:after="283"/>
              <w:rPr/>
            </w:pPr>
            <w:r>
              <w:rPr/>
              <w:t> </w:t>
            </w:r>
          </w:p>
        </w:tc>
      </w:tr>
      <w:tr>
        <w:trPr/>
        <w:tc>
          <w:tcPr>
            <w:tcW w:w="28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pBdr>
                <w:top w:val="double" w:sz="6" w:space="1" w:color="000000"/>
              </w:pBdr>
              <w:spacing w:before="0" w:after="0"/>
              <w:rPr/>
            </w:pPr>
            <w:r>
              <w:rPr/>
              <w:t> </w:t>
            </w:r>
          </w:p>
        </w:tc>
        <w:tc>
          <w:tcPr>
            <w:tcW w:w="1223" w:type="dxa"/>
            <w:tcBorders/>
            <w:shd w:fill="auto" w:val="clear"/>
            <w:vAlign w:val="center"/>
          </w:tcPr>
          <w:p>
            <w:pPr>
              <w:pStyle w:val="TableContents"/>
              <w:pBdr>
                <w:top w:val="double" w:sz="6" w:space="1" w:color="000000"/>
              </w:pBdr>
              <w:spacing w:before="0" w:after="0"/>
              <w:rPr/>
            </w:pPr>
            <w:r>
              <w:rPr/>
              <w:t> </w:t>
            </w:r>
          </w:p>
        </w:tc>
        <w:tc>
          <w:tcPr>
            <w:tcW w:w="75"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pBdr>
                <w:top w:val="double" w:sz="6" w:space="1" w:color="000000"/>
              </w:pBdr>
              <w:spacing w:before="0" w:after="0"/>
              <w:rPr/>
            </w:pPr>
            <w:r>
              <w:rPr/>
              <w:t> </w:t>
            </w:r>
          </w:p>
        </w:tc>
        <w:tc>
          <w:tcPr>
            <w:tcW w:w="967" w:type="dxa"/>
            <w:tcBorders/>
            <w:shd w:fill="auto" w:val="clear"/>
            <w:vAlign w:val="center"/>
          </w:tcPr>
          <w:p>
            <w:pPr>
              <w:pStyle w:val="TableContents"/>
              <w:pBdr>
                <w:top w:val="double" w:sz="6" w:space="1" w:color="000000"/>
              </w:pBdr>
              <w:spacing w:before="0" w:after="0"/>
              <w:rPr/>
            </w:pPr>
            <w:r>
              <w:rPr/>
              <w:t> </w:t>
            </w:r>
          </w:p>
        </w:tc>
        <w:tc>
          <w:tcPr>
            <w:tcW w:w="75"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pBdr>
                <w:top w:val="double" w:sz="6" w:space="1" w:color="000000"/>
              </w:pBdr>
              <w:spacing w:before="0" w:after="0"/>
              <w:rPr/>
            </w:pPr>
            <w:r>
              <w:rPr/>
              <w:t> </w:t>
            </w:r>
          </w:p>
        </w:tc>
        <w:tc>
          <w:tcPr>
            <w:tcW w:w="484" w:type="dxa"/>
            <w:tcBorders/>
            <w:shd w:fill="auto" w:val="clear"/>
            <w:vAlign w:val="center"/>
          </w:tcPr>
          <w:p>
            <w:pPr>
              <w:pStyle w:val="TableContents"/>
              <w:pBdr>
                <w:top w:val="double" w:sz="6"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7120" w:type="dxa"/>
        <w:jc w:val="left"/>
        <w:tblInd w:w="0" w:type="dxa"/>
        <w:tblCellMar>
          <w:top w:w="0" w:type="dxa"/>
          <w:left w:w="0" w:type="dxa"/>
          <w:bottom w:w="0" w:type="dxa"/>
          <w:right w:w="0" w:type="dxa"/>
        </w:tblCellMar>
      </w:tblPr>
      <w:tblGrid>
        <w:gridCol w:w="305"/>
        <w:gridCol w:w="6815"/>
      </w:tblGrid>
      <w:tr>
        <w:trPr/>
        <w:tc>
          <w:tcPr>
            <w:tcW w:w="305" w:type="dxa"/>
            <w:tcBorders/>
            <w:shd w:fill="auto" w:val="clear"/>
            <w:vAlign w:val="center"/>
          </w:tcPr>
          <w:p>
            <w:pPr>
              <w:pStyle w:val="TableContents"/>
              <w:spacing w:before="0" w:after="283"/>
              <w:jc w:val="left"/>
              <w:rPr/>
            </w:pPr>
            <w:r>
              <w:rPr/>
              <w:t>(1)</w:t>
            </w:r>
          </w:p>
        </w:tc>
        <w:tc>
          <w:tcPr>
            <w:tcW w:w="681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Chairman of the supervisory board and member of the Company’s audit committee. </w:t>
            </w:r>
          </w:p>
        </w:tc>
      </w:tr>
    </w:tbl>
    <w:tbl>
      <w:tblPr>
        <w:tblW w:w="7720" w:type="dxa"/>
        <w:jc w:val="left"/>
        <w:tblInd w:w="0" w:type="dxa"/>
        <w:tblCellMar>
          <w:top w:w="0" w:type="dxa"/>
          <w:left w:w="0" w:type="dxa"/>
          <w:bottom w:w="0" w:type="dxa"/>
          <w:right w:w="0" w:type="dxa"/>
        </w:tblCellMar>
      </w:tblPr>
      <w:tblGrid>
        <w:gridCol w:w="305"/>
        <w:gridCol w:w="7415"/>
      </w:tblGrid>
      <w:tr>
        <w:trPr/>
        <w:tc>
          <w:tcPr>
            <w:tcW w:w="305" w:type="dxa"/>
            <w:tcBorders/>
            <w:shd w:fill="auto" w:val="clear"/>
            <w:vAlign w:val="center"/>
          </w:tcPr>
          <w:p>
            <w:pPr>
              <w:pStyle w:val="TableContents"/>
              <w:spacing w:before="0" w:after="283"/>
              <w:jc w:val="left"/>
              <w:rPr/>
            </w:pPr>
            <w:r>
              <w:rPr/>
              <w:t>(2)</w:t>
            </w:r>
          </w:p>
        </w:tc>
        <w:tc>
          <w:tcPr>
            <w:tcW w:w="741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Deputy chairman of the supervisory board and member of the Company’s audit committee. </w:t>
            </w:r>
          </w:p>
        </w:tc>
      </w:tr>
    </w:tbl>
    <w:tbl>
      <w:tblPr>
        <w:tblW w:w="3100" w:type="dxa"/>
        <w:jc w:val="left"/>
        <w:tblInd w:w="0" w:type="dxa"/>
        <w:tblCellMar>
          <w:top w:w="0" w:type="dxa"/>
          <w:left w:w="0" w:type="dxa"/>
          <w:bottom w:w="0" w:type="dxa"/>
          <w:right w:w="0" w:type="dxa"/>
        </w:tblCellMar>
      </w:tblPr>
      <w:tblGrid>
        <w:gridCol w:w="305"/>
        <w:gridCol w:w="2795"/>
      </w:tblGrid>
      <w:tr>
        <w:trPr/>
        <w:tc>
          <w:tcPr>
            <w:tcW w:w="305" w:type="dxa"/>
            <w:tcBorders/>
            <w:shd w:fill="auto" w:val="clear"/>
            <w:vAlign w:val="center"/>
          </w:tcPr>
          <w:p>
            <w:pPr>
              <w:pStyle w:val="TableContents"/>
              <w:spacing w:before="0" w:after="283"/>
              <w:jc w:val="left"/>
              <w:rPr/>
            </w:pPr>
            <w:r>
              <w:rPr/>
              <w:t>(3)</w:t>
            </w:r>
          </w:p>
        </w:tc>
        <w:tc>
          <w:tcPr>
            <w:tcW w:w="27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Chairman of the audit committee. </w:t>
            </w:r>
          </w:p>
        </w:tc>
      </w:tr>
    </w:tbl>
    <w:p>
      <w:pPr>
        <w:pStyle w:val="TextBody"/>
        <w:spacing w:before="240" w:after="0"/>
        <w:jc w:val="both"/>
        <w:rPr>
          <w:rFonts w:ascii="Times New Roman" w:hAnsi="Times New Roman"/>
          <w:sz w:val="20"/>
        </w:rPr>
      </w:pPr>
      <w:r>
        <w:rPr>
          <w:rFonts w:ascii="Times New Roman" w:hAnsi="Times New Roman"/>
          <w:sz w:val="20"/>
        </w:rPr>
        <w:t>Except for Peter Müller-Brühl, no member of our supervisory board beneficially owns ordinary shares in our Company. Mr. Müller-Brühl beneficially owns 4,445 ordinary shares in our Company, which he holds indirectly through EOversal UG (</w:t>
      </w:r>
      <w:r>
        <w:rPr>
          <w:rFonts w:ascii="Times New Roman" w:hAnsi="Times New Roman"/>
          <w:i/>
          <w:sz w:val="20"/>
        </w:rPr>
        <w:t>haftungsbeschränkt</w:t>
      </w:r>
      <w:r>
        <w:rPr>
          <w:rFonts w:ascii="Times New Roman" w:hAnsi="Times New Roman"/>
          <w:sz w:val="20"/>
        </w:rPr>
        <w:t>), a German limited liability entrepreneurial company (</w:t>
      </w:r>
      <w:r>
        <w:rPr>
          <w:rFonts w:ascii="Times New Roman" w:hAnsi="Times New Roman"/>
          <w:i/>
          <w:sz w:val="20"/>
        </w:rPr>
        <w:t>Unternehmergesellschaft</w:t>
      </w:r>
      <w:r>
        <w:rPr>
          <w:rFonts w:ascii="Times New Roman" w:hAnsi="Times New Roman"/>
          <w:sz w:val="20"/>
        </w:rPr>
        <w:t xml:space="preserve">) wholly-owned by him. </w:t>
      </w:r>
    </w:p>
    <w:p>
      <w:pPr>
        <w:pStyle w:val="TextBody"/>
        <w:spacing w:before="240" w:after="0"/>
        <w:jc w:val="both"/>
        <w:rPr>
          <w:rFonts w:ascii="Times New Roman" w:hAnsi="Times New Roman"/>
          <w:sz w:val="20"/>
        </w:rPr>
      </w:pPr>
      <w:r>
        <w:rPr>
          <w:rFonts w:ascii="Times New Roman" w:hAnsi="Times New Roman"/>
          <w:sz w:val="20"/>
        </w:rPr>
        <w:t xml:space="preserve">No member of our supervisory board currently owns any options or other equity awards for ordinary shares in the Company. </w:t>
      </w:r>
    </w:p>
    <w:p>
      <w:pPr>
        <w:pStyle w:val="TextBody"/>
        <w:spacing w:before="360" w:after="0"/>
        <w:jc w:val="left"/>
        <w:rPr>
          <w:rFonts w:ascii="Times New Roman" w:hAnsi="Times New Roman"/>
          <w:b/>
          <w:sz w:val="20"/>
        </w:rPr>
      </w:pPr>
      <w:r>
        <w:rPr>
          <w:rFonts w:ascii="Times New Roman" w:hAnsi="Times New Roman"/>
          <w:b/>
          <w:sz w:val="20"/>
        </w:rPr>
        <w:t xml:space="preserve">Share-Based Incentive Plans </w:t>
      </w:r>
    </w:p>
    <w:p>
      <w:pPr>
        <w:pStyle w:val="TextBody"/>
        <w:spacing w:before="120" w:after="0"/>
        <w:jc w:val="left"/>
        <w:rPr>
          <w:rFonts w:ascii="Times New Roman" w:hAnsi="Times New Roman"/>
          <w:b/>
          <w:i/>
          <w:sz w:val="20"/>
        </w:rPr>
      </w:pPr>
      <w:r>
        <w:rPr>
          <w:rFonts w:ascii="Times New Roman" w:hAnsi="Times New Roman"/>
          <w:b/>
          <w:i/>
          <w:sz w:val="20"/>
        </w:rPr>
        <w:t xml:space="preserve">Stock Option Program 2019 </w:t>
      </w:r>
    </w:p>
    <w:p>
      <w:pPr>
        <w:pStyle w:val="TextBody"/>
        <w:spacing w:before="120" w:after="0"/>
        <w:jc w:val="both"/>
        <w:rPr>
          <w:rFonts w:ascii="Times New Roman" w:hAnsi="Times New Roman"/>
          <w:sz w:val="20"/>
        </w:rPr>
      </w:pPr>
      <w:r>
        <w:rPr>
          <w:rFonts w:ascii="Times New Roman" w:hAnsi="Times New Roman"/>
          <w:sz w:val="20"/>
        </w:rPr>
        <w:t xml:space="preserve">In 2019, we established a stock option program (the “2019 Plan”). The 2019 Plan has an initial term until and including December 31, 2022. Under the 2019 Plan, our management board is authorized to grant (i) up to 135,000 stock options to members of our management board or to managing directors of our affiliates and (ii) up to 135,000 stock options to our employees or to employees of our affiliates. If stock options under the 2019 Plan are to be granted to members of our management board, only our supervisory board is entitled to decide on such grants. </w:t>
      </w:r>
    </w:p>
    <w:p>
      <w:pPr>
        <w:pStyle w:val="TextBody"/>
        <w:spacing w:before="240" w:after="0"/>
        <w:jc w:val="both"/>
        <w:rPr>
          <w:rFonts w:ascii="Times New Roman" w:hAnsi="Times New Roman"/>
          <w:sz w:val="20"/>
        </w:rPr>
      </w:pPr>
      <w:r>
        <w:rPr>
          <w:rFonts w:ascii="Times New Roman" w:hAnsi="Times New Roman"/>
          <w:sz w:val="20"/>
        </w:rPr>
        <w:t xml:space="preserve">The stock options under the 2019 Plan are subject to a vesting period of four years. Once they have vested, they may be exercised within three years following the expiry of the vesting period (but only during the period that is four weeks following the announcement of our annual financial results or half year financial results in each of such three years). The stock options can only be exercised if the XETRA Share Price is at least 20% above the exercise price at the end of the vesting period. The exercise price is set as the XETRA Share Price on the day preceding the issuance period (as defined). On May 14, 2021, our shareholders’ meeting resolved on an amendment to the 2019 Plan addressing the proposed listing of ADSs on a foreign stock exchange (such as our listing of ADSs on Nasdaq). This amendment allows us, depending on the trading system with the highest total trading volume of our ordinary shares or ADSs over a specific period, to use either the price of the ADSs (converted into an amount per share) or the XETRA Share Price as the reference price under the 2019 Plan. </w:t>
      </w:r>
    </w:p>
    <w:p>
      <w:pPr>
        <w:pStyle w:val="TextBody"/>
        <w:spacing w:before="240" w:after="0"/>
        <w:jc w:val="both"/>
        <w:rPr>
          <w:rFonts w:ascii="Times New Roman" w:hAnsi="Times New Roman"/>
          <w:sz w:val="20"/>
        </w:rPr>
      </w:pPr>
      <w:r>
        <w:rPr>
          <w:rFonts w:ascii="Times New Roman" w:hAnsi="Times New Roman"/>
          <w:sz w:val="20"/>
        </w:rPr>
        <w:t xml:space="preserve">Stock options under the 2019 Plan may only be exercised by an optionholder (i) during the time of such optionholder’s employment with us or one of our affiliates, or (ii) if such optionholder’s employment contract is terminated due to time limitation or upon retirement or mutual agreement. If the employment is terminated for other reasons and before the end of the vesting period, the stock options forfeit immediately. If the employment contract is terminated for other reasons and after the stock options have vested but before they are exercised, such stock options forfeit following expiry of the next exercise period without replacement or compensation. </w:t>
      </w:r>
    </w:p>
    <w:p>
      <w:pPr>
        <w:pStyle w:val="TextBody"/>
        <w:spacing w:before="240" w:after="0"/>
        <w:jc w:val="both"/>
        <w:rPr>
          <w:rFonts w:ascii="Times New Roman" w:hAnsi="Times New Roman"/>
          <w:sz w:val="20"/>
        </w:rPr>
      </w:pPr>
      <w:r>
        <w:rPr>
          <w:rFonts w:ascii="Times New Roman" w:hAnsi="Times New Roman"/>
          <w:sz w:val="20"/>
        </w:rPr>
        <w:t xml:space="preserve">Under the 2019 Plan, we may issue shares by utilizing the Conditional Capital 2019 (as described in more detail in Exhibit 2.3) or treasury shares. At our discretion, we may also settle the stock options in cash. In addition, the 2019 Plan contains a change-of-control provision applicable to (i) unvested stock options, providing the optionholder with the right to rescind the stock option in exchange for the payment of compensation from the Company to the optionholder, and (ii) vested stock options that are not exercisable, providing us and the beneficiary with the right to rescind the stock option in exchange for the payment of compensation from the Company to the optionholder.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Stock Option Program 2020 </w:t>
      </w:r>
    </w:p>
    <w:p>
      <w:pPr>
        <w:pStyle w:val="TextBody"/>
        <w:spacing w:before="120" w:after="0"/>
        <w:jc w:val="both"/>
        <w:rPr>
          <w:rFonts w:ascii="Times New Roman" w:hAnsi="Times New Roman"/>
          <w:sz w:val="20"/>
        </w:rPr>
      </w:pPr>
      <w:r>
        <w:rPr>
          <w:rFonts w:ascii="Times New Roman" w:hAnsi="Times New Roman"/>
          <w:sz w:val="20"/>
        </w:rPr>
        <w:t xml:space="preserve">In 2020, we implemented an additional stock option program (the “2020 Plan”). Under the 2020 Plan, our management board is authorized to grant stock options (i) in the amount of up to 14,473 shares to members of our management board or to managing directors of our affiliates and (ii) in the amount of up to 20,000 shares to our employees or to employees of our affiliates. If stock options under the 2020 Plan are to be granted to members of our management board, only our supervisory board is entitled to decide on such grants. </w:t>
      </w:r>
    </w:p>
    <w:p>
      <w:pPr>
        <w:pStyle w:val="TextBody"/>
        <w:spacing w:before="240" w:after="0"/>
        <w:jc w:val="both"/>
        <w:rPr>
          <w:rFonts w:ascii="Times New Roman" w:hAnsi="Times New Roman"/>
          <w:sz w:val="20"/>
        </w:rPr>
      </w:pPr>
      <w:r>
        <w:rPr>
          <w:rFonts w:ascii="Times New Roman" w:hAnsi="Times New Roman"/>
          <w:sz w:val="20"/>
        </w:rPr>
        <w:t xml:space="preserve">The stock options under the 2020 Plan are subject to a vesting period of four years. Once they have vested, they may be exercised within three years following the expiry of the vesting period (but only during the period that is four weeks following the announcement of our annual financial results or half year financial results in each of such three years). The stock options can only be exercised if the XETRA Share Price is at least 20% above the exercise price at the end of the vesting period. The exercise price is set as the XETRA Share Price on the day preceding the issuance period (as defined). On May 14, 2021, our shareholders’ meeting resolved on an amendment to the 2020 Plan addressing the proposed listing of ADSs on a foreign stock exchange (such as our listing of ADSs on Nasdaq). This amendment allows us, depending on the trading system with the highest total trading volume of our ordinary shares or ADSs over a specific period, to use either the price of the ADSs (converted into an amount per share) or the XETRA Share Price as the reference price under the 2020 Plan. </w:t>
      </w:r>
    </w:p>
    <w:p>
      <w:pPr>
        <w:pStyle w:val="TextBody"/>
        <w:spacing w:before="240" w:after="0"/>
        <w:jc w:val="both"/>
        <w:rPr>
          <w:rFonts w:ascii="Times New Roman" w:hAnsi="Times New Roman"/>
          <w:sz w:val="20"/>
        </w:rPr>
      </w:pPr>
      <w:r>
        <w:rPr>
          <w:rFonts w:ascii="Times New Roman" w:hAnsi="Times New Roman"/>
          <w:sz w:val="20"/>
        </w:rPr>
        <w:t xml:space="preserve">Stock options under the 2020 Plan may only be exercised by an optionholder (i) during the time of such optionholder’s employment with us or one of our affiliates, or (ii) if such optionholder’s employment is terminated due to time limitation or upon retirement or mutual agreement. Hence, if the employment is terminated for other reasons and before the end of the vesting period, the stock options forfeit immediately without replacement or compensation. If the employment is terminated for other reasons and after the stock options have vested but before they are exercised, such stock options forfeit following expiry of the next exercise period without replacement or compensation. </w:t>
      </w:r>
    </w:p>
    <w:p>
      <w:pPr>
        <w:pStyle w:val="TextBody"/>
        <w:spacing w:before="240" w:after="0"/>
        <w:jc w:val="both"/>
        <w:rPr>
          <w:rFonts w:ascii="Times New Roman" w:hAnsi="Times New Roman"/>
          <w:sz w:val="20"/>
        </w:rPr>
      </w:pPr>
      <w:r>
        <w:rPr>
          <w:rFonts w:ascii="Times New Roman" w:hAnsi="Times New Roman"/>
          <w:sz w:val="20"/>
        </w:rPr>
        <w:t xml:space="preserve">Under the 2020 Plan, we may issue shares by utilizing the Conditional Capital 2020/I (as described in more detail in Exhibit 2.3) or treasury shares. At our discretion, we may also settle the stock options in cash. In addition, the 2020 Plan contains a change-of-control provision applicable to (i) unvested stock options, providing the optionholder with the right to rescind the stock option in exchange for the payment of compensation from the Company to the optionholder, and (ii) vested stock options that are not exercisable, providing us and the beneficiary with the right to rescind the stock option in exchange for the payment of compensation from the Company to the optionholder. </w:t>
      </w:r>
    </w:p>
    <w:p>
      <w:pPr>
        <w:pStyle w:val="TextBody"/>
        <w:spacing w:before="360" w:after="0"/>
        <w:jc w:val="left"/>
        <w:rPr>
          <w:rFonts w:ascii="Times New Roman" w:hAnsi="Times New Roman"/>
          <w:b/>
          <w:i/>
          <w:sz w:val="20"/>
        </w:rPr>
      </w:pPr>
      <w:r>
        <w:rPr>
          <w:rFonts w:ascii="Times New Roman" w:hAnsi="Times New Roman"/>
          <w:b/>
          <w:i/>
          <w:sz w:val="20"/>
        </w:rPr>
        <w:t xml:space="preserve">Stock Option Program 2021 </w:t>
      </w:r>
    </w:p>
    <w:p>
      <w:pPr>
        <w:pStyle w:val="TextBody"/>
        <w:spacing w:before="120" w:after="0"/>
        <w:jc w:val="both"/>
        <w:rPr>
          <w:rFonts w:ascii="Times New Roman" w:hAnsi="Times New Roman"/>
          <w:sz w:val="20"/>
        </w:rPr>
      </w:pPr>
      <w:r>
        <w:rPr>
          <w:rFonts w:ascii="Times New Roman" w:hAnsi="Times New Roman"/>
          <w:sz w:val="20"/>
        </w:rPr>
        <w:t xml:space="preserve">In 2021, we established an additional stock option program (the “2021 Plan”) pursuant to which our supervisory board had been authorized to grant up to 103,321 stock options to the members of our management board. To date, all 103,321 stock options have been granted to the members of our management board. </w:t>
      </w:r>
    </w:p>
    <w:p>
      <w:pPr>
        <w:pStyle w:val="TextBody"/>
        <w:spacing w:before="240" w:after="0"/>
        <w:jc w:val="both"/>
        <w:rPr>
          <w:rFonts w:ascii="Times New Roman" w:hAnsi="Times New Roman"/>
          <w:sz w:val="20"/>
        </w:rPr>
      </w:pPr>
      <w:r>
        <w:rPr>
          <w:rFonts w:ascii="Times New Roman" w:hAnsi="Times New Roman"/>
          <w:sz w:val="20"/>
        </w:rPr>
        <w:t xml:space="preserve">The stock options under our 2021 Plan are subject to a vesting period of three years. During this period, the stock options vest at the rate of one-twelfth for each full quarter of a year following the initial grant date, provided that a “cliff” period of one year from the grant date has expired. If a beneficiary leaves us before the expiry of the cliff period, all stock options granted to such beneficiary expire without compensation. If a beneficiary leaves us after the expiry of this cliff period, only those stock options that have not already vested expire without compensation. Stock options may be exercised within three years following the expiry of a waiting period which begins on the respective issue date and ends at the earliest at the end of the fourth anniversary of the issue date (the “SOP 2021 Waiting Period”). During the SOP 2021 Waiting Period, subscription rights may be exercised within four weeks following the announcement of our annual or half year financial results. </w:t>
      </w:r>
    </w:p>
    <w:p>
      <w:pPr>
        <w:pStyle w:val="TextBody"/>
        <w:spacing w:before="240" w:after="0"/>
        <w:jc w:val="both"/>
        <w:rPr>
          <w:rFonts w:ascii="Times New Roman" w:hAnsi="Times New Roman"/>
          <w:sz w:val="20"/>
        </w:rPr>
      </w:pPr>
      <w:r>
        <w:rPr>
          <w:rFonts w:ascii="Times New Roman" w:hAnsi="Times New Roman"/>
          <w:sz w:val="20"/>
        </w:rPr>
        <w:t xml:space="preserve">Stock options under the 2021 Plan may only be exercised by an optionholder if the volume-weighted six-month average stock price of our shares or share certificates (converted into an amount per share) on the trading system with the highest total trading volume in our shares or share certificates (the “SOP 2021 Share Price”) within the last ten trading days prior to the expiry date of the SOP 2021 Waiting Period is at least 20% above the exercise price at the end of the SOP 2021 Waiting Period. If the Frankfurt Stock Exchange is such trading system, the XETRA Share Price is the relevant performance standard. </w:t>
      </w:r>
    </w:p>
    <w:p>
      <w:pPr>
        <w:pStyle w:val="TextBody"/>
        <w:spacing w:before="240" w:after="0"/>
        <w:jc w:val="both"/>
        <w:rPr>
          <w:rFonts w:ascii="Times New Roman" w:hAnsi="Times New Roman"/>
          <w:sz w:val="20"/>
        </w:rPr>
      </w:pPr>
      <w:r>
        <w:rPr>
          <w:rFonts w:ascii="Times New Roman" w:hAnsi="Times New Roman"/>
          <w:sz w:val="20"/>
        </w:rPr>
        <w:t xml:space="preserve">Under the 2021 Plan, we may issue shares by utilizing the Conditional Capital 2021/II (as described in more detail in Exhibit 2.3) or treasury shares. At our discretion, we may also settle the stock options in cash.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Restricted Stock Units Program 2021 </w:t>
      </w:r>
    </w:p>
    <w:p>
      <w:pPr>
        <w:pStyle w:val="TextBody"/>
        <w:spacing w:before="120" w:after="0"/>
        <w:jc w:val="both"/>
        <w:rPr>
          <w:rFonts w:ascii="Times New Roman" w:hAnsi="Times New Roman"/>
          <w:sz w:val="20"/>
        </w:rPr>
      </w:pPr>
      <w:r>
        <w:rPr>
          <w:rFonts w:ascii="Times New Roman" w:hAnsi="Times New Roman"/>
          <w:sz w:val="20"/>
        </w:rPr>
        <w:t xml:space="preserve">In 2021, we further implemented a restricted stock units program (RSU Program). Under the RSU Program, our management board is authorized to grant up to 204,647 RSUs to (i) selected employees, (ii) selected employees of our affiliates, and (iii) managing directors of our affiliates. Forfeited RSUs under the RSU Program will be available for future grants. </w:t>
      </w:r>
    </w:p>
    <w:p>
      <w:pPr>
        <w:pStyle w:val="TextBody"/>
        <w:spacing w:before="240" w:after="0"/>
        <w:jc w:val="both"/>
        <w:rPr>
          <w:rFonts w:ascii="Times New Roman" w:hAnsi="Times New Roman"/>
          <w:sz w:val="20"/>
        </w:rPr>
      </w:pPr>
      <w:r>
        <w:rPr>
          <w:rFonts w:ascii="Times New Roman" w:hAnsi="Times New Roman"/>
          <w:sz w:val="20"/>
        </w:rPr>
        <w:t xml:space="preserve">Under the RSU Program, each beneficiary will be granted a specific Euro amount, which will be converted into a certain number of RSUs. The exact number of RSUs to be allocated to a beneficiary will be determined by dividing the Euro amount granted to such beneficiary by the six-month average closing price of the shares or share certificates on the trading system with the highest total trading volume of shares or share certificates within ten trading days, in each case prior to the grant date, rounded down to the nearest whole number. RSUs vest in instalments over a four-year vesting period as follows: If a beneficiary’s employment with us or one of our affiliates has continued and remains unterminated following the expiry of a twelve-month period following the grant date (the “Cliff Period”) one-fourth of the RSUs initially allocated to such beneficiary vest. Following the expiry of the Cliff Period, the remaining RSUs vest in instalments of one-twelfth for each fully completed quarter during which the beneficiary’s employment continues without termination, subject to certain exceptions. In a good leaver event (as defined), all vested RSUs are retained and all unvested RSUs forfeit without entitlement to compensation. In a bad leaver event (as defined), all vested and unvested RSUs forfeit without entitlement to compensation. RSUs may also forfeit in the event of a temporary exemption from work. Following a grace period (which in the events of illness or pregnancy is calculated pursuant to the respective statutory rules of wage continuation and which, in other cases, amounts to six weeks), 1/48 of number of RSUs initially granted forfeit without entitlement to compensation. </w:t>
      </w:r>
    </w:p>
    <w:p>
      <w:pPr>
        <w:pStyle w:val="TextBody"/>
        <w:spacing w:before="240" w:after="0"/>
        <w:jc w:val="both"/>
        <w:rPr>
          <w:rFonts w:ascii="Times New Roman" w:hAnsi="Times New Roman"/>
          <w:sz w:val="20"/>
        </w:rPr>
      </w:pPr>
      <w:r>
        <w:rPr>
          <w:rFonts w:ascii="Times New Roman" w:hAnsi="Times New Roman"/>
          <w:sz w:val="20"/>
        </w:rPr>
        <w:t xml:space="preserve">At our discretion, we may settle vested RSUs under the RSU Program either (i) by way of new shares utilizing the Authorized Capital 2021/II (as described in more detail in Exhibit 2.3), (ii) by way of a cash settlement, or (iii) a combination of both. </w:t>
      </w:r>
    </w:p>
    <w:p>
      <w:pPr>
        <w:pStyle w:val="TextBody"/>
        <w:spacing w:before="240" w:after="0"/>
        <w:jc w:val="both"/>
        <w:rPr>
          <w:rFonts w:ascii="Times New Roman" w:hAnsi="Times New Roman"/>
          <w:sz w:val="20"/>
        </w:rPr>
      </w:pPr>
      <w:r>
        <w:rPr>
          <w:rFonts w:ascii="Times New Roman" w:hAnsi="Times New Roman"/>
          <w:sz w:val="20"/>
        </w:rPr>
        <w:t xml:space="preserve">Each vested RSU entitles a beneficiary to a cash payment claim against us. Such payment claim corresponds to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67"/>
        <w:gridCol w:w="9963"/>
      </w:tblGrid>
      <w:tr>
        <w:trPr/>
        <w:tc>
          <w:tcPr>
            <w:tcW w:w="75"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jc w:val="left"/>
              <w:rPr/>
            </w:pPr>
            <w:r>
              <w:rPr/>
              <w:t>(i)</w:t>
            </w:r>
          </w:p>
        </w:tc>
        <w:tc>
          <w:tcPr>
            <w:tcW w:w="996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 case of a share settlement, the closing price of our shares or share certificates on the last trading day before the day on which our management board (together with the supervisory board) resolves on the utilization of the Authorized Capital 2021/II, while such closing price is determined by the trading system with the highest total trading volume in our shares or share certificate within the ten days prior to the day of such resolution by the management board (the actual date on which the new shares which were created from the capital increase against contribution in kind are transferred to the securities account of the respective beneficiary, </w:t>
            </w:r>
            <w:r>
              <w:rPr>
                <w:rFonts w:ascii="Times New Roman" w:hAnsi="Times New Roman"/>
                <w:i/>
                <w:sz w:val="20"/>
              </w:rPr>
              <w:t>i.e.</w:t>
            </w:r>
            <w:r>
              <w:rPr>
                <w:rFonts w:ascii="Times New Roman" w:hAnsi="Times New Roman"/>
                <w:sz w:val="20"/>
              </w:rPr>
              <w:t xml:space="preserve">, the “share settlement date”),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34"/>
        <w:gridCol w:w="9896"/>
      </w:tblGrid>
      <w:tr>
        <w:trPr/>
        <w:tc>
          <w:tcPr>
            <w:tcW w:w="75" w:type="dxa"/>
            <w:tcBorders/>
            <w:shd w:fill="auto" w:val="clear"/>
            <w:vAlign w:val="center"/>
          </w:tcPr>
          <w:p>
            <w:pPr>
              <w:pStyle w:val="TableContents"/>
              <w:spacing w:before="0" w:after="283"/>
              <w:rPr/>
            </w:pPr>
            <w:r>
              <w:rPr/>
              <w:t> </w:t>
            </w:r>
          </w:p>
        </w:tc>
        <w:tc>
          <w:tcPr>
            <w:tcW w:w="234" w:type="dxa"/>
            <w:tcBorders/>
            <w:shd w:fill="auto" w:val="clear"/>
            <w:vAlign w:val="center"/>
          </w:tcPr>
          <w:p>
            <w:pPr>
              <w:pStyle w:val="TableContents"/>
              <w:spacing w:before="0" w:after="283"/>
              <w:jc w:val="left"/>
              <w:rPr/>
            </w:pPr>
            <w:r>
              <w:rPr/>
              <w:t>(ii)</w:t>
            </w:r>
          </w:p>
        </w:tc>
        <w:tc>
          <w:tcPr>
            <w:tcW w:w="9896"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 case of a cash settlement, the average closing price of our shares or share certificates during the 30 trading days following the publication of our annual results (i.e., the “cash settlement date”), while such closing price is determined by the trading system with the highest total trading volume in shares or share certificates representing our shares within the ten last trading days prior to the publication of our annual financial report. </w:t>
            </w:r>
          </w:p>
        </w:tc>
      </w:tr>
    </w:tbl>
    <w:p>
      <w:pPr>
        <w:pStyle w:val="TextBody"/>
        <w:spacing w:before="240" w:after="0"/>
        <w:jc w:val="both"/>
        <w:rPr>
          <w:rFonts w:ascii="Times New Roman" w:hAnsi="Times New Roman"/>
          <w:sz w:val="20"/>
        </w:rPr>
      </w:pPr>
      <w:r>
        <w:rPr>
          <w:rFonts w:ascii="Times New Roman" w:hAnsi="Times New Roman"/>
          <w:sz w:val="20"/>
        </w:rPr>
        <w:t xml:space="preserve">In August 2022, we settled a first tranche under our RSU program and issued 16,149 new ordinary shares to our beneficiaries. </w:t>
      </w:r>
    </w:p>
    <w:p>
      <w:pPr>
        <w:pStyle w:val="TextBody"/>
        <w:spacing w:before="360" w:after="0"/>
        <w:jc w:val="left"/>
        <w:rPr>
          <w:rFonts w:ascii="Times New Roman" w:hAnsi="Times New Roman"/>
          <w:b/>
          <w:i/>
          <w:sz w:val="20"/>
        </w:rPr>
      </w:pPr>
      <w:r>
        <w:rPr>
          <w:rFonts w:ascii="Times New Roman" w:hAnsi="Times New Roman"/>
          <w:b/>
          <w:i/>
          <w:sz w:val="20"/>
        </w:rPr>
        <w:t xml:space="preserve">Stock Option Program 2022 </w:t>
      </w:r>
    </w:p>
    <w:p>
      <w:pPr>
        <w:pStyle w:val="TextBody"/>
        <w:spacing w:before="120" w:after="0"/>
        <w:jc w:val="both"/>
        <w:rPr>
          <w:rFonts w:ascii="Times New Roman" w:hAnsi="Times New Roman"/>
          <w:sz w:val="20"/>
        </w:rPr>
      </w:pPr>
      <w:r>
        <w:rPr>
          <w:rFonts w:ascii="Times New Roman" w:hAnsi="Times New Roman"/>
          <w:sz w:val="20"/>
        </w:rPr>
        <w:t xml:space="preserve">In 2022, we established an additional stock option program (the 2022 Plan) pursuant to which our supervisory board is authorized to grant stock options to the members of our management board for a total of up to 115,000 shares in the Company. The number of stock options to be granted to each beneficiary under the 2022 Plan may vary over the term of the 2022 Plan and is determined by the Company’s supervisory board. Subject to the terms and conditions set forth in the 2022 Plan, each stock option entitles the beneficiary to acquire one share in the Company against payment of the exercise price. The exercise price is defined as the volume-weighted six-month average share price or share certificates price (converted into an price per share) on the day prior to the grant date on the trading system with the highest total trading volume in our shares or share certificates within the last ten trading days prior to such date. </w:t>
      </w:r>
    </w:p>
    <w:p>
      <w:pPr>
        <w:pStyle w:val="TextBody"/>
        <w:spacing w:before="240" w:after="0"/>
        <w:jc w:val="both"/>
        <w:rPr>
          <w:rFonts w:ascii="Times New Roman" w:hAnsi="Times New Roman"/>
          <w:sz w:val="20"/>
        </w:rPr>
      </w:pPr>
      <w:r>
        <w:rPr>
          <w:rFonts w:ascii="Times New Roman" w:hAnsi="Times New Roman"/>
          <w:sz w:val="20"/>
        </w:rPr>
        <w:t xml:space="preserve">The exercise of the stock options is subject to a waiting period. The waiting period, </w:t>
      </w:r>
      <w:r>
        <w:rPr>
          <w:rFonts w:ascii="Times New Roman" w:hAnsi="Times New Roman"/>
          <w:i/>
          <w:sz w:val="20"/>
        </w:rPr>
        <w:t>i.e.</w:t>
      </w:r>
      <w:r>
        <w:rPr>
          <w:rFonts w:ascii="Times New Roman" w:hAnsi="Times New Roman"/>
          <w:sz w:val="20"/>
        </w:rPr>
        <w:t xml:space="preserve">, the period up until the date on which the stock options may be exercised, begins on the grant date and ends at the end of the fourth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anniversary after the grant date. Stock options may be exercised only within a time period of five years following the date on which the waiting period has expired (the “Exercise Period”). The Exercise Period may be extended appropriately if, due to statutory or internal company regulations, an exercise is not possible at the end of the original Exercise Period. Stock options that have not been exercised by the end of the respective Exercise Period will forfeit without entitlement to compensation. </w:t>
      </w:r>
    </w:p>
    <w:p>
      <w:pPr>
        <w:pStyle w:val="TextBody"/>
        <w:spacing w:before="240" w:after="0"/>
        <w:jc w:val="both"/>
        <w:rPr>
          <w:rFonts w:ascii="Times New Roman" w:hAnsi="Times New Roman"/>
          <w:sz w:val="20"/>
        </w:rPr>
      </w:pPr>
      <w:r>
        <w:rPr>
          <w:rFonts w:ascii="Times New Roman" w:hAnsi="Times New Roman"/>
          <w:sz w:val="20"/>
        </w:rPr>
        <w:t>Stock options may only be exercised if and to the extent that the performance targets as described below have been achieved: The performance targets are linked to (i) the absolute share price performance of the Company’s shares (</w:t>
      </w:r>
      <w:r>
        <w:rPr>
          <w:rFonts w:ascii="Times New Roman" w:hAnsi="Times New Roman"/>
          <w:i/>
          <w:sz w:val="20"/>
        </w:rPr>
        <w:t>i.e.</w:t>
      </w:r>
      <w:r>
        <w:rPr>
          <w:rFonts w:ascii="Times New Roman" w:hAnsi="Times New Roman"/>
          <w:sz w:val="20"/>
        </w:rPr>
        <w:t>, a three-month volume-weighted average price of the shares or share certificates (converted into a price per share) of at least 50% above the exercise price at the end of one of four equal quarters of the year preceding the last day of the expiry of the waiting period) and (ii) the achievement of an Environment Social Governance target (the “ESG Target”) during the waiting period, whereby within the overall target achievement, the absolute share price performance is weighted with 80% and the ESG Target with 20%. The ESG Target is composed of a diversity target (</w:t>
      </w:r>
      <w:r>
        <w:rPr>
          <w:rFonts w:ascii="Times New Roman" w:hAnsi="Times New Roman"/>
          <w:i/>
          <w:sz w:val="20"/>
        </w:rPr>
        <w:t>i.e.</w:t>
      </w:r>
      <w:r>
        <w:rPr>
          <w:rFonts w:ascii="Times New Roman" w:hAnsi="Times New Roman"/>
          <w:sz w:val="20"/>
        </w:rPr>
        <w:t>, a 5% increase of women within the Company compared to the start of the respective waiting period or a share of women of at least 30% within the Company and continuing during the waiting period) and an employee engagement target (</w:t>
      </w:r>
      <w:r>
        <w:rPr>
          <w:rFonts w:ascii="Times New Roman" w:hAnsi="Times New Roman"/>
          <w:i/>
          <w:sz w:val="20"/>
        </w:rPr>
        <w:t>i.e.</w:t>
      </w:r>
      <w:r>
        <w:rPr>
          <w:rFonts w:ascii="Times New Roman" w:hAnsi="Times New Roman"/>
          <w:sz w:val="20"/>
        </w:rPr>
        <w:t xml:space="preserve">, a 5% increase of the employee engagement within the Company compared to the start of the waiting period or an employee engagement of at least 80% within the Company and continuing during the waiting period) on an equal basis. In no event will the exercise of stock options under the 2022 Plan exceed the maximum remuneration thresholds as set by the Company’s supervisory board pursuant to section 87a of the German Stock Corporation Act. </w:t>
      </w:r>
    </w:p>
    <w:p>
      <w:pPr>
        <w:pStyle w:val="TextBody"/>
        <w:spacing w:before="240" w:after="0"/>
        <w:jc w:val="both"/>
        <w:rPr>
          <w:rFonts w:ascii="Times New Roman" w:hAnsi="Times New Roman"/>
          <w:sz w:val="20"/>
        </w:rPr>
      </w:pPr>
      <w:r>
        <w:rPr>
          <w:rFonts w:ascii="Times New Roman" w:hAnsi="Times New Roman"/>
          <w:sz w:val="20"/>
        </w:rPr>
        <w:t>If the term of office of a member of the management board ends before the expiry of the applicable waiting period due to a revocation from office (</w:t>
      </w:r>
      <w:r>
        <w:rPr>
          <w:rFonts w:ascii="Times New Roman" w:hAnsi="Times New Roman"/>
          <w:i/>
          <w:sz w:val="20"/>
        </w:rPr>
        <w:t>Widerruf der Bestellung</w:t>
      </w:r>
      <w:r>
        <w:rPr>
          <w:rFonts w:ascii="Times New Roman" w:hAnsi="Times New Roman"/>
          <w:sz w:val="20"/>
        </w:rPr>
        <w:t xml:space="preserve">) for cause (a “Bad Leaver”), all stock options granted to such Bad Leaver (whether held by the individual or any third party) will be forfeited without entitlement to compensation. If the term of office of a member of the management board ends before the expiry of the applicable waiting period due to any reason other than for cause (such member a “Good Leaver”), such Good Leaver will retain all stock options that the individual has been granted under the 2022 Plan. In addition, in the event that a beneficiary willfully or grossly negligent breaches statutory duties or the code of conduct of the Company (each a “Breach of Duty”), the supervisory board is entitled to retain or reclaim in its discretion the payout in the form of a cash settlement or share settlement in whole or in part in accordance subject to certain conditions set forth in the 2022 Plan. </w:t>
      </w:r>
    </w:p>
    <w:p>
      <w:pPr>
        <w:pStyle w:val="TextBody"/>
        <w:spacing w:before="240" w:after="0"/>
        <w:jc w:val="both"/>
        <w:rPr>
          <w:rFonts w:ascii="Times New Roman" w:hAnsi="Times New Roman"/>
          <w:sz w:val="20"/>
        </w:rPr>
      </w:pPr>
      <w:r>
        <w:rPr>
          <w:rFonts w:ascii="Times New Roman" w:hAnsi="Times New Roman"/>
          <w:sz w:val="20"/>
        </w:rPr>
        <w:t xml:space="preserve">Under the 2022 Plan, we may issue shares by utilizing the Conditional Capital 2022/II (as described in more detail in Exhibit 2.3) or treasury shares. At our discretion, we may also settle the stock options in cash. </w:t>
      </w:r>
    </w:p>
    <w:p>
      <w:pPr>
        <w:pStyle w:val="TextBody"/>
        <w:spacing w:before="360" w:after="0"/>
        <w:jc w:val="left"/>
        <w:rPr>
          <w:rFonts w:ascii="Times New Roman" w:hAnsi="Times New Roman"/>
          <w:b/>
          <w:sz w:val="20"/>
        </w:rPr>
      </w:pPr>
      <w:bookmarkStart w:id="34" w:name="tx497326_32"/>
      <w:bookmarkEnd w:id="34"/>
      <w:r>
        <w:rPr>
          <w:rFonts w:ascii="Times New Roman" w:hAnsi="Times New Roman"/>
          <w:b/>
          <w:sz w:val="20"/>
        </w:rPr>
        <w:t xml:space="preserve">C. Board Practices </w:t>
      </w:r>
    </w:p>
    <w:p>
      <w:pPr>
        <w:pStyle w:val="TextBody"/>
        <w:spacing w:before="120" w:after="0"/>
        <w:jc w:val="left"/>
        <w:rPr>
          <w:rFonts w:ascii="Times New Roman" w:hAnsi="Times New Roman"/>
          <w:b/>
          <w:i/>
          <w:sz w:val="20"/>
        </w:rPr>
      </w:pPr>
      <w:r>
        <w:rPr>
          <w:rFonts w:ascii="Times New Roman" w:hAnsi="Times New Roman"/>
          <w:b/>
          <w:i/>
          <w:sz w:val="20"/>
        </w:rPr>
        <w:t xml:space="preserve">Supervisory Board Practices </w:t>
      </w:r>
    </w:p>
    <w:p>
      <w:pPr>
        <w:pStyle w:val="TextBody"/>
        <w:spacing w:before="120" w:after="0"/>
        <w:jc w:val="both"/>
        <w:rPr>
          <w:rFonts w:ascii="Times New Roman" w:hAnsi="Times New Roman"/>
          <w:sz w:val="20"/>
        </w:rPr>
      </w:pPr>
      <w:r>
        <w:rPr>
          <w:rFonts w:ascii="Times New Roman" w:hAnsi="Times New Roman"/>
          <w:sz w:val="20"/>
        </w:rPr>
        <w:t xml:space="preserve">Decisions are generally made by our supervisory board as a whole; however, decisions on certain matters may be delegated to committees of our supervisory board to the extent permitted by law. The chairperson or, if he or she is unable to do so, the deputy chairperson, chairs the meetings of the supervisory board and determines the order in which the agenda items are discussed, the method and order of voting, as well as any adjournment of the discussion and passing of resolutions on individual agenda items after a due assessment of the circumstances. </w:t>
      </w:r>
    </w:p>
    <w:p>
      <w:pPr>
        <w:pStyle w:val="TextBody"/>
        <w:spacing w:before="240" w:after="0"/>
        <w:jc w:val="both"/>
        <w:rPr>
          <w:rFonts w:ascii="Times New Roman" w:hAnsi="Times New Roman"/>
          <w:sz w:val="20"/>
        </w:rPr>
      </w:pPr>
      <w:r>
        <w:rPr>
          <w:rFonts w:ascii="Times New Roman" w:hAnsi="Times New Roman"/>
          <w:sz w:val="20"/>
        </w:rPr>
        <w:t xml:space="preserve">In addition, under German law, each member of the supervisory board is obliged to carry out his or her duties and responsibilities in person, and such duties and responsibilities cannot be generally and permanently delegated to third parties. However, the supervisory board and its committees have the right to retain third-party experts for the review and analysis of specific matters within the scope of the supervisory board’s control and supervisory function under German law. We would bear the cost of any such experts that are retained by the supervisory board or any of its committees within the scope of their responsibilities. </w:t>
      </w:r>
    </w:p>
    <w:p>
      <w:pPr>
        <w:pStyle w:val="TextBody"/>
        <w:spacing w:before="240" w:after="0"/>
        <w:jc w:val="both"/>
        <w:rPr>
          <w:rFonts w:ascii="Times New Roman" w:hAnsi="Times New Roman"/>
          <w:sz w:val="20"/>
        </w:rPr>
      </w:pPr>
      <w:r>
        <w:rPr>
          <w:rFonts w:ascii="Times New Roman" w:hAnsi="Times New Roman"/>
          <w:sz w:val="20"/>
        </w:rPr>
        <w:t xml:space="preserve">Pursuant to Section 107 para. 3 of the German Stock Corporation Act, the supervisory board may form committees from among its members and charge them with the performance of specific tasks. The committees’ tasks, responsibilities and processes are determined by the supervisory board. The supervisory board may delegate to one or more committees all tasks and responsibilities not reserved for the supervisory board as a whole as a matter of mandatory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Pursuant to its internal rules of procedure, the supervisory board has established an audit committee, a compensation committee and a nomination committee: </w:t>
      </w:r>
    </w:p>
    <w:p>
      <w:pPr>
        <w:pStyle w:val="TextBody"/>
        <w:spacing w:before="0" w:after="0"/>
        <w:jc w:val="left"/>
        <w:rPr/>
      </w:pPr>
      <w:r>
        <w:rPr/>
        <w:t> </w:t>
      </w:r>
    </w:p>
    <w:tbl>
      <w:tblPr>
        <w:tblW w:w="10150" w:type="dxa"/>
        <w:jc w:val="left"/>
        <w:tblInd w:w="0" w:type="dxa"/>
        <w:tblCellMar>
          <w:top w:w="0" w:type="dxa"/>
          <w:left w:w="0" w:type="dxa"/>
          <w:bottom w:w="0" w:type="dxa"/>
          <w:right w:w="0" w:type="dxa"/>
        </w:tblCellMar>
      </w:tblPr>
      <w:tblGrid>
        <w:gridCol w:w="4145"/>
        <w:gridCol w:w="120"/>
        <w:gridCol w:w="5885"/>
      </w:tblGrid>
      <w:tr>
        <w:trPr/>
        <w:tc>
          <w:tcPr>
            <w:tcW w:w="41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885" w:type="dxa"/>
            <w:tcBorders/>
            <w:shd w:fill="auto" w:val="clear"/>
            <w:vAlign w:val="center"/>
          </w:tcPr>
          <w:p>
            <w:pPr>
              <w:pStyle w:val="TableContents"/>
              <w:spacing w:before="0" w:after="283"/>
              <w:rPr>
                <w:sz w:val="4"/>
                <w:szCs w:val="4"/>
              </w:rPr>
            </w:pPr>
            <w:r>
              <w:rPr>
                <w:sz w:val="4"/>
                <w:szCs w:val="4"/>
              </w:rPr>
            </w:r>
          </w:p>
        </w:tc>
      </w:tr>
      <w:tr>
        <w:trPr/>
        <w:tc>
          <w:tcPr>
            <w:tcW w:w="4145" w:type="dxa"/>
            <w:tcBorders>
              <w:bottom w:val="single" w:sz="8" w:space="0" w:color="000000"/>
            </w:tcBorders>
            <w:shd w:fill="auto" w:val="clear"/>
            <w:tcMar>
              <w:bottom w:w="28" w:type="dxa"/>
            </w:tcMar>
            <w:vAlign w:val="center"/>
          </w:tcPr>
          <w:p>
            <w:pPr>
              <w:pStyle w:val="TableContents"/>
              <w:spacing w:before="0" w:after="20"/>
              <w:rPr>
                <w:rFonts w:ascii="Times New Roman" w:hAnsi="Times New Roman"/>
                <w:b/>
                <w:sz w:val="16"/>
              </w:rPr>
            </w:pPr>
            <w:r>
              <w:rPr>
                <w:rFonts w:ascii="Times New Roman" w:hAnsi="Times New Roman"/>
                <w:b/>
                <w:sz w:val="16"/>
              </w:rPr>
              <w:t>Name of committee</w:t>
            </w:r>
          </w:p>
        </w:tc>
        <w:tc>
          <w:tcPr>
            <w:tcW w:w="120" w:type="dxa"/>
            <w:tcBorders/>
            <w:shd w:fill="auto" w:val="clear"/>
            <w:vAlign w:val="center"/>
          </w:tcPr>
          <w:p>
            <w:pPr>
              <w:pStyle w:val="TableContents"/>
              <w:spacing w:before="0" w:after="283"/>
              <w:rPr/>
            </w:pPr>
            <w:r>
              <w:rPr/>
              <w:t>  </w:t>
            </w:r>
          </w:p>
        </w:tc>
        <w:tc>
          <w:tcPr>
            <w:tcW w:w="5885" w:type="dxa"/>
            <w:tcBorders>
              <w:bottom w:val="single" w:sz="8" w:space="0" w:color="000000"/>
            </w:tcBorders>
            <w:shd w:fill="auto" w:val="clear"/>
            <w:tcMar>
              <w:bottom w:w="28" w:type="dxa"/>
            </w:tcMar>
            <w:vAlign w:val="center"/>
          </w:tcPr>
          <w:p>
            <w:pPr>
              <w:pStyle w:val="TableContents"/>
              <w:spacing w:before="0" w:after="20"/>
              <w:rPr>
                <w:rFonts w:ascii="Times New Roman" w:hAnsi="Times New Roman"/>
                <w:b/>
                <w:sz w:val="16"/>
              </w:rPr>
            </w:pPr>
            <w:r>
              <w:rPr>
                <w:rFonts w:ascii="Times New Roman" w:hAnsi="Times New Roman"/>
                <w:b/>
                <w:sz w:val="16"/>
              </w:rPr>
              <w:t>Current Members</w:t>
            </w:r>
          </w:p>
        </w:tc>
      </w:tr>
      <w:tr>
        <w:trPr/>
        <w:tc>
          <w:tcPr>
            <w:tcW w:w="414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Audit committee</w:t>
            </w:r>
          </w:p>
        </w:tc>
        <w:tc>
          <w:tcPr>
            <w:tcW w:w="120" w:type="dxa"/>
            <w:tcBorders/>
            <w:shd w:fill="auto" w:val="clear"/>
            <w:vAlign w:val="center"/>
          </w:tcPr>
          <w:p>
            <w:pPr>
              <w:pStyle w:val="TableContents"/>
              <w:spacing w:before="0" w:after="283"/>
              <w:rPr/>
            </w:pPr>
            <w:r>
              <w:rPr/>
              <w:t>  </w:t>
            </w:r>
          </w:p>
        </w:tc>
        <w:tc>
          <w:tcPr>
            <w:tcW w:w="588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Steve Geskos (chairperson), Manfred Krischke and Peter-Müller Brühl</w:t>
            </w:r>
          </w:p>
        </w:tc>
      </w:tr>
      <w:tr>
        <w:trPr/>
        <w:tc>
          <w:tcPr>
            <w:tcW w:w="414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Compensation committee</w:t>
            </w:r>
          </w:p>
        </w:tc>
        <w:tc>
          <w:tcPr>
            <w:tcW w:w="120" w:type="dxa"/>
            <w:tcBorders/>
            <w:shd w:fill="auto" w:val="clear"/>
            <w:vAlign w:val="center"/>
          </w:tcPr>
          <w:p>
            <w:pPr>
              <w:pStyle w:val="TableContents"/>
              <w:spacing w:before="0" w:after="283"/>
              <w:rPr/>
            </w:pPr>
            <w:r>
              <w:rPr/>
              <w:t>  </w:t>
            </w:r>
          </w:p>
        </w:tc>
        <w:tc>
          <w:tcPr>
            <w:tcW w:w="588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Manfred Krischke (chairperson), Peter-Müller Brühl and Vincent Wobbe</w:t>
            </w:r>
          </w:p>
        </w:tc>
      </w:tr>
      <w:tr>
        <w:trPr/>
        <w:tc>
          <w:tcPr>
            <w:tcW w:w="414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Corporate governance and nominations committee</w:t>
            </w:r>
          </w:p>
        </w:tc>
        <w:tc>
          <w:tcPr>
            <w:tcW w:w="120" w:type="dxa"/>
            <w:tcBorders/>
            <w:shd w:fill="auto" w:val="clear"/>
            <w:vAlign w:val="center"/>
          </w:tcPr>
          <w:p>
            <w:pPr>
              <w:pStyle w:val="TableContents"/>
              <w:spacing w:before="0" w:after="283"/>
              <w:rPr/>
            </w:pPr>
            <w:r>
              <w:rPr/>
              <w:t>  </w:t>
            </w:r>
          </w:p>
        </w:tc>
        <w:tc>
          <w:tcPr>
            <w:tcW w:w="588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Manfred Krischke (chairperson), Peter-Müller Brühl and Vincent Wobbe</w:t>
            </w:r>
          </w:p>
        </w:tc>
      </w:tr>
    </w:tbl>
    <w:p>
      <w:pPr>
        <w:pStyle w:val="TextBody"/>
        <w:spacing w:before="360" w:after="0"/>
        <w:jc w:val="left"/>
        <w:rPr>
          <w:rFonts w:ascii="Times New Roman" w:hAnsi="Times New Roman"/>
          <w:i/>
          <w:sz w:val="20"/>
        </w:rPr>
      </w:pPr>
      <w:r>
        <w:rPr>
          <w:rFonts w:ascii="Times New Roman" w:hAnsi="Times New Roman"/>
          <w:i/>
          <w:sz w:val="20"/>
        </w:rPr>
        <w:t xml:space="preserve">Audit Committee </w:t>
      </w:r>
    </w:p>
    <w:p>
      <w:pPr>
        <w:pStyle w:val="TextBody"/>
        <w:spacing w:before="120" w:after="0"/>
        <w:jc w:val="both"/>
        <w:rPr>
          <w:rFonts w:ascii="Times New Roman" w:hAnsi="Times New Roman"/>
          <w:sz w:val="20"/>
        </w:rPr>
      </w:pPr>
      <w:r>
        <w:rPr>
          <w:rFonts w:ascii="Times New Roman" w:hAnsi="Times New Roman"/>
          <w:sz w:val="20"/>
        </w:rPr>
        <w:t xml:space="preserve">Our audit committee assists the supervisory board in overseeing the accuracy and integrity of our accounting and financial reporting processes, along with the audits of our financial statements. The audit committee also oversees the effectiveness of our internal control system and our compliance with legal and regulatory requirements, evaluates the independence and qualifications of the independent auditors, and oversees the performance of such auditors and the effectiveness of our internal audit functions. </w:t>
      </w:r>
    </w:p>
    <w:p>
      <w:pPr>
        <w:pStyle w:val="TextBody"/>
        <w:spacing w:before="240" w:after="0"/>
        <w:jc w:val="both"/>
        <w:rPr>
          <w:rFonts w:ascii="Times New Roman" w:hAnsi="Times New Roman"/>
          <w:sz w:val="20"/>
        </w:rPr>
      </w:pPr>
      <w:r>
        <w:rPr>
          <w:rFonts w:ascii="Times New Roman" w:hAnsi="Times New Roman"/>
          <w:sz w:val="20"/>
        </w:rPr>
        <w:t xml:space="preserve">The audit committee’s duties and responsibilities to carry out its purposes include, among others: </w:t>
      </w:r>
    </w:p>
    <w:p>
      <w:pPr>
        <w:pStyle w:val="TextBody"/>
        <w:spacing w:before="0" w:after="0"/>
        <w:jc w:val="left"/>
        <w:rPr/>
      </w:pPr>
      <w:r>
        <w:rPr/>
        <w:t> </w:t>
      </w:r>
    </w:p>
    <w:tbl>
      <w:tblPr>
        <w:tblW w:w="3520" w:type="dxa"/>
        <w:jc w:val="left"/>
        <w:tblInd w:w="0" w:type="dxa"/>
        <w:tblCellMar>
          <w:top w:w="0" w:type="dxa"/>
          <w:left w:w="0" w:type="dxa"/>
          <w:bottom w:w="0" w:type="dxa"/>
          <w:right w:w="0" w:type="dxa"/>
        </w:tblCellMar>
      </w:tblPr>
      <w:tblGrid>
        <w:gridCol w:w="75"/>
        <w:gridCol w:w="110"/>
        <w:gridCol w:w="60"/>
        <w:gridCol w:w="32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27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review of our accounting processes; </w:t>
            </w:r>
          </w:p>
        </w:tc>
      </w:tr>
    </w:tbl>
    <w:p>
      <w:pPr>
        <w:pStyle w:val="TextBody"/>
        <w:spacing w:before="0" w:after="0"/>
        <w:jc w:val="left"/>
        <w:rPr/>
      </w:pPr>
      <w:r>
        <w:rPr/>
        <w:t> </w:t>
      </w:r>
    </w:p>
    <w:tbl>
      <w:tblPr>
        <w:tblW w:w="8140" w:type="dxa"/>
        <w:jc w:val="left"/>
        <w:tblInd w:w="0" w:type="dxa"/>
        <w:tblCellMar>
          <w:top w:w="0" w:type="dxa"/>
          <w:left w:w="0" w:type="dxa"/>
          <w:bottom w:w="0" w:type="dxa"/>
          <w:right w:w="0" w:type="dxa"/>
        </w:tblCellMar>
      </w:tblPr>
      <w:tblGrid>
        <w:gridCol w:w="75"/>
        <w:gridCol w:w="110"/>
        <w:gridCol w:w="60"/>
        <w:gridCol w:w="78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review of the effectiveness of our internal control systems, risk management and compliance; </w:t>
            </w:r>
          </w:p>
        </w:tc>
      </w:tr>
    </w:tbl>
    <w:p>
      <w:pPr>
        <w:pStyle w:val="TextBody"/>
        <w:spacing w:before="0" w:after="0"/>
        <w:jc w:val="left"/>
        <w:rPr/>
      </w:pPr>
      <w:r>
        <w:rPr/>
        <w:t> </w:t>
      </w:r>
    </w:p>
    <w:tbl>
      <w:tblPr>
        <w:tblW w:w="7270" w:type="dxa"/>
        <w:jc w:val="left"/>
        <w:tblInd w:w="0" w:type="dxa"/>
        <w:tblCellMar>
          <w:top w:w="0" w:type="dxa"/>
          <w:left w:w="0" w:type="dxa"/>
          <w:bottom w:w="0" w:type="dxa"/>
          <w:right w:w="0" w:type="dxa"/>
        </w:tblCellMar>
      </w:tblPr>
      <w:tblGrid>
        <w:gridCol w:w="75"/>
        <w:gridCol w:w="110"/>
        <w:gridCol w:w="60"/>
        <w:gridCol w:w="70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02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review and the handling of matters and processes related to auditor independence;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preparation of the supervisory board recommendation to the shareholders’ meeting on the appointment of the independent auditors to audit our financial statements and the related proposal to the supervisory board;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direct responsibility for the appointment, compensation, retention and oversight of the work of the independent auditors, who shall report directly to the audit committee, provided that the auditor appointment and termination shall be subject to approval by the shareholders’ meeting;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pre-approval, or the adoption of appropriate procedures to pre-approve, all audit and non-audit services to be provided by the independent auditors;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establishment of procedures for (i) the receipt, retention and treatment of complaints we receive regarding accounting, internal accounting controls or auditing matters and (ii) the submission by our employees of concerns regarding questionable accounting or auditing matters; and </w:t>
            </w:r>
          </w:p>
        </w:tc>
      </w:tr>
    </w:tbl>
    <w:p>
      <w:pPr>
        <w:pStyle w:val="TextBody"/>
        <w:spacing w:before="0" w:after="0"/>
        <w:jc w:val="left"/>
        <w:rPr/>
      </w:pPr>
      <w:r>
        <w:rPr/>
        <w:t> </w:t>
      </w:r>
    </w:p>
    <w:tbl>
      <w:tblPr>
        <w:tblW w:w="9910" w:type="dxa"/>
        <w:jc w:val="left"/>
        <w:tblInd w:w="0" w:type="dxa"/>
        <w:tblCellMar>
          <w:top w:w="0" w:type="dxa"/>
          <w:left w:w="0" w:type="dxa"/>
          <w:bottom w:w="0" w:type="dxa"/>
          <w:right w:w="0" w:type="dxa"/>
        </w:tblCellMar>
      </w:tblPr>
      <w:tblGrid>
        <w:gridCol w:w="75"/>
        <w:gridCol w:w="110"/>
        <w:gridCol w:w="60"/>
        <w:gridCol w:w="96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66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review and approval of all our related party transactions in accordance with our policies in effect from time to time. </w:t>
            </w:r>
          </w:p>
        </w:tc>
      </w:tr>
    </w:tbl>
    <w:p>
      <w:pPr>
        <w:pStyle w:val="TextBody"/>
        <w:spacing w:before="240" w:after="0"/>
        <w:jc w:val="both"/>
        <w:rPr>
          <w:rFonts w:ascii="Times New Roman" w:hAnsi="Times New Roman"/>
          <w:sz w:val="20"/>
        </w:rPr>
      </w:pPr>
      <w:r>
        <w:rPr>
          <w:rFonts w:ascii="Times New Roman" w:hAnsi="Times New Roman"/>
          <w:sz w:val="20"/>
        </w:rPr>
        <w:t xml:space="preserve">The audit committee has the resources and authority appropriate to discharge its duties and responsibilities, including the authority to select, retain, terminate, and approve the fees and other engagement terms of special or independent counsel, accountants or other experts and advisors, as it deems necessary or appropriate, without seeking approval of the management board or supervisory board. We shall provide for appropriate funding, as determined by the audit committee, in its capacity as a committee of the supervisory board, for payment of compensation to the independent auditors engaged for the purpose of preparing or issuing an audit report or performing other audit, review or attest services for us, compensation of any advisers employed by the audit committee, and ordinary administrative expenses of the committee that are necessary or appropriate in carrying out its duties. </w:t>
      </w:r>
    </w:p>
    <w:p>
      <w:pPr>
        <w:pStyle w:val="TextBody"/>
        <w:spacing w:before="240" w:after="0"/>
        <w:jc w:val="both"/>
        <w:rPr>
          <w:rFonts w:ascii="Times New Roman" w:hAnsi="Times New Roman"/>
          <w:sz w:val="20"/>
        </w:rPr>
      </w:pPr>
      <w:r>
        <w:rPr>
          <w:rFonts w:ascii="Times New Roman" w:hAnsi="Times New Roman"/>
          <w:sz w:val="20"/>
        </w:rPr>
        <w:t xml:space="preserve">Subject to certain limited exceptions, each member of the audit committee must be independent according to the following criteria: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no member of the audit committee may, directly or indirectly, accept any consulting, advisory or other compensatory fees from our company or its subsidiaries other than in such member’s capacity as a member of our supervisory board or any of its committees;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no member of the audit committee may be an “affiliated person” of our company or any of its subsidiaries except for such member’s capacity as a member of our supervisory board or any of its committees; for this purpose, the term “affiliated person” means a person that directly or indirectly, through one or more intermediaries, controls or is controlled by, or is under common control of our company or any of its subsidiaries.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At least one member of the audit committee shall qualify as an “audit committee financial expert” as defined under the Exchange Act. </w:t>
      </w:r>
    </w:p>
    <w:p>
      <w:pPr>
        <w:pStyle w:val="TextBody"/>
        <w:spacing w:before="360" w:after="0"/>
        <w:jc w:val="left"/>
        <w:rPr>
          <w:rFonts w:ascii="Times New Roman" w:hAnsi="Times New Roman"/>
          <w:i/>
          <w:sz w:val="20"/>
        </w:rPr>
      </w:pPr>
      <w:r>
        <w:rPr>
          <w:rFonts w:ascii="Times New Roman" w:hAnsi="Times New Roman"/>
          <w:i/>
          <w:sz w:val="20"/>
        </w:rPr>
        <w:t xml:space="preserve">Compensation Committee </w:t>
      </w:r>
    </w:p>
    <w:p>
      <w:pPr>
        <w:pStyle w:val="TextBody"/>
        <w:spacing w:before="120" w:after="0"/>
        <w:jc w:val="both"/>
        <w:rPr>
          <w:rFonts w:ascii="Times New Roman" w:hAnsi="Times New Roman"/>
          <w:sz w:val="20"/>
        </w:rPr>
      </w:pPr>
      <w:r>
        <w:rPr>
          <w:rFonts w:ascii="Times New Roman" w:hAnsi="Times New Roman"/>
          <w:sz w:val="20"/>
        </w:rPr>
        <w:t xml:space="preserve">Our compensation committee consists of three members, one of whom is the chairperson of the supervisory board. Our compensation committee is responsible for: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considering all aspects of compensation and employment terms for the management board, and in this regard (i) making recommendations to and preparing decisions for the supervisory board and (ii) preparing presentations to the shareholders’ meeting, to discuss amendments to existing, or the establishment of new, employment agreements for the members of the management board, including issues of compensation guidelines, incentive programs, strategy and framework;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considering the compensation and general employment terms for second level management, and in this regard it is authorized to make recommendations to the management board;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commissioning, when appropriate, its own independent review of the compensation guidelines and the compensation packages paid to the members of the management board, to ensure that the guidelines reflect the best practices and that the packages remain competitive and in line with market practice;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presenting an evaluation of the management board’s performance and making a recommendation to the supervisory board regarding the employment terms and compensation of the management board;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assisting the supervisory board in the oversight of regulatory compliance with respect to compensation matters, including monitoring our system for compliance with the relevant provisions of the German Corporate Governance Code concerning the disclosure of information about compensation for the management board and other senior executives;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examining compensation guidelines that serve as a framework for all compensation matters to be submitted to and determined by the supervisory board. </w:t>
            </w:r>
          </w:p>
        </w:tc>
      </w:tr>
    </w:tbl>
    <w:p>
      <w:pPr>
        <w:pStyle w:val="TextBody"/>
        <w:spacing w:before="360" w:after="0"/>
        <w:jc w:val="left"/>
        <w:rPr>
          <w:rFonts w:ascii="Times New Roman" w:hAnsi="Times New Roman"/>
          <w:i/>
          <w:sz w:val="20"/>
        </w:rPr>
      </w:pPr>
      <w:r>
        <w:rPr>
          <w:rFonts w:ascii="Times New Roman" w:hAnsi="Times New Roman"/>
          <w:i/>
          <w:sz w:val="20"/>
        </w:rPr>
        <w:t xml:space="preserve">Corporate Governance and Nominations Committee </w:t>
      </w:r>
    </w:p>
    <w:p>
      <w:pPr>
        <w:pStyle w:val="TextBody"/>
        <w:spacing w:before="120" w:after="0"/>
        <w:jc w:val="both"/>
        <w:rPr>
          <w:rFonts w:ascii="Times New Roman" w:hAnsi="Times New Roman"/>
          <w:sz w:val="20"/>
        </w:rPr>
      </w:pPr>
      <w:r>
        <w:rPr>
          <w:rFonts w:ascii="Times New Roman" w:hAnsi="Times New Roman"/>
          <w:sz w:val="20"/>
        </w:rPr>
        <w:t xml:space="preserve">Our corporate governance and nominations committee consists of at least three members. The committee is responsible for, among other things, preparing all recommendations to the supervisory board with regard to the following items: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appointment and dismissal of management board members, as well as the nomination of the management board chairperson; </w:t>
            </w:r>
          </w:p>
        </w:tc>
      </w:tr>
    </w:tbl>
    <w:p>
      <w:pPr>
        <w:pStyle w:val="TextBody"/>
        <w:spacing w:before="0" w:after="0"/>
        <w:jc w:val="left"/>
        <w:rPr/>
      </w:pPr>
      <w:r>
        <w:rPr/>
        <w:t> </w:t>
      </w:r>
    </w:p>
    <w:tbl>
      <w:tblPr>
        <w:tblW w:w="9340" w:type="dxa"/>
        <w:jc w:val="left"/>
        <w:tblInd w:w="0" w:type="dxa"/>
        <w:tblCellMar>
          <w:top w:w="0" w:type="dxa"/>
          <w:left w:w="0" w:type="dxa"/>
          <w:bottom w:w="0" w:type="dxa"/>
          <w:right w:w="0" w:type="dxa"/>
        </w:tblCellMar>
      </w:tblPr>
      <w:tblGrid>
        <w:gridCol w:w="75"/>
        <w:gridCol w:w="110"/>
        <w:gridCol w:w="60"/>
        <w:gridCol w:w="90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completion of, amendments to and termination of employment contracts with management board members; and </w:t>
            </w:r>
          </w:p>
        </w:tc>
      </w:tr>
    </w:tbl>
    <w:p>
      <w:pPr>
        <w:pStyle w:val="TextBody"/>
        <w:spacing w:before="0" w:after="0"/>
        <w:jc w:val="left"/>
        <w:rPr/>
      </w:pPr>
      <w:r>
        <w:rPr/>
        <w:t> </w:t>
      </w:r>
    </w:p>
    <w:tbl>
      <w:tblPr>
        <w:tblW w:w="8845" w:type="dxa"/>
        <w:jc w:val="left"/>
        <w:tblInd w:w="0" w:type="dxa"/>
        <w:tblCellMar>
          <w:top w:w="0" w:type="dxa"/>
          <w:left w:w="0" w:type="dxa"/>
          <w:bottom w:w="0" w:type="dxa"/>
          <w:right w:w="0" w:type="dxa"/>
        </w:tblCellMar>
      </w:tblPr>
      <w:tblGrid>
        <w:gridCol w:w="75"/>
        <w:gridCol w:w="110"/>
        <w:gridCol w:w="60"/>
        <w:gridCol w:w="86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60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election proposals for suitable supervisory board candidates to be presented to the shareholders’ meeting. </w:t>
            </w:r>
          </w:p>
        </w:tc>
      </w:tr>
    </w:tbl>
    <w:p>
      <w:pPr>
        <w:pStyle w:val="TextBody"/>
        <w:spacing w:before="240" w:after="0"/>
        <w:jc w:val="both"/>
        <w:rPr>
          <w:rFonts w:ascii="Times New Roman" w:hAnsi="Times New Roman"/>
          <w:sz w:val="20"/>
        </w:rPr>
      </w:pPr>
      <w:r>
        <w:rPr>
          <w:rFonts w:ascii="Times New Roman" w:hAnsi="Times New Roman"/>
          <w:sz w:val="20"/>
        </w:rPr>
        <w:t xml:space="preserve">Additionally, subject to mandatory responsibilities of the entire supervisory board, the corporate governance and nominations committee, rather than the entire supervisory board, will consider and, where it so determines, approve most of the transactions requiring the approval of the supervisory board, and it has the capacity to provide consent for transactions between us and members of our management board. </w:t>
      </w:r>
    </w:p>
    <w:p>
      <w:pPr>
        <w:pStyle w:val="TextBody"/>
        <w:spacing w:before="360" w:after="0"/>
        <w:jc w:val="left"/>
        <w:rPr>
          <w:rFonts w:ascii="Times New Roman" w:hAnsi="Times New Roman"/>
          <w:b/>
          <w:sz w:val="20"/>
        </w:rPr>
      </w:pPr>
      <w:bookmarkStart w:id="35" w:name="tx497326_33"/>
      <w:bookmarkEnd w:id="35"/>
      <w:r>
        <w:rPr>
          <w:rFonts w:ascii="Times New Roman" w:hAnsi="Times New Roman"/>
          <w:b/>
          <w:sz w:val="20"/>
        </w:rPr>
        <w:t xml:space="preserve">D. Employees </w:t>
      </w:r>
    </w:p>
    <w:p>
      <w:pPr>
        <w:pStyle w:val="TextBody"/>
        <w:spacing w:before="120" w:after="0"/>
        <w:jc w:val="both"/>
        <w:rPr>
          <w:rFonts w:ascii="Times New Roman" w:hAnsi="Times New Roman"/>
          <w:sz w:val="20"/>
        </w:rPr>
      </w:pPr>
      <w:r>
        <w:rPr>
          <w:rFonts w:ascii="Times New Roman" w:hAnsi="Times New Roman"/>
          <w:sz w:val="20"/>
        </w:rPr>
        <w:t xml:space="preserve">As of December 31, 2022, we employed 328.8 FTEs, of which 291.8 FTEs were based in Germany and 37 FTEs were based in the United States. </w:t>
      </w:r>
    </w:p>
    <w:p>
      <w:pPr>
        <w:pStyle w:val="TextBody"/>
        <w:spacing w:before="240" w:after="0"/>
        <w:jc w:val="both"/>
        <w:rPr>
          <w:rFonts w:ascii="Times New Roman" w:hAnsi="Times New Roman"/>
          <w:sz w:val="20"/>
        </w:rPr>
      </w:pPr>
      <w:r>
        <w:rPr>
          <w:rFonts w:ascii="Times New Roman" w:hAnsi="Times New Roman"/>
          <w:sz w:val="20"/>
        </w:rPr>
        <w:t xml:space="preserve">The following table shows the figures of our FTEs broken down by region as of the relevant date indicated: </w:t>
      </w:r>
    </w:p>
    <w:p>
      <w:pPr>
        <w:pStyle w:val="TextBody"/>
        <w:spacing w:before="0" w:after="0"/>
        <w:jc w:val="left"/>
        <w:rPr/>
      </w:pPr>
      <w:r>
        <w:rPr/>
        <w:t> </w:t>
      </w:r>
    </w:p>
    <w:tbl>
      <w:tblPr>
        <w:tblW w:w="3530" w:type="dxa"/>
        <w:jc w:val="left"/>
        <w:tblInd w:w="0" w:type="dxa"/>
        <w:tblCellMar>
          <w:top w:w="0" w:type="dxa"/>
          <w:left w:w="0" w:type="dxa"/>
          <w:bottom w:w="0" w:type="dxa"/>
          <w:right w:w="0" w:type="dxa"/>
        </w:tblCellMar>
      </w:tblPr>
      <w:tblGrid>
        <w:gridCol w:w="1115"/>
        <w:gridCol w:w="120"/>
        <w:gridCol w:w="60"/>
        <w:gridCol w:w="560"/>
        <w:gridCol w:w="60"/>
        <w:gridCol w:w="120"/>
        <w:gridCol w:w="60"/>
        <w:gridCol w:w="560"/>
        <w:gridCol w:w="60"/>
        <w:gridCol w:w="120"/>
        <w:gridCol w:w="60"/>
        <w:gridCol w:w="560"/>
        <w:gridCol w:w="75"/>
      </w:tblGrid>
      <w:tr>
        <w:trPr/>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1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20" w:type="dxa"/>
            <w:gridSpan w:val="10"/>
            <w:tcBorders>
              <w:bottom w:val="single" w:sz="8" w:space="0" w:color="000000"/>
            </w:tcBorders>
            <w:shd w:fill="auto" w:val="clear"/>
            <w:tcMar>
              <w:bottom w:w="28" w:type="dxa"/>
            </w:tcMar>
            <w:vAlign w:val="center"/>
          </w:tcPr>
          <w:p>
            <w:pPr>
              <w:pStyle w:val="TableContents"/>
              <w:spacing w:before="0" w:after="283"/>
              <w:jc w:val="center"/>
              <w:rPr>
                <w:b/>
              </w:rPr>
            </w:pPr>
            <w:r>
              <w:rPr>
                <w:b/>
              </w:rPr>
              <w:t>As of December 31,</w:t>
            </w:r>
          </w:p>
        </w:tc>
        <w:tc>
          <w:tcPr>
            <w:tcW w:w="75" w:type="dxa"/>
            <w:tcBorders/>
            <w:shd w:fill="auto" w:val="clear"/>
            <w:vAlign w:val="center"/>
          </w:tcPr>
          <w:p>
            <w:pPr>
              <w:pStyle w:val="TableContents"/>
              <w:spacing w:before="0" w:after="283"/>
              <w:rPr/>
            </w:pPr>
            <w:r>
              <w:rPr/>
              <w:t> </w:t>
            </w:r>
          </w:p>
        </w:tc>
      </w:tr>
      <w:tr>
        <w:trPr/>
        <w:tc>
          <w:tcPr>
            <w:tcW w:w="11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2020</w:t>
            </w:r>
          </w:p>
        </w:tc>
        <w:tc>
          <w:tcPr>
            <w:tcW w:w="75" w:type="dxa"/>
            <w:tcBorders/>
            <w:shd w:fill="auto" w:val="clear"/>
            <w:vAlign w:val="center"/>
          </w:tcPr>
          <w:p>
            <w:pPr>
              <w:pStyle w:val="TableContents"/>
              <w:spacing w:before="0" w:after="283"/>
              <w:rPr/>
            </w:pPr>
            <w:r>
              <w:rPr/>
              <w:t> </w:t>
            </w:r>
          </w:p>
        </w:tc>
      </w:tr>
      <w:tr>
        <w:trPr/>
        <w:tc>
          <w:tcPr>
            <w:tcW w:w="11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Germany</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291.8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227.9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179.6</w:t>
            </w:r>
          </w:p>
        </w:tc>
        <w:tc>
          <w:tcPr>
            <w:tcW w:w="75" w:type="dxa"/>
            <w:tcBorders/>
            <w:shd w:fill="CCEEFF" w:val="clear"/>
            <w:vAlign w:val="center"/>
          </w:tcPr>
          <w:p>
            <w:pPr>
              <w:pStyle w:val="TableContents"/>
              <w:spacing w:before="0" w:after="283"/>
              <w:rPr/>
            </w:pPr>
            <w:r>
              <w:rPr/>
              <w:t> </w:t>
            </w:r>
          </w:p>
        </w:tc>
      </w:tr>
      <w:tr>
        <w:trPr/>
        <w:tc>
          <w:tcPr>
            <w:tcW w:w="11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United States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7</w:t>
            </w:r>
          </w:p>
        </w:tc>
        <w:tc>
          <w:tcPr>
            <w:tcW w:w="75" w:type="dxa"/>
            <w:tcBorders/>
            <w:shd w:fill="auto" w:val="clear"/>
            <w:vAlign w:val="center"/>
          </w:tcPr>
          <w:p>
            <w:pPr>
              <w:pStyle w:val="TableContents"/>
              <w:spacing w:before="0" w:after="283"/>
              <w:rPr/>
            </w:pPr>
            <w:r>
              <w:rPr/>
              <w:t> </w:t>
            </w:r>
          </w:p>
        </w:tc>
      </w:tr>
      <w:tr>
        <w:trPr/>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56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56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560"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111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b/>
              </w:rPr>
            </w:pPr>
            <w:r>
              <w:rPr>
                <w:b/>
              </w:rPr>
              <w:t>328.8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b/>
              </w:rPr>
            </w:pPr>
            <w:r>
              <w:rPr>
                <w:b/>
              </w:rPr>
              <w:t>248.9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b/>
              </w:rPr>
            </w:pPr>
            <w:r>
              <w:rPr>
                <w:b/>
              </w:rPr>
              <w:t>186.6</w:t>
            </w:r>
          </w:p>
        </w:tc>
        <w:tc>
          <w:tcPr>
            <w:tcW w:w="75" w:type="dxa"/>
            <w:tcBorders/>
            <w:shd w:fill="CCEEFF" w:val="clear"/>
            <w:vAlign w:val="center"/>
          </w:tcPr>
          <w:p>
            <w:pPr>
              <w:pStyle w:val="TableContents"/>
              <w:spacing w:before="0" w:after="283"/>
              <w:rPr/>
            </w:pPr>
            <w:r>
              <w:rPr/>
              <w:t> </w:t>
            </w:r>
          </w:p>
        </w:tc>
      </w:tr>
      <w:tr>
        <w:trPr/>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double" w:sz="6" w:space="1" w:color="000000"/>
              </w:pBdr>
              <w:spacing w:before="0" w:after="0"/>
              <w:rPr/>
            </w:pPr>
            <w:r>
              <w:rPr/>
              <w:t> </w:t>
            </w:r>
          </w:p>
        </w:tc>
        <w:tc>
          <w:tcPr>
            <w:tcW w:w="560" w:type="dxa"/>
            <w:tcBorders/>
            <w:shd w:fill="auto" w:val="clear"/>
            <w:vAlign w:val="center"/>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double" w:sz="6" w:space="1" w:color="000000"/>
              </w:pBdr>
              <w:spacing w:before="0" w:after="0"/>
              <w:rPr/>
            </w:pPr>
            <w:r>
              <w:rPr/>
              <w:t> </w:t>
            </w:r>
          </w:p>
        </w:tc>
        <w:tc>
          <w:tcPr>
            <w:tcW w:w="560" w:type="dxa"/>
            <w:tcBorders/>
            <w:shd w:fill="auto" w:val="clear"/>
            <w:vAlign w:val="center"/>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double" w:sz="6" w:space="1" w:color="000000"/>
              </w:pBdr>
              <w:spacing w:before="0" w:after="0"/>
              <w:rPr/>
            </w:pPr>
            <w:r>
              <w:rPr/>
              <w:t> </w:t>
            </w:r>
          </w:p>
        </w:tc>
        <w:tc>
          <w:tcPr>
            <w:tcW w:w="560" w:type="dxa"/>
            <w:tcBorders/>
            <w:shd w:fill="auto" w:val="clear"/>
            <w:vAlign w:val="center"/>
          </w:tcPr>
          <w:p>
            <w:pPr>
              <w:pStyle w:val="TableContents"/>
              <w:pBdr>
                <w:top w:val="double" w:sz="6"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We do not employ a significant number of temporary employees. </w:t>
      </w:r>
    </w:p>
    <w:p>
      <w:pPr>
        <w:pStyle w:val="TextBody"/>
        <w:spacing w:before="240" w:after="0"/>
        <w:jc w:val="both"/>
        <w:rPr>
          <w:rFonts w:ascii="Times New Roman" w:hAnsi="Times New Roman"/>
          <w:sz w:val="20"/>
        </w:rPr>
      </w:pPr>
      <w:r>
        <w:rPr>
          <w:rFonts w:ascii="Times New Roman" w:hAnsi="Times New Roman"/>
          <w:sz w:val="20"/>
        </w:rPr>
        <w:t xml:space="preserve">We believe that we maintain a good working relationship with our employees, and we have not experienced any significant labor disputes or any difficulty in recruiting staff for our operations. Our employees are not represented by any collective bargaining agreement or labor union, other than standard and non-binding personnel representations. Furthermore, we are committed to establishing and developing our workforce through succession planning, internal development and targeted external recruiting. </w:t>
      </w:r>
    </w:p>
    <w:p>
      <w:pPr>
        <w:pStyle w:val="TextBody"/>
        <w:spacing w:before="360" w:after="0"/>
        <w:jc w:val="left"/>
        <w:rPr>
          <w:rFonts w:ascii="Times New Roman" w:hAnsi="Times New Roman"/>
          <w:b/>
          <w:sz w:val="20"/>
        </w:rPr>
      </w:pPr>
      <w:bookmarkStart w:id="36" w:name="tx497326_34"/>
      <w:bookmarkEnd w:id="36"/>
      <w:r>
        <w:rPr>
          <w:rFonts w:ascii="Times New Roman" w:hAnsi="Times New Roman"/>
          <w:b/>
          <w:sz w:val="20"/>
        </w:rPr>
        <w:t xml:space="preserve">E. Share Ownership </w:t>
      </w:r>
    </w:p>
    <w:p>
      <w:pPr>
        <w:pStyle w:val="TextBody"/>
        <w:spacing w:before="120" w:after="0"/>
        <w:jc w:val="both"/>
        <w:rPr>
          <w:rFonts w:ascii="Times New Roman" w:hAnsi="Times New Roman"/>
          <w:sz w:val="20"/>
        </w:rPr>
      </w:pPr>
      <w:r>
        <w:rPr>
          <w:rFonts w:ascii="Times New Roman" w:hAnsi="Times New Roman"/>
          <w:sz w:val="20"/>
        </w:rPr>
        <w:t xml:space="preserve">For information regarding the share ownership of directors and officers, see “Item 7. Major Shareholders and Related Party Transactions—A. Major Shareholders” and “—B. Compensation—Compensation of Management Board Members” in this Item 6. For information as to our equity incentive plans, see “—B. Compensation—Share-Based Incentive Plans” in this Item 6. </w:t>
      </w:r>
    </w:p>
    <w:p>
      <w:pPr>
        <w:pStyle w:val="TextBody"/>
        <w:spacing w:before="360" w:after="0"/>
        <w:jc w:val="left"/>
        <w:rPr>
          <w:rFonts w:ascii="Times New Roman" w:hAnsi="Times New Roman"/>
          <w:b/>
          <w:sz w:val="20"/>
        </w:rPr>
      </w:pPr>
      <w:bookmarkStart w:id="37" w:name="tx497326_35"/>
      <w:bookmarkEnd w:id="37"/>
      <w:r>
        <w:rPr>
          <w:rFonts w:ascii="Times New Roman" w:hAnsi="Times New Roman"/>
          <w:b/>
          <w:sz w:val="20"/>
        </w:rPr>
        <w:t xml:space="preserve">ITEM 7. MAJOR SHAREHOLDERS AND RELATED PARTY TRANSACTIONS </w:t>
      </w:r>
    </w:p>
    <w:p>
      <w:pPr>
        <w:pStyle w:val="TextBody"/>
        <w:spacing w:before="120" w:after="0"/>
        <w:jc w:val="left"/>
        <w:rPr>
          <w:rFonts w:ascii="Times New Roman" w:hAnsi="Times New Roman"/>
          <w:b/>
          <w:sz w:val="20"/>
        </w:rPr>
      </w:pPr>
      <w:bookmarkStart w:id="38" w:name="tx497326_36"/>
      <w:bookmarkEnd w:id="38"/>
      <w:r>
        <w:rPr>
          <w:rFonts w:ascii="Times New Roman" w:hAnsi="Times New Roman"/>
          <w:b/>
          <w:sz w:val="20"/>
        </w:rPr>
        <w:t xml:space="preserve">A. Major Shareholders </w:t>
      </w:r>
    </w:p>
    <w:p>
      <w:pPr>
        <w:pStyle w:val="TextBody"/>
        <w:spacing w:before="120" w:after="0"/>
        <w:jc w:val="both"/>
        <w:rPr>
          <w:rFonts w:ascii="Times New Roman" w:hAnsi="Times New Roman"/>
          <w:sz w:val="20"/>
        </w:rPr>
      </w:pPr>
      <w:r>
        <w:rPr>
          <w:rFonts w:ascii="Times New Roman" w:hAnsi="Times New Roman"/>
          <w:sz w:val="20"/>
        </w:rPr>
        <w:t xml:space="preserve">The following table sets forth information, as of April 28, 2023, regarding the beneficial ownership of our ordinary shares for: </w:t>
      </w:r>
    </w:p>
    <w:p>
      <w:pPr>
        <w:pStyle w:val="TextBody"/>
        <w:spacing w:before="0" w:after="0"/>
        <w:jc w:val="left"/>
        <w:rPr/>
      </w:pPr>
      <w:r>
        <w:rPr/>
        <w:t> </w:t>
      </w:r>
    </w:p>
    <w:tbl>
      <w:tblPr>
        <w:tblW w:w="3130" w:type="dxa"/>
        <w:jc w:val="left"/>
        <w:tblInd w:w="0" w:type="dxa"/>
        <w:tblCellMar>
          <w:top w:w="0" w:type="dxa"/>
          <w:left w:w="0" w:type="dxa"/>
          <w:bottom w:w="0" w:type="dxa"/>
          <w:right w:w="0" w:type="dxa"/>
        </w:tblCellMar>
      </w:tblPr>
      <w:tblGrid>
        <w:gridCol w:w="75"/>
        <w:gridCol w:w="110"/>
        <w:gridCol w:w="60"/>
        <w:gridCol w:w="28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88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members of our supervisory board; </w:t>
            </w:r>
          </w:p>
        </w:tc>
      </w:tr>
    </w:tbl>
    <w:p>
      <w:pPr>
        <w:pStyle w:val="TextBody"/>
        <w:spacing w:before="0" w:after="0"/>
        <w:jc w:val="left"/>
        <w:rPr/>
      </w:pPr>
      <w:r>
        <w:rPr/>
        <w:t> </w:t>
      </w:r>
    </w:p>
    <w:tbl>
      <w:tblPr>
        <w:tblW w:w="3220" w:type="dxa"/>
        <w:jc w:val="left"/>
        <w:tblInd w:w="0" w:type="dxa"/>
        <w:tblCellMar>
          <w:top w:w="0" w:type="dxa"/>
          <w:left w:w="0" w:type="dxa"/>
          <w:bottom w:w="0" w:type="dxa"/>
          <w:right w:w="0" w:type="dxa"/>
        </w:tblCellMar>
      </w:tblPr>
      <w:tblGrid>
        <w:gridCol w:w="75"/>
        <w:gridCol w:w="110"/>
        <w:gridCol w:w="60"/>
        <w:gridCol w:w="29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97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members of our management board; </w:t>
            </w:r>
          </w:p>
        </w:tc>
      </w:tr>
    </w:tbl>
    <w:p>
      <w:pPr>
        <w:pStyle w:val="TextBody"/>
        <w:spacing w:before="0" w:after="0"/>
        <w:jc w:val="left"/>
        <w:rPr/>
      </w:pPr>
      <w:r>
        <w:rPr/>
        <w:t> </w:t>
      </w:r>
    </w:p>
    <w:tbl>
      <w:tblPr>
        <w:tblW w:w="6595" w:type="dxa"/>
        <w:jc w:val="left"/>
        <w:tblInd w:w="0" w:type="dxa"/>
        <w:tblCellMar>
          <w:top w:w="0" w:type="dxa"/>
          <w:left w:w="0" w:type="dxa"/>
          <w:bottom w:w="0" w:type="dxa"/>
          <w:right w:w="0" w:type="dxa"/>
        </w:tblCellMar>
      </w:tblPr>
      <w:tblGrid>
        <w:gridCol w:w="75"/>
        <w:gridCol w:w="110"/>
        <w:gridCol w:w="60"/>
        <w:gridCol w:w="63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35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members of our supervisory board and our management board as a group; and </w:t>
            </w:r>
          </w:p>
        </w:tc>
      </w:tr>
    </w:tbl>
    <w:p>
      <w:pPr>
        <w:pStyle w:val="TextBody"/>
        <w:spacing w:before="0" w:after="0"/>
        <w:jc w:val="left"/>
        <w:rPr/>
      </w:pPr>
      <w:r>
        <w:rPr/>
        <w:t> </w:t>
      </w:r>
    </w:p>
    <w:tbl>
      <w:tblPr>
        <w:tblW w:w="9445" w:type="dxa"/>
        <w:jc w:val="left"/>
        <w:tblInd w:w="0" w:type="dxa"/>
        <w:tblCellMar>
          <w:top w:w="0" w:type="dxa"/>
          <w:left w:w="0" w:type="dxa"/>
          <w:bottom w:w="0" w:type="dxa"/>
          <w:right w:w="0" w:type="dxa"/>
        </w:tblCellMar>
      </w:tblPr>
      <w:tblGrid>
        <w:gridCol w:w="75"/>
        <w:gridCol w:w="110"/>
        <w:gridCol w:w="60"/>
        <w:gridCol w:w="92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20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each person who, to the best of our knowledge, beneficially owns 5% or more of our outstanding ordinary shares. </w:t>
            </w:r>
          </w:p>
        </w:tc>
      </w:tr>
    </w:tbl>
    <w:p>
      <w:pPr>
        <w:pStyle w:val="TextBody"/>
        <w:spacing w:before="240" w:after="0"/>
        <w:jc w:val="both"/>
        <w:rPr>
          <w:rFonts w:ascii="Times New Roman" w:hAnsi="Times New Roman"/>
          <w:sz w:val="20"/>
        </w:rPr>
      </w:pPr>
      <w:r>
        <w:rPr>
          <w:rFonts w:ascii="Times New Roman" w:hAnsi="Times New Roman"/>
          <w:sz w:val="20"/>
        </w:rPr>
        <w:t xml:space="preserve">Beneficial ownership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April 28, 2023, through the exercise of any option, warrant or other right. Except as otherwise indicated, and subject to applicable community property laws, the persons named in the table have sole voting and investment power with respect to all shares held by that person. </w:t>
      </w:r>
    </w:p>
    <w:p>
      <w:pPr>
        <w:pStyle w:val="TextBody"/>
        <w:spacing w:before="240" w:after="0"/>
        <w:jc w:val="both"/>
        <w:rPr>
          <w:rFonts w:ascii="Times New Roman" w:hAnsi="Times New Roman"/>
          <w:sz w:val="20"/>
        </w:rPr>
      </w:pPr>
      <w:r>
        <w:rPr>
          <w:rFonts w:ascii="Times New Roman" w:hAnsi="Times New Roman"/>
          <w:sz w:val="20"/>
        </w:rPr>
        <w:t xml:space="preserve">Unless otherwise indicated below, the address for each beneficial owner listed is c/o Mynaric AG, Dornierstraße 19, 82205 Gilching, Germany.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On April 27, 2023, immediately prior to the date of this Annual Report, we applied to the commercial register (Handelsregister) for the registration of the capital increase under the equity investment we entered into on April 25, 2023. Upon registration in the commercial register and effectiveness of the capital increase, our share capital will increase from €5,668,391 to €6,233,615. Consequently, the number of our shares outstanding will increase from 5,668,391 to 6,233,615 and the percentages numbers presented in the table below will change accordingly.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860"/>
        <w:gridCol w:w="120"/>
        <w:gridCol w:w="200"/>
        <w:gridCol w:w="2675"/>
        <w:gridCol w:w="200"/>
        <w:gridCol w:w="401"/>
        <w:gridCol w:w="200"/>
        <w:gridCol w:w="1474"/>
        <w:gridCol w:w="75"/>
      </w:tblGrid>
      <w:tr>
        <w:trPr/>
        <w:tc>
          <w:tcPr>
            <w:tcW w:w="48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67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47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8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150" w:type="dxa"/>
            <w:gridSpan w:val="6"/>
            <w:tcBorders>
              <w:bottom w:val="single" w:sz="8" w:space="0" w:color="000000"/>
            </w:tcBorders>
            <w:shd w:fill="auto" w:val="clear"/>
            <w:tcMar>
              <w:bottom w:w="28" w:type="dxa"/>
            </w:tcMar>
            <w:vAlign w:val="center"/>
          </w:tcPr>
          <w:p>
            <w:pPr>
              <w:pStyle w:val="TableContents"/>
              <w:spacing w:before="0" w:after="283"/>
              <w:jc w:val="center"/>
              <w:rPr/>
            </w:pPr>
            <w:r>
              <w:rPr/>
              <w:t>    </w:t>
            </w:r>
            <w:r>
              <w:rPr>
                <w:b/>
              </w:rPr>
              <w:t>Shares beneficially owned as of April 28, 2023    </w:t>
            </w:r>
          </w:p>
        </w:tc>
        <w:tc>
          <w:tcPr>
            <w:tcW w:w="75" w:type="dxa"/>
            <w:tcBorders/>
            <w:shd w:fill="auto" w:val="clear"/>
            <w:vAlign w:val="center"/>
          </w:tcPr>
          <w:p>
            <w:pPr>
              <w:pStyle w:val="TableContents"/>
              <w:spacing w:before="0" w:after="283"/>
              <w:rPr/>
            </w:pPr>
            <w:r>
              <w:rPr/>
              <w:t> </w:t>
            </w:r>
          </w:p>
        </w:tc>
      </w:tr>
      <w:tr>
        <w:trPr/>
        <w:tc>
          <w:tcPr>
            <w:tcW w:w="486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Shareholder</w:t>
            </w:r>
          </w:p>
        </w:tc>
        <w:tc>
          <w:tcPr>
            <w:tcW w:w="120" w:type="dxa"/>
            <w:tcBorders/>
            <w:shd w:fill="auto" w:val="clear"/>
            <w:vAlign w:val="center"/>
          </w:tcPr>
          <w:p>
            <w:pPr>
              <w:pStyle w:val="TableContents"/>
              <w:spacing w:before="0" w:after="283"/>
              <w:rPr/>
            </w:pPr>
            <w:r>
              <w:rPr/>
              <w:t>  </w:t>
            </w:r>
          </w:p>
        </w:tc>
        <w:tc>
          <w:tcPr>
            <w:tcW w:w="287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Number</w:t>
            </w:r>
          </w:p>
        </w:tc>
        <w:tc>
          <w:tcPr>
            <w:tcW w:w="200" w:type="dxa"/>
            <w:tcBorders/>
            <w:shd w:fill="auto" w:val="clear"/>
            <w:vAlign w:val="center"/>
          </w:tcPr>
          <w:p>
            <w:pPr>
              <w:pStyle w:val="TableContents"/>
              <w:spacing w:before="0" w:after="283"/>
              <w:rPr/>
            </w:pPr>
            <w:r>
              <w:rPr/>
              <w:t> </w:t>
            </w:r>
          </w:p>
        </w:tc>
        <w:tc>
          <w:tcPr>
            <w:tcW w:w="401" w:type="dxa"/>
            <w:tcBorders/>
            <w:shd w:fill="auto" w:val="clear"/>
            <w:vAlign w:val="center"/>
          </w:tcPr>
          <w:p>
            <w:pPr>
              <w:pStyle w:val="TableContents"/>
              <w:spacing w:before="0" w:after="283"/>
              <w:rPr/>
            </w:pPr>
            <w:r>
              <w:rPr/>
              <w:t>  </w:t>
            </w:r>
          </w:p>
        </w:tc>
        <w:tc>
          <w:tcPr>
            <w:tcW w:w="1674"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Percent</w:t>
            </w:r>
          </w:p>
        </w:tc>
        <w:tc>
          <w:tcPr>
            <w:tcW w:w="75" w:type="dxa"/>
            <w:tcBorders/>
            <w:shd w:fill="auto" w:val="clear"/>
            <w:vAlign w:val="center"/>
          </w:tcPr>
          <w:p>
            <w:pPr>
              <w:pStyle w:val="TableContents"/>
              <w:spacing w:before="0" w:after="283"/>
              <w:rPr/>
            </w:pPr>
            <w:r>
              <w:rPr/>
              <w:t> </w:t>
            </w:r>
          </w:p>
        </w:tc>
      </w:tr>
      <w:tr>
        <w:trPr/>
        <w:tc>
          <w:tcPr>
            <w:tcW w:w="486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5% shareholders</w:t>
            </w:r>
          </w:p>
        </w:tc>
        <w:tc>
          <w:tcPr>
            <w:tcW w:w="12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rPr>
                <w:sz w:val="4"/>
                <w:szCs w:val="4"/>
              </w:rPr>
            </w:pPr>
            <w:r>
              <w:rPr>
                <w:sz w:val="4"/>
                <w:szCs w:val="4"/>
              </w:rPr>
            </w:r>
          </w:p>
        </w:tc>
        <w:tc>
          <w:tcPr>
            <w:tcW w:w="2675" w:type="dxa"/>
            <w:tcBorders/>
            <w:shd w:fill="CCEEFF" w:val="clear"/>
            <w:vAlign w:val="center"/>
          </w:tcPr>
          <w:p>
            <w:pPr>
              <w:pStyle w:val="TableContents"/>
              <w:spacing w:before="0" w:after="283"/>
              <w:rPr>
                <w:sz w:val="4"/>
                <w:szCs w:val="4"/>
              </w:rPr>
            </w:pPr>
            <w:r>
              <w:rPr>
                <w:sz w:val="4"/>
                <w:szCs w:val="4"/>
              </w:rPr>
            </w:r>
          </w:p>
        </w:tc>
        <w:tc>
          <w:tcPr>
            <w:tcW w:w="200" w:type="dxa"/>
            <w:tcBorders/>
            <w:shd w:fill="CCEEFF" w:val="clear"/>
            <w:vAlign w:val="center"/>
          </w:tcPr>
          <w:p>
            <w:pPr>
              <w:pStyle w:val="TableContents"/>
              <w:spacing w:before="0" w:after="283"/>
              <w:rPr>
                <w:sz w:val="4"/>
                <w:szCs w:val="4"/>
              </w:rPr>
            </w:pPr>
            <w:r>
              <w:rPr>
                <w:sz w:val="4"/>
                <w:szCs w:val="4"/>
              </w:rPr>
            </w:r>
          </w:p>
        </w:tc>
        <w:tc>
          <w:tcPr>
            <w:tcW w:w="401"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rPr>
                <w:sz w:val="4"/>
                <w:szCs w:val="4"/>
              </w:rPr>
            </w:pPr>
            <w:r>
              <w:rPr>
                <w:sz w:val="4"/>
                <w:szCs w:val="4"/>
              </w:rPr>
            </w:r>
          </w:p>
        </w:tc>
        <w:tc>
          <w:tcPr>
            <w:tcW w:w="1474"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48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Harris Communications GmbH(1)</w:t>
            </w:r>
          </w:p>
        </w:tc>
        <w:tc>
          <w:tcPr>
            <w:tcW w:w="12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2675" w:type="dxa"/>
            <w:tcBorders/>
            <w:shd w:fill="auto" w:val="clear"/>
            <w:vAlign w:val="center"/>
          </w:tcPr>
          <w:p>
            <w:pPr>
              <w:pStyle w:val="TableContents"/>
              <w:spacing w:before="0" w:after="283"/>
              <w:jc w:val="right"/>
              <w:rPr/>
            </w:pPr>
            <w:r>
              <w:rPr/>
              <w:t>409,294</w:t>
            </w:r>
          </w:p>
        </w:tc>
        <w:tc>
          <w:tcPr>
            <w:tcW w:w="200" w:type="dxa"/>
            <w:tcBorders/>
            <w:shd w:fill="auto" w:val="clear"/>
            <w:vAlign w:val="center"/>
          </w:tcPr>
          <w:p>
            <w:pPr>
              <w:pStyle w:val="TableContents"/>
              <w:spacing w:before="0" w:after="283"/>
              <w:rPr/>
            </w:pPr>
            <w:r>
              <w:rPr/>
              <w:t> </w:t>
            </w:r>
          </w:p>
        </w:tc>
        <w:tc>
          <w:tcPr>
            <w:tcW w:w="401"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474" w:type="dxa"/>
            <w:tcBorders/>
            <w:shd w:fill="auto" w:val="clear"/>
            <w:vAlign w:val="center"/>
          </w:tcPr>
          <w:p>
            <w:pPr>
              <w:pStyle w:val="TableContents"/>
              <w:spacing w:before="0" w:after="283"/>
              <w:jc w:val="right"/>
              <w:rPr/>
            </w:pPr>
            <w:r>
              <w:rPr/>
              <w:t>7.2</w:t>
            </w:r>
          </w:p>
        </w:tc>
        <w:tc>
          <w:tcPr>
            <w:tcW w:w="75" w:type="dxa"/>
            <w:tcBorders/>
            <w:shd w:fill="auto" w:val="clear"/>
            <w:vAlign w:val="center"/>
          </w:tcPr>
          <w:p>
            <w:pPr>
              <w:pStyle w:val="TableContents"/>
              <w:spacing w:before="0" w:after="283"/>
              <w:rPr/>
            </w:pPr>
            <w:r>
              <w:rPr/>
              <w:t> </w:t>
            </w:r>
          </w:p>
        </w:tc>
      </w:tr>
      <w:tr>
        <w:trPr/>
        <w:tc>
          <w:tcPr>
            <w:tcW w:w="486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Members of our supervisory board</w:t>
            </w:r>
          </w:p>
        </w:tc>
        <w:tc>
          <w:tcPr>
            <w:tcW w:w="12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rPr>
                <w:sz w:val="4"/>
                <w:szCs w:val="4"/>
              </w:rPr>
            </w:pPr>
            <w:r>
              <w:rPr>
                <w:sz w:val="4"/>
                <w:szCs w:val="4"/>
              </w:rPr>
            </w:r>
          </w:p>
        </w:tc>
        <w:tc>
          <w:tcPr>
            <w:tcW w:w="2675" w:type="dxa"/>
            <w:tcBorders/>
            <w:shd w:fill="CCEEFF" w:val="clear"/>
            <w:vAlign w:val="center"/>
          </w:tcPr>
          <w:p>
            <w:pPr>
              <w:pStyle w:val="TableContents"/>
              <w:spacing w:before="0" w:after="283"/>
              <w:rPr>
                <w:sz w:val="4"/>
                <w:szCs w:val="4"/>
              </w:rPr>
            </w:pPr>
            <w:r>
              <w:rPr>
                <w:sz w:val="4"/>
                <w:szCs w:val="4"/>
              </w:rPr>
            </w:r>
          </w:p>
        </w:tc>
        <w:tc>
          <w:tcPr>
            <w:tcW w:w="200" w:type="dxa"/>
            <w:tcBorders/>
            <w:shd w:fill="CCEEFF" w:val="clear"/>
            <w:vAlign w:val="center"/>
          </w:tcPr>
          <w:p>
            <w:pPr>
              <w:pStyle w:val="TableContents"/>
              <w:spacing w:before="0" w:after="283"/>
              <w:rPr>
                <w:sz w:val="4"/>
                <w:szCs w:val="4"/>
              </w:rPr>
            </w:pPr>
            <w:r>
              <w:rPr>
                <w:sz w:val="4"/>
                <w:szCs w:val="4"/>
              </w:rPr>
            </w:r>
          </w:p>
        </w:tc>
        <w:tc>
          <w:tcPr>
            <w:tcW w:w="401"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rPr>
                <w:sz w:val="4"/>
                <w:szCs w:val="4"/>
              </w:rPr>
            </w:pPr>
            <w:r>
              <w:rPr>
                <w:sz w:val="4"/>
                <w:szCs w:val="4"/>
              </w:rPr>
            </w:r>
          </w:p>
        </w:tc>
        <w:tc>
          <w:tcPr>
            <w:tcW w:w="1474"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48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Dr. Manfred Krischke</w:t>
            </w:r>
          </w:p>
        </w:tc>
        <w:tc>
          <w:tcPr>
            <w:tcW w:w="12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2675" w:type="dxa"/>
            <w:tcBorders/>
            <w:shd w:fill="auto" w:val="clear"/>
            <w:vAlign w:val="center"/>
          </w:tcPr>
          <w:p>
            <w:pPr>
              <w:pStyle w:val="TableContents"/>
              <w:spacing w:before="0" w:after="283"/>
              <w:jc w:val="right"/>
              <w:rPr/>
            </w:pPr>
            <w:r>
              <w:rPr/>
              <w:t>—  </w:t>
            </w:r>
          </w:p>
        </w:tc>
        <w:tc>
          <w:tcPr>
            <w:tcW w:w="200" w:type="dxa"/>
            <w:tcBorders/>
            <w:shd w:fill="auto" w:val="clear"/>
            <w:vAlign w:val="center"/>
          </w:tcPr>
          <w:p>
            <w:pPr>
              <w:pStyle w:val="TableContents"/>
              <w:spacing w:before="0" w:after="283"/>
              <w:rPr/>
            </w:pPr>
            <w:r>
              <w:rPr/>
              <w:t> </w:t>
            </w:r>
          </w:p>
        </w:tc>
        <w:tc>
          <w:tcPr>
            <w:tcW w:w="401"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474"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48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Peter Müller-Brühl(2)</w:t>
            </w:r>
          </w:p>
        </w:tc>
        <w:tc>
          <w:tcPr>
            <w:tcW w:w="12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rPr/>
            </w:pPr>
            <w:r>
              <w:rPr/>
              <w:t> </w:t>
            </w:r>
          </w:p>
        </w:tc>
        <w:tc>
          <w:tcPr>
            <w:tcW w:w="2675" w:type="dxa"/>
            <w:tcBorders/>
            <w:shd w:fill="CCEEFF" w:val="clear"/>
            <w:vAlign w:val="center"/>
          </w:tcPr>
          <w:p>
            <w:pPr>
              <w:pStyle w:val="TableContents"/>
              <w:spacing w:before="0" w:after="283"/>
              <w:jc w:val="right"/>
              <w:rPr/>
            </w:pPr>
            <w:r>
              <w:rPr/>
              <w:t>4,445</w:t>
            </w:r>
          </w:p>
        </w:tc>
        <w:tc>
          <w:tcPr>
            <w:tcW w:w="200" w:type="dxa"/>
            <w:tcBorders/>
            <w:shd w:fill="CCEEFF" w:val="clear"/>
            <w:vAlign w:val="center"/>
          </w:tcPr>
          <w:p>
            <w:pPr>
              <w:pStyle w:val="TableContents"/>
              <w:spacing w:before="0" w:after="283"/>
              <w:rPr/>
            </w:pPr>
            <w:r>
              <w:rPr/>
              <w:t> </w:t>
            </w:r>
          </w:p>
        </w:tc>
        <w:tc>
          <w:tcPr>
            <w:tcW w:w="401"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rPr/>
            </w:pPr>
            <w:r>
              <w:rPr/>
              <w:t> </w:t>
            </w:r>
          </w:p>
        </w:tc>
        <w:tc>
          <w:tcPr>
            <w:tcW w:w="1474" w:type="dxa"/>
            <w:tcBorders/>
            <w:shd w:fill="CCEEFF" w:val="clear"/>
            <w:vAlign w:val="center"/>
          </w:tcPr>
          <w:p>
            <w:pPr>
              <w:pStyle w:val="TableContents"/>
              <w:spacing w:before="0" w:after="283"/>
              <w:jc w:val="right"/>
              <w:rPr/>
            </w:pPr>
            <w:r>
              <w:rPr/>
              <w:t>0.1</w:t>
            </w:r>
          </w:p>
        </w:tc>
        <w:tc>
          <w:tcPr>
            <w:tcW w:w="75" w:type="dxa"/>
            <w:tcBorders/>
            <w:shd w:fill="CCEEFF" w:val="clear"/>
            <w:vAlign w:val="center"/>
          </w:tcPr>
          <w:p>
            <w:pPr>
              <w:pStyle w:val="TableContents"/>
              <w:spacing w:before="0" w:after="283"/>
              <w:rPr/>
            </w:pPr>
            <w:r>
              <w:rPr/>
              <w:t> </w:t>
            </w:r>
          </w:p>
        </w:tc>
      </w:tr>
      <w:tr>
        <w:trPr/>
        <w:tc>
          <w:tcPr>
            <w:tcW w:w="48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Steve Geskos</w:t>
            </w:r>
          </w:p>
        </w:tc>
        <w:tc>
          <w:tcPr>
            <w:tcW w:w="12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2675" w:type="dxa"/>
            <w:tcBorders/>
            <w:shd w:fill="auto" w:val="clear"/>
            <w:vAlign w:val="center"/>
          </w:tcPr>
          <w:p>
            <w:pPr>
              <w:pStyle w:val="TableContents"/>
              <w:spacing w:before="0" w:after="283"/>
              <w:jc w:val="right"/>
              <w:rPr/>
            </w:pPr>
            <w:r>
              <w:rPr/>
              <w:t>—  </w:t>
            </w:r>
          </w:p>
        </w:tc>
        <w:tc>
          <w:tcPr>
            <w:tcW w:w="200" w:type="dxa"/>
            <w:tcBorders/>
            <w:shd w:fill="auto" w:val="clear"/>
            <w:vAlign w:val="center"/>
          </w:tcPr>
          <w:p>
            <w:pPr>
              <w:pStyle w:val="TableContents"/>
              <w:spacing w:before="0" w:after="283"/>
              <w:rPr/>
            </w:pPr>
            <w:r>
              <w:rPr/>
              <w:t> </w:t>
            </w:r>
          </w:p>
        </w:tc>
        <w:tc>
          <w:tcPr>
            <w:tcW w:w="401"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474"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48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Hans Königsmann</w:t>
            </w:r>
          </w:p>
        </w:tc>
        <w:tc>
          <w:tcPr>
            <w:tcW w:w="12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rPr/>
            </w:pPr>
            <w:r>
              <w:rPr/>
              <w:t> </w:t>
            </w:r>
          </w:p>
        </w:tc>
        <w:tc>
          <w:tcPr>
            <w:tcW w:w="2675" w:type="dxa"/>
            <w:tcBorders/>
            <w:shd w:fill="CCEEFF" w:val="clear"/>
            <w:vAlign w:val="center"/>
          </w:tcPr>
          <w:p>
            <w:pPr>
              <w:pStyle w:val="TableContents"/>
              <w:spacing w:before="0" w:after="283"/>
              <w:jc w:val="right"/>
              <w:rPr/>
            </w:pPr>
            <w:r>
              <w:rPr/>
              <w:t>—  </w:t>
            </w:r>
          </w:p>
        </w:tc>
        <w:tc>
          <w:tcPr>
            <w:tcW w:w="200" w:type="dxa"/>
            <w:tcBorders/>
            <w:shd w:fill="CCEEFF" w:val="clear"/>
            <w:vAlign w:val="center"/>
          </w:tcPr>
          <w:p>
            <w:pPr>
              <w:pStyle w:val="TableContents"/>
              <w:spacing w:before="0" w:after="283"/>
              <w:rPr/>
            </w:pPr>
            <w:r>
              <w:rPr/>
              <w:t> </w:t>
            </w:r>
          </w:p>
        </w:tc>
        <w:tc>
          <w:tcPr>
            <w:tcW w:w="401"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rPr/>
            </w:pPr>
            <w:r>
              <w:rPr/>
              <w:t> </w:t>
            </w:r>
          </w:p>
        </w:tc>
        <w:tc>
          <w:tcPr>
            <w:tcW w:w="1474"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48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Vincent Wobbe</w:t>
            </w:r>
          </w:p>
        </w:tc>
        <w:tc>
          <w:tcPr>
            <w:tcW w:w="12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2675" w:type="dxa"/>
            <w:tcBorders/>
            <w:shd w:fill="auto" w:val="clear"/>
            <w:vAlign w:val="center"/>
          </w:tcPr>
          <w:p>
            <w:pPr>
              <w:pStyle w:val="TableContents"/>
              <w:spacing w:before="0" w:after="283"/>
              <w:jc w:val="right"/>
              <w:rPr/>
            </w:pPr>
            <w:r>
              <w:rPr/>
              <w:t>—  </w:t>
            </w:r>
          </w:p>
        </w:tc>
        <w:tc>
          <w:tcPr>
            <w:tcW w:w="200" w:type="dxa"/>
            <w:tcBorders/>
            <w:shd w:fill="auto" w:val="clear"/>
            <w:vAlign w:val="center"/>
          </w:tcPr>
          <w:p>
            <w:pPr>
              <w:pStyle w:val="TableContents"/>
              <w:spacing w:before="0" w:after="283"/>
              <w:rPr/>
            </w:pPr>
            <w:r>
              <w:rPr/>
              <w:t> </w:t>
            </w:r>
          </w:p>
        </w:tc>
        <w:tc>
          <w:tcPr>
            <w:tcW w:w="401"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474"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486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Members of our management board</w:t>
            </w:r>
          </w:p>
        </w:tc>
        <w:tc>
          <w:tcPr>
            <w:tcW w:w="12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rPr>
                <w:sz w:val="4"/>
                <w:szCs w:val="4"/>
              </w:rPr>
            </w:pPr>
            <w:r>
              <w:rPr>
                <w:sz w:val="4"/>
                <w:szCs w:val="4"/>
              </w:rPr>
            </w:r>
          </w:p>
        </w:tc>
        <w:tc>
          <w:tcPr>
            <w:tcW w:w="2675" w:type="dxa"/>
            <w:tcBorders/>
            <w:shd w:fill="CCEEFF" w:val="clear"/>
            <w:vAlign w:val="center"/>
          </w:tcPr>
          <w:p>
            <w:pPr>
              <w:pStyle w:val="TableContents"/>
              <w:spacing w:before="0" w:after="283"/>
              <w:rPr>
                <w:sz w:val="4"/>
                <w:szCs w:val="4"/>
              </w:rPr>
            </w:pPr>
            <w:r>
              <w:rPr>
                <w:sz w:val="4"/>
                <w:szCs w:val="4"/>
              </w:rPr>
            </w:r>
          </w:p>
        </w:tc>
        <w:tc>
          <w:tcPr>
            <w:tcW w:w="200" w:type="dxa"/>
            <w:tcBorders/>
            <w:shd w:fill="CCEEFF" w:val="clear"/>
            <w:vAlign w:val="center"/>
          </w:tcPr>
          <w:p>
            <w:pPr>
              <w:pStyle w:val="TableContents"/>
              <w:spacing w:before="0" w:after="283"/>
              <w:rPr>
                <w:sz w:val="4"/>
                <w:szCs w:val="4"/>
              </w:rPr>
            </w:pPr>
            <w:r>
              <w:rPr>
                <w:sz w:val="4"/>
                <w:szCs w:val="4"/>
              </w:rPr>
            </w:r>
          </w:p>
        </w:tc>
        <w:tc>
          <w:tcPr>
            <w:tcW w:w="401"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rPr>
                <w:sz w:val="4"/>
                <w:szCs w:val="4"/>
              </w:rPr>
            </w:pPr>
            <w:r>
              <w:rPr>
                <w:sz w:val="4"/>
                <w:szCs w:val="4"/>
              </w:rPr>
            </w:r>
          </w:p>
        </w:tc>
        <w:tc>
          <w:tcPr>
            <w:tcW w:w="1474"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48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Emin Bulent Altan(3)</w:t>
            </w:r>
          </w:p>
        </w:tc>
        <w:tc>
          <w:tcPr>
            <w:tcW w:w="12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2675" w:type="dxa"/>
            <w:tcBorders/>
            <w:shd w:fill="auto" w:val="clear"/>
            <w:vAlign w:val="center"/>
          </w:tcPr>
          <w:p>
            <w:pPr>
              <w:pStyle w:val="TableContents"/>
              <w:spacing w:before="0" w:after="283"/>
              <w:jc w:val="right"/>
              <w:rPr/>
            </w:pPr>
            <w:r>
              <w:rPr/>
              <w:t>1,136</w:t>
            </w:r>
          </w:p>
        </w:tc>
        <w:tc>
          <w:tcPr>
            <w:tcW w:w="200" w:type="dxa"/>
            <w:tcBorders/>
            <w:shd w:fill="auto" w:val="clear"/>
            <w:vAlign w:val="center"/>
          </w:tcPr>
          <w:p>
            <w:pPr>
              <w:pStyle w:val="TableContents"/>
              <w:spacing w:before="0" w:after="283"/>
              <w:rPr/>
            </w:pPr>
            <w:r>
              <w:rPr/>
              <w:t> </w:t>
            </w:r>
          </w:p>
        </w:tc>
        <w:tc>
          <w:tcPr>
            <w:tcW w:w="401"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474" w:type="dxa"/>
            <w:tcBorders/>
            <w:shd w:fill="auto" w:val="clear"/>
            <w:vAlign w:val="center"/>
          </w:tcPr>
          <w:p>
            <w:pPr>
              <w:pStyle w:val="TableContents"/>
              <w:spacing w:before="0" w:after="283"/>
              <w:jc w:val="right"/>
              <w:rPr/>
            </w:pPr>
            <w:r>
              <w:rPr/>
              <w:t>0.0</w:t>
            </w:r>
          </w:p>
        </w:tc>
        <w:tc>
          <w:tcPr>
            <w:tcW w:w="75" w:type="dxa"/>
            <w:tcBorders/>
            <w:shd w:fill="auto" w:val="clear"/>
            <w:vAlign w:val="center"/>
          </w:tcPr>
          <w:p>
            <w:pPr>
              <w:pStyle w:val="TableContents"/>
              <w:spacing w:before="0" w:after="283"/>
              <w:rPr/>
            </w:pPr>
            <w:r>
              <w:rPr/>
              <w:t> </w:t>
            </w:r>
          </w:p>
        </w:tc>
      </w:tr>
      <w:tr>
        <w:trPr/>
        <w:tc>
          <w:tcPr>
            <w:tcW w:w="48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Mustafa Veziroglu</w:t>
            </w:r>
          </w:p>
        </w:tc>
        <w:tc>
          <w:tcPr>
            <w:tcW w:w="12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rPr/>
            </w:pPr>
            <w:r>
              <w:rPr/>
              <w:t> </w:t>
            </w:r>
          </w:p>
        </w:tc>
        <w:tc>
          <w:tcPr>
            <w:tcW w:w="2675" w:type="dxa"/>
            <w:tcBorders/>
            <w:shd w:fill="CCEEFF" w:val="clear"/>
            <w:vAlign w:val="center"/>
          </w:tcPr>
          <w:p>
            <w:pPr>
              <w:pStyle w:val="TableContents"/>
              <w:spacing w:before="0" w:after="283"/>
              <w:jc w:val="right"/>
              <w:rPr/>
            </w:pPr>
            <w:r>
              <w:rPr/>
              <w:t>—  </w:t>
            </w:r>
          </w:p>
        </w:tc>
        <w:tc>
          <w:tcPr>
            <w:tcW w:w="200" w:type="dxa"/>
            <w:tcBorders/>
            <w:shd w:fill="CCEEFF" w:val="clear"/>
            <w:vAlign w:val="center"/>
          </w:tcPr>
          <w:p>
            <w:pPr>
              <w:pStyle w:val="TableContents"/>
              <w:spacing w:before="0" w:after="283"/>
              <w:rPr/>
            </w:pPr>
            <w:r>
              <w:rPr/>
              <w:t> </w:t>
            </w:r>
          </w:p>
        </w:tc>
        <w:tc>
          <w:tcPr>
            <w:tcW w:w="401"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rPr/>
            </w:pPr>
            <w:r>
              <w:rPr/>
              <w:t> </w:t>
            </w:r>
          </w:p>
        </w:tc>
        <w:tc>
          <w:tcPr>
            <w:tcW w:w="1474"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48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Stefan Berndt-von Bülow(3)</w:t>
            </w:r>
          </w:p>
        </w:tc>
        <w:tc>
          <w:tcPr>
            <w:tcW w:w="12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2675" w:type="dxa"/>
            <w:tcBorders/>
            <w:shd w:fill="auto" w:val="clear"/>
            <w:vAlign w:val="center"/>
          </w:tcPr>
          <w:p>
            <w:pPr>
              <w:pStyle w:val="TableContents"/>
              <w:spacing w:before="0" w:after="283"/>
              <w:jc w:val="right"/>
              <w:rPr/>
            </w:pPr>
            <w:r>
              <w:rPr/>
              <w:t>174</w:t>
            </w:r>
          </w:p>
        </w:tc>
        <w:tc>
          <w:tcPr>
            <w:tcW w:w="200" w:type="dxa"/>
            <w:tcBorders/>
            <w:shd w:fill="auto" w:val="clear"/>
            <w:vAlign w:val="center"/>
          </w:tcPr>
          <w:p>
            <w:pPr>
              <w:pStyle w:val="TableContents"/>
              <w:spacing w:before="0" w:after="283"/>
              <w:rPr/>
            </w:pPr>
            <w:r>
              <w:rPr/>
              <w:t> </w:t>
            </w:r>
          </w:p>
        </w:tc>
        <w:tc>
          <w:tcPr>
            <w:tcW w:w="401"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474" w:type="dxa"/>
            <w:tcBorders/>
            <w:shd w:fill="auto" w:val="clear"/>
            <w:vAlign w:val="center"/>
          </w:tcPr>
          <w:p>
            <w:pPr>
              <w:pStyle w:val="TableContents"/>
              <w:spacing w:before="0" w:after="283"/>
              <w:jc w:val="right"/>
              <w:rPr/>
            </w:pPr>
            <w:r>
              <w:rPr/>
              <w:t>0.0</w:t>
            </w:r>
          </w:p>
        </w:tc>
        <w:tc>
          <w:tcPr>
            <w:tcW w:w="75" w:type="dxa"/>
            <w:tcBorders/>
            <w:shd w:fill="auto" w:val="clear"/>
            <w:vAlign w:val="center"/>
          </w:tcPr>
          <w:p>
            <w:pPr>
              <w:pStyle w:val="TableContents"/>
              <w:spacing w:before="0" w:after="283"/>
              <w:rPr/>
            </w:pPr>
            <w:r>
              <w:rPr/>
              <w:t> </w:t>
            </w:r>
          </w:p>
        </w:tc>
      </w:tr>
      <w:tr>
        <w:trPr/>
        <w:tc>
          <w:tcPr>
            <w:tcW w:w="48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Joachim Horwath</w:t>
            </w:r>
          </w:p>
        </w:tc>
        <w:tc>
          <w:tcPr>
            <w:tcW w:w="12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rPr/>
            </w:pPr>
            <w:r>
              <w:rPr/>
              <w:t> </w:t>
            </w:r>
          </w:p>
        </w:tc>
        <w:tc>
          <w:tcPr>
            <w:tcW w:w="2675" w:type="dxa"/>
            <w:tcBorders/>
            <w:shd w:fill="CCEEFF" w:val="clear"/>
            <w:vAlign w:val="center"/>
          </w:tcPr>
          <w:p>
            <w:pPr>
              <w:pStyle w:val="TableContents"/>
              <w:spacing w:before="0" w:after="283"/>
              <w:jc w:val="right"/>
              <w:rPr/>
            </w:pPr>
            <w:r>
              <w:rPr/>
              <w:t>220,527</w:t>
            </w:r>
          </w:p>
        </w:tc>
        <w:tc>
          <w:tcPr>
            <w:tcW w:w="200" w:type="dxa"/>
            <w:tcBorders/>
            <w:shd w:fill="CCEEFF" w:val="clear"/>
            <w:vAlign w:val="center"/>
          </w:tcPr>
          <w:p>
            <w:pPr>
              <w:pStyle w:val="TableContents"/>
              <w:spacing w:before="0" w:after="283"/>
              <w:rPr/>
            </w:pPr>
            <w:r>
              <w:rPr/>
              <w:t> </w:t>
            </w:r>
          </w:p>
        </w:tc>
        <w:tc>
          <w:tcPr>
            <w:tcW w:w="401"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rPr/>
            </w:pPr>
            <w:r>
              <w:rPr/>
              <w:t> </w:t>
            </w:r>
          </w:p>
        </w:tc>
        <w:tc>
          <w:tcPr>
            <w:tcW w:w="1474" w:type="dxa"/>
            <w:tcBorders/>
            <w:shd w:fill="CCEEFF" w:val="clear"/>
            <w:vAlign w:val="center"/>
          </w:tcPr>
          <w:p>
            <w:pPr>
              <w:pStyle w:val="TableContents"/>
              <w:spacing w:before="0" w:after="283"/>
              <w:jc w:val="right"/>
              <w:rPr/>
            </w:pPr>
            <w:r>
              <w:rPr/>
              <w:t>3.9</w:t>
            </w:r>
          </w:p>
        </w:tc>
        <w:tc>
          <w:tcPr>
            <w:tcW w:w="75" w:type="dxa"/>
            <w:tcBorders/>
            <w:shd w:fill="CCEEFF" w:val="clear"/>
            <w:vAlign w:val="center"/>
          </w:tcPr>
          <w:p>
            <w:pPr>
              <w:pStyle w:val="TableContents"/>
              <w:spacing w:before="0" w:after="283"/>
              <w:rPr/>
            </w:pPr>
            <w:r>
              <w:rPr/>
              <w:t> </w:t>
            </w:r>
          </w:p>
        </w:tc>
      </w:tr>
      <w:tr>
        <w:trPr/>
        <w:tc>
          <w:tcPr>
            <w:tcW w:w="486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All members of our supervisory board and management board, as a group</w:t>
            </w:r>
          </w:p>
        </w:tc>
        <w:tc>
          <w:tcPr>
            <w:tcW w:w="12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2675" w:type="dxa"/>
            <w:tcBorders/>
            <w:shd w:fill="auto" w:val="clear"/>
            <w:vAlign w:val="center"/>
          </w:tcPr>
          <w:p>
            <w:pPr>
              <w:pStyle w:val="TableContents"/>
              <w:spacing w:before="0" w:after="283"/>
              <w:jc w:val="right"/>
              <w:rPr>
                <w:b/>
              </w:rPr>
            </w:pPr>
            <w:r>
              <w:rPr>
                <w:b/>
              </w:rPr>
              <w:t>226,282</w:t>
            </w:r>
          </w:p>
        </w:tc>
        <w:tc>
          <w:tcPr>
            <w:tcW w:w="200" w:type="dxa"/>
            <w:tcBorders/>
            <w:shd w:fill="auto" w:val="clear"/>
            <w:vAlign w:val="center"/>
          </w:tcPr>
          <w:p>
            <w:pPr>
              <w:pStyle w:val="TableContents"/>
              <w:spacing w:before="0" w:after="283"/>
              <w:rPr/>
            </w:pPr>
            <w:r>
              <w:rPr/>
              <w:t> </w:t>
            </w:r>
          </w:p>
        </w:tc>
        <w:tc>
          <w:tcPr>
            <w:tcW w:w="401"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474" w:type="dxa"/>
            <w:tcBorders/>
            <w:shd w:fill="auto" w:val="clear"/>
            <w:vAlign w:val="center"/>
          </w:tcPr>
          <w:p>
            <w:pPr>
              <w:pStyle w:val="TableContents"/>
              <w:spacing w:before="0" w:after="283"/>
              <w:jc w:val="right"/>
              <w:rPr>
                <w:b/>
              </w:rPr>
            </w:pPr>
            <w:r>
              <w:rPr>
                <w:b/>
              </w:rPr>
              <w:t>4.0</w:t>
            </w:r>
          </w:p>
        </w:tc>
        <w:tc>
          <w:tcPr>
            <w:tcW w:w="75" w:type="dxa"/>
            <w:tcBorders/>
            <w:shd w:fill="auto" w:val="clear"/>
            <w:vAlign w:val="center"/>
          </w:tcPr>
          <w:p>
            <w:pPr>
              <w:pStyle w:val="TableContents"/>
              <w:spacing w:before="0" w:after="283"/>
              <w:rPr/>
            </w:pPr>
            <w:r>
              <w:rPr/>
              <w:t> </w:t>
            </w:r>
          </w:p>
        </w:tc>
      </w:tr>
      <w:tr>
        <w:trPr/>
        <w:tc>
          <w:tcPr>
            <w:tcW w:w="48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pBdr>
                <w:top w:val="single" w:sz="2" w:space="1" w:color="000000"/>
              </w:pBdr>
              <w:spacing w:before="0" w:after="0"/>
              <w:rPr/>
            </w:pPr>
            <w:r>
              <w:rPr/>
              <w:t> </w:t>
            </w:r>
          </w:p>
        </w:tc>
        <w:tc>
          <w:tcPr>
            <w:tcW w:w="2675" w:type="dxa"/>
            <w:tcBorders/>
            <w:shd w:fill="auto" w:val="clear"/>
            <w:vAlign w:val="center"/>
          </w:tcPr>
          <w:p>
            <w:pPr>
              <w:pStyle w:val="TableContents"/>
              <w:pBdr>
                <w:top w:val="single" w:sz="2" w:space="1" w:color="000000"/>
              </w:pBdr>
              <w:spacing w:before="0" w:after="0"/>
              <w:rPr/>
            </w:pPr>
            <w:r>
              <w:rPr/>
              <w:t> </w:t>
            </w:r>
          </w:p>
        </w:tc>
        <w:tc>
          <w:tcPr>
            <w:tcW w:w="200" w:type="dxa"/>
            <w:tcBorders/>
            <w:shd w:fill="auto" w:val="clear"/>
            <w:vAlign w:val="center"/>
          </w:tcPr>
          <w:p>
            <w:pPr>
              <w:pStyle w:val="TableContents"/>
              <w:spacing w:before="0" w:after="283"/>
              <w:rPr/>
            </w:pPr>
            <w:r>
              <w:rPr/>
              <w:t> </w:t>
            </w:r>
          </w:p>
        </w:tc>
        <w:tc>
          <w:tcPr>
            <w:tcW w:w="401"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pBdr>
                <w:top w:val="single" w:sz="2" w:space="1" w:color="000000"/>
              </w:pBdr>
              <w:spacing w:before="0" w:after="0"/>
              <w:rPr/>
            </w:pPr>
            <w:r>
              <w:rPr/>
              <w:t> </w:t>
            </w:r>
          </w:p>
        </w:tc>
        <w:tc>
          <w:tcPr>
            <w:tcW w:w="1474"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486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rPr/>
            </w:pPr>
            <w:r>
              <w:rPr/>
              <w:t> </w:t>
            </w:r>
          </w:p>
        </w:tc>
        <w:tc>
          <w:tcPr>
            <w:tcW w:w="2675" w:type="dxa"/>
            <w:tcBorders/>
            <w:shd w:fill="CCEEFF" w:val="clear"/>
            <w:vAlign w:val="center"/>
          </w:tcPr>
          <w:p>
            <w:pPr>
              <w:pStyle w:val="TableContents"/>
              <w:spacing w:before="0" w:after="283"/>
              <w:jc w:val="right"/>
              <w:rPr>
                <w:b/>
              </w:rPr>
            </w:pPr>
            <w:r>
              <w:rPr>
                <w:b/>
              </w:rPr>
              <w:t>635,576</w:t>
            </w:r>
          </w:p>
        </w:tc>
        <w:tc>
          <w:tcPr>
            <w:tcW w:w="200" w:type="dxa"/>
            <w:tcBorders/>
            <w:shd w:fill="CCEEFF" w:val="clear"/>
            <w:vAlign w:val="center"/>
          </w:tcPr>
          <w:p>
            <w:pPr>
              <w:pStyle w:val="TableContents"/>
              <w:spacing w:before="0" w:after="283"/>
              <w:rPr/>
            </w:pPr>
            <w:r>
              <w:rPr/>
              <w:t> </w:t>
            </w:r>
          </w:p>
        </w:tc>
        <w:tc>
          <w:tcPr>
            <w:tcW w:w="401"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rPr/>
            </w:pPr>
            <w:r>
              <w:rPr/>
              <w:t> </w:t>
            </w:r>
          </w:p>
        </w:tc>
        <w:tc>
          <w:tcPr>
            <w:tcW w:w="1474" w:type="dxa"/>
            <w:tcBorders/>
            <w:shd w:fill="CCEEFF" w:val="clear"/>
            <w:vAlign w:val="center"/>
          </w:tcPr>
          <w:p>
            <w:pPr>
              <w:pStyle w:val="TableContents"/>
              <w:spacing w:before="0" w:after="283"/>
              <w:jc w:val="right"/>
              <w:rPr>
                <w:b/>
              </w:rPr>
            </w:pPr>
            <w:r>
              <w:rPr>
                <w:b/>
              </w:rPr>
              <w:t>11.2</w:t>
            </w:r>
          </w:p>
        </w:tc>
        <w:tc>
          <w:tcPr>
            <w:tcW w:w="75" w:type="dxa"/>
            <w:tcBorders/>
            <w:shd w:fill="CCEEFF" w:val="clear"/>
            <w:vAlign w:val="center"/>
          </w:tcPr>
          <w:p>
            <w:pPr>
              <w:pStyle w:val="TableContents"/>
              <w:spacing w:before="0" w:after="283"/>
              <w:rPr/>
            </w:pPr>
            <w:r>
              <w:rPr/>
              <w:t> </w:t>
            </w:r>
          </w:p>
        </w:tc>
      </w:tr>
      <w:tr>
        <w:trPr/>
        <w:tc>
          <w:tcPr>
            <w:tcW w:w="48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pBdr>
                <w:top w:val="double" w:sz="6" w:space="1" w:color="000000"/>
              </w:pBdr>
              <w:spacing w:before="0" w:after="0"/>
              <w:rPr/>
            </w:pPr>
            <w:r>
              <w:rPr/>
              <w:t> </w:t>
            </w:r>
          </w:p>
        </w:tc>
        <w:tc>
          <w:tcPr>
            <w:tcW w:w="2675" w:type="dxa"/>
            <w:tcBorders/>
            <w:shd w:fill="auto" w:val="clear"/>
            <w:vAlign w:val="center"/>
          </w:tcPr>
          <w:p>
            <w:pPr>
              <w:pStyle w:val="TableContents"/>
              <w:pBdr>
                <w:top w:val="double" w:sz="6" w:space="1" w:color="000000"/>
              </w:pBdr>
              <w:spacing w:before="0" w:after="0"/>
              <w:rPr/>
            </w:pPr>
            <w:r>
              <w:rPr/>
              <w:t> </w:t>
            </w:r>
          </w:p>
        </w:tc>
        <w:tc>
          <w:tcPr>
            <w:tcW w:w="200" w:type="dxa"/>
            <w:tcBorders/>
            <w:shd w:fill="auto" w:val="clear"/>
            <w:vAlign w:val="center"/>
          </w:tcPr>
          <w:p>
            <w:pPr>
              <w:pStyle w:val="TableContents"/>
              <w:spacing w:before="0" w:after="283"/>
              <w:rPr/>
            </w:pPr>
            <w:r>
              <w:rPr/>
              <w:t> </w:t>
            </w:r>
          </w:p>
        </w:tc>
        <w:tc>
          <w:tcPr>
            <w:tcW w:w="401"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pBdr>
                <w:top w:val="double" w:sz="6" w:space="1" w:color="000000"/>
              </w:pBdr>
              <w:spacing w:before="0" w:after="0"/>
              <w:rPr/>
            </w:pPr>
            <w:r>
              <w:rPr/>
              <w:t> </w:t>
            </w:r>
          </w:p>
        </w:tc>
        <w:tc>
          <w:tcPr>
            <w:tcW w:w="1474" w:type="dxa"/>
            <w:tcBorders/>
            <w:shd w:fill="auto" w:val="clear"/>
            <w:vAlign w:val="center"/>
          </w:tcPr>
          <w:p>
            <w:pPr>
              <w:pStyle w:val="TableContents"/>
              <w:pBdr>
                <w:top w:val="double" w:sz="6"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42"/>
        <w:gridCol w:w="9963"/>
      </w:tblGrid>
      <w:tr>
        <w:trPr/>
        <w:tc>
          <w:tcPr>
            <w:tcW w:w="242" w:type="dxa"/>
            <w:tcBorders/>
            <w:shd w:fill="auto" w:val="clear"/>
            <w:vAlign w:val="center"/>
          </w:tcPr>
          <w:p>
            <w:pPr>
              <w:pStyle w:val="TableContents"/>
              <w:spacing w:before="0" w:after="283"/>
              <w:jc w:val="left"/>
              <w:rPr/>
            </w:pPr>
            <w:r>
              <w:rPr/>
              <w:t>(1)</w:t>
            </w:r>
          </w:p>
        </w:tc>
        <w:tc>
          <w:tcPr>
            <w:tcW w:w="996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Consists of 409,294 ordinary shares held by Harris Communications GmbH. Information herein is based upon a Schedule 13D jointly filed with the SEC on July 6, 2022 by (i) Harris Communications GmbH, a stock corporation incorporated under the laws of the Germany, with its principal office and principal business at Nymphenburger Str. 1, 80335 Munich, Germany and with company number HRB 83314; and (ii) L3Harris Technologies, Inc., a Delaware corporation. Harris Communications GmbH is an indirectly wholly owned subsidiary of L3Harris Technologies, Inc., which may be deemed to have beneficial ownership of all of these ordinary shares. </w:t>
            </w:r>
          </w:p>
        </w:tc>
      </w:tr>
    </w:tbl>
    <w:tbl>
      <w:tblPr>
        <w:tblW w:w="10205" w:type="dxa"/>
        <w:jc w:val="left"/>
        <w:tblInd w:w="0" w:type="dxa"/>
        <w:tblCellMar>
          <w:top w:w="0" w:type="dxa"/>
          <w:left w:w="0" w:type="dxa"/>
          <w:bottom w:w="0" w:type="dxa"/>
          <w:right w:w="0" w:type="dxa"/>
        </w:tblCellMar>
      </w:tblPr>
      <w:tblGrid>
        <w:gridCol w:w="262"/>
        <w:gridCol w:w="9943"/>
      </w:tblGrid>
      <w:tr>
        <w:trPr/>
        <w:tc>
          <w:tcPr>
            <w:tcW w:w="262" w:type="dxa"/>
            <w:tcBorders/>
            <w:shd w:fill="auto" w:val="clear"/>
            <w:vAlign w:val="center"/>
          </w:tcPr>
          <w:p>
            <w:pPr>
              <w:pStyle w:val="TableContents"/>
              <w:spacing w:before="0" w:after="283"/>
              <w:jc w:val="left"/>
              <w:rPr/>
            </w:pPr>
            <w:r>
              <w:rPr/>
              <w:t>(2)</w:t>
            </w:r>
          </w:p>
        </w:tc>
        <w:tc>
          <w:tcPr>
            <w:tcW w:w="994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Peter Müller-Brühl beneficially owns 4,445 ordinary shares in our Company, which he holds indirectly through EOversal UG (haftungsbeschränkt), a German limited liability entrepreneurial company (</w:t>
            </w:r>
            <w:r>
              <w:rPr>
                <w:rFonts w:ascii="Times New Roman" w:hAnsi="Times New Roman"/>
                <w:i/>
                <w:sz w:val="20"/>
              </w:rPr>
              <w:t>Unternehmergesellschaft</w:t>
            </w:r>
            <w:r>
              <w:rPr>
                <w:rFonts w:ascii="Times New Roman" w:hAnsi="Times New Roman"/>
                <w:sz w:val="20"/>
              </w:rPr>
              <w:t xml:space="preserve">), wholly-owned by him. </w:t>
            </w:r>
          </w:p>
        </w:tc>
      </w:tr>
    </w:tbl>
    <w:tbl>
      <w:tblPr>
        <w:tblW w:w="10205" w:type="dxa"/>
        <w:jc w:val="left"/>
        <w:tblInd w:w="0" w:type="dxa"/>
        <w:tblCellMar>
          <w:top w:w="0" w:type="dxa"/>
          <w:left w:w="0" w:type="dxa"/>
          <w:bottom w:w="0" w:type="dxa"/>
          <w:right w:w="0" w:type="dxa"/>
        </w:tblCellMar>
      </w:tblPr>
      <w:tblGrid>
        <w:gridCol w:w="273"/>
        <w:gridCol w:w="9932"/>
      </w:tblGrid>
      <w:tr>
        <w:trPr/>
        <w:tc>
          <w:tcPr>
            <w:tcW w:w="273" w:type="dxa"/>
            <w:tcBorders/>
            <w:shd w:fill="auto" w:val="clear"/>
            <w:vAlign w:val="center"/>
          </w:tcPr>
          <w:p>
            <w:pPr>
              <w:pStyle w:val="TableContents"/>
              <w:spacing w:before="0" w:after="283"/>
              <w:jc w:val="left"/>
              <w:rPr/>
            </w:pPr>
            <w:r>
              <w:rPr/>
              <w:t>(3)</w:t>
            </w:r>
          </w:p>
        </w:tc>
        <w:tc>
          <w:tcPr>
            <w:tcW w:w="9932"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Emin Bulent Altan directly holds 4,545 ADSs representing 1,136 ordinary shares in our Company and Stefan Berndt-von Bülow directly holds 696 ADSs representing 174 ordinary shares in our Company </w:t>
            </w:r>
          </w:p>
        </w:tc>
      </w:tr>
    </w:tbl>
    <w:p>
      <w:pPr>
        <w:pStyle w:val="TextBody"/>
        <w:spacing w:before="240" w:after="0"/>
        <w:jc w:val="both"/>
        <w:rPr>
          <w:rFonts w:ascii="Times New Roman" w:hAnsi="Times New Roman"/>
          <w:sz w:val="20"/>
        </w:rPr>
      </w:pPr>
      <w:r>
        <w:rPr>
          <w:rFonts w:ascii="Times New Roman" w:hAnsi="Times New Roman"/>
          <w:sz w:val="20"/>
        </w:rPr>
        <w:t xml:space="preserve">To our knowledge, no other shareholder beneficially owns more than 5% of our shares. </w:t>
      </w:r>
    </w:p>
    <w:p>
      <w:pPr>
        <w:pStyle w:val="TextBody"/>
        <w:spacing w:before="240" w:after="0"/>
        <w:jc w:val="both"/>
        <w:rPr>
          <w:rFonts w:ascii="Times New Roman" w:hAnsi="Times New Roman"/>
          <w:sz w:val="20"/>
        </w:rPr>
      </w:pPr>
      <w:r>
        <w:rPr>
          <w:rFonts w:ascii="Times New Roman" w:hAnsi="Times New Roman"/>
          <w:sz w:val="20"/>
        </w:rPr>
        <w:t xml:space="preserve">Immediately following the completion of our initial public offering in the U.S. in November 2021, 1,150,000 of our ordinary shares are traded in the United States by means of ADSs. Four ADSs currently represent one ordinary share of the Company. On April 26, 2023, based on information provided by The Bank of New York Mellon, as depositary, there were 2,989,692 ADSs (representing 747,423 ordinary shares) outstanding. The ordinary shares underlying such ADSs represent 13.2% of our current share capital (not taking into account the capital increase that is currently pending). We are not aware of any arrangement that may at a subsequent date, result in a change of control of Mynaric. </w:t>
      </w:r>
    </w:p>
    <w:p>
      <w:pPr>
        <w:pStyle w:val="TextBody"/>
        <w:spacing w:before="240" w:after="0"/>
        <w:jc w:val="both"/>
        <w:rPr>
          <w:rFonts w:ascii="Times New Roman" w:hAnsi="Times New Roman"/>
          <w:sz w:val="20"/>
        </w:rPr>
      </w:pPr>
      <w:r>
        <w:rPr>
          <w:rFonts w:ascii="Times New Roman" w:hAnsi="Times New Roman"/>
          <w:sz w:val="20"/>
        </w:rPr>
        <w:t xml:space="preserve">Subject to the provisions of the deposit agreement, none of our shareholders has different voting rights from other shareholders. We are not aware of any arrangement that may, at a subsequent date, result in a change of control of our company. </w:t>
      </w:r>
    </w:p>
    <w:p>
      <w:pPr>
        <w:pStyle w:val="TextBody"/>
        <w:spacing w:before="360" w:after="0"/>
        <w:jc w:val="left"/>
        <w:rPr>
          <w:rFonts w:ascii="Times New Roman" w:hAnsi="Times New Roman"/>
          <w:b/>
          <w:sz w:val="20"/>
        </w:rPr>
      </w:pPr>
      <w:bookmarkStart w:id="39" w:name="tx497326_37"/>
      <w:bookmarkEnd w:id="39"/>
      <w:r>
        <w:rPr>
          <w:rFonts w:ascii="Times New Roman" w:hAnsi="Times New Roman"/>
          <w:b/>
          <w:sz w:val="20"/>
        </w:rPr>
        <w:t xml:space="preserve">B. Related Party Transactions </w:t>
      </w:r>
    </w:p>
    <w:p>
      <w:pPr>
        <w:pStyle w:val="TextBody"/>
        <w:spacing w:before="120" w:after="0"/>
        <w:jc w:val="both"/>
        <w:rPr>
          <w:rFonts w:ascii="Times New Roman" w:hAnsi="Times New Roman"/>
          <w:sz w:val="20"/>
        </w:rPr>
      </w:pPr>
      <w:r>
        <w:rPr>
          <w:rFonts w:ascii="Times New Roman" w:hAnsi="Times New Roman"/>
          <w:sz w:val="20"/>
        </w:rPr>
        <w:t xml:space="preserve">The following is a description of related party transactions we have entered into since January 1, 2018, with any members of our management or supervisory board, executive officers or holders of more than 10% of any class of our voting securities.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Consultancy Agreement with Apeiron Advisory Ltd. </w:t>
      </w:r>
    </w:p>
    <w:p>
      <w:pPr>
        <w:pStyle w:val="TextBody"/>
        <w:spacing w:before="120" w:after="0"/>
        <w:jc w:val="both"/>
        <w:rPr>
          <w:rFonts w:ascii="Times New Roman" w:hAnsi="Times New Roman"/>
          <w:sz w:val="20"/>
        </w:rPr>
      </w:pPr>
      <w:r>
        <w:rPr>
          <w:rFonts w:ascii="Times New Roman" w:hAnsi="Times New Roman"/>
          <w:sz w:val="20"/>
        </w:rPr>
        <w:t xml:space="preserve">On March 25, 2022, we and Apeiron Advisory Ltd. (an affiliate of Apeiron, one of our former shareholders) entered into a consultancy agreement pursuant to which Apeiron Advisory Ltd. provides political and strategic advisory services, including supporting our management team in building a relevant network of decision makers, thought leaders and institutional investors, as well as navigating government and international affairs. Mr. Vincent Wobbe, a member of our supervisory board, is considered a related party due to his employment by Apeiron. As of December 31, 2022, we recognized expenses in the amount of €480 thousand and a liability in the amount of €30 thousand relating to the agreement with Apeiron Advisory Ltd. </w:t>
      </w:r>
    </w:p>
    <w:p>
      <w:pPr>
        <w:pStyle w:val="TextBody"/>
        <w:spacing w:before="360" w:after="0"/>
        <w:jc w:val="left"/>
        <w:rPr>
          <w:rFonts w:ascii="Times New Roman" w:hAnsi="Times New Roman"/>
          <w:b/>
          <w:sz w:val="20"/>
        </w:rPr>
      </w:pPr>
      <w:r>
        <w:rPr>
          <w:rFonts w:ascii="Times New Roman" w:hAnsi="Times New Roman"/>
          <w:b/>
          <w:sz w:val="20"/>
        </w:rPr>
        <w:t xml:space="preserve">Management Service Agreement with MCConsult </w:t>
      </w:r>
    </w:p>
    <w:p>
      <w:pPr>
        <w:pStyle w:val="TextBody"/>
        <w:spacing w:before="120" w:after="0"/>
        <w:jc w:val="both"/>
        <w:rPr>
          <w:rFonts w:ascii="Times New Roman" w:hAnsi="Times New Roman"/>
          <w:sz w:val="20"/>
        </w:rPr>
      </w:pPr>
      <w:r>
        <w:rPr>
          <w:rFonts w:ascii="Times New Roman" w:hAnsi="Times New Roman"/>
          <w:sz w:val="20"/>
        </w:rPr>
        <w:t xml:space="preserve">On September 20, 2017, we entered into a management service agreement with Adelanto management services s.I. (“Adelanto”), a private limited company incorporated under Spanish law, pursuant to which Wolfram Peschko agreed to provide management services to the Company in connection with his management of the Company as a member of the management board. The management service agreement with Adelanto, which was wholly-owned by Mr. Peschko, had an initial term until May 19, 2022. In connection with his appointment as member of the management board, we entered into a separate service agreement with Mr. Peschko, dated September 21, 2017. </w:t>
      </w:r>
    </w:p>
    <w:p>
      <w:pPr>
        <w:pStyle w:val="TextBody"/>
        <w:spacing w:before="240" w:after="0"/>
        <w:jc w:val="both"/>
        <w:rPr>
          <w:rFonts w:ascii="Times New Roman" w:hAnsi="Times New Roman"/>
          <w:sz w:val="20"/>
        </w:rPr>
      </w:pPr>
      <w:r>
        <w:rPr>
          <w:rFonts w:ascii="Times New Roman" w:hAnsi="Times New Roman"/>
          <w:sz w:val="20"/>
        </w:rPr>
        <w:t>On January 23, 2019, the initial management service agreement with Adelanto was subsequently transferred to and assumed by MCConsult (the “MCConsult Management Agreement”). Under the initial management service agreement with Adelanto, Mr. Peschko was entitled to receive an annual fixed salary (plus value added tax) and a variable bonus up to 50% of his annual fixed salary contingent upon achievement of predetermined milestones and targets. On May 27, 2020, Mr. Peschko resigned from the management board with immediate effect. As part of his resignation package, we entered into a severance agreement, dated June 13, 2020, pursuant to which (i) his separate service agreement was terminated with effect as of May 27, 2020 (</w:t>
      </w:r>
      <w:r>
        <w:rPr>
          <w:rFonts w:ascii="Times New Roman" w:hAnsi="Times New Roman"/>
          <w:i/>
          <w:sz w:val="20"/>
        </w:rPr>
        <w:t>i.e.</w:t>
      </w:r>
      <w:r>
        <w:rPr>
          <w:rFonts w:ascii="Times New Roman" w:hAnsi="Times New Roman"/>
          <w:sz w:val="20"/>
        </w:rPr>
        <w:t xml:space="preserve">, the date of his resignation), (ii) we agreed to grant him 17,000 stock options in the Company that immediately vested, and (iii) we agreed to amend the MCConsult Management Agreement. Under the amended MCConsult Management Agreement, Mr. Peschko was initially engaged to provide certain consulting services relating to our China business. Since we decided to discontinue our China business in mid-2020, we agreed to continue payment of the service fee under the MCConsult Management Agreement as part of his severance pay; the agreement expired on May 19, 2022. </w:t>
      </w:r>
    </w:p>
    <w:p>
      <w:pPr>
        <w:pStyle w:val="TextBody"/>
        <w:spacing w:before="240" w:after="0"/>
        <w:jc w:val="both"/>
        <w:rPr>
          <w:rFonts w:ascii="Times New Roman" w:hAnsi="Times New Roman"/>
          <w:sz w:val="20"/>
        </w:rPr>
      </w:pPr>
      <w:r>
        <w:rPr>
          <w:rFonts w:ascii="Times New Roman" w:hAnsi="Times New Roman"/>
          <w:sz w:val="20"/>
        </w:rPr>
        <w:t xml:space="preserve">In connection with the MCConsult Management Agreement and the severance agreement, we recorded expenses in the amount of €93 thousand for the financial year ended December 31, 2022. As of December 31, 2022, we did not have any outstanding liabilities due to MCConsult. </w:t>
      </w:r>
    </w:p>
    <w:p>
      <w:pPr>
        <w:pStyle w:val="TextBody"/>
        <w:spacing w:before="360" w:after="0"/>
        <w:jc w:val="left"/>
        <w:rPr>
          <w:rFonts w:ascii="Times New Roman" w:hAnsi="Times New Roman"/>
          <w:b/>
          <w:sz w:val="20"/>
        </w:rPr>
      </w:pPr>
      <w:r>
        <w:rPr>
          <w:rFonts w:ascii="Times New Roman" w:hAnsi="Times New Roman"/>
          <w:b/>
          <w:sz w:val="20"/>
        </w:rPr>
        <w:t xml:space="preserve">Option Agreement with Emin Bulent Altan </w:t>
      </w:r>
    </w:p>
    <w:p>
      <w:pPr>
        <w:pStyle w:val="TextBody"/>
        <w:spacing w:before="120" w:after="0"/>
        <w:jc w:val="both"/>
        <w:rPr>
          <w:rFonts w:ascii="Times New Roman" w:hAnsi="Times New Roman"/>
          <w:sz w:val="20"/>
        </w:rPr>
      </w:pPr>
      <w:r>
        <w:rPr>
          <w:rFonts w:ascii="Times New Roman" w:hAnsi="Times New Roman"/>
          <w:sz w:val="20"/>
        </w:rPr>
        <w:t xml:space="preserve">Apeiron, one of our former shareholders, and Emin Bulent Altan, our Chief Executive Officer and a member of our management board, entered into an option agreement, dated August 13, 2019 (as amended), under which Apeiron granted Mr. Altan the right to acquire 56,700 ordinary shares of the Company at a price of €25.00 per share (the “Altan Option Agreement”). Under the Altan Option Agreement, Mr. Altan was initially entitled to exercise the option during a four week exercise period following written notice by Apeiron that certain conditions precedent under the agreement have been met (the “Initial Exercise Period”). While the Initial Exercise Period would have expired in December 2020, Apeiron and Mr. Altan agreed to extend the exercise period under the Altan Option Agreement to December 31, 2022. Since the parties did not further extend the exercise period under the Altan Option Agreement, Mr. Altan’s option to acquire 56,700 ordinary shares of the Company expired on December 31, 2022. </w:t>
      </w:r>
    </w:p>
    <w:p>
      <w:pPr>
        <w:pStyle w:val="TextBody"/>
        <w:spacing w:before="360" w:after="0"/>
        <w:jc w:val="left"/>
        <w:rPr>
          <w:rFonts w:ascii="Times New Roman" w:hAnsi="Times New Roman"/>
          <w:b/>
          <w:sz w:val="20"/>
        </w:rPr>
      </w:pPr>
      <w:r>
        <w:rPr>
          <w:rFonts w:ascii="Times New Roman" w:hAnsi="Times New Roman"/>
          <w:b/>
          <w:sz w:val="20"/>
        </w:rPr>
        <w:t xml:space="preserve">Business Opportunity Agreement </w:t>
      </w:r>
    </w:p>
    <w:p>
      <w:pPr>
        <w:pStyle w:val="TextBody"/>
        <w:spacing w:before="120" w:after="0"/>
        <w:jc w:val="both"/>
        <w:rPr>
          <w:rFonts w:ascii="Times New Roman" w:hAnsi="Times New Roman"/>
          <w:sz w:val="20"/>
        </w:rPr>
      </w:pPr>
      <w:r>
        <w:rPr>
          <w:rFonts w:ascii="Times New Roman" w:hAnsi="Times New Roman"/>
          <w:sz w:val="20"/>
        </w:rPr>
        <w:t xml:space="preserve">Emin Bulent Altan, member of our management board and Chief Executive Officer, is an investment partner (together with the founder of Apeiron Investment Group Ltd., one of our former shareholders) with, and serves as a member of the recommendation committee of, Alpine Space Ventures Management GmbH, which acts as the alternative investment fund manager of the ASV Fund. As a result, conflicts of interest could arise in the future between us, on the one hand, and the ASV Fund and its affiliates, on the other hand, concerning potential investment or business opportunities in the field of laser communication technology and products as well as the development and implementation of quantum communication technology for long distance data transmission between moving objects for terrestrial, airborne and spaceborne applications (the “Core Business”).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In order to address such potential conflicts of interests, we entered into a business opportunity agreement with Emin Bulent Altan and the ASV Fund (the “Business Opportunity Agreement”) dated October 21, 2021. Pursuant to the Business Opportunity Agreement, the ASV Fund is required to present any potential business opportunity that is in the scope of our Core Business to us before pursuing, acquiring, or otherwise utilizing such business opportunity. If (and only if) we elect not to pursue such opportunity, the ASV Fund may do so. Under the Business Opportunity Agreement, we also have a right of first offer, pursuant to which we are entitled to acquire any existing investments in the Core Business that the ASV Fund intends to transfer to a third party. The Business Opportunity Agreement may be terminated by either party for cause, which includes (i) the application for the opening of insolvency proceedings against any party, (ii) the termination of Mr. Altan’s engagement as the CEO of Mynaric or (iii) the termination of Mr. Altan’s permanent involvement in the affairs of the ASV Fund. </w:t>
      </w:r>
    </w:p>
    <w:p>
      <w:pPr>
        <w:pStyle w:val="TextBody"/>
        <w:spacing w:before="360" w:after="0"/>
        <w:jc w:val="left"/>
        <w:rPr>
          <w:rFonts w:ascii="Times New Roman" w:hAnsi="Times New Roman"/>
          <w:b/>
          <w:sz w:val="20"/>
        </w:rPr>
      </w:pPr>
      <w:r>
        <w:rPr>
          <w:rFonts w:ascii="Times New Roman" w:hAnsi="Times New Roman"/>
          <w:b/>
          <w:sz w:val="20"/>
        </w:rPr>
        <w:t xml:space="preserve">Relationship with a Former Supervisory Board Member </w:t>
      </w:r>
    </w:p>
    <w:p>
      <w:pPr>
        <w:pStyle w:val="TextBody"/>
        <w:spacing w:before="120" w:after="0"/>
        <w:jc w:val="both"/>
        <w:rPr>
          <w:rFonts w:ascii="Times New Roman" w:hAnsi="Times New Roman"/>
          <w:sz w:val="20"/>
        </w:rPr>
      </w:pPr>
      <w:r>
        <w:rPr>
          <w:rFonts w:ascii="Times New Roman" w:hAnsi="Times New Roman"/>
          <w:sz w:val="20"/>
        </w:rPr>
        <w:t xml:space="preserve">Thomas Mayrhofer, a former member of our supervisory board who resigned in 2020, is a partner of Pinsent Masons LLP, a law firm that provided legal advisory services to us. For the year ended December 31, 2022, related party expenses involving Pinsent Masons LLP amounted to €5 thousand. As of December 31, 2022, we did not have any outstanding liabilities due to Pinsent Masons LLP. </w:t>
      </w:r>
    </w:p>
    <w:p>
      <w:pPr>
        <w:pStyle w:val="TextBody"/>
        <w:spacing w:before="360" w:after="0"/>
        <w:jc w:val="left"/>
        <w:rPr>
          <w:rFonts w:ascii="Times New Roman" w:hAnsi="Times New Roman"/>
          <w:b/>
          <w:sz w:val="20"/>
        </w:rPr>
      </w:pPr>
      <w:r>
        <w:rPr>
          <w:rFonts w:ascii="Times New Roman" w:hAnsi="Times New Roman"/>
          <w:b/>
          <w:sz w:val="20"/>
        </w:rPr>
        <w:t xml:space="preserve">Relationship with Ariane Knapek </w:t>
      </w:r>
    </w:p>
    <w:p>
      <w:pPr>
        <w:pStyle w:val="TextBody"/>
        <w:spacing w:before="120" w:after="0"/>
        <w:jc w:val="both"/>
        <w:rPr>
          <w:rFonts w:ascii="Times New Roman" w:hAnsi="Times New Roman"/>
          <w:sz w:val="20"/>
        </w:rPr>
      </w:pPr>
      <w:r>
        <w:rPr>
          <w:rFonts w:ascii="Times New Roman" w:hAnsi="Times New Roman"/>
          <w:sz w:val="20"/>
        </w:rPr>
        <w:t xml:space="preserve">Ariane Knapek is the spouse of Markus Knapek, a former member of our management board and a former significant shareholder in our Company. Ms. Knapek was a part-time employee with the Company from June 2016 to January 2021 and received a salary at arm’s length terms. </w:t>
      </w:r>
    </w:p>
    <w:p>
      <w:pPr>
        <w:pStyle w:val="TextBody"/>
        <w:spacing w:before="360" w:after="0"/>
        <w:jc w:val="left"/>
        <w:rPr>
          <w:rFonts w:ascii="Times New Roman" w:hAnsi="Times New Roman"/>
          <w:b/>
          <w:sz w:val="20"/>
        </w:rPr>
      </w:pPr>
      <w:bookmarkStart w:id="40" w:name="tx497326_38"/>
      <w:bookmarkEnd w:id="40"/>
      <w:r>
        <w:rPr>
          <w:rFonts w:ascii="Times New Roman" w:hAnsi="Times New Roman"/>
          <w:b/>
          <w:sz w:val="20"/>
        </w:rPr>
        <w:t xml:space="preserve">C. Interests of Experts and Counsel </w:t>
      </w:r>
    </w:p>
    <w:p>
      <w:pPr>
        <w:pStyle w:val="TextBody"/>
        <w:spacing w:before="120" w:after="0"/>
        <w:jc w:val="both"/>
        <w:rPr>
          <w:rFonts w:ascii="Times New Roman" w:hAnsi="Times New Roman"/>
          <w:sz w:val="20"/>
        </w:rPr>
      </w:pPr>
      <w:r>
        <w:rPr>
          <w:rFonts w:ascii="Times New Roman" w:hAnsi="Times New Roman"/>
          <w:sz w:val="20"/>
        </w:rPr>
        <w:t xml:space="preserve">Not Applicable. </w:t>
      </w:r>
    </w:p>
    <w:p>
      <w:pPr>
        <w:pStyle w:val="TextBody"/>
        <w:spacing w:before="360" w:after="0"/>
        <w:jc w:val="left"/>
        <w:rPr>
          <w:rFonts w:ascii="Times New Roman" w:hAnsi="Times New Roman"/>
          <w:b/>
          <w:sz w:val="20"/>
        </w:rPr>
      </w:pPr>
      <w:bookmarkStart w:id="41" w:name="tx497326_39"/>
      <w:bookmarkEnd w:id="41"/>
      <w:r>
        <w:rPr>
          <w:rFonts w:ascii="Times New Roman" w:hAnsi="Times New Roman"/>
          <w:b/>
          <w:sz w:val="20"/>
        </w:rPr>
        <w:t xml:space="preserve">ITEM 8. FINANCIAL INFORMATION. </w:t>
      </w:r>
    </w:p>
    <w:p>
      <w:pPr>
        <w:pStyle w:val="TextBody"/>
        <w:spacing w:before="120" w:after="0"/>
        <w:jc w:val="left"/>
        <w:rPr>
          <w:rFonts w:ascii="Times New Roman" w:hAnsi="Times New Roman"/>
          <w:b/>
          <w:sz w:val="20"/>
        </w:rPr>
      </w:pPr>
      <w:bookmarkStart w:id="42" w:name="tx497326_40"/>
      <w:bookmarkEnd w:id="42"/>
      <w:r>
        <w:rPr>
          <w:rFonts w:ascii="Times New Roman" w:hAnsi="Times New Roman"/>
          <w:b/>
          <w:sz w:val="20"/>
        </w:rPr>
        <w:t xml:space="preserve">A. Consolidated Statements and Other Financial Information. </w:t>
      </w:r>
    </w:p>
    <w:p>
      <w:pPr>
        <w:pStyle w:val="TextBody"/>
        <w:spacing w:before="120" w:after="0"/>
        <w:jc w:val="both"/>
        <w:rPr>
          <w:rFonts w:ascii="Times New Roman" w:hAnsi="Times New Roman"/>
          <w:sz w:val="20"/>
        </w:rPr>
      </w:pPr>
      <w:r>
        <w:rPr>
          <w:rFonts w:ascii="Times New Roman" w:hAnsi="Times New Roman"/>
          <w:sz w:val="20"/>
        </w:rPr>
        <w:t xml:space="preserve">See “Item 18. Financial Statements” and our audited consolidated financial statements beginning on page F-1. </w:t>
      </w:r>
    </w:p>
    <w:p>
      <w:pPr>
        <w:pStyle w:val="TextBody"/>
        <w:spacing w:before="360" w:after="0"/>
        <w:jc w:val="left"/>
        <w:rPr>
          <w:rFonts w:ascii="Times New Roman" w:hAnsi="Times New Roman"/>
          <w:b/>
          <w:sz w:val="20"/>
        </w:rPr>
      </w:pPr>
      <w:r>
        <w:rPr>
          <w:rFonts w:ascii="Times New Roman" w:hAnsi="Times New Roman"/>
          <w:b/>
          <w:sz w:val="20"/>
        </w:rPr>
        <w:t xml:space="preserve">Legal Proceedings </w:t>
      </w:r>
    </w:p>
    <w:p>
      <w:pPr>
        <w:pStyle w:val="TextBody"/>
        <w:spacing w:before="120" w:after="0"/>
        <w:jc w:val="both"/>
        <w:rPr>
          <w:rFonts w:ascii="Times New Roman" w:hAnsi="Times New Roman"/>
          <w:sz w:val="20"/>
        </w:rPr>
      </w:pPr>
      <w:r>
        <w:rPr>
          <w:rFonts w:ascii="Times New Roman" w:hAnsi="Times New Roman"/>
          <w:sz w:val="20"/>
        </w:rPr>
        <w:t xml:space="preserve">See “Item 4. Information on the Company—B. Business Overview—Legal Proceedings”. </w:t>
      </w:r>
    </w:p>
    <w:p>
      <w:pPr>
        <w:pStyle w:val="TextBody"/>
        <w:spacing w:before="360" w:after="0"/>
        <w:jc w:val="left"/>
        <w:rPr>
          <w:rFonts w:ascii="Times New Roman" w:hAnsi="Times New Roman"/>
          <w:b/>
          <w:sz w:val="20"/>
        </w:rPr>
      </w:pPr>
      <w:r>
        <w:rPr>
          <w:rFonts w:ascii="Times New Roman" w:hAnsi="Times New Roman"/>
          <w:b/>
          <w:sz w:val="20"/>
        </w:rPr>
        <w:t xml:space="preserve">Dividends </w:t>
      </w:r>
    </w:p>
    <w:p>
      <w:pPr>
        <w:pStyle w:val="TextBody"/>
        <w:spacing w:before="120" w:after="0"/>
        <w:jc w:val="both"/>
        <w:rPr>
          <w:rFonts w:ascii="Times New Roman" w:hAnsi="Times New Roman"/>
          <w:sz w:val="20"/>
        </w:rPr>
      </w:pPr>
      <w:r>
        <w:rPr>
          <w:rFonts w:ascii="Times New Roman" w:hAnsi="Times New Roman"/>
          <w:sz w:val="20"/>
        </w:rPr>
        <w:t xml:space="preserve">We have never paid or declared any dividends in the past, and we do not anticipate paying any dividends in the foreseeable future. We intend to retain all available funds and any future earnings to fund the development of our technology and products and the start of serial production as well as the further development and expansion of our business. Except as required by law, any future determination to pay dividends will be dependent upon, among other factors, our results of operations, financial condition, contractual restrictions and capital requirements. Our future ability to pay dividends may be limited by the terms of any existing and future debt or preferred securities. </w:t>
      </w:r>
    </w:p>
    <w:p>
      <w:pPr>
        <w:pStyle w:val="TextBody"/>
        <w:spacing w:before="240" w:after="0"/>
        <w:jc w:val="both"/>
        <w:rPr>
          <w:rFonts w:ascii="Times New Roman" w:hAnsi="Times New Roman"/>
          <w:sz w:val="20"/>
        </w:rPr>
      </w:pPr>
      <w:r>
        <w:rPr>
          <w:rFonts w:ascii="Times New Roman" w:hAnsi="Times New Roman"/>
          <w:sz w:val="20"/>
        </w:rPr>
        <w:t xml:space="preserve">All of the shares represented by our ADSs will generally have the same dividend rights as all of our other outstanding shares. However, the depositary may limit distributions based on practical considerations and legal limitations. Any distribution of dividends proposed by our management and supervisory boards requires the approval of our shareholders in a shareholders’ meeting. </w:t>
      </w:r>
    </w:p>
    <w:p>
      <w:pPr>
        <w:pStyle w:val="TextBody"/>
        <w:spacing w:before="240" w:after="0"/>
        <w:jc w:val="both"/>
        <w:rPr>
          <w:rFonts w:ascii="Times New Roman" w:hAnsi="Times New Roman"/>
          <w:sz w:val="20"/>
        </w:rPr>
      </w:pPr>
      <w:r>
        <w:rPr>
          <w:rFonts w:ascii="Times New Roman" w:hAnsi="Times New Roman"/>
          <w:sz w:val="20"/>
        </w:rPr>
        <w:t xml:space="preserve">We have not paid dividends in the years ended December 31, 2022, December 31, 2021 and December 31, 2020. </w:t>
      </w:r>
    </w:p>
    <w:p>
      <w:pPr>
        <w:pStyle w:val="TextBody"/>
        <w:spacing w:before="360" w:after="0"/>
        <w:jc w:val="left"/>
        <w:rPr>
          <w:rFonts w:ascii="Times New Roman" w:hAnsi="Times New Roman"/>
          <w:b/>
          <w:sz w:val="20"/>
        </w:rPr>
      </w:pPr>
      <w:bookmarkStart w:id="43" w:name="tx497326_41"/>
      <w:bookmarkEnd w:id="43"/>
      <w:r>
        <w:rPr>
          <w:rFonts w:ascii="Times New Roman" w:hAnsi="Times New Roman"/>
          <w:b/>
          <w:sz w:val="20"/>
        </w:rPr>
        <w:t xml:space="preserve">B. Significant Changes </w:t>
      </w:r>
    </w:p>
    <w:p>
      <w:pPr>
        <w:pStyle w:val="TextBody"/>
        <w:spacing w:before="120" w:after="0"/>
        <w:jc w:val="both"/>
        <w:rPr>
          <w:rFonts w:ascii="Times New Roman" w:hAnsi="Times New Roman"/>
          <w:sz w:val="20"/>
        </w:rPr>
      </w:pPr>
      <w:r>
        <w:rPr>
          <w:rFonts w:ascii="Times New Roman" w:hAnsi="Times New Roman"/>
          <w:sz w:val="20"/>
        </w:rPr>
        <w:t xml:space="preserve">Except as otherwise disclosed in this Annual Report, there has been no undisclosed significant change since the date of the annual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bookmarkStart w:id="44" w:name="tx497326_42"/>
      <w:bookmarkEnd w:id="44"/>
      <w:r>
        <w:rPr>
          <w:rFonts w:ascii="Times New Roman" w:hAnsi="Times New Roman"/>
          <w:b/>
          <w:sz w:val="20"/>
        </w:rPr>
        <w:t xml:space="preserve">ITEM 9. THE OFFER AND LISTING </w:t>
      </w:r>
    </w:p>
    <w:p>
      <w:pPr>
        <w:pStyle w:val="TextBody"/>
        <w:spacing w:before="120" w:after="0"/>
        <w:jc w:val="left"/>
        <w:rPr>
          <w:rFonts w:ascii="Times New Roman" w:hAnsi="Times New Roman"/>
          <w:b/>
          <w:sz w:val="20"/>
        </w:rPr>
      </w:pPr>
      <w:bookmarkStart w:id="45" w:name="tx497326_43"/>
      <w:bookmarkEnd w:id="45"/>
      <w:r>
        <w:rPr>
          <w:rFonts w:ascii="Times New Roman" w:hAnsi="Times New Roman"/>
          <w:b/>
          <w:sz w:val="20"/>
        </w:rPr>
        <w:t xml:space="preserve">A. Offer and Listing Details </w:t>
      </w:r>
    </w:p>
    <w:p>
      <w:pPr>
        <w:pStyle w:val="TextBody"/>
        <w:spacing w:before="120" w:after="0"/>
        <w:jc w:val="both"/>
        <w:rPr>
          <w:rFonts w:ascii="Times New Roman" w:hAnsi="Times New Roman"/>
          <w:sz w:val="20"/>
        </w:rPr>
      </w:pPr>
      <w:r>
        <w:rPr>
          <w:rFonts w:ascii="Times New Roman" w:hAnsi="Times New Roman"/>
          <w:sz w:val="20"/>
        </w:rPr>
        <w:t xml:space="preserve">Our ordinary shares have been trading on the Frankfurt Stock Exchange under the symbol “M0Y” since October 2017. Prior to that date, there was no public trading market for the ADSs or our ordinary shares. </w:t>
      </w:r>
    </w:p>
    <w:p>
      <w:pPr>
        <w:pStyle w:val="TextBody"/>
        <w:spacing w:before="240" w:after="0"/>
        <w:jc w:val="both"/>
        <w:rPr>
          <w:rFonts w:ascii="Times New Roman" w:hAnsi="Times New Roman"/>
          <w:sz w:val="20"/>
        </w:rPr>
      </w:pPr>
      <w:r>
        <w:rPr>
          <w:rFonts w:ascii="Times New Roman" w:hAnsi="Times New Roman"/>
          <w:sz w:val="20"/>
        </w:rPr>
        <w:t xml:space="preserve">The ADSs, every four ADSs representing one ordinary share, have been listed on the Nasdaq Global Select Market since November 12, 2021. The ADSs trade under the symbol “MYNA.” Prior to that date, there was no public trading market for the ADSs. </w:t>
      </w:r>
    </w:p>
    <w:p>
      <w:pPr>
        <w:pStyle w:val="TextBody"/>
        <w:spacing w:before="360" w:after="0"/>
        <w:jc w:val="left"/>
        <w:rPr>
          <w:rFonts w:ascii="Times New Roman" w:hAnsi="Times New Roman"/>
          <w:b/>
          <w:sz w:val="20"/>
        </w:rPr>
      </w:pPr>
      <w:bookmarkStart w:id="46" w:name="tx497326_44"/>
      <w:bookmarkEnd w:id="46"/>
      <w:r>
        <w:rPr>
          <w:rFonts w:ascii="Times New Roman" w:hAnsi="Times New Roman"/>
          <w:b/>
          <w:sz w:val="20"/>
        </w:rPr>
        <w:t xml:space="preserve">B. Plan of Distribution </w:t>
      </w:r>
    </w:p>
    <w:p>
      <w:pPr>
        <w:pStyle w:val="TextBody"/>
        <w:spacing w:before="120" w:after="0"/>
        <w:jc w:val="both"/>
        <w:rPr>
          <w:rFonts w:ascii="Times New Roman" w:hAnsi="Times New Roman"/>
          <w:sz w:val="20"/>
        </w:rPr>
      </w:pPr>
      <w:r>
        <w:rPr>
          <w:rFonts w:ascii="Times New Roman" w:hAnsi="Times New Roman"/>
          <w:sz w:val="20"/>
        </w:rPr>
        <w:t xml:space="preserve">Not applicable. </w:t>
      </w:r>
    </w:p>
    <w:p>
      <w:pPr>
        <w:pStyle w:val="TextBody"/>
        <w:spacing w:before="360" w:after="0"/>
        <w:jc w:val="left"/>
        <w:rPr>
          <w:rFonts w:ascii="Times New Roman" w:hAnsi="Times New Roman"/>
          <w:b/>
          <w:sz w:val="20"/>
        </w:rPr>
      </w:pPr>
      <w:bookmarkStart w:id="47" w:name="tx497326_45"/>
      <w:bookmarkEnd w:id="47"/>
      <w:r>
        <w:rPr>
          <w:rFonts w:ascii="Times New Roman" w:hAnsi="Times New Roman"/>
          <w:b/>
          <w:sz w:val="20"/>
        </w:rPr>
        <w:t xml:space="preserve">C. Markets </w:t>
      </w:r>
    </w:p>
    <w:p>
      <w:pPr>
        <w:pStyle w:val="TextBody"/>
        <w:spacing w:before="120" w:after="0"/>
        <w:jc w:val="both"/>
        <w:rPr>
          <w:rFonts w:ascii="Times New Roman" w:hAnsi="Times New Roman"/>
          <w:sz w:val="20"/>
        </w:rPr>
      </w:pPr>
      <w:r>
        <w:rPr>
          <w:rFonts w:ascii="Times New Roman" w:hAnsi="Times New Roman"/>
          <w:sz w:val="20"/>
        </w:rPr>
        <w:t xml:space="preserve">See “—A. Offer and Listing Details.” </w:t>
      </w:r>
    </w:p>
    <w:p>
      <w:pPr>
        <w:pStyle w:val="TextBody"/>
        <w:spacing w:before="360" w:after="0"/>
        <w:jc w:val="left"/>
        <w:rPr>
          <w:rFonts w:ascii="Times New Roman" w:hAnsi="Times New Roman"/>
          <w:b/>
          <w:sz w:val="20"/>
        </w:rPr>
      </w:pPr>
      <w:bookmarkStart w:id="48" w:name="tx497326_46"/>
      <w:bookmarkEnd w:id="48"/>
      <w:r>
        <w:rPr>
          <w:rFonts w:ascii="Times New Roman" w:hAnsi="Times New Roman"/>
          <w:b/>
          <w:sz w:val="20"/>
        </w:rPr>
        <w:t xml:space="preserve">D. Selling Shareholders </w:t>
      </w:r>
    </w:p>
    <w:p>
      <w:pPr>
        <w:pStyle w:val="TextBody"/>
        <w:spacing w:before="120" w:after="0"/>
        <w:jc w:val="both"/>
        <w:rPr>
          <w:rFonts w:ascii="Times New Roman" w:hAnsi="Times New Roman"/>
          <w:sz w:val="20"/>
        </w:rPr>
      </w:pPr>
      <w:r>
        <w:rPr>
          <w:rFonts w:ascii="Times New Roman" w:hAnsi="Times New Roman"/>
          <w:sz w:val="20"/>
        </w:rPr>
        <w:t xml:space="preserve">Not applicable. </w:t>
      </w:r>
    </w:p>
    <w:p>
      <w:pPr>
        <w:pStyle w:val="TextBody"/>
        <w:spacing w:before="360" w:after="0"/>
        <w:jc w:val="left"/>
        <w:rPr>
          <w:rFonts w:ascii="Times New Roman" w:hAnsi="Times New Roman"/>
          <w:b/>
          <w:sz w:val="20"/>
        </w:rPr>
      </w:pPr>
      <w:bookmarkStart w:id="49" w:name="tx497326_47"/>
      <w:bookmarkEnd w:id="49"/>
      <w:r>
        <w:rPr>
          <w:rFonts w:ascii="Times New Roman" w:hAnsi="Times New Roman"/>
          <w:b/>
          <w:sz w:val="20"/>
        </w:rPr>
        <w:t xml:space="preserve">E. Dilution </w:t>
      </w:r>
    </w:p>
    <w:p>
      <w:pPr>
        <w:pStyle w:val="TextBody"/>
        <w:spacing w:before="120" w:after="0"/>
        <w:jc w:val="both"/>
        <w:rPr>
          <w:rFonts w:ascii="Times New Roman" w:hAnsi="Times New Roman"/>
          <w:sz w:val="20"/>
        </w:rPr>
      </w:pPr>
      <w:r>
        <w:rPr>
          <w:rFonts w:ascii="Times New Roman" w:hAnsi="Times New Roman"/>
          <w:sz w:val="20"/>
        </w:rPr>
        <w:t xml:space="preserve">Not applicable. </w:t>
      </w:r>
    </w:p>
    <w:p>
      <w:pPr>
        <w:pStyle w:val="TextBody"/>
        <w:spacing w:before="360" w:after="0"/>
        <w:jc w:val="left"/>
        <w:rPr>
          <w:rFonts w:ascii="Times New Roman" w:hAnsi="Times New Roman"/>
          <w:b/>
          <w:sz w:val="20"/>
        </w:rPr>
      </w:pPr>
      <w:bookmarkStart w:id="50" w:name="tx497326_48"/>
      <w:bookmarkEnd w:id="50"/>
      <w:r>
        <w:rPr>
          <w:rFonts w:ascii="Times New Roman" w:hAnsi="Times New Roman"/>
          <w:b/>
          <w:sz w:val="20"/>
        </w:rPr>
        <w:t xml:space="preserve">F. Expenses of the Issue </w:t>
      </w:r>
    </w:p>
    <w:p>
      <w:pPr>
        <w:pStyle w:val="TextBody"/>
        <w:spacing w:before="120" w:after="0"/>
        <w:jc w:val="both"/>
        <w:rPr>
          <w:rFonts w:ascii="Times New Roman" w:hAnsi="Times New Roman"/>
          <w:sz w:val="20"/>
        </w:rPr>
      </w:pPr>
      <w:r>
        <w:rPr>
          <w:rFonts w:ascii="Times New Roman" w:hAnsi="Times New Roman"/>
          <w:sz w:val="20"/>
        </w:rPr>
        <w:t xml:space="preserve">Not applicable. </w:t>
      </w:r>
    </w:p>
    <w:p>
      <w:pPr>
        <w:pStyle w:val="TextBody"/>
        <w:spacing w:before="360" w:after="0"/>
        <w:jc w:val="left"/>
        <w:rPr>
          <w:rFonts w:ascii="Times New Roman" w:hAnsi="Times New Roman"/>
          <w:b/>
          <w:sz w:val="20"/>
        </w:rPr>
      </w:pPr>
      <w:bookmarkStart w:id="51" w:name="tx497326_49"/>
      <w:bookmarkEnd w:id="51"/>
      <w:r>
        <w:rPr>
          <w:rFonts w:ascii="Times New Roman" w:hAnsi="Times New Roman"/>
          <w:b/>
          <w:sz w:val="20"/>
        </w:rPr>
        <w:t xml:space="preserve">ITEM 10. ADDITIONAL INFORMATION </w:t>
      </w:r>
    </w:p>
    <w:p>
      <w:pPr>
        <w:pStyle w:val="TextBody"/>
        <w:spacing w:before="120" w:after="0"/>
        <w:jc w:val="left"/>
        <w:rPr>
          <w:rFonts w:ascii="Times New Roman" w:hAnsi="Times New Roman"/>
          <w:b/>
          <w:sz w:val="20"/>
        </w:rPr>
      </w:pPr>
      <w:bookmarkStart w:id="52" w:name="tx497326_50"/>
      <w:bookmarkEnd w:id="52"/>
      <w:r>
        <w:rPr>
          <w:rFonts w:ascii="Times New Roman" w:hAnsi="Times New Roman"/>
          <w:b/>
          <w:sz w:val="20"/>
        </w:rPr>
        <w:t xml:space="preserve">A. Share Capital </w:t>
      </w:r>
    </w:p>
    <w:p>
      <w:pPr>
        <w:pStyle w:val="TextBody"/>
        <w:spacing w:before="120" w:after="0"/>
        <w:jc w:val="both"/>
        <w:rPr>
          <w:rFonts w:ascii="Times New Roman" w:hAnsi="Times New Roman"/>
          <w:sz w:val="20"/>
        </w:rPr>
      </w:pPr>
      <w:r>
        <w:rPr>
          <w:rFonts w:ascii="Times New Roman" w:hAnsi="Times New Roman"/>
          <w:sz w:val="20"/>
        </w:rPr>
        <w:t xml:space="preserve">Not applicable. </w:t>
      </w:r>
    </w:p>
    <w:p>
      <w:pPr>
        <w:pStyle w:val="TextBody"/>
        <w:spacing w:before="360" w:after="0"/>
        <w:jc w:val="left"/>
        <w:rPr>
          <w:rFonts w:ascii="Times New Roman" w:hAnsi="Times New Roman"/>
          <w:b/>
          <w:sz w:val="20"/>
        </w:rPr>
      </w:pPr>
      <w:bookmarkStart w:id="53" w:name="tx497326_51"/>
      <w:bookmarkEnd w:id="53"/>
      <w:r>
        <w:rPr>
          <w:rFonts w:ascii="Times New Roman" w:hAnsi="Times New Roman"/>
          <w:b/>
          <w:sz w:val="20"/>
        </w:rPr>
        <w:t xml:space="preserve">B. Memorandum and Articles of Association </w:t>
      </w:r>
    </w:p>
    <w:p>
      <w:pPr>
        <w:pStyle w:val="TextBody"/>
        <w:spacing w:before="120" w:after="0"/>
        <w:jc w:val="both"/>
        <w:rPr>
          <w:rFonts w:ascii="Times New Roman" w:hAnsi="Times New Roman"/>
          <w:sz w:val="20"/>
        </w:rPr>
      </w:pPr>
      <w:r>
        <w:rPr>
          <w:rFonts w:ascii="Times New Roman" w:hAnsi="Times New Roman"/>
          <w:sz w:val="20"/>
        </w:rPr>
        <w:t xml:space="preserve">A copy of our memorandum and articles of association is attached as Exhibit 1.1 to this Annual Report. The information called for by this Item is set forth in Exhibit 2.3 to this Annual Report and is incorporated by reference into this Annual Report. </w:t>
      </w:r>
    </w:p>
    <w:p>
      <w:pPr>
        <w:pStyle w:val="TextBody"/>
        <w:spacing w:before="360" w:after="0"/>
        <w:jc w:val="left"/>
        <w:rPr>
          <w:rFonts w:ascii="Times New Roman" w:hAnsi="Times New Roman"/>
          <w:b/>
          <w:sz w:val="20"/>
        </w:rPr>
      </w:pPr>
      <w:bookmarkStart w:id="54" w:name="tx497326_52"/>
      <w:bookmarkEnd w:id="54"/>
      <w:r>
        <w:rPr>
          <w:rFonts w:ascii="Times New Roman" w:hAnsi="Times New Roman"/>
          <w:b/>
          <w:sz w:val="20"/>
        </w:rPr>
        <w:t xml:space="preserve">C. Material Contracts </w:t>
      </w:r>
    </w:p>
    <w:p>
      <w:pPr>
        <w:pStyle w:val="TextBody"/>
        <w:spacing w:before="120" w:after="0"/>
        <w:jc w:val="both"/>
        <w:rPr>
          <w:rFonts w:ascii="Times New Roman" w:hAnsi="Times New Roman"/>
          <w:sz w:val="20"/>
        </w:rPr>
      </w:pPr>
      <w:r>
        <w:rPr>
          <w:rFonts w:ascii="Times New Roman" w:hAnsi="Times New Roman"/>
          <w:sz w:val="20"/>
        </w:rPr>
        <w:t xml:space="preserve">Except as otherwise disclosed in this Annual Report (including the Exhibits), we are not currently, nor have we been for the past two years, party to any material contract, other than contracts entered into in the ordinary course of business. </w:t>
      </w:r>
    </w:p>
    <w:p>
      <w:pPr>
        <w:pStyle w:val="TextBody"/>
        <w:spacing w:before="360" w:after="0"/>
        <w:jc w:val="left"/>
        <w:rPr>
          <w:rFonts w:ascii="Times New Roman" w:hAnsi="Times New Roman"/>
          <w:b/>
          <w:sz w:val="20"/>
        </w:rPr>
      </w:pPr>
      <w:bookmarkStart w:id="55" w:name="tx497326_53"/>
      <w:bookmarkEnd w:id="55"/>
      <w:r>
        <w:rPr>
          <w:rFonts w:ascii="Times New Roman" w:hAnsi="Times New Roman"/>
          <w:b/>
          <w:sz w:val="20"/>
        </w:rPr>
        <w:t xml:space="preserve">D. Exchange Controls </w:t>
      </w:r>
    </w:p>
    <w:p>
      <w:pPr>
        <w:pStyle w:val="TextBody"/>
        <w:spacing w:before="120" w:after="0"/>
        <w:jc w:val="both"/>
        <w:rPr>
          <w:rFonts w:ascii="Times New Roman" w:hAnsi="Times New Roman"/>
          <w:sz w:val="20"/>
        </w:rPr>
      </w:pPr>
      <w:r>
        <w:rPr>
          <w:rFonts w:ascii="Times New Roman" w:hAnsi="Times New Roman"/>
          <w:sz w:val="20"/>
        </w:rPr>
        <w:t>There are currently no legal restrictions in Germany on international capital movements and foreign exchange transactions, except in limited embargo circumstances (</w:t>
      </w:r>
      <w:r>
        <w:rPr>
          <w:rFonts w:ascii="Times New Roman" w:hAnsi="Times New Roman"/>
          <w:i/>
          <w:sz w:val="20"/>
        </w:rPr>
        <w:t>Teilembargo</w:t>
      </w:r>
      <w:r>
        <w:rPr>
          <w:rFonts w:ascii="Times New Roman" w:hAnsi="Times New Roman"/>
          <w:sz w:val="20"/>
        </w:rPr>
        <w:t xml:space="preserve">) relating to certain areas, entities or persons as a result of applicable resolutions adopted by the United Nations and the EU. Restrictions currently exist with respect to, among others, Belarus, Congo, Egypt, Eritrea, Guinea, Guinea-Bissau, Iran, Iraq, Lebanon, Liberia, Libya, North Korea, Somalia, South Sudan, Sudan, Syria, Tunisia and Zimbabwe. In response to Russia’s large-scale military action against Ukraine, a number of states and other organizations, including the EU, have imposed broad-based measures against Russian persons and transactions. </w:t>
      </w:r>
    </w:p>
    <w:p>
      <w:pPr>
        <w:pStyle w:val="TextBody"/>
        <w:spacing w:before="240" w:after="0"/>
        <w:jc w:val="both"/>
        <w:rPr>
          <w:rFonts w:ascii="Times New Roman" w:hAnsi="Times New Roman"/>
          <w:sz w:val="20"/>
        </w:rPr>
      </w:pPr>
      <w:r>
        <w:rPr>
          <w:rFonts w:ascii="Times New Roman" w:hAnsi="Times New Roman"/>
          <w:sz w:val="20"/>
        </w:rPr>
        <w:t xml:space="preserve">For statistical purposes, there are, however, limited notification requirements regarding transactions involving cross-border monetary transfers. With some exceptions, every corporation or individual residing 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Germany must report to the German Central Bank (</w:t>
      </w:r>
      <w:r>
        <w:rPr>
          <w:rFonts w:ascii="Times New Roman" w:hAnsi="Times New Roman"/>
          <w:i/>
          <w:sz w:val="20"/>
        </w:rPr>
        <w:t>Deutsche Bundesbank</w:t>
      </w:r>
      <w:r>
        <w:rPr>
          <w:rFonts w:ascii="Times New Roman" w:hAnsi="Times New Roman"/>
          <w:sz w:val="20"/>
        </w:rPr>
        <w:t xml:space="preserve">) (i) any payment received from, or made to, a non-resident corporation or individual that exceeds €12,500 (or the equivalent in a foreign currency) and (ii) in case the sum of claims against, or liabilities payable to, non-residents or corporations exceeds €5,000,000 (or the equivalent in a foreign currency) at the end of any calendar month. Payments include cash payments made by means of direct debit, checks and bills, remittances denominated in euros and other currencies made through financial institutions, as well as netting and clearing arrangements. </w:t>
      </w:r>
    </w:p>
    <w:p>
      <w:pPr>
        <w:pStyle w:val="TextBody"/>
        <w:spacing w:before="360" w:after="0"/>
        <w:jc w:val="left"/>
        <w:rPr>
          <w:rFonts w:ascii="Times New Roman" w:hAnsi="Times New Roman"/>
          <w:b/>
          <w:sz w:val="20"/>
        </w:rPr>
      </w:pPr>
      <w:bookmarkStart w:id="56" w:name="tx497326_54"/>
      <w:bookmarkEnd w:id="56"/>
      <w:r>
        <w:rPr>
          <w:rFonts w:ascii="Times New Roman" w:hAnsi="Times New Roman"/>
          <w:b/>
          <w:sz w:val="20"/>
        </w:rPr>
        <w:t xml:space="preserve">E. Taxation </w:t>
      </w:r>
    </w:p>
    <w:p>
      <w:pPr>
        <w:pStyle w:val="TextBody"/>
        <w:spacing w:before="120" w:after="0"/>
        <w:jc w:val="both"/>
        <w:rPr>
          <w:rFonts w:ascii="Times New Roman" w:hAnsi="Times New Roman"/>
          <w:i/>
          <w:sz w:val="20"/>
        </w:rPr>
      </w:pPr>
      <w:r>
        <w:rPr>
          <w:rFonts w:ascii="Times New Roman" w:hAnsi="Times New Roman"/>
          <w:i/>
          <w:sz w:val="20"/>
        </w:rPr>
        <w:t xml:space="preserve">The following discussion describes the material U.S. and German tax consequences of acquiring, owning and disposing of the ADSs. It does not purport to be a comprehensive description of all tax considerations that may be relevant to a decision to purchase ADSs by any particular investor, including tax considerations that arise from rules of general application to all taxpayers or to certain classes of taxpayers that are generally assumed to be known by investors. </w:t>
      </w:r>
    </w:p>
    <w:p>
      <w:pPr>
        <w:pStyle w:val="TextBody"/>
        <w:spacing w:before="360" w:after="0"/>
        <w:jc w:val="left"/>
        <w:rPr>
          <w:rFonts w:ascii="Times New Roman" w:hAnsi="Times New Roman"/>
          <w:b/>
          <w:sz w:val="20"/>
        </w:rPr>
      </w:pPr>
      <w:r>
        <w:rPr>
          <w:rFonts w:ascii="Times New Roman" w:hAnsi="Times New Roman"/>
          <w:b/>
          <w:sz w:val="20"/>
        </w:rPr>
        <w:t xml:space="preserve">German Taxation of ADSs </w:t>
      </w:r>
    </w:p>
    <w:p>
      <w:pPr>
        <w:pStyle w:val="TextBody"/>
        <w:spacing w:before="120" w:after="0"/>
        <w:jc w:val="both"/>
        <w:rPr>
          <w:rFonts w:ascii="Times New Roman" w:hAnsi="Times New Roman"/>
          <w:sz w:val="20"/>
        </w:rPr>
      </w:pPr>
      <w:r>
        <w:rPr>
          <w:rFonts w:ascii="Times New Roman" w:hAnsi="Times New Roman"/>
          <w:sz w:val="20"/>
        </w:rPr>
        <w:t xml:space="preserve">The following discussion addresses certain German tax consequences of acquiring, owning or disposing of the ADSs. With the exception of the subsection “Taxation of Holders Tax Resident in Germany” below, which provides an overview of dividend taxation to holders that are residents of Germany, this discussion applies only to U.S. treaty beneficiaries (as defined below) that acquire our ADSs. </w:t>
      </w:r>
    </w:p>
    <w:p>
      <w:pPr>
        <w:pStyle w:val="TextBody"/>
        <w:spacing w:before="240" w:after="0"/>
        <w:jc w:val="both"/>
        <w:rPr>
          <w:rFonts w:ascii="Times New Roman" w:hAnsi="Times New Roman"/>
          <w:sz w:val="20"/>
        </w:rPr>
      </w:pPr>
      <w:r>
        <w:rPr>
          <w:rFonts w:ascii="Times New Roman" w:hAnsi="Times New Roman"/>
          <w:sz w:val="20"/>
        </w:rPr>
        <w:t xml:space="preserve">This discussion is based on domestic German tax laws, including, but not limited to, circulars issued by German tax authorities, which are not binding on the German courts, and the Treaty (as defined below). It is based upon tax laws in effect at the time of filing of this Annual Report. These laws are subject to change, possibly with retroactive effect. In addition, this discussion is based upon the assumption that each obligation in the deposit agreement and any related agreement will be performed in accordance with its terms. It does not purport to be a comprehensive or exhaustive description of all German tax considerations that may be of relevance in the context of acquiring, owning and disposing of ADSs. </w:t>
      </w:r>
    </w:p>
    <w:p>
      <w:pPr>
        <w:pStyle w:val="TextBody"/>
        <w:spacing w:before="240" w:after="0"/>
        <w:jc w:val="both"/>
        <w:rPr>
          <w:rFonts w:ascii="Times New Roman" w:hAnsi="Times New Roman"/>
          <w:sz w:val="20"/>
        </w:rPr>
      </w:pPr>
      <w:r>
        <w:rPr>
          <w:rFonts w:ascii="Times New Roman" w:hAnsi="Times New Roman"/>
          <w:sz w:val="20"/>
        </w:rPr>
        <w:t>The tax information presented in this section is not a substitute for tax advice. Prospective holders of ADSs should consult their own tax advisors regarding the German tax consequences of the purchase, ownership, disposition, donation or inheritance of ADSs in light of their particular circumstances, including the effect of any state, local, or other foreign or domestic laws or changes in tax law or interpretation. The same applies with respect to the rules governing the refund of any German dividend withholding tax (</w:t>
      </w:r>
      <w:r>
        <w:rPr>
          <w:rFonts w:ascii="Times New Roman" w:hAnsi="Times New Roman"/>
          <w:i/>
          <w:sz w:val="20"/>
        </w:rPr>
        <w:t>Kapitalertragsteuer</w:t>
      </w:r>
      <w:r>
        <w:rPr>
          <w:rFonts w:ascii="Times New Roman" w:hAnsi="Times New Roman"/>
          <w:sz w:val="20"/>
        </w:rPr>
        <w:t xml:space="preserve">) withheld. Only an individual tax consultation can appropriately account for the particular tax situation of each investor. </w:t>
      </w:r>
    </w:p>
    <w:p>
      <w:pPr>
        <w:pStyle w:val="TextBody"/>
        <w:spacing w:before="240" w:after="0"/>
        <w:jc w:val="both"/>
        <w:rPr>
          <w:rFonts w:ascii="Times New Roman" w:hAnsi="Times New Roman"/>
          <w:sz w:val="20"/>
        </w:rPr>
      </w:pPr>
      <w:r>
        <w:rPr>
          <w:rFonts w:ascii="Times New Roman" w:hAnsi="Times New Roman"/>
          <w:sz w:val="20"/>
        </w:rPr>
        <w:t xml:space="preserve">The Company does not assume any responsibility for withholding tax at source. </w:t>
      </w:r>
    </w:p>
    <w:p>
      <w:pPr>
        <w:pStyle w:val="TextBody"/>
        <w:spacing w:before="360" w:after="0"/>
        <w:jc w:val="left"/>
        <w:rPr>
          <w:rFonts w:ascii="Times New Roman" w:hAnsi="Times New Roman"/>
          <w:b/>
          <w:i/>
          <w:sz w:val="20"/>
        </w:rPr>
      </w:pPr>
      <w:r>
        <w:rPr>
          <w:rFonts w:ascii="Times New Roman" w:hAnsi="Times New Roman"/>
          <w:b/>
          <w:i/>
          <w:sz w:val="20"/>
        </w:rPr>
        <w:t xml:space="preserve">General German Tax Treatment of ADSs </w:t>
      </w:r>
    </w:p>
    <w:p>
      <w:pPr>
        <w:pStyle w:val="TextBody"/>
        <w:spacing w:before="120" w:after="0"/>
        <w:jc w:val="both"/>
        <w:rPr>
          <w:rFonts w:ascii="Times New Roman" w:hAnsi="Times New Roman"/>
          <w:sz w:val="20"/>
        </w:rPr>
      </w:pPr>
      <w:r>
        <w:rPr>
          <w:rFonts w:ascii="Times New Roman" w:hAnsi="Times New Roman"/>
          <w:sz w:val="20"/>
        </w:rPr>
        <w:t>As of the date hereof, no published German tax court decisions exist as to all aspects of the German tax treatment of ADRs or ADSs. However, based on the circular issued by the German Federal Ministry of Finance (</w:t>
      </w:r>
      <w:r>
        <w:rPr>
          <w:rFonts w:ascii="Times New Roman" w:hAnsi="Times New Roman"/>
          <w:i/>
          <w:sz w:val="20"/>
        </w:rPr>
        <w:t>BMF-Schreiben</w:t>
      </w:r>
      <w:r>
        <w:rPr>
          <w:rFonts w:ascii="Times New Roman" w:hAnsi="Times New Roman"/>
          <w:sz w:val="20"/>
        </w:rPr>
        <w:t xml:space="preserve">) dated May 24, 2013, reference number IV C 1-S2204/12/10003, as amended by the circular dated December 18, 2018, reference number IV C 1-S2204/12, jointly the “ADR Tax Circular,” for German tax purposes, the ADSs should represent a beneficial ownership interest in the underlying shares of the company and qualify as ADRs for the purpose of the ADR Tax Circular, even though it has to be noted that the ADR Tax Circular does not explicitly address ADSs. If the ADSs qualify as ADRs under the ADR Tax Circular, dividends will accordingly be attributable to holders of ADSs for tax purposes, and not to the legal owner of the ordinary shares (i.e., the financial institution on behalf of which the ordinary shares are stored at a domestic depository for the ADS holders). Furthermore, holders of ADSs will be treated as beneficial owners of the capital of the company with respect to capital gains (see below in section “—General Rules for the Taxation of Non-German Tax Resident Holders of ADSs—German Taxation of Capital Gains of U.S. Treaty Beneficiaries of the ADSs”). However, investors should note that circulars published by the German tax authorities (including the ADR Tax Circular) are not binding on German courts, including German tax courts, and it is uncertain whether a German court would follow the ADR Tax Circular in determining the German tax treatment of the ADSs. Nevertheless, for the purpose of this German tax section it is assumed that the ADSs qualify as ADRs within the meaning of the ADR Tax Circular.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Taxation of Non-German Tax Resident U.S. Holders </w:t>
      </w:r>
    </w:p>
    <w:p>
      <w:pPr>
        <w:pStyle w:val="TextBody"/>
        <w:spacing w:before="120" w:after="0"/>
        <w:jc w:val="both"/>
        <w:rPr>
          <w:rFonts w:ascii="Times New Roman" w:hAnsi="Times New Roman"/>
          <w:sz w:val="20"/>
        </w:rPr>
      </w:pPr>
      <w:r>
        <w:rPr>
          <w:rFonts w:ascii="Times New Roman" w:hAnsi="Times New Roman"/>
          <w:sz w:val="20"/>
        </w:rPr>
        <w:t>The following discussion describes material German tax consequences for a holder that is a U.S. treaty beneficiary of acquiring, owning and disposing of ADSs. For purposes of this discussion, a “U.S. treaty beneficiary” is a resident of the United States for purposes of the Convention between the Federal Republic of Germany and the United States of America for the Avoidance of Double Taxation and the Prevention of Fiscal Evasion with respect to Taxes on Income and Capital and certain other Taxes in the version published as of June 4, 2008 (</w:t>
      </w:r>
      <w:r>
        <w:rPr>
          <w:rFonts w:ascii="Times New Roman" w:hAnsi="Times New Roman"/>
          <w:i/>
          <w:sz w:val="20"/>
        </w:rPr>
        <w:t>Abkommen zwischen der Bundesrepublik Deutschland und den Vereinigten Staaten von Amerika zur Vermeidung der Doppelbesteuerung und zur Verhinderung der Steuerverkürzung auf dem Gebiet der Steuern vom Einkommen und vom Vermögen und einiger anderer Steuern in der Fassung der Bekanntmachung vom 4. Juni 2008</w:t>
      </w:r>
      <w:r>
        <w:rPr>
          <w:rFonts w:ascii="Times New Roman" w:hAnsi="Times New Roman"/>
          <w:sz w:val="20"/>
        </w:rPr>
        <w:t xml:space="preserve">) as published in the German Federal Law Gazette 2008 vol. II pp. 611/851 (hereinafter referred to as the “Treaty”) who is fully eligible for benefits under the Treaty. </w:t>
      </w:r>
    </w:p>
    <w:p>
      <w:pPr>
        <w:pStyle w:val="TextBody"/>
        <w:spacing w:before="240" w:after="0"/>
        <w:jc w:val="both"/>
        <w:rPr>
          <w:rFonts w:ascii="Times New Roman" w:hAnsi="Times New Roman"/>
          <w:sz w:val="20"/>
        </w:rPr>
      </w:pPr>
      <w:r>
        <w:rPr>
          <w:rFonts w:ascii="Times New Roman" w:hAnsi="Times New Roman"/>
          <w:sz w:val="20"/>
        </w:rPr>
        <w:t xml:space="preserve">A holder will be a U.S. treaty beneficiary entitled to full Treaty benefits in respect of the ADSs if it is, inter alia: </w:t>
      </w:r>
    </w:p>
    <w:p>
      <w:pPr>
        <w:pStyle w:val="TextBody"/>
        <w:spacing w:before="0" w:after="0"/>
        <w:jc w:val="left"/>
        <w:rPr/>
      </w:pPr>
      <w:r>
        <w:rPr/>
        <w:t> </w:t>
      </w:r>
    </w:p>
    <w:tbl>
      <w:tblPr>
        <w:tblW w:w="6700" w:type="dxa"/>
        <w:jc w:val="left"/>
        <w:tblInd w:w="0" w:type="dxa"/>
        <w:tblCellMar>
          <w:top w:w="0" w:type="dxa"/>
          <w:left w:w="0" w:type="dxa"/>
          <w:bottom w:w="0" w:type="dxa"/>
          <w:right w:w="0" w:type="dxa"/>
        </w:tblCellMar>
      </w:tblPr>
      <w:tblGrid>
        <w:gridCol w:w="75"/>
        <w:gridCol w:w="110"/>
        <w:gridCol w:w="60"/>
        <w:gridCol w:w="64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45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beneficial owner of the ADSs (and the dividends paid with respect thereto); </w:t>
            </w:r>
          </w:p>
        </w:tc>
      </w:tr>
    </w:tbl>
    <w:p>
      <w:pPr>
        <w:pStyle w:val="TextBody"/>
        <w:spacing w:before="0" w:after="0"/>
        <w:jc w:val="left"/>
        <w:rPr/>
      </w:pPr>
      <w:r>
        <w:rPr/>
        <w:t> </w:t>
      </w:r>
    </w:p>
    <w:tbl>
      <w:tblPr>
        <w:tblW w:w="2950" w:type="dxa"/>
        <w:jc w:val="left"/>
        <w:tblInd w:w="0" w:type="dxa"/>
        <w:tblCellMar>
          <w:top w:w="0" w:type="dxa"/>
          <w:left w:w="0" w:type="dxa"/>
          <w:bottom w:w="0" w:type="dxa"/>
          <w:right w:w="0" w:type="dxa"/>
        </w:tblCellMar>
      </w:tblPr>
      <w:tblGrid>
        <w:gridCol w:w="75"/>
        <w:gridCol w:w="110"/>
        <w:gridCol w:w="60"/>
        <w:gridCol w:w="27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70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 U.S. holder (as defined below); </w:t>
            </w:r>
          </w:p>
        </w:tc>
      </w:tr>
    </w:tbl>
    <w:p>
      <w:pPr>
        <w:pStyle w:val="TextBody"/>
        <w:spacing w:before="0" w:after="0"/>
        <w:jc w:val="left"/>
        <w:rPr/>
      </w:pPr>
      <w:r>
        <w:rPr/>
        <w:t> </w:t>
      </w:r>
    </w:p>
    <w:tbl>
      <w:tblPr>
        <w:tblW w:w="5200" w:type="dxa"/>
        <w:jc w:val="left"/>
        <w:tblInd w:w="0" w:type="dxa"/>
        <w:tblCellMar>
          <w:top w:w="0" w:type="dxa"/>
          <w:left w:w="0" w:type="dxa"/>
          <w:bottom w:w="0" w:type="dxa"/>
          <w:right w:w="0" w:type="dxa"/>
        </w:tblCellMar>
      </w:tblPr>
      <w:tblGrid>
        <w:gridCol w:w="75"/>
        <w:gridCol w:w="110"/>
        <w:gridCol w:w="60"/>
        <w:gridCol w:w="49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95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not also a resident of Germany for German tax purposes;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not subject to the limitation on benefits restrictions (i.e., anti-treaty shopping article of the Treaty or German domestic rules) that applies in limited circumstances. </w:t>
            </w:r>
          </w:p>
        </w:tc>
      </w:tr>
    </w:tbl>
    <w:p>
      <w:pPr>
        <w:pStyle w:val="TextBody"/>
        <w:spacing w:before="240" w:after="0"/>
        <w:jc w:val="both"/>
        <w:rPr>
          <w:rFonts w:ascii="Times New Roman" w:hAnsi="Times New Roman"/>
          <w:sz w:val="20"/>
        </w:rPr>
      </w:pPr>
      <w:r>
        <w:rPr>
          <w:rFonts w:ascii="Times New Roman" w:hAnsi="Times New Roman"/>
          <w:sz w:val="20"/>
        </w:rPr>
        <w:t xml:space="preserve">Special rules apply to pension funds and certain other tax-exempt investors. </w:t>
      </w:r>
    </w:p>
    <w:p>
      <w:pPr>
        <w:pStyle w:val="TextBody"/>
        <w:spacing w:before="240" w:after="0"/>
        <w:jc w:val="both"/>
        <w:rPr>
          <w:rFonts w:ascii="Times New Roman" w:hAnsi="Times New Roman"/>
          <w:sz w:val="20"/>
        </w:rPr>
      </w:pPr>
      <w:r>
        <w:rPr>
          <w:rFonts w:ascii="Times New Roman" w:hAnsi="Times New Roman"/>
          <w:sz w:val="20"/>
        </w:rPr>
        <w:t xml:space="preserve">This discussion does not address the treatment of ADSs that are (i) held in connection with a permanent establishment or fixed base through which a U.S. treaty beneficiary carries on business or performs personal services in Germany or (ii) part of business assets for which a permanent representative in Germany has been appointed. </w:t>
      </w:r>
    </w:p>
    <w:p>
      <w:pPr>
        <w:pStyle w:val="TextBody"/>
        <w:spacing w:before="360" w:after="0"/>
        <w:jc w:val="left"/>
        <w:rPr>
          <w:rFonts w:ascii="Times New Roman" w:hAnsi="Times New Roman"/>
          <w:i/>
          <w:sz w:val="20"/>
        </w:rPr>
      </w:pPr>
      <w:r>
        <w:rPr>
          <w:rFonts w:ascii="Times New Roman" w:hAnsi="Times New Roman"/>
          <w:i/>
          <w:sz w:val="20"/>
        </w:rPr>
        <w:t xml:space="preserve">General Rules for the Taxation of Non-German Tax Resident Holders of ADSs </w:t>
      </w:r>
    </w:p>
    <w:p>
      <w:pPr>
        <w:pStyle w:val="TextBody"/>
        <w:spacing w:before="120" w:after="0"/>
        <w:jc w:val="both"/>
        <w:rPr>
          <w:rFonts w:ascii="Times New Roman" w:hAnsi="Times New Roman"/>
          <w:sz w:val="20"/>
        </w:rPr>
      </w:pPr>
      <w:r>
        <w:rPr>
          <w:rFonts w:ascii="Times New Roman" w:hAnsi="Times New Roman"/>
          <w:sz w:val="20"/>
        </w:rPr>
        <w:t>Non-German resident holders of ADSs are subject to German taxation with respect to certain German source income (</w:t>
      </w:r>
      <w:r>
        <w:rPr>
          <w:rFonts w:ascii="Times New Roman" w:hAnsi="Times New Roman"/>
          <w:i/>
          <w:sz w:val="20"/>
        </w:rPr>
        <w:t>beschränkte</w:t>
      </w:r>
      <w:r>
        <w:rPr>
          <w:rFonts w:ascii="Times New Roman" w:hAnsi="Times New Roman"/>
          <w:sz w:val="20"/>
        </w:rPr>
        <w:t xml:space="preserve"> </w:t>
      </w:r>
      <w:r>
        <w:rPr>
          <w:rFonts w:ascii="Times New Roman" w:hAnsi="Times New Roman"/>
          <w:i/>
          <w:sz w:val="20"/>
        </w:rPr>
        <w:t>Steuerpflicht</w:t>
      </w:r>
      <w:r>
        <w:rPr>
          <w:rFonts w:ascii="Times New Roman" w:hAnsi="Times New Roman"/>
          <w:sz w:val="20"/>
        </w:rPr>
        <w:t>). According to the ADR Tax Circular, income from the shares should be attributed to the holders of ADSs for German tax purposes. As a consequence, income from the ADSs should be treated as German source income (dividend distributions of a corporate entity with a statutory seat and/or its place of central management in Germany). However, the repayment of capital contributions (</w:t>
      </w:r>
      <w:r>
        <w:rPr>
          <w:rFonts w:ascii="Times New Roman" w:hAnsi="Times New Roman"/>
          <w:i/>
          <w:sz w:val="20"/>
        </w:rPr>
        <w:t>Einlagenrückgewähr</w:t>
      </w:r>
      <w:r>
        <w:rPr>
          <w:rFonts w:ascii="Times New Roman" w:hAnsi="Times New Roman"/>
          <w:sz w:val="20"/>
        </w:rPr>
        <w:t xml:space="preserve">) for tax purposes is considered as reduction of the acquisition costs of the respective shares rather than as dividend payment (subject to proper tax declaration by the company in accordance with German tax law). </w:t>
      </w:r>
    </w:p>
    <w:p>
      <w:pPr>
        <w:pStyle w:val="TextBody"/>
        <w:spacing w:before="240" w:after="0"/>
        <w:jc w:val="both"/>
        <w:rPr>
          <w:rFonts w:ascii="Times New Roman" w:hAnsi="Times New Roman"/>
          <w:sz w:val="20"/>
        </w:rPr>
      </w:pPr>
      <w:r>
        <w:rPr>
          <w:rFonts w:ascii="Times New Roman" w:hAnsi="Times New Roman"/>
          <w:sz w:val="20"/>
        </w:rPr>
        <w:t>The full amount of a dividend distributed by the company to a non-German resident holder which does not maintain a permanent establishment or other taxable presence in Germany is subject as a matter of principle to (final) German withholding tax at an aggregate rate of 26.375% (25% income tax plus 5.5% solidarity surcharge thereon). In addition to that, dividends may be subject to church tax (</w:t>
      </w:r>
      <w:r>
        <w:rPr>
          <w:rFonts w:ascii="Times New Roman" w:hAnsi="Times New Roman"/>
          <w:i/>
          <w:sz w:val="20"/>
        </w:rPr>
        <w:t>Kirchensteuer</w:t>
      </w:r>
      <w:r>
        <w:rPr>
          <w:rFonts w:ascii="Times New Roman" w:hAnsi="Times New Roman"/>
          <w:sz w:val="20"/>
        </w:rPr>
        <w:t xml:space="preserve">) if applicable. The relevant dividend is deemed to be received for German tax purposes at the payout date as determined by the company’s general shareholders’ meeting, or if such date is not specified, the day after such general shareholders’ meeting. The amount of the relevant taxable income is based on the gross amount in Euro; any expenses and costs related to such taxable income in principle should not reduce the taxable income. </w:t>
      </w:r>
    </w:p>
    <w:p>
      <w:pPr>
        <w:pStyle w:val="TextBody"/>
        <w:spacing w:before="240" w:after="0"/>
        <w:jc w:val="both"/>
        <w:rPr>
          <w:rFonts w:ascii="Times New Roman" w:hAnsi="Times New Roman"/>
          <w:sz w:val="20"/>
        </w:rPr>
      </w:pPr>
      <w:r>
        <w:rPr>
          <w:rFonts w:ascii="Times New Roman" w:hAnsi="Times New Roman"/>
          <w:sz w:val="20"/>
        </w:rPr>
        <w:t>The solidarity surcharge (</w:t>
      </w:r>
      <w:r>
        <w:rPr>
          <w:rFonts w:ascii="Times New Roman" w:hAnsi="Times New Roman"/>
          <w:i/>
          <w:sz w:val="20"/>
        </w:rPr>
        <w:t>Solidaritätszuschlag</w:t>
      </w:r>
      <w:r>
        <w:rPr>
          <w:rFonts w:ascii="Times New Roman" w:hAnsi="Times New Roman"/>
          <w:sz w:val="20"/>
        </w:rPr>
        <w:t>) has been abolished or reduced for certain German taxpayers, depending on their amount of payable income tax. The new rules apply from the beginning of the assessment period for the fiscal year ending December 31, 2021. Pursuant to the new law, the solidarity surcharge remains in place for purposes of withholding tax, the flat rate income tax on capital income regime and corporate income tax. Shareholders are advised to monitor additional future developments. Despite ongoing discussions about the complete abolition of the solidarity surcharge (</w:t>
      </w:r>
      <w:r>
        <w:rPr>
          <w:rFonts w:ascii="Times New Roman" w:hAnsi="Times New Roman"/>
          <w:i/>
          <w:sz w:val="20"/>
        </w:rPr>
        <w:t>Solidaritätszuschlag</w:t>
      </w:r>
      <w:r>
        <w:rPr>
          <w:rFonts w:ascii="Times New Roman" w:hAnsi="Times New Roman"/>
          <w:sz w:val="20"/>
        </w:rPr>
        <w:t xml:space="preserve">), the coalition agreement between the German Social Democratic Party, the German Green Party and the German Liberal Party does not contain any provisions on this subject. Shareholders are nevertheless advised to monitor additional future developments. </w:t>
      </w:r>
    </w:p>
    <w:p>
      <w:pPr>
        <w:pStyle w:val="TextBody"/>
        <w:spacing w:before="240" w:after="0"/>
        <w:jc w:val="both"/>
        <w:rPr>
          <w:rFonts w:ascii="Times New Roman" w:hAnsi="Times New Roman"/>
          <w:sz w:val="20"/>
        </w:rPr>
      </w:pPr>
      <w:r>
        <w:rPr>
          <w:rFonts w:ascii="Times New Roman" w:hAnsi="Times New Roman"/>
          <w:sz w:val="20"/>
        </w:rPr>
        <w:t>German withholding tax on capital income (</w:t>
      </w:r>
      <w:r>
        <w:rPr>
          <w:rFonts w:ascii="Times New Roman" w:hAnsi="Times New Roman"/>
          <w:i/>
          <w:sz w:val="20"/>
        </w:rPr>
        <w:t>Kapitalertragsteuer</w:t>
      </w:r>
      <w:r>
        <w:rPr>
          <w:rFonts w:ascii="Times New Roman" w:hAnsi="Times New Roman"/>
          <w:sz w:val="20"/>
        </w:rPr>
        <w:t xml:space="preserve">) is withheld and remitted to the competent German tax authorities by (i) the German dividend disbursing agent (i.e., a German credit institution, financial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services institution, German securities trading enterprise or German securities trading bank (each as defined in the German Banking Act (</w:t>
      </w:r>
      <w:r>
        <w:rPr>
          <w:rFonts w:ascii="Times New Roman" w:hAnsi="Times New Roman"/>
          <w:i/>
          <w:sz w:val="20"/>
        </w:rPr>
        <w:t>Kreditwesengesetz</w:t>
      </w:r>
      <w:r>
        <w:rPr>
          <w:rFonts w:ascii="Times New Roman" w:hAnsi="Times New Roman"/>
          <w:sz w:val="20"/>
        </w:rPr>
        <w:t>) and, in each case, including the German branch of a foreign enterprise, but excluding a foreign branch of a German enterprise)) that holds or administers the underlying shares in custody and (a) disburses or credits the dividend income from the underlying shares, (b) disburses or credits the dividend income from the underlying shares on delivery of the dividend coupons or (c) disburses such dividend income to a foreign agent, or (ii) the central securities depository (</w:t>
      </w:r>
      <w:r>
        <w:rPr>
          <w:rFonts w:ascii="Times New Roman" w:hAnsi="Times New Roman"/>
          <w:i/>
          <w:sz w:val="20"/>
        </w:rPr>
        <w:t>Wertpapiersammelbank</w:t>
      </w:r>
      <w:r>
        <w:rPr>
          <w:rFonts w:ascii="Times New Roman" w:hAnsi="Times New Roman"/>
          <w:sz w:val="20"/>
        </w:rPr>
        <w:t>) in terms of the German Depositary Act (</w:t>
      </w:r>
      <w:r>
        <w:rPr>
          <w:rFonts w:ascii="Times New Roman" w:hAnsi="Times New Roman"/>
          <w:i/>
          <w:sz w:val="20"/>
        </w:rPr>
        <w:t>Depotgesetz</w:t>
      </w:r>
      <w:r>
        <w:rPr>
          <w:rFonts w:ascii="Times New Roman" w:hAnsi="Times New Roman"/>
          <w:sz w:val="20"/>
        </w:rPr>
        <w:t xml:space="preserve">) holding the underlying shares in a collective deposit, if such central securities depository disburses the dividend income from the underlying shares to a foreign agent, regardless of whether a holder must report the dividend for tax purposes and regardless of whether or not a holder is a resident of Germany. </w:t>
      </w:r>
    </w:p>
    <w:p>
      <w:pPr>
        <w:pStyle w:val="TextBody"/>
        <w:spacing w:before="240" w:after="0"/>
        <w:jc w:val="both"/>
        <w:rPr>
          <w:rFonts w:ascii="Times New Roman" w:hAnsi="Times New Roman"/>
          <w:sz w:val="20"/>
        </w:rPr>
      </w:pPr>
      <w:r>
        <w:rPr>
          <w:rFonts w:ascii="Times New Roman" w:hAnsi="Times New Roman"/>
          <w:sz w:val="20"/>
        </w:rPr>
        <w:t>Pursuant to the provisions of the Treaty, the German withholding tax may not exceed 15% of the gross dividends collected by U.S. treaty beneficiaries. The excess of the total withholding tax, including the solidarity surcharge, over the maximum rate of withholding tax permitted by the Treaty is refunded to U.S. treaty beneficiaries upon application (subject to presenting a German withholding tax certificate which can only be issued if the company has confirmed in writing to the German depositary, among other things, the number of ADSs issued and that all of the ADSs issued at the issuance date were covered by an equivalent number of German shares deposited with the German depositary (circular by the German Federal Ministry of Finance (</w:t>
      </w:r>
      <w:r>
        <w:rPr>
          <w:rFonts w:ascii="Times New Roman" w:hAnsi="Times New Roman"/>
          <w:i/>
          <w:sz w:val="20"/>
        </w:rPr>
        <w:t>BMF-Schreiben</w:t>
      </w:r>
      <w:r>
        <w:rPr>
          <w:rFonts w:ascii="Times New Roman" w:hAnsi="Times New Roman"/>
          <w:sz w:val="20"/>
        </w:rPr>
        <w:t xml:space="preserve">), dated December 18, 2018, reference number IV C 1-S 2204/12/10003)). For example, for a declared dividend in the amount of €100, a U.S. treaty beneficiary initially receives €73.625 (€100 minus the 26.375% withholding tax including solidarity surcharge). The U.S. treaty beneficiary is entitled to a partial withholding tax refund from the German tax authorities in the amount of €11.375 of the gross dividend (€100). As a result, the U.S. treaty beneficiary ultimately receives a total amount of €85 (85% of the declared dividend) following the refund of the excess withholding. However, investors should note that it is unclear how the German tax authorities will apply the refund process to dividends on the ADSs with respect to non-German resident holders of the ADSs. Further, such a refund is subject to the German anti-avoidance treaty shopping rule (as described below in section “—Withholding Tax Refund for U.S. Treaty Beneficiaries”). </w:t>
      </w:r>
    </w:p>
    <w:p>
      <w:pPr>
        <w:pStyle w:val="TextBody"/>
        <w:spacing w:before="240" w:after="0"/>
        <w:jc w:val="both"/>
        <w:rPr>
          <w:rFonts w:ascii="Times New Roman" w:hAnsi="Times New Roman"/>
          <w:sz w:val="20"/>
        </w:rPr>
      </w:pPr>
      <w:r>
        <w:rPr>
          <w:rFonts w:ascii="Times New Roman" w:hAnsi="Times New Roman"/>
          <w:sz w:val="20"/>
        </w:rPr>
        <w:t xml:space="preserve">A reduced permitted German withholding tax rate of 5% would apply according to the Treaty provisions, if the U.S. treaty beneficiary is a corporation and holds directly at least 10% of the voting shares of the dividend paying company. </w:t>
      </w:r>
    </w:p>
    <w:p>
      <w:pPr>
        <w:pStyle w:val="TextBody"/>
        <w:spacing w:before="240" w:after="0"/>
        <w:jc w:val="both"/>
        <w:rPr>
          <w:rFonts w:ascii="Times New Roman" w:hAnsi="Times New Roman"/>
          <w:sz w:val="20"/>
        </w:rPr>
      </w:pPr>
      <w:r>
        <w:rPr>
          <w:rFonts w:ascii="Times New Roman" w:hAnsi="Times New Roman"/>
          <w:b/>
          <w:i/>
          <w:sz w:val="20"/>
        </w:rPr>
        <w:t>German Taxation of Capital Gains of U.S. Treaty Beneficiaries of the ADSs</w:t>
      </w:r>
      <w:r>
        <w:rPr>
          <w:rFonts w:ascii="Times New Roman" w:hAnsi="Times New Roman"/>
          <w:sz w:val="20"/>
        </w:rPr>
        <w:t xml:space="preserve">. Capital gains from the disposition of ADSs realized by a non-German tax resident holder who does not maintain a permanent establishment or other taxable presence in Germany will be treated as German source income and be subject to German (corporate) income tax if such holder at any time during the five years preceding the disposition, directly or indirectly, owned 1% or more of the company’s share capital (or other equity related instruments, as specified by law), irrespective of whether through the ADSs or shares of the company. If such holder had acquired the ADSs without consideration, the previous owner’s holding period and quota would be taken into account when calculating the above holding period and the participation threshold. </w:t>
      </w:r>
    </w:p>
    <w:p>
      <w:pPr>
        <w:pStyle w:val="TextBody"/>
        <w:spacing w:before="240" w:after="0"/>
        <w:jc w:val="both"/>
        <w:rPr>
          <w:rFonts w:ascii="Times New Roman" w:hAnsi="Times New Roman"/>
          <w:sz w:val="20"/>
        </w:rPr>
      </w:pPr>
      <w:r>
        <w:rPr>
          <w:rFonts w:ascii="Times New Roman" w:hAnsi="Times New Roman"/>
          <w:sz w:val="20"/>
        </w:rPr>
        <w:t xml:space="preserve">However, U.S. treaty beneficiaries are eligible for treaty benefits under the Treaty (as described above in the section “—Taxation of Non-German Tax Resident U.S. Holders”). Pursuant to the Treaty, U.S. treaty beneficiaries are not subject to German tax with any capital gain derived from the sale of the ADSs, even under the circumstances described in the preceding paragraph and therefore will not be taxed on capital gains from the disposition of the ADSs. </w:t>
      </w:r>
    </w:p>
    <w:p>
      <w:pPr>
        <w:pStyle w:val="TextBody"/>
        <w:spacing w:before="240" w:after="0"/>
        <w:jc w:val="both"/>
        <w:rPr>
          <w:rFonts w:ascii="Times New Roman" w:hAnsi="Times New Roman"/>
          <w:sz w:val="20"/>
        </w:rPr>
      </w:pPr>
      <w:r>
        <w:rPr>
          <w:rFonts w:ascii="Times New Roman" w:hAnsi="Times New Roman"/>
          <w:sz w:val="20"/>
        </w:rPr>
        <w:t>German statutory law obliges a German disbursing agent to levy withholding tax on capital gains from the sale of ADSs or other securities held in a custodial account in Germany. With regard to the German taxation of capital gains, German disbursing agent means a German credit institution or the financial services institution, or a German securities trading enterprise or a German securities trading bank (each as defined in the German Banking Act (</w:t>
      </w:r>
      <w:r>
        <w:rPr>
          <w:rFonts w:ascii="Times New Roman" w:hAnsi="Times New Roman"/>
          <w:i/>
          <w:sz w:val="20"/>
        </w:rPr>
        <w:t>Kreditwesengesetz</w:t>
      </w:r>
      <w:r>
        <w:rPr>
          <w:rFonts w:ascii="Times New Roman" w:hAnsi="Times New Roman"/>
          <w:sz w:val="20"/>
        </w:rPr>
        <w:t>) and, in each case, including a German branch of a foreign enterprise, but excluding a foreign branch of a German enterprise) that holds the ADSs in custody or administers the ADSs for the investor or conducts sales or other dispositions and disburses or credits the income from the ADSs to the holder of the ADSs. It should be noted that the German statutory law does not explicitly condition the obligation to withhold taxes on capital gains being subject to taxation in Germany under German statutory law or on an applicable income tax treaty permitting Germany to tax such capital gains. However, a circular issued by the German Federal Ministry of Finance (</w:t>
      </w:r>
      <w:r>
        <w:rPr>
          <w:rFonts w:ascii="Times New Roman" w:hAnsi="Times New Roman"/>
          <w:i/>
          <w:sz w:val="20"/>
        </w:rPr>
        <w:t>BMF-Schreiben</w:t>
      </w:r>
      <w:r>
        <w:rPr>
          <w:rFonts w:ascii="Times New Roman" w:hAnsi="Times New Roman"/>
          <w:sz w:val="20"/>
        </w:rPr>
        <w:t xml:space="preserve">) dated January 18, 2016, reference number IV C 1-S2252/08/10004:017 (published in the German Federal Tax Gazette 2016 vol. I pp. 85), as last amended by a circular dated December 20, 2022, reference number IV C 1-S 2252/19/10003:011 (published in the German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Federal Tax Gazette 2023 vol. I pp. 46), provides that German taxes on capital gains need not be withheld when the holder of the custody account is not a resident of Germany for tax purposes and the income is not subject to German taxation. The circular further states that there is no obligation to withhold such tax even if the non-German resident holder owns 1% or more of the share capital of a German corporation. Although circulars issued by the German Federal Ministry of Finance are in principle only binding on the German tax authorities, a German disbursing agent is expected not to withhold tax on capital gains derived by a U.S. treaty beneficiary from the disposition of ADSs held in a custodial account in Germany, unless the holder of the ADSs does not provide evidence on its tax status as non-German tax resident. In any other case, the U.S. treaty beneficiary may be entitled to claim a refund of the withholding tax from the German tax authorities under the Treaty, as described below in the section “—Withholding Tax Refund for U.S. Treaty Beneficiaries.” </w:t>
      </w:r>
    </w:p>
    <w:p>
      <w:pPr>
        <w:pStyle w:val="TextBody"/>
        <w:spacing w:before="240" w:after="0"/>
        <w:jc w:val="both"/>
        <w:rPr>
          <w:rFonts w:ascii="Times New Roman" w:hAnsi="Times New Roman"/>
          <w:sz w:val="20"/>
        </w:rPr>
      </w:pPr>
      <w:r>
        <w:rPr>
          <w:rFonts w:ascii="Times New Roman" w:hAnsi="Times New Roman"/>
          <w:sz w:val="20"/>
        </w:rPr>
        <w:t>Under the Withholding Tax Relief Modernization Act (</w:t>
      </w:r>
      <w:r>
        <w:rPr>
          <w:rFonts w:ascii="Times New Roman" w:hAnsi="Times New Roman"/>
          <w:i/>
          <w:sz w:val="20"/>
        </w:rPr>
        <w:t>Abzugsteuerentlastungsmodernisierungsgesetz</w:t>
      </w:r>
      <w:r>
        <w:rPr>
          <w:rFonts w:ascii="Times New Roman" w:hAnsi="Times New Roman"/>
          <w:sz w:val="20"/>
        </w:rPr>
        <w:t xml:space="preserve">) which was passed into law on June 2, 2021, the withholding tax certificate will be replaced for dividend income (including under ADRs) accruing after December 31, 2024 by a notification to be submitted by the disbursing agent directly to the Federal Central Tax Office upon request of the holder. In particular with regard to ADRs, the disbursing agent will be required to include substantial additional information in the notification and will have to obtain certain confirmations from the issuer of the ADRs and will only be allowed to submit the notification (which will be a pre-requisite for any refund) to the Federal Central Tax Office once it has collected all information and confirmations. </w:t>
      </w:r>
    </w:p>
    <w:p>
      <w:pPr>
        <w:pStyle w:val="TextBody"/>
        <w:spacing w:before="240" w:after="0"/>
        <w:jc w:val="both"/>
        <w:rPr>
          <w:rFonts w:ascii="Times New Roman" w:hAnsi="Times New Roman"/>
          <w:sz w:val="20"/>
        </w:rPr>
      </w:pPr>
      <w:r>
        <w:rPr>
          <w:rFonts w:ascii="Times New Roman" w:hAnsi="Times New Roman"/>
          <w:b/>
          <w:i/>
          <w:sz w:val="20"/>
        </w:rPr>
        <w:t>Withholding Tax Refund for U.S. Treaty Beneficiaries</w:t>
      </w:r>
      <w:r>
        <w:rPr>
          <w:rFonts w:ascii="Times New Roman" w:hAnsi="Times New Roman"/>
          <w:sz w:val="20"/>
        </w:rPr>
        <w:t>. U.S. treaty beneficiaries are generally eligible for treaty benefits under the Treaty (as described above in Section “—Taxation of Non-German Tax Resident U.S. Holders”). Accordingly, U.S. treaty beneficiaries are in general entitled to claim a refund of the portion of the otherwise applicable 26.375% German withholding tax (corporate income tax including solidarity surcharge) on dividends that exceeds the applicable Treaty rate (subject to presenting a German withholding tax certificate). However, in respect of dividends, the refund described in the preceding paragraph is only possible if, due to special rules on the restriction of withholding tax credit, the following three cumulative requirements are met: (i) the holder must qualify as beneficial owner of the ADSs for an uninterrupted minimum holding period of 45 days within a period starting 45 days prior to and ending 45 days after the due date of the dividends, (ii) the holder has to bear at least 70% of the change in value risk related to the ADSs during the minimum holding period as described under (i) of this paragraph and has not entered into (acting by itself or through a related party) hedging transactions which lower the change in value risk by more than 30%, and (iii) the holder must not be obliged to fully or largely compensate directly or indirectly the dividends to third parties. If these requirements are not met, then for a holder not being tax-resident in Germany who applied for a full or partial refund of the withholding tax pursuant to a double taxation treaty, no refund is available. This restriction generally does only apply if (i) the tax on the dividends underlying the refund application is below 15% of the gross amount of the dividends pursuant to a double taxation treaty and (ii) the holder does not directly own 10% or more of the shares in the company and is subject to income taxes in its state of residence, without being tax-exempt. The restriction of the withholding tax credit does not apply if the holder has beneficially owned the ADSs for at least one uninterrupted year until receipt (</w:t>
      </w:r>
      <w:r>
        <w:rPr>
          <w:rFonts w:ascii="Times New Roman" w:hAnsi="Times New Roman"/>
          <w:i/>
          <w:sz w:val="20"/>
        </w:rPr>
        <w:t>Zufluss</w:t>
      </w:r>
      <w:r>
        <w:rPr>
          <w:rFonts w:ascii="Times New Roman" w:hAnsi="Times New Roman"/>
          <w:sz w:val="20"/>
        </w:rPr>
        <w:t>) of the dividends. In addition to the aforementioned restrictions, in particular, pursuant to a circular issued by the German Federal Ministry of Finance (</w:t>
      </w:r>
      <w:r>
        <w:rPr>
          <w:rFonts w:ascii="Times New Roman" w:hAnsi="Times New Roman"/>
          <w:i/>
          <w:sz w:val="20"/>
        </w:rPr>
        <w:t>BMF-Schreiben</w:t>
      </w:r>
      <w:r>
        <w:rPr>
          <w:rFonts w:ascii="Times New Roman" w:hAnsi="Times New Roman"/>
          <w:sz w:val="20"/>
        </w:rPr>
        <w:t xml:space="preserve">) dated July 9, 2021, reference number IV C 1–S 2252/19/10035 :014 (published in the German Federal Tax Gazette 2021 vol. I pp. 995), as amended from time to time, the withholding tax credit may also be denied as an anti-abuse measure. </w:t>
      </w:r>
    </w:p>
    <w:p>
      <w:pPr>
        <w:pStyle w:val="TextBody"/>
        <w:spacing w:before="240" w:after="0"/>
        <w:jc w:val="both"/>
        <w:rPr>
          <w:rFonts w:ascii="Times New Roman" w:hAnsi="Times New Roman"/>
          <w:sz w:val="20"/>
        </w:rPr>
      </w:pPr>
      <w:r>
        <w:rPr>
          <w:rFonts w:ascii="Times New Roman" w:hAnsi="Times New Roman"/>
          <w:sz w:val="20"/>
        </w:rPr>
        <w:t>However, as previously discussed, investors should note that it is unclear how the German tax administration will apply the refund process to dividends on the ADSs. Further, such refund is subject to the German anti-avoidance treaty shopping rule according to section 50d para. 3 of the German Income Tax Act (</w:t>
      </w:r>
      <w:r>
        <w:rPr>
          <w:rFonts w:ascii="Times New Roman" w:hAnsi="Times New Roman"/>
          <w:i/>
          <w:sz w:val="20"/>
        </w:rPr>
        <w:t>Einkommensteuergesetz</w:t>
      </w:r>
      <w:r>
        <w:rPr>
          <w:rFonts w:ascii="Times New Roman" w:hAnsi="Times New Roman"/>
          <w:sz w:val="20"/>
        </w:rPr>
        <w:t xml:space="preserve">), as amended in June 2021. Pursuant to the recent amendment, a foreign company shall – irrespective of any double taxation treaties – not be entitled to relief from capital gains tax and from tax deduction pursuant to section 50a of the German Income Tax Act (i) to the extent that persons have an interest in it or are beneficiaries under its articles of association who would not be entitled to such relief if they personally had generated such income and (ii) to the extent that the source of the income has no substantial connection with the economic activity of such foreign company. The generation of income, its transfer to persons having an interest in or being beneficiaries as well as any activity carried out with resources that are not appropriate to the foreign company’s business purpose, shall not be deemed to be an economic activity. This, however, does not apply in cases in which the foreign company proves that none of the main purposes of its involvement was to obtain a tax advantage or if the foreign company’s principal class of stock is regularly traded in substantial volume on a recognized stock exchange. Therefore, whether or not and to which extent the anti-avoidance treaty shopping rule applies, has to be analyzed on a case by case basis taking into account all relevant tests.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Due to the legal structure of the ADSs, only limited guidance of the German tax authorities exists on the practical application of this procedure with respect to the ADSs. </w:t>
      </w:r>
    </w:p>
    <w:p>
      <w:pPr>
        <w:pStyle w:val="TextBody"/>
        <w:spacing w:before="360" w:after="0"/>
        <w:jc w:val="left"/>
        <w:rPr>
          <w:rFonts w:ascii="Times New Roman" w:hAnsi="Times New Roman"/>
          <w:b/>
          <w:i/>
          <w:sz w:val="20"/>
        </w:rPr>
      </w:pPr>
      <w:r>
        <w:rPr>
          <w:rFonts w:ascii="Times New Roman" w:hAnsi="Times New Roman"/>
          <w:b/>
          <w:i/>
          <w:sz w:val="20"/>
        </w:rPr>
        <w:t xml:space="preserve">Taxation of Holders Tax Resident in Germany </w:t>
      </w:r>
    </w:p>
    <w:p>
      <w:pPr>
        <w:pStyle w:val="TextBody"/>
        <w:spacing w:before="120" w:after="0"/>
        <w:jc w:val="both"/>
        <w:rPr>
          <w:rFonts w:ascii="Times New Roman" w:hAnsi="Times New Roman"/>
          <w:sz w:val="20"/>
        </w:rPr>
      </w:pPr>
      <w:r>
        <w:rPr>
          <w:rFonts w:ascii="Times New Roman" w:hAnsi="Times New Roman"/>
          <w:sz w:val="20"/>
        </w:rPr>
        <w:t>This subsection provides an overview of general taxation principles applicable to the holders of ADSs who are tax resident in Germany. A holder is a German tax resident if, in case of an individual, he or she maintains a domicile (</w:t>
      </w:r>
      <w:r>
        <w:rPr>
          <w:rFonts w:ascii="Times New Roman" w:hAnsi="Times New Roman"/>
          <w:i/>
          <w:sz w:val="20"/>
        </w:rPr>
        <w:t>Wohnsitz</w:t>
      </w:r>
      <w:r>
        <w:rPr>
          <w:rFonts w:ascii="Times New Roman" w:hAnsi="Times New Roman"/>
          <w:sz w:val="20"/>
        </w:rPr>
        <w:t>) or his or her usual residence (</w:t>
      </w:r>
      <w:r>
        <w:rPr>
          <w:rFonts w:ascii="Times New Roman" w:hAnsi="Times New Roman"/>
          <w:i/>
          <w:sz w:val="20"/>
        </w:rPr>
        <w:t>gewöhnlicher</w:t>
      </w:r>
      <w:r>
        <w:rPr>
          <w:rFonts w:ascii="Times New Roman" w:hAnsi="Times New Roman"/>
          <w:sz w:val="20"/>
        </w:rPr>
        <w:t xml:space="preserve"> </w:t>
      </w:r>
      <w:r>
        <w:rPr>
          <w:rFonts w:ascii="Times New Roman" w:hAnsi="Times New Roman"/>
          <w:i/>
          <w:sz w:val="20"/>
        </w:rPr>
        <w:t>Aufenthalt</w:t>
      </w:r>
      <w:r>
        <w:rPr>
          <w:rFonts w:ascii="Times New Roman" w:hAnsi="Times New Roman"/>
          <w:sz w:val="20"/>
        </w:rPr>
        <w:t>) in Germany or if, in case of a corporation, it has its place of central management (</w:t>
      </w:r>
      <w:r>
        <w:rPr>
          <w:rFonts w:ascii="Times New Roman" w:hAnsi="Times New Roman"/>
          <w:i/>
          <w:sz w:val="20"/>
        </w:rPr>
        <w:t>Geschäftsleitung</w:t>
      </w:r>
      <w:r>
        <w:rPr>
          <w:rFonts w:ascii="Times New Roman" w:hAnsi="Times New Roman"/>
          <w:sz w:val="20"/>
        </w:rPr>
        <w:t>) or a statutory seat (</w:t>
      </w:r>
      <w:r>
        <w:rPr>
          <w:rFonts w:ascii="Times New Roman" w:hAnsi="Times New Roman"/>
          <w:i/>
          <w:sz w:val="20"/>
        </w:rPr>
        <w:t>Sitz</w:t>
      </w:r>
      <w:r>
        <w:rPr>
          <w:rFonts w:ascii="Times New Roman" w:hAnsi="Times New Roman"/>
          <w:sz w:val="20"/>
        </w:rPr>
        <w:t xml:space="preserve">) in Germany. </w:t>
      </w:r>
    </w:p>
    <w:p>
      <w:pPr>
        <w:pStyle w:val="TextBody"/>
        <w:spacing w:before="240" w:after="0"/>
        <w:jc w:val="both"/>
        <w:rPr>
          <w:rFonts w:ascii="Times New Roman" w:hAnsi="Times New Roman"/>
          <w:sz w:val="20"/>
        </w:rPr>
      </w:pPr>
      <w:r>
        <w:rPr>
          <w:rFonts w:ascii="Times New Roman" w:hAnsi="Times New Roman"/>
          <w:sz w:val="20"/>
        </w:rPr>
        <w:t>The German dividend and capital gains taxation rules applicable to German tax residents require a distinction between ADSs held as private assets (</w:t>
      </w:r>
      <w:r>
        <w:rPr>
          <w:rFonts w:ascii="Times New Roman" w:hAnsi="Times New Roman"/>
          <w:i/>
          <w:sz w:val="20"/>
        </w:rPr>
        <w:t>Privatvermögen</w:t>
      </w:r>
      <w:r>
        <w:rPr>
          <w:rFonts w:ascii="Times New Roman" w:hAnsi="Times New Roman"/>
          <w:sz w:val="20"/>
        </w:rPr>
        <w:t>) and ADSs held as business assets (</w:t>
      </w:r>
      <w:r>
        <w:rPr>
          <w:rFonts w:ascii="Times New Roman" w:hAnsi="Times New Roman"/>
          <w:i/>
          <w:sz w:val="20"/>
        </w:rPr>
        <w:t>Betriebsvermögen</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 w:hAnsi="Times New Roman"/>
          <w:b/>
          <w:i/>
          <w:sz w:val="20"/>
        </w:rPr>
        <w:t>ADSs held as Private Assets (Privatvermögen)</w:t>
      </w:r>
      <w:r>
        <w:rPr>
          <w:rFonts w:ascii="Times New Roman" w:hAnsi="Times New Roman"/>
          <w:sz w:val="20"/>
        </w:rPr>
        <w:t>. If ADSs are held as private assets by a German tax resident individual, dividends and capital gains are taxed as capital income (</w:t>
      </w:r>
      <w:r>
        <w:rPr>
          <w:rFonts w:ascii="Times New Roman" w:hAnsi="Times New Roman"/>
          <w:i/>
          <w:sz w:val="20"/>
        </w:rPr>
        <w:t>Einkünfte aus Kapitalvermögen</w:t>
      </w:r>
      <w:r>
        <w:rPr>
          <w:rFonts w:ascii="Times New Roman" w:hAnsi="Times New Roman"/>
          <w:sz w:val="20"/>
        </w:rPr>
        <w:t>) and are principally subject to 25% German flat rate income tax on capital income (</w:t>
      </w:r>
      <w:r>
        <w:rPr>
          <w:rFonts w:ascii="Times New Roman" w:hAnsi="Times New Roman"/>
          <w:i/>
          <w:sz w:val="20"/>
        </w:rPr>
        <w:t>Abgeltungsteuer</w:t>
      </w:r>
      <w:r>
        <w:rPr>
          <w:rFonts w:ascii="Times New Roman" w:hAnsi="Times New Roman"/>
          <w:sz w:val="20"/>
        </w:rPr>
        <w:t>) (plus a 5.5% solidarity surcharge (</w:t>
      </w:r>
      <w:r>
        <w:rPr>
          <w:rFonts w:ascii="Times New Roman" w:hAnsi="Times New Roman"/>
          <w:i/>
          <w:sz w:val="20"/>
        </w:rPr>
        <w:t>Solidaritätszuschlag</w:t>
      </w:r>
      <w:r>
        <w:rPr>
          <w:rFonts w:ascii="Times New Roman" w:hAnsi="Times New Roman"/>
          <w:sz w:val="20"/>
        </w:rPr>
        <w:t>) thereon, resulting in an aggregate rate of 26.375% and plus church tax (</w:t>
      </w:r>
      <w:r>
        <w:rPr>
          <w:rFonts w:ascii="Times New Roman" w:hAnsi="Times New Roman"/>
          <w:i/>
          <w:sz w:val="20"/>
        </w:rPr>
        <w:t>Kirchensteuer</w:t>
      </w:r>
      <w:r>
        <w:rPr>
          <w:rFonts w:ascii="Times New Roman" w:hAnsi="Times New Roman"/>
          <w:sz w:val="20"/>
        </w:rPr>
        <w:t>), if applicable), which is generally levied in the form of withholding tax on capital income (</w:t>
      </w:r>
      <w:r>
        <w:rPr>
          <w:rFonts w:ascii="Times New Roman" w:hAnsi="Times New Roman"/>
          <w:i/>
          <w:sz w:val="20"/>
        </w:rPr>
        <w:t>Kapitalertragsteuer</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 w:hAnsi="Times New Roman"/>
          <w:sz w:val="20"/>
        </w:rPr>
        <w:t>The holder is taxed on gross capital income (including dividends or gains with respect to ADSs), less the annual saver’s tax-free allowance (</w:t>
      </w:r>
      <w:r>
        <w:rPr>
          <w:rFonts w:ascii="Times New Roman" w:hAnsi="Times New Roman"/>
          <w:i/>
          <w:sz w:val="20"/>
        </w:rPr>
        <w:t>Sparer-Pauschbetrag</w:t>
      </w:r>
      <w:r>
        <w:rPr>
          <w:rFonts w:ascii="Times New Roman" w:hAnsi="Times New Roman"/>
          <w:sz w:val="20"/>
        </w:rPr>
        <w:t>) of currently €1,000 for an individual or €2,000 for married couples and registered civil unions (</w:t>
      </w:r>
      <w:r>
        <w:rPr>
          <w:rFonts w:ascii="Times New Roman" w:hAnsi="Times New Roman"/>
          <w:i/>
          <w:sz w:val="20"/>
        </w:rPr>
        <w:t>eingetragene</w:t>
      </w:r>
      <w:r>
        <w:rPr>
          <w:rFonts w:ascii="Times New Roman" w:hAnsi="Times New Roman"/>
          <w:sz w:val="20"/>
        </w:rPr>
        <w:t xml:space="preserve"> </w:t>
      </w:r>
      <w:r>
        <w:rPr>
          <w:rFonts w:ascii="Times New Roman" w:hAnsi="Times New Roman"/>
          <w:i/>
          <w:sz w:val="20"/>
        </w:rPr>
        <w:t>Lebenspartnerschaften</w:t>
      </w:r>
      <w:r>
        <w:rPr>
          <w:rFonts w:ascii="Times New Roman" w:hAnsi="Times New Roman"/>
          <w:sz w:val="20"/>
        </w:rPr>
        <w:t xml:space="preserve">) filing jointly. The deduction of actual expenses relating to the capital income (including dividends or gains with respect to ADSs) is generally not permitted. The withholding tax on capital income generally settles the income tax liability of the holder with respect to the capital income. However, private investors may request the application of their personal progressive income tax rate on the whole income from capital investments in a given year if this results in a lower tax liability. If this is the case, any tax withheld in excess will be refunded during the personal income tax assessment procedure. </w:t>
      </w:r>
    </w:p>
    <w:p>
      <w:pPr>
        <w:pStyle w:val="TextBody"/>
        <w:spacing w:before="240" w:after="0"/>
        <w:jc w:val="both"/>
        <w:rPr>
          <w:rFonts w:ascii="Times New Roman" w:hAnsi="Times New Roman"/>
          <w:sz w:val="20"/>
        </w:rPr>
      </w:pPr>
      <w:r>
        <w:rPr>
          <w:rFonts w:ascii="Times New Roman" w:hAnsi="Times New Roman"/>
          <w:sz w:val="20"/>
        </w:rPr>
        <w:t>Losses resulting from the disposal of ADSs can only be offset with capital gains from the disposition of shares of corporations (</w:t>
      </w:r>
      <w:r>
        <w:rPr>
          <w:rFonts w:ascii="Times New Roman" w:hAnsi="Times New Roman"/>
          <w:i/>
          <w:sz w:val="20"/>
        </w:rPr>
        <w:t>Aktien</w:t>
      </w:r>
      <w:r>
        <w:rPr>
          <w:rFonts w:ascii="Times New Roman" w:hAnsi="Times New Roman"/>
          <w:sz w:val="20"/>
        </w:rPr>
        <w:t>) and other ADSs treated similar to shares. However, the German Federal Fiscal Court (</w:t>
      </w:r>
      <w:r>
        <w:rPr>
          <w:rFonts w:ascii="Times New Roman" w:hAnsi="Times New Roman"/>
          <w:i/>
          <w:sz w:val="20"/>
        </w:rPr>
        <w:t>Bundesfinanzhof</w:t>
      </w:r>
      <w:r>
        <w:rPr>
          <w:rFonts w:ascii="Times New Roman" w:hAnsi="Times New Roman"/>
          <w:sz w:val="20"/>
        </w:rPr>
        <w:t>) recently decided that the limitation on the offset possibilities constitutes a violation of the equal protection clause under the German constitution and submitted the legal question to the German Federal Constitutional Court (</w:t>
      </w:r>
      <w:r>
        <w:rPr>
          <w:rFonts w:ascii="Times New Roman" w:hAnsi="Times New Roman"/>
          <w:i/>
          <w:sz w:val="20"/>
        </w:rPr>
        <w:t>Bundesverfassungsgericht</w:t>
      </w:r>
      <w:r>
        <w:rPr>
          <w:rFonts w:ascii="Times New Roman" w:hAnsi="Times New Roman"/>
          <w:sz w:val="20"/>
        </w:rPr>
        <w:t xml:space="preserve">) for decision on its constitutionality; the German Federal Constitutional Court has not yet decided on this question. If, however, a holder directly or indirectly held at least 1% of the share capital of the company at any time during the five years preceding the disposition, the German flat rate income tax on capital income does not apply with regard to such capital gain, but 60% of the capital gain resulting from the disposition are taxable at the holder’s personal progressive income tax rate (plus 5.5% solidarity surcharge and church tax, if applicable, thereon). Correspondingly, only 60% of any capital losses and disposal costs are tax deductible. </w:t>
      </w:r>
    </w:p>
    <w:p>
      <w:pPr>
        <w:pStyle w:val="TextBody"/>
        <w:spacing w:before="240" w:after="0"/>
        <w:jc w:val="both"/>
        <w:rPr>
          <w:rFonts w:ascii="Times New Roman" w:hAnsi="Times New Roman"/>
          <w:sz w:val="20"/>
        </w:rPr>
      </w:pPr>
      <w:r>
        <w:rPr>
          <w:rFonts w:ascii="Times New Roman" w:hAnsi="Times New Roman"/>
          <w:b/>
          <w:i/>
          <w:sz w:val="20"/>
        </w:rPr>
        <w:t>ADSs held as Business Assets (Betriebsvermögen)</w:t>
      </w:r>
      <w:r>
        <w:rPr>
          <w:rFonts w:ascii="Times New Roman" w:hAnsi="Times New Roman"/>
          <w:sz w:val="20"/>
        </w:rPr>
        <w:t>. In case the ADSs are held as business assets, the actual taxation depends on the legal form of the holder (i.e., whether the holder is a corporation or an individual). Irrespective of the legal form of the holder, dividends are generally subject to the aggregate withholding tax rate of 26.375%, unless the holder of the ADSs is an investment fund (</w:t>
      </w:r>
      <w:r>
        <w:rPr>
          <w:rFonts w:ascii="Times New Roman" w:hAnsi="Times New Roman"/>
          <w:i/>
          <w:sz w:val="20"/>
        </w:rPr>
        <w:t>Investmentfonds</w:t>
      </w:r>
      <w:r>
        <w:rPr>
          <w:rFonts w:ascii="Times New Roman" w:hAnsi="Times New Roman"/>
          <w:sz w:val="20"/>
        </w:rPr>
        <w:t xml:space="preserve">) subject to German investment taxation. The tax actually withheld is credited against the respective holder’s final (corporate or personal) income tax liability. Due to special rules on the restriction of withholding tax credits in respect of dividends, a full withholding tax credit requires that the following three cumulative requirements are met: (i) the holder must qualify as beneficial owner of the ADSs for an uninterrupted minimum holding period of 45 days within a period starting 45 days prior to and ending 45 days after the due date of the dividends, (ii) the holder has to bear at least 70% of the change in value risk related to the ADSs during the minimum holding period as described under (i) of this paragraph and has not entered into (acting by itself or through a related party) hedging transactions which lower the change in value risk by more than 30%, and (iii) the holder must not be obliged to fully or largely compensate directly or indirectly the dividends to third parties. If these requirements are not met, three-fifths of the withholding tax imposed on the dividends must not be credited against the holder’s corporate income tax or income tax liability, but may, upon application, be deducted from the holder’s tax base for the relevant tax assessment period. A holder that is generally subject to German income tax or corporate income tax and that has received gross dividends without any deduction of withholding tax due to a tax exemption without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qualifying for a full tax credit under the aforementioned requirements has to notify the competent local tax office accordingly and has to make a payment in the amount of the omitted withholding tax deduction. The special rules on the restriction of withholding tax credit do not apply to a holder whose overall dividend earnings within an assessment period do not exceed €20,000 or that has been the beneficial owner of the ADSs for at least one uninterrupted year until receipt (</w:t>
      </w:r>
      <w:r>
        <w:rPr>
          <w:rFonts w:ascii="Times New Roman" w:hAnsi="Times New Roman"/>
          <w:i/>
          <w:sz w:val="20"/>
        </w:rPr>
        <w:t>Zufluss</w:t>
      </w:r>
      <w:r>
        <w:rPr>
          <w:rFonts w:ascii="Times New Roman" w:hAnsi="Times New Roman"/>
          <w:sz w:val="20"/>
        </w:rPr>
        <w:t>) of the dividends. In addition to the aforementioned restrictions, in particular, pursuant to a circular issued by the German Federal Ministry of Finance (</w:t>
      </w:r>
      <w:r>
        <w:rPr>
          <w:rFonts w:ascii="Times New Roman" w:hAnsi="Times New Roman"/>
          <w:i/>
          <w:sz w:val="20"/>
        </w:rPr>
        <w:t>BMF-Schreiben</w:t>
      </w:r>
      <w:r>
        <w:rPr>
          <w:rFonts w:ascii="Times New Roman" w:hAnsi="Times New Roman"/>
          <w:sz w:val="20"/>
        </w:rPr>
        <w:t xml:space="preserve">) dated July 9, 2021, reference number IV C 1–S 2252/19/10035 :014 (published in the German Federal Tax Gazette 2021 vol. I pp. 995), as amended, the withholding tax credit may also be denied as an anti-abuse measure. </w:t>
      </w:r>
    </w:p>
    <w:p>
      <w:pPr>
        <w:pStyle w:val="TextBody"/>
        <w:spacing w:before="240" w:after="0"/>
        <w:jc w:val="both"/>
        <w:rPr>
          <w:rFonts w:ascii="Times New Roman" w:hAnsi="Times New Roman"/>
          <w:sz w:val="20"/>
        </w:rPr>
      </w:pPr>
      <w:r>
        <w:rPr>
          <w:rFonts w:ascii="Times New Roman" w:hAnsi="Times New Roman"/>
          <w:sz w:val="20"/>
        </w:rPr>
        <w:t xml:space="preserve">To the extent the amount withheld exceeds the (corporate or personal) income tax liability, the withholding tax will be refunded, provided that certain requirements are met. </w:t>
      </w:r>
    </w:p>
    <w:p>
      <w:pPr>
        <w:pStyle w:val="TextBody"/>
        <w:spacing w:before="240" w:after="0"/>
        <w:jc w:val="both"/>
        <w:rPr>
          <w:rFonts w:ascii="Times New Roman" w:hAnsi="Times New Roman"/>
          <w:sz w:val="20"/>
        </w:rPr>
      </w:pPr>
      <w:r>
        <w:rPr>
          <w:rFonts w:ascii="Times New Roman" w:hAnsi="Times New Roman"/>
          <w:sz w:val="20"/>
        </w:rPr>
        <w:t>With regard to holders in the legal form of a corporation, capital gains from ADSs are in general effectively 95% tax exempt from corporate income tax (including solidarity surcharge) and trade tax. In contrast, dividends from ADSs are only 95% exempt from corporate income tax, if the corporation holds at least 10% of the share capital in the company at the beginning of the respective calendar year. To the extent ADSs and/or shares of 10% or more of the company have been acquired during a calendar year, the acquisition will be deemed to be made at the beginning of the calendar year. Furthermore, dividends are subject to trade tax (</w:t>
      </w:r>
      <w:r>
        <w:rPr>
          <w:rFonts w:ascii="Times New Roman" w:hAnsi="Times New Roman"/>
          <w:i/>
          <w:sz w:val="20"/>
        </w:rPr>
        <w:t>Gewerbesteuer</w:t>
      </w:r>
      <w:r>
        <w:rPr>
          <w:rFonts w:ascii="Times New Roman" w:hAnsi="Times New Roman"/>
          <w:sz w:val="20"/>
        </w:rPr>
        <w:t xml:space="preserve">), unless the holder holds at least 15% of the share capital in the company at the beginning of the tax assessment period. In the latter case, effectively 95% of the dividends are exempt from trade tax. Business expenses and capital losses actually incurred in connection with ADSs might not be tax deductible for corporate income and trade tax purposes except if certain requirements are met. This concerns in particular expenses which are related to the disposition of ADSs. </w:t>
      </w:r>
    </w:p>
    <w:p>
      <w:pPr>
        <w:pStyle w:val="TextBody"/>
        <w:spacing w:before="240" w:after="0"/>
        <w:jc w:val="both"/>
        <w:rPr>
          <w:rFonts w:ascii="Times New Roman" w:hAnsi="Times New Roman"/>
          <w:sz w:val="20"/>
        </w:rPr>
      </w:pPr>
      <w:r>
        <w:rPr>
          <w:rFonts w:ascii="Times New Roman" w:hAnsi="Times New Roman"/>
          <w:sz w:val="20"/>
        </w:rPr>
        <w:t>With regard to individuals holding ADSs as business assets, 60% of dividends and capital gains are taxed at the personal progressive income tax rate of the holder of ADSs (plus 5.5% solidarity surcharge and church tax, if applicable, thereon). Correspondingly, only 60% of business expenses related to the respective income are principally deductible for income tax purposes. Furthermore, trade tax may apply, provided the ADSs are held as assets of a German trade or business (</w:t>
      </w:r>
      <w:r>
        <w:rPr>
          <w:rFonts w:ascii="Times New Roman" w:hAnsi="Times New Roman"/>
          <w:i/>
          <w:sz w:val="20"/>
        </w:rPr>
        <w:t>Gewerbebetrieb</w:t>
      </w:r>
      <w:r>
        <w:rPr>
          <w:rFonts w:ascii="Times New Roman" w:hAnsi="Times New Roman"/>
          <w:sz w:val="20"/>
        </w:rPr>
        <w:t xml:space="preserve">) of the holder, but the resulting trade tax might be credited against the income tax liability of the holder pursuant to a lump sum procedure. </w:t>
      </w:r>
    </w:p>
    <w:p>
      <w:pPr>
        <w:pStyle w:val="TextBody"/>
        <w:spacing w:before="240" w:after="0"/>
        <w:jc w:val="both"/>
        <w:rPr>
          <w:rFonts w:ascii="Times New Roman" w:hAnsi="Times New Roman"/>
          <w:sz w:val="20"/>
        </w:rPr>
      </w:pPr>
      <w:r>
        <w:rPr>
          <w:rFonts w:ascii="Times New Roman" w:hAnsi="Times New Roman"/>
          <w:sz w:val="20"/>
        </w:rPr>
        <w:t>Since 2021, the basis for the calculation of the solidarity surcharge (</w:t>
      </w:r>
      <w:r>
        <w:rPr>
          <w:rFonts w:ascii="Times New Roman" w:hAnsi="Times New Roman"/>
          <w:i/>
          <w:sz w:val="20"/>
        </w:rPr>
        <w:t>Solidaritätszuschlag</w:t>
      </w:r>
      <w:r>
        <w:rPr>
          <w:rFonts w:ascii="Times New Roman" w:hAnsi="Times New Roman"/>
          <w:sz w:val="20"/>
        </w:rPr>
        <w:t xml:space="preserve">) has, as previously discussed, been reduced for certain individuals subject to tax assessments (other than withholding taxes), and in certain cases, the solidarity surcharge has been eliminated for individuals. </w:t>
      </w:r>
    </w:p>
    <w:p>
      <w:pPr>
        <w:pStyle w:val="TextBody"/>
        <w:spacing w:before="240" w:after="0"/>
        <w:jc w:val="both"/>
        <w:rPr>
          <w:rFonts w:ascii="Times New Roman" w:hAnsi="Times New Roman"/>
          <w:sz w:val="20"/>
        </w:rPr>
      </w:pPr>
      <w:r>
        <w:rPr>
          <w:rFonts w:ascii="Times New Roman" w:hAnsi="Times New Roman"/>
          <w:sz w:val="20"/>
        </w:rPr>
        <w:t>Special taxation rules apply to German tax resident credit institutions (</w:t>
      </w:r>
      <w:r>
        <w:rPr>
          <w:rFonts w:ascii="Times New Roman" w:hAnsi="Times New Roman"/>
          <w:i/>
          <w:sz w:val="20"/>
        </w:rPr>
        <w:t>Kreditinstitute</w:t>
      </w:r>
      <w:r>
        <w:rPr>
          <w:rFonts w:ascii="Times New Roman" w:hAnsi="Times New Roman"/>
          <w:sz w:val="20"/>
        </w:rPr>
        <w:t>), financial services institutions (</w:t>
      </w:r>
      <w:r>
        <w:rPr>
          <w:rFonts w:ascii="Times New Roman" w:hAnsi="Times New Roman"/>
          <w:i/>
          <w:sz w:val="20"/>
        </w:rPr>
        <w:t>Finanzdienstleistungsinstitute</w:t>
      </w:r>
      <w:r>
        <w:rPr>
          <w:rFonts w:ascii="Times New Roman" w:hAnsi="Times New Roman"/>
          <w:sz w:val="20"/>
        </w:rPr>
        <w:t>), financial enterprises (</w:t>
      </w:r>
      <w:r>
        <w:rPr>
          <w:rFonts w:ascii="Times New Roman" w:hAnsi="Times New Roman"/>
          <w:i/>
          <w:sz w:val="20"/>
        </w:rPr>
        <w:t>Finanzunternehmen</w:t>
      </w:r>
      <w:r>
        <w:rPr>
          <w:rFonts w:ascii="Times New Roman" w:hAnsi="Times New Roman"/>
          <w:sz w:val="20"/>
        </w:rPr>
        <w:t>), life insurance and health insurance companies (</w:t>
      </w:r>
      <w:r>
        <w:rPr>
          <w:rFonts w:ascii="Times New Roman" w:hAnsi="Times New Roman"/>
          <w:i/>
          <w:sz w:val="20"/>
        </w:rPr>
        <w:t>Lebens- und Krankenversicherungsunternehmen</w:t>
      </w:r>
      <w:r>
        <w:rPr>
          <w:rFonts w:ascii="Times New Roman" w:hAnsi="Times New Roman"/>
          <w:sz w:val="20"/>
        </w:rPr>
        <w:t>), pension funds (</w:t>
      </w:r>
      <w:r>
        <w:rPr>
          <w:rFonts w:ascii="Times New Roman" w:hAnsi="Times New Roman"/>
          <w:i/>
          <w:sz w:val="20"/>
        </w:rPr>
        <w:t>Pensionsfonds</w:t>
      </w:r>
      <w:r>
        <w:rPr>
          <w:rFonts w:ascii="Times New Roman" w:hAnsi="Times New Roman"/>
          <w:sz w:val="20"/>
        </w:rPr>
        <w:t>) and investment funds (</w:t>
      </w:r>
      <w:r>
        <w:rPr>
          <w:rFonts w:ascii="Times New Roman" w:hAnsi="Times New Roman"/>
          <w:i/>
          <w:sz w:val="20"/>
        </w:rPr>
        <w:t>Investmentfonds</w:t>
      </w:r>
      <w:r>
        <w:rPr>
          <w:rFonts w:ascii="Times New Roman" w:hAnsi="Times New Roman"/>
          <w:sz w:val="20"/>
        </w:rPr>
        <w:t xml:space="preserve">). </w:t>
      </w:r>
    </w:p>
    <w:p>
      <w:pPr>
        <w:pStyle w:val="TextBody"/>
        <w:spacing w:before="360" w:after="0"/>
        <w:jc w:val="left"/>
        <w:rPr>
          <w:rFonts w:ascii="Times New Roman" w:hAnsi="Times New Roman"/>
          <w:i/>
          <w:sz w:val="20"/>
        </w:rPr>
      </w:pPr>
      <w:r>
        <w:rPr>
          <w:rFonts w:ascii="Times New Roman" w:hAnsi="Times New Roman"/>
          <w:i/>
          <w:sz w:val="20"/>
        </w:rPr>
        <w:t xml:space="preserve">German Inheritance and Gift Tax (Erbschaft- und Schenkungsteuer) </w:t>
      </w:r>
    </w:p>
    <w:p>
      <w:pPr>
        <w:pStyle w:val="TextBody"/>
        <w:spacing w:before="120" w:after="0"/>
        <w:jc w:val="both"/>
        <w:rPr>
          <w:rFonts w:ascii="Times New Roman" w:hAnsi="Times New Roman"/>
          <w:sz w:val="20"/>
        </w:rPr>
      </w:pPr>
      <w:r>
        <w:rPr>
          <w:rFonts w:ascii="Times New Roman" w:hAnsi="Times New Roman"/>
          <w:sz w:val="20"/>
        </w:rPr>
        <w:t xml:space="preserve">Generally, a transfer of ADSs by inheritance or by way of gift will be subject to German gift or inheritance tax, </w:t>
      </w:r>
      <w:r>
        <w:rPr>
          <w:rFonts w:ascii="Times New Roman" w:hAnsi="Times New Roman"/>
          <w:i/>
          <w:sz w:val="20"/>
        </w:rPr>
        <w:t>inter alia</w:t>
      </w:r>
      <w:r>
        <w:rPr>
          <w:rFonts w:ascii="Times New Roman" w:hAnsi="Times New Roman"/>
          <w:sz w:val="20"/>
        </w:rPr>
        <w:t xml:space="preserve">, if (i) the decedent or donor, or the heir, donee or other transferee is resident in Germany at the time of the transfer, or with respect to German citizens who are not resident in Germany, if the decedent or donor, or the heir, donee or other transferee has not been continuously outside of Germany for a period of more than five years; (ii) the ADSs or ordinary shares are part of the business property of a permanent establishment or a fixed base in Germany; or (iii) the ADSs or ordinary shares subject to such transfer form part of a portfolio that represents 10% or more of the registered share capital of the company and has been held, directly or indirectly, by the decedent or donor. </w:t>
      </w:r>
    </w:p>
    <w:p>
      <w:pPr>
        <w:pStyle w:val="TextBody"/>
        <w:spacing w:before="240" w:after="0"/>
        <w:jc w:val="both"/>
        <w:rPr>
          <w:rFonts w:ascii="Times New Roman" w:hAnsi="Times New Roman"/>
          <w:sz w:val="20"/>
        </w:rPr>
      </w:pPr>
      <w:r>
        <w:rPr>
          <w:rFonts w:ascii="Times New Roman" w:hAnsi="Times New Roman"/>
          <w:sz w:val="20"/>
        </w:rPr>
        <w:t xml:space="preserve">However, the right of Germany to impose gift or inheritance tax on a non-resident shareholder may be limited by an applicable estate tax treaty. In the case of a U.S. resident holder, a transfer of ADSs by a U.S. resident holder at death or by way of gift generally will not be subject to German gift or inheritance tax pursuant to the estate tax treaty between the U.S. and Germany (Convention between the Federal Republic of Germany and the United States of America for the Avoidance of Double Taxation with respect to Estate, Gift and Inheritance Taxes, </w:t>
      </w:r>
      <w:r>
        <w:rPr>
          <w:rFonts w:ascii="Times New Roman" w:hAnsi="Times New Roman"/>
          <w:i/>
          <w:sz w:val="20"/>
        </w:rPr>
        <w:t>Abkommen zwischen der Bundesrepublik Deutschland und den Vereinigten Staaten von Amerika zur Vermeidung der Doppelbesteuerung auf dem Gebiet der Nachlass-, Erbschaft- und Schenkungssteuern</w:t>
      </w:r>
      <w:r>
        <w:rPr>
          <w:rFonts w:ascii="Times New Roman" w:hAnsi="Times New Roman"/>
          <w:sz w:val="20"/>
        </w:rPr>
        <w:t xml:space="preserve">) as published on December 21, 2000 (the “Estate Tax Treaty”) provided the decedent or donor, or the heir, donee or other transferee was not domiciled in Germany for purposes of the Estate Tax Treaty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at the time the gift was made, or at the time of the decedent’s death, and the ADSs were not held in connection with a permanent establishment or a fixed base in Germany. In general, the Estate Tax Treaty provides a credit against the U.S. federal gift or estate tax liability for the amount of gift or inheritance tax. </w:t>
      </w:r>
    </w:p>
    <w:p>
      <w:pPr>
        <w:pStyle w:val="TextBody"/>
        <w:spacing w:before="360" w:after="0"/>
        <w:jc w:val="left"/>
        <w:rPr>
          <w:rFonts w:ascii="Times New Roman" w:hAnsi="Times New Roman"/>
          <w:b/>
          <w:i/>
          <w:sz w:val="20"/>
        </w:rPr>
      </w:pPr>
      <w:r>
        <w:rPr>
          <w:rFonts w:ascii="Times New Roman" w:hAnsi="Times New Roman"/>
          <w:b/>
          <w:i/>
          <w:sz w:val="20"/>
        </w:rPr>
        <w:t xml:space="preserve">Other German Taxes </w:t>
      </w:r>
    </w:p>
    <w:p>
      <w:pPr>
        <w:pStyle w:val="TextBody"/>
        <w:spacing w:before="120" w:after="0"/>
        <w:jc w:val="both"/>
        <w:rPr>
          <w:rFonts w:ascii="Times New Roman" w:hAnsi="Times New Roman"/>
          <w:sz w:val="20"/>
        </w:rPr>
      </w:pPr>
      <w:r>
        <w:rPr>
          <w:rFonts w:ascii="Times New Roman" w:hAnsi="Times New Roman"/>
          <w:sz w:val="20"/>
        </w:rPr>
        <w:t>There are currently no German net worth, transfer, stamp or other similar taxes that would apply to a U.S. holder on the acquisition, ownership, sale or other disposition of the ADSs. Certain member states of the European Union are considering introducing a financial transaction tax (</w:t>
      </w:r>
      <w:r>
        <w:rPr>
          <w:rFonts w:ascii="Times New Roman" w:hAnsi="Times New Roman"/>
          <w:i/>
          <w:sz w:val="20"/>
        </w:rPr>
        <w:t>Finanztransaktionssteuer</w:t>
      </w:r>
      <w:r>
        <w:rPr>
          <w:rFonts w:ascii="Times New Roman" w:hAnsi="Times New Roman"/>
          <w:sz w:val="20"/>
        </w:rPr>
        <w:t xml:space="preserve">) which, if and when introduced, may also be applicable on sales and/or transfer of ADS. </w:t>
      </w:r>
    </w:p>
    <w:p>
      <w:pPr>
        <w:pStyle w:val="TextBody"/>
        <w:spacing w:before="360" w:after="0"/>
        <w:jc w:val="left"/>
        <w:rPr>
          <w:rFonts w:ascii="Times New Roman" w:hAnsi="Times New Roman"/>
          <w:b/>
          <w:i/>
          <w:sz w:val="20"/>
        </w:rPr>
      </w:pPr>
      <w:r>
        <w:rPr>
          <w:rFonts w:ascii="Times New Roman" w:hAnsi="Times New Roman"/>
          <w:b/>
          <w:i/>
          <w:sz w:val="20"/>
        </w:rPr>
        <w:t xml:space="preserve">Information and Reporting Requirements </w:t>
      </w:r>
    </w:p>
    <w:p>
      <w:pPr>
        <w:pStyle w:val="TextBody"/>
        <w:spacing w:before="120" w:after="0"/>
        <w:jc w:val="both"/>
        <w:rPr>
          <w:rFonts w:ascii="Times New Roman" w:hAnsi="Times New Roman"/>
          <w:sz w:val="20"/>
        </w:rPr>
      </w:pPr>
      <w:r>
        <w:rPr>
          <w:rFonts w:ascii="Times New Roman" w:hAnsi="Times New Roman"/>
          <w:sz w:val="20"/>
        </w:rPr>
        <w:t xml:space="preserve">The Organization for Economic Co-Operation and Development released the Common Reporting Standard (“CRS”) designed to create a global standard for the automatic exchange of financial account information, similar to the information to be reported under FATCA. </w:t>
      </w:r>
    </w:p>
    <w:p>
      <w:pPr>
        <w:pStyle w:val="TextBody"/>
        <w:spacing w:before="240" w:after="0"/>
        <w:jc w:val="both"/>
        <w:rPr>
          <w:rFonts w:ascii="Times New Roman" w:hAnsi="Times New Roman"/>
          <w:sz w:val="20"/>
        </w:rPr>
      </w:pPr>
      <w:r>
        <w:rPr>
          <w:rFonts w:ascii="Times New Roman" w:hAnsi="Times New Roman"/>
          <w:sz w:val="20"/>
        </w:rPr>
        <w:t xml:space="preserve">Under the CRS and legislation enacted in Germany to implement the CRS, generally certain information needs to be disclosed about investors in the shares, the ultimate beneficial owners and/or controllers, and their investment in and returns from the shares. </w:t>
      </w:r>
    </w:p>
    <w:p>
      <w:pPr>
        <w:pStyle w:val="TextBody"/>
        <w:spacing w:before="240" w:after="0"/>
        <w:jc w:val="both"/>
        <w:rPr>
          <w:rFonts w:ascii="Times New Roman" w:hAnsi="Times New Roman"/>
          <w:sz w:val="20"/>
        </w:rPr>
      </w:pPr>
      <w:r>
        <w:rPr>
          <w:rFonts w:ascii="Times New Roman" w:hAnsi="Times New Roman"/>
          <w:sz w:val="20"/>
        </w:rPr>
        <w:t xml:space="preserve">All prospective investors should consult with their own tax advisors regarding the tax consequences of their investment in the ADSs. </w:t>
      </w:r>
    </w:p>
    <w:p>
      <w:pPr>
        <w:pStyle w:val="TextBody"/>
        <w:spacing w:before="360" w:after="0"/>
        <w:jc w:val="left"/>
        <w:rPr>
          <w:rFonts w:ascii="Times New Roman" w:hAnsi="Times New Roman"/>
          <w:b/>
          <w:sz w:val="20"/>
        </w:rPr>
      </w:pPr>
      <w:r>
        <w:rPr>
          <w:rFonts w:ascii="Times New Roman" w:hAnsi="Times New Roman"/>
          <w:b/>
          <w:sz w:val="20"/>
        </w:rPr>
        <w:t xml:space="preserve">U.S. Taxation </w:t>
      </w:r>
    </w:p>
    <w:p>
      <w:pPr>
        <w:pStyle w:val="TextBody"/>
        <w:spacing w:before="120" w:after="0"/>
        <w:jc w:val="both"/>
        <w:rPr>
          <w:rFonts w:ascii="Times New Roman" w:hAnsi="Times New Roman"/>
          <w:sz w:val="20"/>
        </w:rPr>
      </w:pPr>
      <w:r>
        <w:rPr>
          <w:rFonts w:ascii="Times New Roman" w:hAnsi="Times New Roman"/>
          <w:sz w:val="20"/>
        </w:rPr>
        <w:t xml:space="preserve">This section describes United States federal income tax considerations generally applicable to a U.S. holder (as defined below) of ADSs. It applies to you only if you hold your ADSs as capital assets for tax purposes. This discussion addresses only United States federal income taxation and does not discuss all of the tax consequences that may be relevant to you in light of your individual circumstances, including foreign, state or local tax consequences, estate and gift tax consequences, and tax consequences arising under the Medicare contribution tax on net investment income or the alternative minimum tax. This section does not discuss all of the tax consequences applicable to you if you are a member of a special class of holders subject to special rules, including: </w:t>
      </w:r>
    </w:p>
    <w:p>
      <w:pPr>
        <w:pStyle w:val="TextBody"/>
        <w:spacing w:before="0" w:after="0"/>
        <w:jc w:val="left"/>
        <w:rPr/>
      </w:pPr>
      <w:r>
        <w:rPr/>
        <w:t> </w:t>
      </w:r>
    </w:p>
    <w:tbl>
      <w:tblPr>
        <w:tblW w:w="2800" w:type="dxa"/>
        <w:jc w:val="left"/>
        <w:tblInd w:w="0" w:type="dxa"/>
        <w:tblCellMar>
          <w:top w:w="0" w:type="dxa"/>
          <w:left w:w="0" w:type="dxa"/>
          <w:bottom w:w="0" w:type="dxa"/>
          <w:right w:w="0" w:type="dxa"/>
        </w:tblCellMar>
      </w:tblPr>
      <w:tblGrid>
        <w:gridCol w:w="75"/>
        <w:gridCol w:w="110"/>
        <w:gridCol w:w="60"/>
        <w:gridCol w:w="25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55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 broker or dealer in securities, </w:t>
            </w:r>
          </w:p>
        </w:tc>
      </w:tr>
    </w:tbl>
    <w:p>
      <w:pPr>
        <w:pStyle w:val="TextBody"/>
        <w:spacing w:before="0" w:after="0"/>
        <w:jc w:val="left"/>
        <w:rPr/>
      </w:pPr>
      <w:r>
        <w:rPr/>
        <w:t> </w:t>
      </w:r>
    </w:p>
    <w:tbl>
      <w:tblPr>
        <w:tblW w:w="8485" w:type="dxa"/>
        <w:jc w:val="left"/>
        <w:tblInd w:w="0" w:type="dxa"/>
        <w:tblCellMar>
          <w:top w:w="0" w:type="dxa"/>
          <w:left w:w="0" w:type="dxa"/>
          <w:bottom w:w="0" w:type="dxa"/>
          <w:right w:w="0" w:type="dxa"/>
        </w:tblCellMar>
      </w:tblPr>
      <w:tblGrid>
        <w:gridCol w:w="75"/>
        <w:gridCol w:w="110"/>
        <w:gridCol w:w="60"/>
        <w:gridCol w:w="82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24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 trader in securities that elects to use a mark-to-market method of accounting for securities holdings, </w:t>
            </w:r>
          </w:p>
        </w:tc>
      </w:tr>
    </w:tbl>
    <w:p>
      <w:pPr>
        <w:pStyle w:val="TextBody"/>
        <w:spacing w:before="0" w:after="0"/>
        <w:jc w:val="left"/>
        <w:rPr/>
      </w:pPr>
      <w:r>
        <w:rPr/>
        <w:t> </w:t>
      </w:r>
    </w:p>
    <w:tbl>
      <w:tblPr>
        <w:tblW w:w="4960" w:type="dxa"/>
        <w:jc w:val="left"/>
        <w:tblInd w:w="0" w:type="dxa"/>
        <w:tblCellMar>
          <w:top w:w="0" w:type="dxa"/>
          <w:left w:w="0" w:type="dxa"/>
          <w:bottom w:w="0" w:type="dxa"/>
          <w:right w:w="0" w:type="dxa"/>
        </w:tblCellMar>
      </w:tblPr>
      <w:tblGrid>
        <w:gridCol w:w="75"/>
        <w:gridCol w:w="110"/>
        <w:gridCol w:w="60"/>
        <w:gridCol w:w="47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71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 tax-exempt organization or governmental organization, </w:t>
            </w:r>
          </w:p>
        </w:tc>
      </w:tr>
    </w:tbl>
    <w:p>
      <w:pPr>
        <w:pStyle w:val="TextBody"/>
        <w:spacing w:before="0" w:after="0"/>
        <w:jc w:val="left"/>
        <w:rPr/>
      </w:pPr>
      <w:r>
        <w:rPr/>
        <w:t> </w:t>
      </w:r>
    </w:p>
    <w:tbl>
      <w:tblPr>
        <w:tblW w:w="2830" w:type="dxa"/>
        <w:jc w:val="left"/>
        <w:tblInd w:w="0" w:type="dxa"/>
        <w:tblCellMar>
          <w:top w:w="0" w:type="dxa"/>
          <w:left w:w="0" w:type="dxa"/>
          <w:bottom w:w="0" w:type="dxa"/>
          <w:right w:w="0" w:type="dxa"/>
        </w:tblCellMar>
      </w:tblPr>
      <w:tblGrid>
        <w:gridCol w:w="75"/>
        <w:gridCol w:w="110"/>
        <w:gridCol w:w="60"/>
        <w:gridCol w:w="25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58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 tax-qualified retirement plan, </w:t>
            </w:r>
          </w:p>
        </w:tc>
      </w:tr>
    </w:tbl>
    <w:p>
      <w:pPr>
        <w:pStyle w:val="TextBody"/>
        <w:spacing w:before="0" w:after="0"/>
        <w:jc w:val="left"/>
        <w:rPr/>
      </w:pPr>
      <w:r>
        <w:rPr/>
        <w:t> </w:t>
      </w:r>
    </w:p>
    <w:tbl>
      <w:tblPr>
        <w:tblW w:w="4915" w:type="dxa"/>
        <w:jc w:val="left"/>
        <w:tblInd w:w="0" w:type="dxa"/>
        <w:tblCellMar>
          <w:top w:w="0" w:type="dxa"/>
          <w:left w:w="0" w:type="dxa"/>
          <w:bottom w:w="0" w:type="dxa"/>
          <w:right w:w="0" w:type="dxa"/>
        </w:tblCellMar>
      </w:tblPr>
      <w:tblGrid>
        <w:gridCol w:w="75"/>
        <w:gridCol w:w="110"/>
        <w:gridCol w:w="60"/>
        <w:gridCol w:w="46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67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 bank, insurance company or other financial institution, </w:t>
            </w:r>
          </w:p>
        </w:tc>
      </w:tr>
    </w:tbl>
    <w:p>
      <w:pPr>
        <w:pStyle w:val="TextBody"/>
        <w:spacing w:before="0" w:after="0"/>
        <w:jc w:val="left"/>
        <w:rPr/>
      </w:pPr>
      <w:r>
        <w:rPr/>
        <w:t> </w:t>
      </w:r>
    </w:p>
    <w:tbl>
      <w:tblPr>
        <w:tblW w:w="5425" w:type="dxa"/>
        <w:jc w:val="left"/>
        <w:tblInd w:w="0" w:type="dxa"/>
        <w:tblCellMar>
          <w:top w:w="0" w:type="dxa"/>
          <w:left w:w="0" w:type="dxa"/>
          <w:bottom w:w="0" w:type="dxa"/>
          <w:right w:w="0" w:type="dxa"/>
        </w:tblCellMar>
      </w:tblPr>
      <w:tblGrid>
        <w:gridCol w:w="75"/>
        <w:gridCol w:w="110"/>
        <w:gridCol w:w="60"/>
        <w:gridCol w:w="51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18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 real estate investment trust or regulated investment company,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 person that actually or constructively owns 10% or more of the combined voting power of our voting stock or of the total value of our stock, </w:t>
            </w:r>
          </w:p>
        </w:tc>
      </w:tr>
    </w:tbl>
    <w:p>
      <w:pPr>
        <w:pStyle w:val="TextBody"/>
        <w:spacing w:before="0" w:after="0"/>
        <w:jc w:val="left"/>
        <w:rPr/>
      </w:pPr>
      <w:r>
        <w:rPr/>
        <w:t> </w:t>
      </w:r>
    </w:p>
    <w:tbl>
      <w:tblPr>
        <w:tblW w:w="7165" w:type="dxa"/>
        <w:jc w:val="left"/>
        <w:tblInd w:w="0" w:type="dxa"/>
        <w:tblCellMar>
          <w:top w:w="0" w:type="dxa"/>
          <w:left w:w="0" w:type="dxa"/>
          <w:bottom w:w="0" w:type="dxa"/>
          <w:right w:w="0" w:type="dxa"/>
        </w:tblCellMar>
      </w:tblPr>
      <w:tblGrid>
        <w:gridCol w:w="75"/>
        <w:gridCol w:w="110"/>
        <w:gridCol w:w="60"/>
        <w:gridCol w:w="69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92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 person that holds ADSs as part of a straddle or a hedging or conversion transaction, </w:t>
            </w:r>
          </w:p>
        </w:tc>
      </w:tr>
    </w:tbl>
    <w:p>
      <w:pPr>
        <w:pStyle w:val="TextBody"/>
        <w:spacing w:before="0" w:after="0"/>
        <w:jc w:val="left"/>
        <w:rPr/>
      </w:pPr>
      <w:r>
        <w:rPr/>
        <w:t> </w:t>
      </w:r>
    </w:p>
    <w:tbl>
      <w:tblPr>
        <w:tblW w:w="6415" w:type="dxa"/>
        <w:jc w:val="left"/>
        <w:tblInd w:w="0" w:type="dxa"/>
        <w:tblCellMar>
          <w:top w:w="0" w:type="dxa"/>
          <w:left w:w="0" w:type="dxa"/>
          <w:bottom w:w="0" w:type="dxa"/>
          <w:right w:w="0" w:type="dxa"/>
        </w:tblCellMar>
      </w:tblPr>
      <w:tblGrid>
        <w:gridCol w:w="75"/>
        <w:gridCol w:w="110"/>
        <w:gridCol w:w="60"/>
        <w:gridCol w:w="61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17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 person that purchases or sells ADSs as part of a wash sale for tax purposes, </w:t>
            </w:r>
          </w:p>
        </w:tc>
      </w:tr>
    </w:tbl>
    <w:p>
      <w:pPr>
        <w:pStyle w:val="TextBody"/>
        <w:spacing w:before="0" w:after="0"/>
        <w:jc w:val="left"/>
        <w:rPr/>
      </w:pPr>
      <w:r>
        <w:rPr/>
        <w:t> </w:t>
      </w:r>
    </w:p>
    <w:tbl>
      <w:tblPr>
        <w:tblW w:w="4930" w:type="dxa"/>
        <w:jc w:val="left"/>
        <w:tblInd w:w="0" w:type="dxa"/>
        <w:tblCellMar>
          <w:top w:w="0" w:type="dxa"/>
          <w:left w:w="0" w:type="dxa"/>
          <w:bottom w:w="0" w:type="dxa"/>
          <w:right w:w="0" w:type="dxa"/>
        </w:tblCellMar>
      </w:tblPr>
      <w:tblGrid>
        <w:gridCol w:w="75"/>
        <w:gridCol w:w="110"/>
        <w:gridCol w:w="60"/>
        <w:gridCol w:w="46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68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 person whose functional currency is not the U.S. dollar, </w:t>
            </w:r>
          </w:p>
        </w:tc>
      </w:tr>
    </w:tbl>
    <w:p>
      <w:pPr>
        <w:pStyle w:val="TextBody"/>
        <w:spacing w:before="0" w:after="0"/>
        <w:jc w:val="left"/>
        <w:rPr/>
      </w:pPr>
      <w:r>
        <w:rPr/>
        <w:t> </w:t>
      </w:r>
    </w:p>
    <w:tbl>
      <w:tblPr>
        <w:tblW w:w="6235" w:type="dxa"/>
        <w:jc w:val="left"/>
        <w:tblInd w:w="0" w:type="dxa"/>
        <w:tblCellMar>
          <w:top w:w="0" w:type="dxa"/>
          <w:left w:w="0" w:type="dxa"/>
          <w:bottom w:w="0" w:type="dxa"/>
          <w:right w:w="0" w:type="dxa"/>
        </w:tblCellMar>
      </w:tblPr>
      <w:tblGrid>
        <w:gridCol w:w="75"/>
        <w:gridCol w:w="110"/>
        <w:gridCol w:w="60"/>
        <w:gridCol w:w="59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9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 corporation that accumulates earnings to avoid U.S. federal income tax,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an S corporation, partnership or other entity or arrangement treated as a partnership for U.S. federal income tax purposes (and investors therein), or </w:t>
            </w:r>
          </w:p>
        </w:tc>
      </w:tr>
    </w:tbl>
    <w:p>
      <w:pPr>
        <w:pStyle w:val="TextBody"/>
        <w:spacing w:before="0" w:after="0"/>
        <w:jc w:val="left"/>
        <w:rPr/>
      </w:pPr>
      <w:r>
        <w:rPr/>
        <w:t> </w:t>
      </w:r>
    </w:p>
    <w:tbl>
      <w:tblPr>
        <w:tblW w:w="8395" w:type="dxa"/>
        <w:jc w:val="left"/>
        <w:tblInd w:w="0" w:type="dxa"/>
        <w:tblCellMar>
          <w:top w:w="0" w:type="dxa"/>
          <w:left w:w="0" w:type="dxa"/>
          <w:bottom w:w="0" w:type="dxa"/>
          <w:right w:w="0" w:type="dxa"/>
        </w:tblCellMar>
      </w:tblPr>
      <w:tblGrid>
        <w:gridCol w:w="75"/>
        <w:gridCol w:w="110"/>
        <w:gridCol w:w="60"/>
        <w:gridCol w:w="81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5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 person deemed to sell ADSs under the constructive sale provisions of the Code (as defined below). </w:t>
            </w:r>
          </w:p>
        </w:tc>
      </w:tr>
    </w:tbl>
    <w:p>
      <w:pPr>
        <w:pStyle w:val="TextBody"/>
        <w:spacing w:before="240" w:after="0"/>
        <w:jc w:val="both"/>
        <w:rPr>
          <w:rFonts w:ascii="Times New Roman" w:hAnsi="Times New Roman"/>
          <w:sz w:val="20"/>
        </w:rPr>
      </w:pPr>
      <w:r>
        <w:rPr>
          <w:rFonts w:ascii="Times New Roman" w:hAnsi="Times New Roman"/>
          <w:sz w:val="20"/>
        </w:rPr>
        <w:t xml:space="preserve">This section is based on the Internal Revenue Code of 1986, as amended (the “Code”), its legislative history, existing and proposed regulations, published rulings and court decisions, all as currently in effect, as well as on the Convention Between the Federal Republic of Germany and the United States of America for the Avoidance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of Double Taxation and the Prevention of Fiscal Evasion with respect to Taxes on Income and Capital and certain other Taxes in the version published as of June 4, 2008 (</w:t>
      </w:r>
      <w:r>
        <w:rPr>
          <w:rFonts w:ascii="Times New Roman" w:hAnsi="Times New Roman"/>
          <w:i/>
          <w:sz w:val="20"/>
        </w:rPr>
        <w:t>Abkommen zwischen der Bundesrepublik Deutschland und den Vereinigten Staaten von Amerika zur Vermeidung der Doppelbesteuerung und zur Verhinderung der Steuerverkürzung auf dem Gebiet der Steuern vom Einkommen und vom Vermögen und einiger anderer Steuern in der Fassung der Bekanntmachung vom 4. Juni 2008</w:t>
      </w:r>
      <w:r>
        <w:rPr>
          <w:rFonts w:ascii="Times New Roman" w:hAnsi="Times New Roman"/>
          <w:sz w:val="20"/>
        </w:rPr>
        <w:t xml:space="preserve">) as published in the German Federal Law Gazette 2008 vol. II pp. 611/851 (the “Treaty”). These laws are subject to change, possibly on a retroactive basis. In addition, this section is based in part upon the assumption that each obligation in the deposit agreement and any related agreement will be performed in accordance with its terms. </w:t>
      </w:r>
    </w:p>
    <w:p>
      <w:pPr>
        <w:pStyle w:val="TextBody"/>
        <w:spacing w:before="240" w:after="0"/>
        <w:jc w:val="both"/>
        <w:rPr>
          <w:rFonts w:ascii="Times New Roman" w:hAnsi="Times New Roman"/>
          <w:sz w:val="20"/>
        </w:rPr>
      </w:pPr>
      <w:r>
        <w:rPr>
          <w:rFonts w:ascii="Times New Roman" w:hAnsi="Times New Roman"/>
          <w:sz w:val="20"/>
        </w:rPr>
        <w:t xml:space="preserve">If an entity or arrangement that is treated as a partnership for United States federal income tax purposes holds the ADSs, the United States federal income tax treatment of a partner will generally depend on the status of the partner and the tax treatment of the partnership. A partner in an entity or arrangement that is treated as a partnership and that holds the ADSs should consult its tax advisor with regard to the United States federal income tax treatment of an investment in the ADSs. </w:t>
      </w:r>
    </w:p>
    <w:p>
      <w:pPr>
        <w:pStyle w:val="TextBody"/>
        <w:spacing w:before="240" w:after="0"/>
        <w:jc w:val="both"/>
        <w:rPr>
          <w:rFonts w:ascii="Times New Roman" w:hAnsi="Times New Roman"/>
          <w:sz w:val="20"/>
        </w:rPr>
      </w:pPr>
      <w:r>
        <w:rPr>
          <w:rFonts w:ascii="Times New Roman" w:hAnsi="Times New Roman"/>
          <w:sz w:val="20"/>
        </w:rPr>
        <w:t xml:space="preserve">You are a “U.S. holder” if you are a beneficial owner of ADSs and you are, for United States federal income tax purposes: </w:t>
      </w:r>
    </w:p>
    <w:p>
      <w:pPr>
        <w:pStyle w:val="TextBody"/>
        <w:spacing w:before="0" w:after="0"/>
        <w:jc w:val="left"/>
        <w:rPr/>
      </w:pPr>
      <w:r>
        <w:rPr/>
        <w:t> </w:t>
      </w:r>
    </w:p>
    <w:tbl>
      <w:tblPr>
        <w:tblW w:w="3595" w:type="dxa"/>
        <w:jc w:val="left"/>
        <w:tblInd w:w="0" w:type="dxa"/>
        <w:tblCellMar>
          <w:top w:w="0" w:type="dxa"/>
          <w:left w:w="0" w:type="dxa"/>
          <w:bottom w:w="0" w:type="dxa"/>
          <w:right w:w="0" w:type="dxa"/>
        </w:tblCellMar>
      </w:tblPr>
      <w:tblGrid>
        <w:gridCol w:w="75"/>
        <w:gridCol w:w="110"/>
        <w:gridCol w:w="60"/>
        <w:gridCol w:w="33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35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 citizen or resident of the United States, </w:t>
            </w:r>
          </w:p>
        </w:tc>
      </w:tr>
    </w:tbl>
    <w:p>
      <w:pPr>
        <w:pStyle w:val="TextBody"/>
        <w:spacing w:before="0" w:after="0"/>
        <w:jc w:val="left"/>
        <w:rPr/>
      </w:pPr>
      <w:r>
        <w:rPr/>
        <w:t> </w:t>
      </w:r>
    </w:p>
    <w:tbl>
      <w:tblPr>
        <w:tblW w:w="2230" w:type="dxa"/>
        <w:jc w:val="left"/>
        <w:tblInd w:w="0" w:type="dxa"/>
        <w:tblCellMar>
          <w:top w:w="0" w:type="dxa"/>
          <w:left w:w="0" w:type="dxa"/>
          <w:bottom w:w="0" w:type="dxa"/>
          <w:right w:w="0" w:type="dxa"/>
        </w:tblCellMar>
      </w:tblPr>
      <w:tblGrid>
        <w:gridCol w:w="75"/>
        <w:gridCol w:w="110"/>
        <w:gridCol w:w="60"/>
        <w:gridCol w:w="19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98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 domestic corporation, </w:t>
            </w:r>
          </w:p>
        </w:tc>
      </w:tr>
    </w:tbl>
    <w:p>
      <w:pPr>
        <w:pStyle w:val="TextBody"/>
        <w:spacing w:before="0" w:after="0"/>
        <w:jc w:val="left"/>
        <w:rPr/>
      </w:pPr>
      <w:r>
        <w:rPr/>
        <w:t> </w:t>
      </w:r>
    </w:p>
    <w:tbl>
      <w:tblPr>
        <w:tblW w:w="8050" w:type="dxa"/>
        <w:jc w:val="left"/>
        <w:tblInd w:w="0" w:type="dxa"/>
        <w:tblCellMar>
          <w:top w:w="0" w:type="dxa"/>
          <w:left w:w="0" w:type="dxa"/>
          <w:bottom w:w="0" w:type="dxa"/>
          <w:right w:w="0" w:type="dxa"/>
        </w:tblCellMar>
      </w:tblPr>
      <w:tblGrid>
        <w:gridCol w:w="75"/>
        <w:gridCol w:w="110"/>
        <w:gridCol w:w="60"/>
        <w:gridCol w:w="78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0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an estate whose income is subject to United States federal income tax regardless of its source,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 trust if a United States court can exercise primary supervision over the trust’s administration and one or more United States persons are authorized to control all substantial decisions of the trust. </w:t>
            </w:r>
          </w:p>
        </w:tc>
      </w:tr>
    </w:tbl>
    <w:p>
      <w:pPr>
        <w:pStyle w:val="TextBody"/>
        <w:spacing w:before="240" w:after="0"/>
        <w:jc w:val="both"/>
        <w:rPr>
          <w:rFonts w:ascii="Times New Roman" w:hAnsi="Times New Roman"/>
          <w:sz w:val="20"/>
        </w:rPr>
      </w:pPr>
      <w:r>
        <w:rPr>
          <w:rFonts w:ascii="Times New Roman" w:hAnsi="Times New Roman"/>
          <w:sz w:val="20"/>
        </w:rPr>
        <w:t xml:space="preserve">In general, and taking into account the foregoing assumptions, if you are the beneficial owner of ADSs, you will be treated as the beneficial owner of the ordinary shares represented by those ADSs for United States federal income tax purposes. Accordingly, exchanges of ordinary shares for ADSs, and of ADSs for ordinary shares, generally will not be subject to United States federal income tax. </w:t>
      </w:r>
    </w:p>
    <w:p>
      <w:pPr>
        <w:pStyle w:val="TextBody"/>
        <w:spacing w:before="0" w:after="0"/>
        <w:jc w:val="left"/>
        <w:rPr/>
      </w:pPr>
      <w:r>
        <w:rPr/>
        <w:t> </w:t>
      </w:r>
    </w:p>
    <w:p>
      <w:pPr>
        <w:pStyle w:val="TextBody"/>
        <w:pBdr/>
        <w:spacing w:before="0" w:after="0"/>
        <w:jc w:val="both"/>
        <w:rPr>
          <w:rFonts w:ascii="Times New Roman" w:hAnsi="Times New Roman"/>
          <w:i/>
          <w:sz w:val="20"/>
          <w:bdr w:val="single" w:sz="2" w:space="2" w:color="000000"/>
        </w:rPr>
      </w:pPr>
      <w:r>
        <w:rPr>
          <w:rFonts w:ascii="Times New Roman" w:hAnsi="Times New Roman"/>
          <w:i/>
          <w:sz w:val="20"/>
          <w:bdr w:val="single" w:sz="2" w:space="2" w:color="000000"/>
        </w:rPr>
        <w:t xml:space="preserve">You should consult your own tax advisor regarding the United States federal, state and local tax consequences of owning and disposing of shares and ADSs in your particular circumstances. </w:t>
      </w:r>
    </w:p>
    <w:p>
      <w:pPr>
        <w:pStyle w:val="TextBody"/>
        <w:spacing w:before="240" w:after="0"/>
        <w:jc w:val="both"/>
        <w:rPr>
          <w:rFonts w:ascii="Times New Roman" w:hAnsi="Times New Roman"/>
          <w:sz w:val="20"/>
        </w:rPr>
      </w:pPr>
      <w:r>
        <w:rPr>
          <w:rFonts w:ascii="Times New Roman" w:hAnsi="Times New Roman"/>
          <w:sz w:val="20"/>
        </w:rPr>
        <w:t xml:space="preserve">Except as described below under “—PFIC Rules,” this discussion assumes that we are not, and will not become, a PFIC for United States federal income tax purposes. </w:t>
      </w:r>
    </w:p>
    <w:p>
      <w:pPr>
        <w:pStyle w:val="TextBody"/>
        <w:spacing w:before="360" w:after="0"/>
        <w:jc w:val="left"/>
        <w:rPr>
          <w:rFonts w:ascii="Times New Roman" w:hAnsi="Times New Roman"/>
          <w:b/>
          <w:i/>
          <w:sz w:val="20"/>
        </w:rPr>
      </w:pPr>
      <w:r>
        <w:rPr>
          <w:rFonts w:ascii="Times New Roman" w:hAnsi="Times New Roman"/>
          <w:b/>
          <w:i/>
          <w:sz w:val="20"/>
        </w:rPr>
        <w:t xml:space="preserve">Dividends </w:t>
      </w:r>
    </w:p>
    <w:p>
      <w:pPr>
        <w:pStyle w:val="TextBody"/>
        <w:spacing w:before="120" w:after="0"/>
        <w:jc w:val="both"/>
        <w:rPr>
          <w:rFonts w:ascii="Times New Roman" w:hAnsi="Times New Roman"/>
          <w:sz w:val="20"/>
        </w:rPr>
      </w:pPr>
      <w:r>
        <w:rPr>
          <w:rFonts w:ascii="Times New Roman" w:hAnsi="Times New Roman"/>
          <w:sz w:val="20"/>
        </w:rPr>
        <w:t xml:space="preserve">The gross amount of any distribution we pay out of our current or accumulated earnings and profits (as determined for United States federal income tax purposes), other than certain pro-rata distributions of our ordinary shares, will be treated as a dividend that is subject to United States federal income taxation. If you are a noncorporate U.S. holder, dividends that constitute qualified dividend income will be taxable to you at the preferential rates applicable to long-term capital gains provided that you hold the ADSs for more than 60 days during the 121-day period beginning 60 days before the ex-dividend date and other requirements are met. Dividends we pay with respect to the ADSs generally will be qualified dividend income provided that, in the year that you receive the dividend, the ADSs are readily tradable on an established securities market in the United States. The ADSs are listed on Nasdaq and we therefore expect that dividends we pay with respect to the ADSs will be qualified dividend income. </w:t>
      </w:r>
    </w:p>
    <w:p>
      <w:pPr>
        <w:pStyle w:val="TextBody"/>
        <w:spacing w:before="240" w:after="0"/>
        <w:jc w:val="both"/>
        <w:rPr>
          <w:rFonts w:ascii="Times New Roman" w:hAnsi="Times New Roman"/>
          <w:sz w:val="20"/>
        </w:rPr>
      </w:pPr>
      <w:r>
        <w:rPr>
          <w:rFonts w:ascii="Times New Roman" w:hAnsi="Times New Roman"/>
          <w:sz w:val="20"/>
        </w:rPr>
        <w:t xml:space="preserve">You must include any German tax withheld from the dividend payment in this gross amount even though you do not in fact receive it. The dividend is taxable to you when you receive the dividend, actually or constructively. The dividend will not be eligible for the dividends-received deduction generally allowed to United States corporations in respect of dividends received from other United States corporations. The amount of the dividend distribution that you must include in your income will be the U.S. dollar value of the Euro payments made, determined at the spot Euro/U.S. dollar rate on the date the dividend is distributed, regardless of whether the payment is in fact converted into U.S. dollars. Generally, any gain or loss resulting from currency exchange fluctuations during the period from the date the dividend payment is distributed to the date you or the depositary on your behalf converts the payment into U.S. dollars will be treated as ordinary income or loss and will not be eligible for the special tax rate applicable to qualified dividend income. The gain or loss generally will be income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or loss from sources within the United States for foreign tax credit limitation purposes. Distributions in excess of current and accumulated earnings and profits, as determined for United States federal income tax purposes, will be treated as a non-taxable return of capital to the extent of your basis in the ADSs and thereafter as capital gain. However, we do not expect to calculate earnings and profits in accordance with United States federal income tax principles. Accordingly, you should expect to generally treat distributions we make as dividends. </w:t>
      </w:r>
    </w:p>
    <w:p>
      <w:pPr>
        <w:pStyle w:val="TextBody"/>
        <w:spacing w:before="240" w:after="0"/>
        <w:jc w:val="both"/>
        <w:rPr>
          <w:rFonts w:ascii="Times New Roman" w:hAnsi="Times New Roman"/>
          <w:sz w:val="20"/>
        </w:rPr>
      </w:pPr>
      <w:r>
        <w:rPr>
          <w:rFonts w:ascii="Times New Roman" w:hAnsi="Times New Roman"/>
          <w:sz w:val="20"/>
        </w:rPr>
        <w:t xml:space="preserve">As discussed below under “Item 12. Description of Securities Other than Equity Securities— D. American Depositary Shares,” the amount of any dividend that is paid to you will be reduced by certain fees that you are required to pay to the depositary. The amount of the dividend you are deemed to receive and include in income for U.S. federal income tax purposes will equal the gross amount of the dividend and will not be reduced by the amount of the fees that are withheld in respect of the dividend payment. You would then be deemed to pay the amount of such fees to the depositary. Such fees will generally be treated as items of investment expense which may not be deductible in the case of certain investors due to general limitations on the deduction of investment expenses. U.S. holders are urged to consult their tax advisors with respect to the tax treatment of the payment of such fees to the depositary. </w:t>
      </w:r>
    </w:p>
    <w:p>
      <w:pPr>
        <w:pStyle w:val="TextBody"/>
        <w:spacing w:before="240" w:after="0"/>
        <w:jc w:val="both"/>
        <w:rPr>
          <w:rFonts w:ascii="Times New Roman" w:hAnsi="Times New Roman"/>
          <w:sz w:val="20"/>
        </w:rPr>
      </w:pPr>
      <w:r>
        <w:rPr>
          <w:rFonts w:ascii="Times New Roman" w:hAnsi="Times New Roman"/>
          <w:sz w:val="20"/>
        </w:rPr>
        <w:t xml:space="preserve">Subject to certain limitations and the following sentence, the German tax withheld and paid over to Germany will be creditable or deductible against your United States federal income tax liability. However, under recently finalized Treasury regulations, it is possible that such withholding taxes will not be creditable unless you are eligible to claim the benefits of the Treaty and elect to apply the Treaty. Special rules apply in determining the foreign tax credit limitation with respect to dividends that are subject to the preferential tax rates. To the extent a reduction or refund of the tax withheld is available to you under German law or under the Treaty, the amount of tax withheld that could have been reduced or that is refundable will not be eligible for credit against your United States federal income tax liability. See “—German Taxation—German Taxation of ADSs—General Rules for the Taxation of Non-German Tax Resident Holders of ADSs” and “—German Taxation—German Taxation of ADSs—General Rules for the Taxation of Non-German Tax Resident Holders of ADSs—Withholding Tax Refund for U.S. Treaty Beneficiaries” for the procedures for obtaining a tax refund. </w:t>
      </w:r>
    </w:p>
    <w:p>
      <w:pPr>
        <w:pStyle w:val="TextBody"/>
        <w:spacing w:before="240" w:after="0"/>
        <w:jc w:val="both"/>
        <w:rPr>
          <w:rFonts w:ascii="Times New Roman" w:hAnsi="Times New Roman"/>
          <w:sz w:val="20"/>
        </w:rPr>
      </w:pPr>
      <w:r>
        <w:rPr>
          <w:rFonts w:ascii="Times New Roman" w:hAnsi="Times New Roman"/>
          <w:sz w:val="20"/>
        </w:rPr>
        <w:t xml:space="preserve">Dividends will generally be income from sources outside the United States and will generally be “passive” income for purposes of computing the foreign tax credit allowable to you. However, if (a) we are 50% or more owned, by vote or value, by United States persons and (b) at least 10% of our earnings and profits are attributable to sources within the United States, then for foreign tax credit purposes, a portion of our dividends would be treated as derived from sources within the United States. With respect to any dividend paid for any taxable year, the United States source ratio of our dividends for foreign tax credit purposes would be equal to the portion of our earnings and profits from sources within the United States for such taxable year, divided by the total amount of our earnings and profits for such taxable year. </w:t>
      </w:r>
    </w:p>
    <w:p>
      <w:pPr>
        <w:pStyle w:val="TextBody"/>
        <w:spacing w:before="360" w:after="0"/>
        <w:jc w:val="left"/>
        <w:rPr>
          <w:rFonts w:ascii="Times New Roman" w:hAnsi="Times New Roman"/>
          <w:b/>
          <w:i/>
          <w:sz w:val="20"/>
        </w:rPr>
      </w:pPr>
      <w:r>
        <w:rPr>
          <w:rFonts w:ascii="Times New Roman" w:hAnsi="Times New Roman"/>
          <w:b/>
          <w:i/>
          <w:sz w:val="20"/>
        </w:rPr>
        <w:t xml:space="preserve">Sale or Disposition of ADSs </w:t>
      </w:r>
    </w:p>
    <w:p>
      <w:pPr>
        <w:pStyle w:val="TextBody"/>
        <w:spacing w:before="120" w:after="0"/>
        <w:jc w:val="both"/>
        <w:rPr>
          <w:rFonts w:ascii="Times New Roman" w:hAnsi="Times New Roman"/>
          <w:sz w:val="20"/>
        </w:rPr>
      </w:pPr>
      <w:r>
        <w:rPr>
          <w:rFonts w:ascii="Times New Roman" w:hAnsi="Times New Roman"/>
          <w:sz w:val="20"/>
        </w:rPr>
        <w:t xml:space="preserve">If you sell or otherwise dispose of your ADSs, you will recognize capital gain or loss for United States federal income tax purposes equal to the difference between the amount that you realize and your tax basis in your ADSs. Capital gain of a noncorporate U.S. holder is generally taxed at preferential rates where the property is held for more than one year. The gain or loss will generally be income or loss from sources within the United States for foreign tax credit limitation purposes. </w:t>
      </w:r>
    </w:p>
    <w:p>
      <w:pPr>
        <w:pStyle w:val="TextBody"/>
        <w:spacing w:before="360" w:after="0"/>
        <w:jc w:val="left"/>
        <w:rPr>
          <w:rFonts w:ascii="Times New Roman" w:hAnsi="Times New Roman"/>
          <w:b/>
          <w:i/>
          <w:sz w:val="20"/>
        </w:rPr>
      </w:pPr>
      <w:r>
        <w:rPr>
          <w:rFonts w:ascii="Times New Roman" w:hAnsi="Times New Roman"/>
          <w:b/>
          <w:i/>
          <w:sz w:val="20"/>
        </w:rPr>
        <w:t xml:space="preserve">Depositary Fees </w:t>
      </w:r>
    </w:p>
    <w:p>
      <w:pPr>
        <w:pStyle w:val="TextBody"/>
        <w:spacing w:before="120" w:after="0"/>
        <w:jc w:val="both"/>
        <w:rPr>
          <w:rFonts w:ascii="Times New Roman" w:hAnsi="Times New Roman"/>
          <w:sz w:val="20"/>
        </w:rPr>
      </w:pPr>
      <w:r>
        <w:rPr>
          <w:rFonts w:ascii="Times New Roman" w:hAnsi="Times New Roman"/>
          <w:sz w:val="20"/>
        </w:rPr>
        <w:t xml:space="preserve">As discussed below under “Item 12. Description of Securities Other than Equity Securities— D. American Depositary Shares,” you will be required to pay certain fees to the depositary. Such fees will generally be treated as items of investment expense which may not be deductible in the case of certain investors due to general limitations on the deduction of investment expenses. U.S. holders are urged to consult their tax advisors regarding the tax treatment of such expenses. </w:t>
      </w:r>
    </w:p>
    <w:p>
      <w:pPr>
        <w:pStyle w:val="TextBody"/>
        <w:spacing w:before="360" w:after="0"/>
        <w:jc w:val="left"/>
        <w:rPr>
          <w:rFonts w:ascii="Times New Roman" w:hAnsi="Times New Roman"/>
          <w:b/>
          <w:i/>
          <w:sz w:val="20"/>
        </w:rPr>
      </w:pPr>
      <w:r>
        <w:rPr>
          <w:rFonts w:ascii="Times New Roman" w:hAnsi="Times New Roman"/>
          <w:b/>
          <w:i/>
          <w:sz w:val="20"/>
        </w:rPr>
        <w:t xml:space="preserve">PFIC Rules </w:t>
      </w:r>
    </w:p>
    <w:p>
      <w:pPr>
        <w:pStyle w:val="TextBody"/>
        <w:spacing w:before="120" w:after="0"/>
        <w:jc w:val="both"/>
        <w:rPr>
          <w:rFonts w:ascii="Times New Roman" w:hAnsi="Times New Roman"/>
          <w:sz w:val="20"/>
        </w:rPr>
      </w:pPr>
      <w:r>
        <w:rPr>
          <w:rFonts w:ascii="Times New Roman" w:hAnsi="Times New Roman"/>
          <w:sz w:val="20"/>
        </w:rPr>
        <w:t xml:space="preserve">We believe that the ADSs should not currently be treated as stock of a PFIC for United States federal income tax purposes and we do not expect to become a PFIC in the foreseeable future. However, this conclusion is a factual determination that is made annually and thus may be subject to change. It is therefore possible that we could become a PFIC in a future taxable year.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In general, we will be a PFIC with respect to you if for any taxable year in which you held the ADSs: </w:t>
      </w:r>
    </w:p>
    <w:p>
      <w:pPr>
        <w:pStyle w:val="TextBody"/>
        <w:spacing w:before="0" w:after="0"/>
        <w:jc w:val="left"/>
        <w:rPr/>
      </w:pPr>
      <w:r>
        <w:rPr/>
        <w:t> </w:t>
      </w:r>
    </w:p>
    <w:tbl>
      <w:tblPr>
        <w:tblW w:w="6280" w:type="dxa"/>
        <w:jc w:val="left"/>
        <w:tblInd w:w="0" w:type="dxa"/>
        <w:tblCellMar>
          <w:top w:w="0" w:type="dxa"/>
          <w:left w:w="0" w:type="dxa"/>
          <w:bottom w:w="0" w:type="dxa"/>
          <w:right w:w="0" w:type="dxa"/>
        </w:tblCellMar>
      </w:tblPr>
      <w:tblGrid>
        <w:gridCol w:w="75"/>
        <w:gridCol w:w="110"/>
        <w:gridCol w:w="60"/>
        <w:gridCol w:w="60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3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at least 75% of our gross income for the taxable year is passive income,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at least 50% of the value, determined on the basis of a quarterly average, of our assets is attributable to assets that produce or are held for the production of passive income. </w:t>
            </w:r>
          </w:p>
        </w:tc>
      </w:tr>
    </w:tbl>
    <w:p>
      <w:pPr>
        <w:pStyle w:val="TextBody"/>
        <w:spacing w:before="240" w:after="0"/>
        <w:jc w:val="both"/>
        <w:rPr/>
      </w:pPr>
      <w:r>
        <w:rPr/>
        <w:t>“</w:t>
      </w:r>
      <w:r>
        <w:rPr>
          <w:rFonts w:ascii="Times New Roman" w:hAnsi="Times New Roman"/>
          <w:sz w:val="20"/>
        </w:rPr>
        <w:t xml:space="preserve">Passive income” generally includes dividends, interest, gains from the sale or exchange of investment property, rents and royalties (other than certain rents and royalties derived in the active conduct of a trade or business) and certain other specified categories of income. If a foreign corporation owns at least 25% by value of the stock of another corporation, the foreign corporation is treated for purposes of the PFIC tests as owning its proportionate share of the assets of the other corporation, and as receiving directly its proportionate share of the other corporation’s income. </w:t>
      </w:r>
    </w:p>
    <w:p>
      <w:pPr>
        <w:pStyle w:val="TextBody"/>
        <w:spacing w:before="240" w:after="0"/>
        <w:jc w:val="both"/>
        <w:rPr>
          <w:rFonts w:ascii="Times New Roman" w:hAnsi="Times New Roman"/>
          <w:sz w:val="20"/>
        </w:rPr>
      </w:pPr>
      <w:r>
        <w:rPr>
          <w:rFonts w:ascii="Times New Roman" w:hAnsi="Times New Roman"/>
          <w:sz w:val="20"/>
        </w:rPr>
        <w:t xml:space="preserve">If we are treated as a PFIC, and you did not make a mark-to-market election, as described below, you will generally be subject to special rules with respect to: </w:t>
      </w:r>
    </w:p>
    <w:p>
      <w:pPr>
        <w:pStyle w:val="TextBody"/>
        <w:spacing w:before="0" w:after="0"/>
        <w:jc w:val="left"/>
        <w:rPr/>
      </w:pPr>
      <w:r>
        <w:rPr/>
        <w:t> </w:t>
      </w:r>
    </w:p>
    <w:tbl>
      <w:tblPr>
        <w:tblW w:w="5995" w:type="dxa"/>
        <w:jc w:val="left"/>
        <w:tblInd w:w="0" w:type="dxa"/>
        <w:tblCellMar>
          <w:top w:w="0" w:type="dxa"/>
          <w:left w:w="0" w:type="dxa"/>
          <w:bottom w:w="0" w:type="dxa"/>
          <w:right w:w="0" w:type="dxa"/>
        </w:tblCellMar>
      </w:tblPr>
      <w:tblGrid>
        <w:gridCol w:w="75"/>
        <w:gridCol w:w="110"/>
        <w:gridCol w:w="60"/>
        <w:gridCol w:w="57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75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any gain you realize on the sale or other disposition of your ADSs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any excess distribution that we make to you (generally, any distributions to you during a single taxable year, other than the taxable year in which your holding period in the ADSs begins, that are greater than 125% of the average annual distributions received by you in respect of the ADSs during the three preceding taxable years or, if shorter, your holding period for the ADSs that preceded the taxable year in which you receive the distribution). </w:t>
            </w:r>
          </w:p>
        </w:tc>
      </w:tr>
    </w:tbl>
    <w:p>
      <w:pPr>
        <w:pStyle w:val="TextBody"/>
        <w:spacing w:before="240" w:after="0"/>
        <w:jc w:val="both"/>
        <w:rPr>
          <w:rFonts w:ascii="Times New Roman" w:hAnsi="Times New Roman"/>
          <w:sz w:val="20"/>
        </w:rPr>
      </w:pPr>
      <w:r>
        <w:rPr>
          <w:rFonts w:ascii="Times New Roman" w:hAnsi="Times New Roman"/>
          <w:sz w:val="20"/>
        </w:rPr>
        <w:t xml:space="preserve">Under these rules: </w:t>
      </w:r>
    </w:p>
    <w:p>
      <w:pPr>
        <w:pStyle w:val="TextBody"/>
        <w:spacing w:before="0" w:after="0"/>
        <w:jc w:val="left"/>
        <w:rPr/>
      </w:pPr>
      <w:r>
        <w:rPr/>
        <w:t> </w:t>
      </w:r>
    </w:p>
    <w:tbl>
      <w:tblPr>
        <w:tblW w:w="7975" w:type="dxa"/>
        <w:jc w:val="left"/>
        <w:tblInd w:w="0" w:type="dxa"/>
        <w:tblCellMar>
          <w:top w:w="0" w:type="dxa"/>
          <w:left w:w="0" w:type="dxa"/>
          <w:bottom w:w="0" w:type="dxa"/>
          <w:right w:w="0" w:type="dxa"/>
        </w:tblCellMar>
      </w:tblPr>
      <w:tblGrid>
        <w:gridCol w:w="75"/>
        <w:gridCol w:w="110"/>
        <w:gridCol w:w="60"/>
        <w:gridCol w:w="77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73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gain or excess distribution will be allocated ratably over your holding period for the ADSs,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amount allocated to the taxable year in which you realized the gain or excess distribution or to prior years before the first year in which we were a PFIC with respect to you will be taxed as ordinary income, </w:t>
            </w:r>
          </w:p>
        </w:tc>
      </w:tr>
    </w:tbl>
    <w:p>
      <w:pPr>
        <w:pStyle w:val="TextBody"/>
        <w:spacing w:before="0" w:after="0"/>
        <w:jc w:val="left"/>
        <w:rPr/>
      </w:pPr>
      <w:r>
        <w:rPr/>
        <w:t> </w:t>
      </w:r>
    </w:p>
    <w:tbl>
      <w:tblPr>
        <w:tblW w:w="8950" w:type="dxa"/>
        <w:jc w:val="left"/>
        <w:tblInd w:w="0" w:type="dxa"/>
        <w:tblCellMar>
          <w:top w:w="0" w:type="dxa"/>
          <w:left w:w="0" w:type="dxa"/>
          <w:bottom w:w="0" w:type="dxa"/>
          <w:right w:w="0" w:type="dxa"/>
        </w:tblCellMar>
      </w:tblPr>
      <w:tblGrid>
        <w:gridCol w:w="75"/>
        <w:gridCol w:w="110"/>
        <w:gridCol w:w="60"/>
        <w:gridCol w:w="87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70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amount allocated to each other prior year will be taxed at the highest tax rate in effect for that year,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interest charge generally applicable to underpayments of tax will be imposed in respect of the tax attributable to each such year. </w:t>
            </w:r>
          </w:p>
        </w:tc>
      </w:tr>
    </w:tbl>
    <w:p>
      <w:pPr>
        <w:pStyle w:val="TextBody"/>
        <w:spacing w:before="240" w:after="0"/>
        <w:jc w:val="both"/>
        <w:rPr>
          <w:rFonts w:ascii="Times New Roman" w:hAnsi="Times New Roman"/>
          <w:sz w:val="20"/>
        </w:rPr>
      </w:pPr>
      <w:r>
        <w:rPr>
          <w:rFonts w:ascii="Times New Roman" w:hAnsi="Times New Roman"/>
          <w:sz w:val="20"/>
        </w:rPr>
        <w:t xml:space="preserve">Special rules apply for calculating the amount of the foreign tax credit with respect to excess distributions by a PFIC. </w:t>
      </w:r>
    </w:p>
    <w:p>
      <w:pPr>
        <w:pStyle w:val="TextBody"/>
        <w:spacing w:before="240" w:after="0"/>
        <w:jc w:val="both"/>
        <w:rPr>
          <w:rFonts w:ascii="Times New Roman" w:hAnsi="Times New Roman"/>
          <w:sz w:val="20"/>
        </w:rPr>
      </w:pPr>
      <w:r>
        <w:rPr>
          <w:rFonts w:ascii="Times New Roman" w:hAnsi="Times New Roman"/>
          <w:sz w:val="20"/>
        </w:rPr>
        <w:t xml:space="preserve">If we are a PFIC in a taxable year and the ADSs are treated as “marketable stock” in such year, you may make a mark-to-market election with respect to your ADSs. If you make this election, for the first tax year in which you hold (or are deemed to hold) ADSs and for which we are a PFIC, you will not be subject to the PFIC rules described above. Instead, in general, you will include as ordinary income each year the excess, if any, of the fair market value of your ADSs at the end of the taxable year over your adjusted basis in your ADSs. You will also be allowed to take an ordinary loss in respect of the excess, if any, of the adjusted basis of your ADSs over their fair market value at the end of the taxable year (but only to the extent of the net amount of previously included income as a result of the mark-to-market election). Your basis in the ADSs will be adjusted to reflect any such income or loss amounts. Any gain that you recognize on the sale or other disposition of your ADSs would be ordinary income and any loss would be an ordinary loss to the extent of the net amount of previously included income as a result of the mark-to-market election and, thereafter, a capital loss. Special tax rules may apply if we were a PFIC for any year in which you own the ADSs but before a mark-to-market election is made. </w:t>
      </w:r>
    </w:p>
    <w:p>
      <w:pPr>
        <w:pStyle w:val="TextBody"/>
        <w:spacing w:before="240" w:after="0"/>
        <w:jc w:val="both"/>
        <w:rPr>
          <w:rFonts w:ascii="Times New Roman" w:hAnsi="Times New Roman"/>
          <w:sz w:val="20"/>
        </w:rPr>
      </w:pPr>
      <w:r>
        <w:rPr>
          <w:rFonts w:ascii="Times New Roman" w:hAnsi="Times New Roman"/>
          <w:sz w:val="20"/>
        </w:rPr>
        <w:t xml:space="preserve">Unless you are eligible to make and make a mark-to-market election or “purging election” with respect to your ADSs, such ADSs will generally be treated as stock in a PFIC if we were a PFIC at any time during your holding period in your ADSs, even if we are not currently a PFIC. </w:t>
      </w:r>
    </w:p>
    <w:p>
      <w:pPr>
        <w:pStyle w:val="TextBody"/>
        <w:spacing w:before="240" w:after="0"/>
        <w:jc w:val="both"/>
        <w:rPr>
          <w:rFonts w:ascii="Times New Roman" w:hAnsi="Times New Roman"/>
          <w:sz w:val="20"/>
        </w:rPr>
      </w:pPr>
      <w:r>
        <w:rPr>
          <w:rFonts w:ascii="Times New Roman" w:hAnsi="Times New Roman"/>
          <w:sz w:val="20"/>
        </w:rPr>
        <w:t xml:space="preserve">In addition, notwithstanding any election you make with regard to the ADSs, dividends that you receive from us will not constitute qualified dividend income to you if we are a PFIC (or are treated as a PFIC with respect to you) either in the taxable year of the distribution or the preceding taxable year. Dividends that you receive that do not constitute qualified dividend income are not eligible for taxation at the preferential rates applicable to qualified dividend income. Instead, you must include the gross amount of any such dividend paid by us out of our accumulated earnings and profits (as determined for United States federal income tax purposes) in your gross income, and it will be subject to tax at rates applicable to ordinary income.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If we are a PFIC and, at any time, have a foreign subsidiary that is classified as a PFIC, you generally would be deemed to own a portion of the shares of such lower-tier PFIC, and generally could incur liability for the deferred tax and interest charge described above if we receive a distribution from, or dispose of all or part of our interest in, the lower-tier PFIC or you otherwise were deemed to have disposed of an interest in the lower-tier PFIC. A mark-to-market election generally would not be available with respect to such lower-tier PFIC. </w:t>
      </w:r>
    </w:p>
    <w:p>
      <w:pPr>
        <w:pStyle w:val="TextBody"/>
        <w:spacing w:before="240" w:after="0"/>
        <w:jc w:val="both"/>
        <w:rPr>
          <w:rFonts w:ascii="Times New Roman" w:hAnsi="Times New Roman"/>
          <w:sz w:val="20"/>
        </w:rPr>
      </w:pPr>
      <w:r>
        <w:rPr>
          <w:rFonts w:ascii="Times New Roman" w:hAnsi="Times New Roman"/>
          <w:sz w:val="20"/>
        </w:rPr>
        <w:t xml:space="preserve">If you own ADSs during any year that we are a PFIC with respect to you, you may be required to file Internal Revenue Service Form 8621. </w:t>
      </w:r>
    </w:p>
    <w:p>
      <w:pPr>
        <w:pStyle w:val="TextBody"/>
        <w:spacing w:before="240" w:after="0"/>
        <w:jc w:val="both"/>
        <w:rPr>
          <w:rFonts w:ascii="Times New Roman" w:hAnsi="Times New Roman"/>
          <w:b/>
          <w:sz w:val="20"/>
        </w:rPr>
      </w:pPr>
      <w:r>
        <w:rPr>
          <w:rFonts w:ascii="Times New Roman" w:hAnsi="Times New Roman"/>
          <w:b/>
          <w:sz w:val="20"/>
        </w:rPr>
        <w:t xml:space="preserve">THE DISCUSSION ABOVE IS A GENERAL SUMMARY. IT DOES NOT COVER ALL TAX MATTERS THAT MAY BE IMPORTANT TO YOU. EACH U.S. HOLDER SHOULD CONSULT ITS OWN TAX ADVISOR ABOUT THE TAX CONSEQUENCES OF HOLDING SHARES UNDER THE INVESTOR’S OWN CIRCUMSTANCES. </w:t>
      </w:r>
    </w:p>
    <w:p>
      <w:pPr>
        <w:pStyle w:val="TextBody"/>
        <w:spacing w:before="360" w:after="0"/>
        <w:jc w:val="left"/>
        <w:rPr>
          <w:rFonts w:ascii="Times New Roman" w:hAnsi="Times New Roman"/>
          <w:b/>
          <w:sz w:val="20"/>
        </w:rPr>
      </w:pPr>
      <w:bookmarkStart w:id="57" w:name="tx497326_55"/>
      <w:bookmarkEnd w:id="57"/>
      <w:r>
        <w:rPr>
          <w:rFonts w:ascii="Times New Roman" w:hAnsi="Times New Roman"/>
          <w:b/>
          <w:sz w:val="20"/>
        </w:rPr>
        <w:t xml:space="preserve">F. Dividends and Paying Agents </w:t>
      </w:r>
    </w:p>
    <w:p>
      <w:pPr>
        <w:pStyle w:val="TextBody"/>
        <w:spacing w:before="120" w:after="0"/>
        <w:jc w:val="both"/>
        <w:rPr>
          <w:rFonts w:ascii="Times New Roman" w:hAnsi="Times New Roman"/>
          <w:sz w:val="20"/>
        </w:rPr>
      </w:pPr>
      <w:r>
        <w:rPr>
          <w:rFonts w:ascii="Times New Roman" w:hAnsi="Times New Roman"/>
          <w:sz w:val="20"/>
        </w:rPr>
        <w:t xml:space="preserve">Not applicable. </w:t>
      </w:r>
    </w:p>
    <w:p>
      <w:pPr>
        <w:pStyle w:val="TextBody"/>
        <w:spacing w:before="360" w:after="0"/>
        <w:jc w:val="left"/>
        <w:rPr>
          <w:rFonts w:ascii="Times New Roman" w:hAnsi="Times New Roman"/>
          <w:b/>
          <w:sz w:val="20"/>
        </w:rPr>
      </w:pPr>
      <w:bookmarkStart w:id="58" w:name="tx497326_56"/>
      <w:bookmarkEnd w:id="58"/>
      <w:r>
        <w:rPr>
          <w:rFonts w:ascii="Times New Roman" w:hAnsi="Times New Roman"/>
          <w:b/>
          <w:sz w:val="20"/>
        </w:rPr>
        <w:t xml:space="preserve">G. Statement by Experts </w:t>
      </w:r>
    </w:p>
    <w:p>
      <w:pPr>
        <w:pStyle w:val="TextBody"/>
        <w:spacing w:before="120" w:after="0"/>
        <w:jc w:val="both"/>
        <w:rPr>
          <w:rFonts w:ascii="Times New Roman" w:hAnsi="Times New Roman"/>
          <w:sz w:val="20"/>
        </w:rPr>
      </w:pPr>
      <w:r>
        <w:rPr>
          <w:rFonts w:ascii="Times New Roman" w:hAnsi="Times New Roman"/>
          <w:sz w:val="20"/>
        </w:rPr>
        <w:t xml:space="preserve">Not applicable. </w:t>
      </w:r>
    </w:p>
    <w:p>
      <w:pPr>
        <w:pStyle w:val="TextBody"/>
        <w:spacing w:before="360" w:after="0"/>
        <w:jc w:val="left"/>
        <w:rPr>
          <w:rFonts w:ascii="Times New Roman" w:hAnsi="Times New Roman"/>
          <w:b/>
          <w:sz w:val="20"/>
        </w:rPr>
      </w:pPr>
      <w:bookmarkStart w:id="59" w:name="tx497326_57"/>
      <w:bookmarkEnd w:id="59"/>
      <w:r>
        <w:rPr>
          <w:rFonts w:ascii="Times New Roman" w:hAnsi="Times New Roman"/>
          <w:b/>
          <w:sz w:val="20"/>
        </w:rPr>
        <w:t xml:space="preserve">H. Documents on Display </w:t>
      </w:r>
    </w:p>
    <w:p>
      <w:pPr>
        <w:pStyle w:val="TextBody"/>
        <w:spacing w:before="120" w:after="0"/>
        <w:jc w:val="both"/>
        <w:rPr>
          <w:rFonts w:ascii="Times New Roman" w:hAnsi="Times New Roman"/>
          <w:sz w:val="20"/>
        </w:rPr>
      </w:pPr>
      <w:r>
        <w:rPr>
          <w:rFonts w:ascii="Times New Roman" w:hAnsi="Times New Roman"/>
          <w:sz w:val="20"/>
        </w:rPr>
        <w:t xml:space="preserve">We are subject to the informational requirements of the Exchange Act. Accordingly, we are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 </w:t>
      </w:r>
    </w:p>
    <w:p>
      <w:pPr>
        <w:pStyle w:val="TextBody"/>
        <w:spacing w:before="240" w:after="0"/>
        <w:jc w:val="both"/>
        <w:rPr>
          <w:rFonts w:ascii="Times New Roman" w:hAnsi="Times New Roman"/>
          <w:sz w:val="20"/>
        </w:rPr>
      </w:pPr>
      <w:r>
        <w:rPr>
          <w:rFonts w:ascii="Times New Roman" w:hAnsi="Times New Roman"/>
          <w:sz w:val="20"/>
        </w:rPr>
        <w:t xml:space="preserve">You may inspect and copy reports and other information filed with the SEC at the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www.sec.gov. </w:t>
      </w:r>
    </w:p>
    <w:p>
      <w:pPr>
        <w:pStyle w:val="TextBody"/>
        <w:spacing w:before="240" w:after="0"/>
        <w:jc w:val="both"/>
        <w:rPr>
          <w:rFonts w:ascii="Times New Roman" w:hAnsi="Times New Roman"/>
          <w:sz w:val="20"/>
        </w:rPr>
      </w:pPr>
      <w:r>
        <w:rPr>
          <w:rFonts w:ascii="Times New Roman" w:hAnsi="Times New Roman"/>
          <w:sz w:val="20"/>
        </w:rPr>
        <w:t xml:space="preserve">We also make available on our website, free of charge, our Annual Report and the text of our reports on Form 6-K, including any amendments to these reports, as well as certain other SEC filings, as soon as reasonably practicable after they are electronically filed with or furnished to the SEC. Our website address is www.mynaric.com. The information contained on our website is not incorporated by reference in this Annual Report and our website address is included in this Annual Report as an inactive textual reference only. </w:t>
      </w:r>
    </w:p>
    <w:p>
      <w:pPr>
        <w:pStyle w:val="TextBody"/>
        <w:spacing w:before="240" w:after="0"/>
        <w:jc w:val="both"/>
        <w:rPr>
          <w:rFonts w:ascii="Times New Roman" w:hAnsi="Times New Roman"/>
          <w:sz w:val="20"/>
        </w:rPr>
      </w:pPr>
      <w:r>
        <w:rPr>
          <w:rFonts w:ascii="Times New Roman" w:hAnsi="Times New Roman"/>
          <w:sz w:val="20"/>
        </w:rPr>
        <w:t xml:space="preserve">Statements contained in this Annual Report regarding the contents of any contract or other document are not necessarily complete, and, where the contract or other document is an exhibit to the Annual Report, each of these statements is qualified in all respects by the provisions of the actual contract or other documents. </w:t>
      </w:r>
    </w:p>
    <w:p>
      <w:pPr>
        <w:pStyle w:val="TextBody"/>
        <w:spacing w:before="360" w:after="0"/>
        <w:jc w:val="left"/>
        <w:rPr>
          <w:rFonts w:ascii="Times New Roman" w:hAnsi="Times New Roman"/>
          <w:b/>
          <w:sz w:val="20"/>
        </w:rPr>
      </w:pPr>
      <w:bookmarkStart w:id="60" w:name="tx497326_58"/>
      <w:bookmarkEnd w:id="60"/>
      <w:r>
        <w:rPr>
          <w:rFonts w:ascii="Times New Roman" w:hAnsi="Times New Roman"/>
          <w:b/>
          <w:sz w:val="20"/>
        </w:rPr>
        <w:t xml:space="preserve">I. Subsidiary Information. </w:t>
      </w:r>
    </w:p>
    <w:p>
      <w:pPr>
        <w:pStyle w:val="TextBody"/>
        <w:spacing w:before="120" w:after="0"/>
        <w:jc w:val="both"/>
        <w:rPr>
          <w:rFonts w:ascii="Times New Roman" w:hAnsi="Times New Roman"/>
          <w:sz w:val="20"/>
        </w:rPr>
      </w:pPr>
      <w:r>
        <w:rPr>
          <w:rFonts w:ascii="Times New Roman" w:hAnsi="Times New Roman"/>
          <w:sz w:val="20"/>
        </w:rPr>
        <w:t xml:space="preserve">Not applicable. </w:t>
      </w:r>
    </w:p>
    <w:p>
      <w:pPr>
        <w:pStyle w:val="TextBody"/>
        <w:spacing w:before="360" w:after="0"/>
        <w:jc w:val="left"/>
        <w:rPr>
          <w:rFonts w:ascii="Times New Roman" w:hAnsi="Times New Roman"/>
          <w:b/>
          <w:sz w:val="20"/>
        </w:rPr>
      </w:pPr>
      <w:bookmarkStart w:id="61" w:name="tx497326_59"/>
      <w:bookmarkEnd w:id="61"/>
      <w:r>
        <w:rPr>
          <w:rFonts w:ascii="Times New Roman" w:hAnsi="Times New Roman"/>
          <w:b/>
          <w:sz w:val="20"/>
        </w:rPr>
        <w:t xml:space="preserve">ITEM 11. QUANTITATIVE AND QUALITATIVE DISCLOSURES ABOUT MARKET RISK </w:t>
      </w:r>
    </w:p>
    <w:p>
      <w:pPr>
        <w:pStyle w:val="TextBody"/>
        <w:spacing w:before="120" w:after="0"/>
        <w:jc w:val="both"/>
        <w:rPr>
          <w:rFonts w:ascii="Times New Roman" w:hAnsi="Times New Roman"/>
          <w:sz w:val="20"/>
        </w:rPr>
      </w:pPr>
      <w:r>
        <w:rPr>
          <w:rFonts w:ascii="Times New Roman" w:hAnsi="Times New Roman"/>
          <w:sz w:val="20"/>
        </w:rPr>
        <w:t xml:space="preserve">We are exposed to a variety of risks in the ordinary course of our business, including, but not limited to, credit risk, liquidity risk and interest rate risk. We regularly assess each of these risks to minimize any adverse effects on our business as a result of those factors. For discussion and sensitivity analyses of our exposure to these risks, see note 33.2 c) to the consolidated financial statements included in this Annual Report. </w:t>
      </w:r>
    </w:p>
    <w:p>
      <w:pPr>
        <w:pStyle w:val="TextBody"/>
        <w:spacing w:before="360" w:after="0"/>
        <w:jc w:val="left"/>
        <w:rPr>
          <w:rFonts w:ascii="Times New Roman" w:hAnsi="Times New Roman"/>
          <w:b/>
          <w:sz w:val="20"/>
        </w:rPr>
      </w:pPr>
      <w:bookmarkStart w:id="62" w:name="tx497326_60"/>
      <w:bookmarkEnd w:id="62"/>
      <w:r>
        <w:rPr>
          <w:rFonts w:ascii="Times New Roman" w:hAnsi="Times New Roman"/>
          <w:b/>
          <w:sz w:val="20"/>
        </w:rPr>
        <w:t xml:space="preserve">ITEM 12. DESCRIPTION OF SECURITIES OTHER THAN EQUITY SECURITIES </w:t>
      </w:r>
    </w:p>
    <w:p>
      <w:pPr>
        <w:pStyle w:val="TextBody"/>
        <w:spacing w:before="120" w:after="0"/>
        <w:jc w:val="left"/>
        <w:rPr>
          <w:rFonts w:ascii="Times New Roman" w:hAnsi="Times New Roman"/>
          <w:b/>
          <w:sz w:val="20"/>
        </w:rPr>
      </w:pPr>
      <w:bookmarkStart w:id="63" w:name="tx497326_61"/>
      <w:bookmarkEnd w:id="63"/>
      <w:r>
        <w:rPr>
          <w:rFonts w:ascii="Times New Roman" w:hAnsi="Times New Roman"/>
          <w:b/>
          <w:sz w:val="20"/>
        </w:rPr>
        <w:t xml:space="preserve">A. Debt Securities. </w:t>
      </w:r>
    </w:p>
    <w:p>
      <w:pPr>
        <w:pStyle w:val="TextBody"/>
        <w:spacing w:before="120" w:after="0"/>
        <w:jc w:val="both"/>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bookmarkStart w:id="64" w:name="tx497326_62"/>
      <w:bookmarkEnd w:id="64"/>
      <w:r>
        <w:rPr>
          <w:rFonts w:ascii="Times New Roman" w:hAnsi="Times New Roman"/>
          <w:b/>
          <w:sz w:val="20"/>
        </w:rPr>
        <w:t xml:space="preserve">B. Warrants and rights. </w:t>
      </w:r>
    </w:p>
    <w:p>
      <w:pPr>
        <w:pStyle w:val="TextBody"/>
        <w:spacing w:before="120" w:after="0"/>
        <w:jc w:val="both"/>
        <w:rPr>
          <w:rFonts w:ascii="Times New Roman" w:hAnsi="Times New Roman"/>
          <w:sz w:val="20"/>
        </w:rPr>
      </w:pPr>
      <w:r>
        <w:rPr>
          <w:rFonts w:ascii="Times New Roman" w:hAnsi="Times New Roman"/>
          <w:sz w:val="20"/>
        </w:rPr>
        <w:t xml:space="preserve">Not applicable. </w:t>
      </w:r>
    </w:p>
    <w:p>
      <w:pPr>
        <w:pStyle w:val="TextBody"/>
        <w:spacing w:before="360" w:after="0"/>
        <w:jc w:val="left"/>
        <w:rPr>
          <w:rFonts w:ascii="Times New Roman" w:hAnsi="Times New Roman"/>
          <w:b/>
          <w:sz w:val="20"/>
        </w:rPr>
      </w:pPr>
      <w:bookmarkStart w:id="65" w:name="tx497326_63"/>
      <w:bookmarkEnd w:id="65"/>
      <w:r>
        <w:rPr>
          <w:rFonts w:ascii="Times New Roman" w:hAnsi="Times New Roman"/>
          <w:b/>
          <w:sz w:val="20"/>
        </w:rPr>
        <w:t xml:space="preserve">C. Other Securities. </w:t>
      </w:r>
    </w:p>
    <w:p>
      <w:pPr>
        <w:pStyle w:val="TextBody"/>
        <w:spacing w:before="120" w:after="0"/>
        <w:jc w:val="both"/>
        <w:rPr>
          <w:rFonts w:ascii="Times New Roman" w:hAnsi="Times New Roman"/>
          <w:sz w:val="20"/>
        </w:rPr>
      </w:pPr>
      <w:r>
        <w:rPr>
          <w:rFonts w:ascii="Times New Roman" w:hAnsi="Times New Roman"/>
          <w:sz w:val="20"/>
        </w:rPr>
        <w:t xml:space="preserve">Not applicable. </w:t>
      </w:r>
    </w:p>
    <w:p>
      <w:pPr>
        <w:pStyle w:val="TextBody"/>
        <w:spacing w:before="360" w:after="0"/>
        <w:jc w:val="left"/>
        <w:rPr>
          <w:rFonts w:ascii="Times New Roman" w:hAnsi="Times New Roman"/>
          <w:b/>
          <w:sz w:val="20"/>
        </w:rPr>
      </w:pPr>
      <w:bookmarkStart w:id="66" w:name="tx497326_64"/>
      <w:bookmarkEnd w:id="66"/>
      <w:r>
        <w:rPr>
          <w:rFonts w:ascii="Times New Roman" w:hAnsi="Times New Roman"/>
          <w:b/>
          <w:sz w:val="20"/>
        </w:rPr>
        <w:t xml:space="preserve">D. American Depositary Shares </w:t>
      </w:r>
    </w:p>
    <w:p>
      <w:pPr>
        <w:pStyle w:val="TextBody"/>
        <w:spacing w:before="120" w:after="0"/>
        <w:jc w:val="left"/>
        <w:rPr>
          <w:rFonts w:ascii="Times New Roman" w:hAnsi="Times New Roman"/>
          <w:b/>
          <w:sz w:val="20"/>
        </w:rPr>
      </w:pPr>
      <w:r>
        <w:rPr>
          <w:rFonts w:ascii="Times New Roman" w:hAnsi="Times New Roman"/>
          <w:b/>
          <w:sz w:val="20"/>
        </w:rPr>
        <w:t xml:space="preserve">Fees and Expenses Our ADS Holders May Have to Pay </w:t>
      </w:r>
    </w:p>
    <w:p>
      <w:pPr>
        <w:pStyle w:val="TextBody"/>
        <w:spacing w:before="120" w:after="0"/>
        <w:jc w:val="both"/>
        <w:rPr>
          <w:rFonts w:ascii="Times New Roman" w:hAnsi="Times New Roman"/>
          <w:sz w:val="20"/>
        </w:rPr>
      </w:pPr>
      <w:r>
        <w:rPr>
          <w:rFonts w:ascii="Times New Roman" w:hAnsi="Times New Roman"/>
          <w:sz w:val="20"/>
        </w:rPr>
        <w:t xml:space="preserve">The Bank of New York Mellon, as depositary, will register and deliver the ADSs. Every four ADSs will represent one ordinary share (or a right to receive one ordinary share) deposited with The Bank of New York Mellon SA/NV as custodian for the depositary in Germany. Each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NY 10286.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694"/>
        <w:gridCol w:w="120"/>
        <w:gridCol w:w="4391"/>
      </w:tblGrid>
      <w:tr>
        <w:trPr/>
        <w:tc>
          <w:tcPr>
            <w:tcW w:w="569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391" w:type="dxa"/>
            <w:tcBorders/>
            <w:shd w:fill="auto" w:val="clear"/>
            <w:vAlign w:val="center"/>
          </w:tcPr>
          <w:p>
            <w:pPr>
              <w:pStyle w:val="TableContents"/>
              <w:spacing w:before="0" w:after="283"/>
              <w:rPr>
                <w:sz w:val="4"/>
                <w:szCs w:val="4"/>
              </w:rPr>
            </w:pPr>
            <w:r>
              <w:rPr>
                <w:sz w:val="4"/>
                <w:szCs w:val="4"/>
              </w:rPr>
            </w:r>
          </w:p>
        </w:tc>
      </w:tr>
      <w:tr>
        <w:trPr/>
        <w:tc>
          <w:tcPr>
            <w:tcW w:w="5694" w:type="dxa"/>
            <w:tcBorders>
              <w:bottom w:val="single" w:sz="8" w:space="0" w:color="000000"/>
            </w:tcBorders>
            <w:shd w:fill="auto" w:val="clear"/>
            <w:tcMar>
              <w:bottom w:w="28" w:type="dxa"/>
            </w:tcMar>
            <w:vAlign w:val="center"/>
          </w:tcPr>
          <w:p>
            <w:pPr>
              <w:pStyle w:val="TableContents"/>
              <w:spacing w:before="0" w:after="20"/>
              <w:rPr>
                <w:rFonts w:ascii="Times New Roman" w:hAnsi="Times New Roman"/>
                <w:b/>
                <w:sz w:val="16"/>
              </w:rPr>
            </w:pPr>
            <w:r>
              <w:rPr>
                <w:rFonts w:ascii="Times New Roman" w:hAnsi="Times New Roman"/>
                <w:b/>
                <w:sz w:val="16"/>
              </w:rPr>
              <w:t>Persons Depositing or Withdrawing</w:t>
              <w:br/>
              <w:t>Shares or ADS Holders Must Pay:</w:t>
            </w:r>
          </w:p>
        </w:tc>
        <w:tc>
          <w:tcPr>
            <w:tcW w:w="120" w:type="dxa"/>
            <w:tcBorders/>
            <w:shd w:fill="auto" w:val="clear"/>
            <w:vAlign w:val="center"/>
          </w:tcPr>
          <w:p>
            <w:pPr>
              <w:pStyle w:val="TableContents"/>
              <w:spacing w:before="0" w:after="283"/>
              <w:rPr/>
            </w:pPr>
            <w:r>
              <w:rPr/>
              <w:t>  </w:t>
            </w:r>
          </w:p>
        </w:tc>
        <w:tc>
          <w:tcPr>
            <w:tcW w:w="4391"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For:</w:t>
            </w:r>
          </w:p>
        </w:tc>
      </w:tr>
      <w:tr>
        <w:trPr/>
        <w:tc>
          <w:tcPr>
            <w:tcW w:w="5694"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$5.00 (or less) per 100 ADSs (or portion of 100 ADSs)</w:t>
            </w:r>
          </w:p>
        </w:tc>
        <w:tc>
          <w:tcPr>
            <w:tcW w:w="120" w:type="dxa"/>
            <w:tcBorders/>
            <w:shd w:fill="auto" w:val="clear"/>
            <w:vAlign w:val="center"/>
          </w:tcPr>
          <w:p>
            <w:pPr>
              <w:pStyle w:val="TableContents"/>
              <w:spacing w:before="0" w:after="283"/>
              <w:rPr/>
            </w:pPr>
            <w:r>
              <w:rPr/>
              <w:t>  </w:t>
            </w:r>
          </w:p>
        </w:tc>
        <w:tc>
          <w:tcPr>
            <w:tcW w:w="4391"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Issuance of ADSs, including issuances resulting from a distribution of shares or rights or other property</w:t>
            </w:r>
          </w:p>
        </w:tc>
      </w:tr>
      <w:tr>
        <w:trPr/>
        <w:tc>
          <w:tcPr>
            <w:tcW w:w="5694" w:type="dxa"/>
            <w:tcBorders/>
            <w:shd w:fill="auto" w:val="clear"/>
            <w:vAlign w:val="center"/>
          </w:tcPr>
          <w:p>
            <w:pPr>
              <w:pStyle w:val="TableContents"/>
              <w:spacing w:before="0" w:after="283"/>
              <w:rPr>
                <w:sz w:val="4"/>
                <w:szCs w:val="4"/>
              </w:rPr>
            </w:pPr>
            <w:r>
              <w:rPr>
                <w:sz w:val="4"/>
                <w:szCs w:val="4"/>
              </w:rPr>
            </w:r>
          </w:p>
        </w:tc>
        <w:tc>
          <w:tcPr>
            <w:tcW w:w="4511" w:type="dxa"/>
            <w:gridSpan w:val="2"/>
            <w:tcBorders/>
            <w:shd w:fill="auto" w:val="clear"/>
            <w:vAlign w:val="center"/>
          </w:tcPr>
          <w:p>
            <w:pPr>
              <w:pStyle w:val="TableContents"/>
              <w:spacing w:before="0" w:after="283"/>
              <w:rPr>
                <w:sz w:val="4"/>
                <w:szCs w:val="4"/>
              </w:rPr>
            </w:pPr>
            <w:r>
              <w:rPr>
                <w:sz w:val="4"/>
                <w:szCs w:val="4"/>
              </w:rPr>
            </w:r>
          </w:p>
        </w:tc>
      </w:tr>
      <w:tr>
        <w:trPr/>
        <w:tc>
          <w:tcPr>
            <w:tcW w:w="569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4391"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Cancellation of ADSs for the purpose of withdrawal, including if the deposit agreement terminates</w:t>
            </w:r>
          </w:p>
        </w:tc>
      </w:tr>
      <w:tr>
        <w:trPr/>
        <w:tc>
          <w:tcPr>
            <w:tcW w:w="5694" w:type="dxa"/>
            <w:tcBorders/>
            <w:shd w:fill="auto" w:val="clear"/>
            <w:vAlign w:val="center"/>
          </w:tcPr>
          <w:p>
            <w:pPr>
              <w:pStyle w:val="TableContents"/>
              <w:spacing w:before="0" w:after="283"/>
              <w:rPr>
                <w:sz w:val="4"/>
                <w:szCs w:val="4"/>
              </w:rPr>
            </w:pPr>
            <w:r>
              <w:rPr>
                <w:sz w:val="4"/>
                <w:szCs w:val="4"/>
              </w:rPr>
            </w:r>
          </w:p>
        </w:tc>
        <w:tc>
          <w:tcPr>
            <w:tcW w:w="4511" w:type="dxa"/>
            <w:gridSpan w:val="2"/>
            <w:tcBorders/>
            <w:shd w:fill="auto" w:val="clear"/>
            <w:vAlign w:val="center"/>
          </w:tcPr>
          <w:p>
            <w:pPr>
              <w:pStyle w:val="TableContents"/>
              <w:spacing w:before="0" w:after="283"/>
              <w:rPr>
                <w:sz w:val="4"/>
                <w:szCs w:val="4"/>
              </w:rPr>
            </w:pPr>
            <w:r>
              <w:rPr>
                <w:sz w:val="4"/>
                <w:szCs w:val="4"/>
              </w:rPr>
            </w:r>
          </w:p>
        </w:tc>
      </w:tr>
      <w:tr>
        <w:trPr/>
        <w:tc>
          <w:tcPr>
            <w:tcW w:w="5694"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$0.05 (or less) per ADS</w:t>
            </w:r>
          </w:p>
        </w:tc>
        <w:tc>
          <w:tcPr>
            <w:tcW w:w="120" w:type="dxa"/>
            <w:tcBorders/>
            <w:shd w:fill="auto" w:val="clear"/>
            <w:vAlign w:val="center"/>
          </w:tcPr>
          <w:p>
            <w:pPr>
              <w:pStyle w:val="TableContents"/>
              <w:spacing w:before="0" w:after="283"/>
              <w:rPr/>
            </w:pPr>
            <w:r>
              <w:rPr/>
              <w:t>  </w:t>
            </w:r>
          </w:p>
        </w:tc>
        <w:tc>
          <w:tcPr>
            <w:tcW w:w="4391"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Any cash distribution to ADS holders</w:t>
            </w:r>
          </w:p>
        </w:tc>
      </w:tr>
      <w:tr>
        <w:trPr/>
        <w:tc>
          <w:tcPr>
            <w:tcW w:w="5694" w:type="dxa"/>
            <w:tcBorders/>
            <w:shd w:fill="auto" w:val="clear"/>
            <w:vAlign w:val="center"/>
          </w:tcPr>
          <w:p>
            <w:pPr>
              <w:pStyle w:val="TableContents"/>
              <w:spacing w:before="0" w:after="283"/>
              <w:rPr>
                <w:sz w:val="4"/>
                <w:szCs w:val="4"/>
              </w:rPr>
            </w:pPr>
            <w:r>
              <w:rPr>
                <w:sz w:val="4"/>
                <w:szCs w:val="4"/>
              </w:rPr>
            </w:r>
          </w:p>
        </w:tc>
        <w:tc>
          <w:tcPr>
            <w:tcW w:w="4511" w:type="dxa"/>
            <w:gridSpan w:val="2"/>
            <w:tcBorders/>
            <w:shd w:fill="auto" w:val="clear"/>
            <w:vAlign w:val="center"/>
          </w:tcPr>
          <w:p>
            <w:pPr>
              <w:pStyle w:val="TableContents"/>
              <w:spacing w:before="0" w:after="283"/>
              <w:rPr>
                <w:sz w:val="4"/>
                <w:szCs w:val="4"/>
              </w:rPr>
            </w:pPr>
            <w:r>
              <w:rPr>
                <w:sz w:val="4"/>
                <w:szCs w:val="4"/>
              </w:rPr>
            </w:r>
          </w:p>
        </w:tc>
      </w:tr>
      <w:tr>
        <w:trPr/>
        <w:tc>
          <w:tcPr>
            <w:tcW w:w="5694"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 fee equivalent to the fee that would be payable if securities distributed to you had been shares and the shares had been deposited for issuance of ADSs</w:t>
            </w:r>
          </w:p>
        </w:tc>
        <w:tc>
          <w:tcPr>
            <w:tcW w:w="120" w:type="dxa"/>
            <w:tcBorders/>
            <w:shd w:fill="auto" w:val="clear"/>
            <w:vAlign w:val="center"/>
          </w:tcPr>
          <w:p>
            <w:pPr>
              <w:pStyle w:val="TableContents"/>
              <w:spacing w:before="0" w:after="283"/>
              <w:rPr/>
            </w:pPr>
            <w:r>
              <w:rPr/>
              <w:t>  </w:t>
            </w:r>
          </w:p>
        </w:tc>
        <w:tc>
          <w:tcPr>
            <w:tcW w:w="4391"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Distribution of securities distributed to holders of deposited securities (including rights) that are distributed by the depositary to ADS holders</w:t>
            </w:r>
          </w:p>
        </w:tc>
      </w:tr>
      <w:tr>
        <w:trPr/>
        <w:tc>
          <w:tcPr>
            <w:tcW w:w="5694" w:type="dxa"/>
            <w:tcBorders/>
            <w:shd w:fill="auto" w:val="clear"/>
            <w:vAlign w:val="center"/>
          </w:tcPr>
          <w:p>
            <w:pPr>
              <w:pStyle w:val="TableContents"/>
              <w:spacing w:before="0" w:after="283"/>
              <w:rPr>
                <w:sz w:val="4"/>
                <w:szCs w:val="4"/>
              </w:rPr>
            </w:pPr>
            <w:r>
              <w:rPr>
                <w:sz w:val="4"/>
                <w:szCs w:val="4"/>
              </w:rPr>
            </w:r>
          </w:p>
        </w:tc>
        <w:tc>
          <w:tcPr>
            <w:tcW w:w="4511" w:type="dxa"/>
            <w:gridSpan w:val="2"/>
            <w:tcBorders/>
            <w:shd w:fill="auto" w:val="clear"/>
            <w:vAlign w:val="center"/>
          </w:tcPr>
          <w:p>
            <w:pPr>
              <w:pStyle w:val="TableContents"/>
              <w:spacing w:before="0" w:after="283"/>
              <w:rPr>
                <w:sz w:val="4"/>
                <w:szCs w:val="4"/>
              </w:rPr>
            </w:pPr>
            <w:r>
              <w:rPr>
                <w:sz w:val="4"/>
                <w:szCs w:val="4"/>
              </w:rPr>
            </w:r>
          </w:p>
        </w:tc>
      </w:tr>
      <w:tr>
        <w:trPr/>
        <w:tc>
          <w:tcPr>
            <w:tcW w:w="5694"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$0.05 (or less) per ADS per calendar year</w:t>
            </w:r>
          </w:p>
        </w:tc>
        <w:tc>
          <w:tcPr>
            <w:tcW w:w="120" w:type="dxa"/>
            <w:tcBorders/>
            <w:shd w:fill="auto" w:val="clear"/>
            <w:vAlign w:val="center"/>
          </w:tcPr>
          <w:p>
            <w:pPr>
              <w:pStyle w:val="TableContents"/>
              <w:spacing w:before="0" w:after="283"/>
              <w:rPr/>
            </w:pPr>
            <w:r>
              <w:rPr/>
              <w:t>  </w:t>
            </w:r>
          </w:p>
        </w:tc>
        <w:tc>
          <w:tcPr>
            <w:tcW w:w="4391"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Depositary services</w:t>
            </w:r>
          </w:p>
        </w:tc>
      </w:tr>
      <w:tr>
        <w:trPr/>
        <w:tc>
          <w:tcPr>
            <w:tcW w:w="5694" w:type="dxa"/>
            <w:tcBorders/>
            <w:shd w:fill="auto" w:val="clear"/>
            <w:vAlign w:val="center"/>
          </w:tcPr>
          <w:p>
            <w:pPr>
              <w:pStyle w:val="TableContents"/>
              <w:spacing w:before="0" w:after="283"/>
              <w:rPr>
                <w:sz w:val="4"/>
                <w:szCs w:val="4"/>
              </w:rPr>
            </w:pPr>
            <w:r>
              <w:rPr>
                <w:sz w:val="4"/>
                <w:szCs w:val="4"/>
              </w:rPr>
            </w:r>
          </w:p>
        </w:tc>
        <w:tc>
          <w:tcPr>
            <w:tcW w:w="4511" w:type="dxa"/>
            <w:gridSpan w:val="2"/>
            <w:tcBorders/>
            <w:shd w:fill="auto" w:val="clear"/>
            <w:vAlign w:val="center"/>
          </w:tcPr>
          <w:p>
            <w:pPr>
              <w:pStyle w:val="TableContents"/>
              <w:spacing w:before="0" w:after="283"/>
              <w:rPr>
                <w:sz w:val="4"/>
                <w:szCs w:val="4"/>
              </w:rPr>
            </w:pPr>
            <w:r>
              <w:rPr>
                <w:sz w:val="4"/>
                <w:szCs w:val="4"/>
              </w:rPr>
            </w:r>
          </w:p>
        </w:tc>
      </w:tr>
      <w:tr>
        <w:trPr/>
        <w:tc>
          <w:tcPr>
            <w:tcW w:w="5694"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Registration or transfer fees</w:t>
            </w:r>
          </w:p>
        </w:tc>
        <w:tc>
          <w:tcPr>
            <w:tcW w:w="120" w:type="dxa"/>
            <w:tcBorders/>
            <w:shd w:fill="auto" w:val="clear"/>
            <w:vAlign w:val="center"/>
          </w:tcPr>
          <w:p>
            <w:pPr>
              <w:pStyle w:val="TableContents"/>
              <w:spacing w:before="0" w:after="283"/>
              <w:rPr/>
            </w:pPr>
            <w:r>
              <w:rPr/>
              <w:t>  </w:t>
            </w:r>
          </w:p>
        </w:tc>
        <w:tc>
          <w:tcPr>
            <w:tcW w:w="4391"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Transfer and registration of shares on our share register to or from the name of the depositary or its agent when you deposit or withdraw shares</w:t>
            </w:r>
          </w:p>
        </w:tc>
      </w:tr>
      <w:tr>
        <w:trPr/>
        <w:tc>
          <w:tcPr>
            <w:tcW w:w="5694" w:type="dxa"/>
            <w:tcBorders/>
            <w:shd w:fill="auto" w:val="clear"/>
            <w:vAlign w:val="center"/>
          </w:tcPr>
          <w:p>
            <w:pPr>
              <w:pStyle w:val="TableContents"/>
              <w:spacing w:before="0" w:after="283"/>
              <w:rPr>
                <w:sz w:val="4"/>
                <w:szCs w:val="4"/>
              </w:rPr>
            </w:pPr>
            <w:r>
              <w:rPr>
                <w:sz w:val="4"/>
                <w:szCs w:val="4"/>
              </w:rPr>
            </w:r>
          </w:p>
        </w:tc>
        <w:tc>
          <w:tcPr>
            <w:tcW w:w="4511" w:type="dxa"/>
            <w:gridSpan w:val="2"/>
            <w:tcBorders/>
            <w:shd w:fill="auto" w:val="clear"/>
            <w:vAlign w:val="center"/>
          </w:tcPr>
          <w:p>
            <w:pPr>
              <w:pStyle w:val="TableContents"/>
              <w:spacing w:before="0" w:after="283"/>
              <w:rPr>
                <w:sz w:val="4"/>
                <w:szCs w:val="4"/>
              </w:rPr>
            </w:pPr>
            <w:r>
              <w:rPr>
                <w:sz w:val="4"/>
                <w:szCs w:val="4"/>
              </w:rPr>
            </w:r>
          </w:p>
        </w:tc>
      </w:tr>
      <w:tr>
        <w:trPr/>
        <w:tc>
          <w:tcPr>
            <w:tcW w:w="5694"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Expenses of the depositary</w:t>
            </w:r>
          </w:p>
        </w:tc>
        <w:tc>
          <w:tcPr>
            <w:tcW w:w="120" w:type="dxa"/>
            <w:tcBorders/>
            <w:shd w:fill="auto" w:val="clear"/>
            <w:vAlign w:val="center"/>
          </w:tcPr>
          <w:p>
            <w:pPr>
              <w:pStyle w:val="TableContents"/>
              <w:spacing w:before="0" w:after="283"/>
              <w:rPr/>
            </w:pPr>
            <w:r>
              <w:rPr/>
              <w:t>  </w:t>
            </w:r>
          </w:p>
        </w:tc>
        <w:tc>
          <w:tcPr>
            <w:tcW w:w="4391"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Cable and facsimile transmissions (when expressly provided in the deposit agreement)</w:t>
            </w:r>
          </w:p>
        </w:tc>
      </w:tr>
      <w:tr>
        <w:trPr/>
        <w:tc>
          <w:tcPr>
            <w:tcW w:w="5694" w:type="dxa"/>
            <w:tcBorders/>
            <w:shd w:fill="auto" w:val="clear"/>
            <w:vAlign w:val="center"/>
          </w:tcPr>
          <w:p>
            <w:pPr>
              <w:pStyle w:val="TableContents"/>
              <w:spacing w:before="0" w:after="283"/>
              <w:rPr>
                <w:sz w:val="4"/>
                <w:szCs w:val="4"/>
              </w:rPr>
            </w:pPr>
            <w:r>
              <w:rPr>
                <w:sz w:val="4"/>
                <w:szCs w:val="4"/>
              </w:rPr>
            </w:r>
          </w:p>
        </w:tc>
        <w:tc>
          <w:tcPr>
            <w:tcW w:w="4511" w:type="dxa"/>
            <w:gridSpan w:val="2"/>
            <w:tcBorders/>
            <w:shd w:fill="auto" w:val="clear"/>
            <w:vAlign w:val="center"/>
          </w:tcPr>
          <w:p>
            <w:pPr>
              <w:pStyle w:val="TableContents"/>
              <w:spacing w:before="0" w:after="283"/>
              <w:rPr>
                <w:sz w:val="4"/>
                <w:szCs w:val="4"/>
              </w:rPr>
            </w:pPr>
            <w:r>
              <w:rPr>
                <w:sz w:val="4"/>
                <w:szCs w:val="4"/>
              </w:rPr>
            </w:r>
          </w:p>
        </w:tc>
      </w:tr>
      <w:tr>
        <w:trPr/>
        <w:tc>
          <w:tcPr>
            <w:tcW w:w="569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4391"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Converting foreign currency to U.S. dollars</w:t>
            </w:r>
          </w:p>
        </w:tc>
      </w:tr>
      <w:tr>
        <w:trPr/>
        <w:tc>
          <w:tcPr>
            <w:tcW w:w="5694" w:type="dxa"/>
            <w:tcBorders/>
            <w:shd w:fill="auto" w:val="clear"/>
            <w:vAlign w:val="center"/>
          </w:tcPr>
          <w:p>
            <w:pPr>
              <w:pStyle w:val="TableContents"/>
              <w:spacing w:before="0" w:after="283"/>
              <w:rPr>
                <w:sz w:val="4"/>
                <w:szCs w:val="4"/>
              </w:rPr>
            </w:pPr>
            <w:r>
              <w:rPr>
                <w:sz w:val="4"/>
                <w:szCs w:val="4"/>
              </w:rPr>
            </w:r>
          </w:p>
        </w:tc>
        <w:tc>
          <w:tcPr>
            <w:tcW w:w="4511" w:type="dxa"/>
            <w:gridSpan w:val="2"/>
            <w:tcBorders/>
            <w:shd w:fill="auto" w:val="clear"/>
            <w:vAlign w:val="center"/>
          </w:tcPr>
          <w:p>
            <w:pPr>
              <w:pStyle w:val="TableContents"/>
              <w:spacing w:before="0" w:after="283"/>
              <w:rPr>
                <w:sz w:val="4"/>
                <w:szCs w:val="4"/>
              </w:rPr>
            </w:pPr>
            <w:r>
              <w:rPr>
                <w:sz w:val="4"/>
                <w:szCs w:val="4"/>
              </w:rPr>
            </w:r>
          </w:p>
        </w:tc>
      </w:tr>
      <w:tr>
        <w:trPr/>
        <w:tc>
          <w:tcPr>
            <w:tcW w:w="5694"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Taxes and other governmental charges the depositary or the custodian must pay in respect of any ADSs or shares underlying ADSs, such as stock transfer taxes, stamp duty or withholding taxes</w:t>
            </w:r>
          </w:p>
        </w:tc>
        <w:tc>
          <w:tcPr>
            <w:tcW w:w="120" w:type="dxa"/>
            <w:tcBorders/>
            <w:shd w:fill="auto" w:val="clear"/>
            <w:vAlign w:val="center"/>
          </w:tcPr>
          <w:p>
            <w:pPr>
              <w:pStyle w:val="TableContents"/>
              <w:spacing w:before="0" w:after="283"/>
              <w:rPr/>
            </w:pPr>
            <w:r>
              <w:rPr/>
              <w:t>  </w:t>
            </w:r>
          </w:p>
        </w:tc>
        <w:tc>
          <w:tcPr>
            <w:tcW w:w="4391"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As necessary</w:t>
            </w:r>
          </w:p>
        </w:tc>
      </w:tr>
      <w:tr>
        <w:trPr/>
        <w:tc>
          <w:tcPr>
            <w:tcW w:w="5694" w:type="dxa"/>
            <w:tcBorders/>
            <w:shd w:fill="auto" w:val="clear"/>
            <w:vAlign w:val="center"/>
          </w:tcPr>
          <w:p>
            <w:pPr>
              <w:pStyle w:val="TableContents"/>
              <w:spacing w:before="0" w:after="283"/>
              <w:rPr>
                <w:sz w:val="4"/>
                <w:szCs w:val="4"/>
              </w:rPr>
            </w:pPr>
            <w:r>
              <w:rPr>
                <w:sz w:val="4"/>
                <w:szCs w:val="4"/>
              </w:rPr>
            </w:r>
          </w:p>
        </w:tc>
        <w:tc>
          <w:tcPr>
            <w:tcW w:w="4511" w:type="dxa"/>
            <w:gridSpan w:val="2"/>
            <w:tcBorders/>
            <w:shd w:fill="auto" w:val="clear"/>
            <w:vAlign w:val="center"/>
          </w:tcPr>
          <w:p>
            <w:pPr>
              <w:pStyle w:val="TableContents"/>
              <w:spacing w:before="0" w:after="283"/>
              <w:rPr>
                <w:sz w:val="4"/>
                <w:szCs w:val="4"/>
              </w:rPr>
            </w:pPr>
            <w:r>
              <w:rPr>
                <w:sz w:val="4"/>
                <w:szCs w:val="4"/>
              </w:rPr>
            </w:r>
          </w:p>
        </w:tc>
      </w:tr>
      <w:tr>
        <w:trPr/>
        <w:tc>
          <w:tcPr>
            <w:tcW w:w="5694"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Any charges incurred by the depositary or its agents for servicing the deposited securities</w:t>
            </w:r>
          </w:p>
        </w:tc>
        <w:tc>
          <w:tcPr>
            <w:tcW w:w="120" w:type="dxa"/>
            <w:tcBorders/>
            <w:shd w:fill="auto" w:val="clear"/>
            <w:vAlign w:val="center"/>
          </w:tcPr>
          <w:p>
            <w:pPr>
              <w:pStyle w:val="TableContents"/>
              <w:spacing w:before="0" w:after="283"/>
              <w:rPr/>
            </w:pPr>
            <w:r>
              <w:rPr/>
              <w:t>  </w:t>
            </w:r>
          </w:p>
        </w:tc>
        <w:tc>
          <w:tcPr>
            <w:tcW w:w="4391"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As necessary</w:t>
            </w:r>
          </w:p>
        </w:tc>
      </w:tr>
    </w:tbl>
    <w:p>
      <w:pPr>
        <w:pStyle w:val="TextBody"/>
        <w:spacing w:before="240" w:after="0"/>
        <w:jc w:val="both"/>
        <w:rPr>
          <w:rFonts w:ascii="Times New Roman" w:hAnsi="Times New Roman"/>
          <w:sz w:val="20"/>
        </w:rPr>
      </w:pPr>
      <w:r>
        <w:rPr>
          <w:rFonts w:ascii="Times New Roman" w:hAnsi="Times New Roman"/>
          <w:sz w:val="20"/>
        </w:rPr>
        <w:t xml:space="preserve">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 </w:t>
      </w:r>
    </w:p>
    <w:p>
      <w:pPr>
        <w:pStyle w:val="TextBody"/>
        <w:spacing w:before="240" w:after="0"/>
        <w:jc w:val="both"/>
        <w:rPr>
          <w:rFonts w:ascii="Times New Roman" w:hAnsi="Times New Roman"/>
          <w:sz w:val="20"/>
        </w:rPr>
      </w:pPr>
      <w:r>
        <w:rPr>
          <w:rFonts w:ascii="Times New Roman" w:hAnsi="Times New Roman"/>
          <w:sz w:val="20"/>
        </w:rPr>
        <w:t xml:space="preserve">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performing its duties under the deposit agreement, the depositary may use brokers, dealers, foreign currency dealers or other service providers that are owned by or affiliated with the depositary and that may earn or share fees, spreads or commissions. </w:t>
      </w:r>
    </w:p>
    <w:p>
      <w:pPr>
        <w:pStyle w:val="TextBody"/>
        <w:spacing w:before="240" w:after="0"/>
        <w:jc w:val="both"/>
        <w:rPr>
          <w:rFonts w:ascii="Times New Roman" w:hAnsi="Times New Roman"/>
          <w:sz w:val="20"/>
        </w:rPr>
      </w:pPr>
      <w:r>
        <w:rPr>
          <w:rFonts w:ascii="Times New Roman" w:hAnsi="Times New Roman"/>
          <w:sz w:val="20"/>
        </w:rPr>
        <w:t xml:space="preserve">The depositary may convert currency itself or through any of its affiliates (which may include the custodian)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and will not be liable for any direct or indirect losses associated with the rate. The methodology used to determine exchange rates used in currency conversions is available upon request. In certain instances, the depositary may receive dividends or other distributions from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7" w:name="tx497326_65"/>
      <w:bookmarkEnd w:id="67"/>
      <w:r>
        <w:rPr>
          <w:rFonts w:ascii="Times New Roman" w:hAnsi="Times New Roman"/>
          <w:b/>
          <w:sz w:val="20"/>
        </w:rPr>
        <w:t xml:space="preserve">PART II. </w:t>
      </w:r>
    </w:p>
    <w:p>
      <w:pPr>
        <w:pStyle w:val="TextBody"/>
        <w:spacing w:before="240" w:after="0"/>
        <w:jc w:val="left"/>
        <w:rPr>
          <w:rFonts w:ascii="Times New Roman" w:hAnsi="Times New Roman"/>
          <w:b/>
          <w:sz w:val="20"/>
        </w:rPr>
      </w:pPr>
      <w:bookmarkStart w:id="68" w:name="tx497326_66"/>
      <w:bookmarkEnd w:id="68"/>
      <w:r>
        <w:rPr>
          <w:rFonts w:ascii="Times New Roman" w:hAnsi="Times New Roman"/>
          <w:b/>
          <w:sz w:val="20"/>
        </w:rPr>
        <w:t xml:space="preserve">ITEM 13. DEFAULTS, DIVIDEND ARREARAGES AND DELINQUENCIES </w:t>
      </w:r>
    </w:p>
    <w:p>
      <w:pPr>
        <w:pStyle w:val="TextBody"/>
        <w:spacing w:before="120" w:after="0"/>
        <w:jc w:val="both"/>
        <w:rPr>
          <w:rFonts w:ascii="Times New Roman" w:hAnsi="Times New Roman"/>
          <w:sz w:val="20"/>
        </w:rPr>
      </w:pPr>
      <w:r>
        <w:rPr>
          <w:rFonts w:ascii="Times New Roman" w:hAnsi="Times New Roman"/>
          <w:sz w:val="20"/>
        </w:rPr>
        <w:t xml:space="preserve">None. </w:t>
      </w:r>
    </w:p>
    <w:p>
      <w:pPr>
        <w:pStyle w:val="TextBody"/>
        <w:spacing w:before="360" w:after="0"/>
        <w:jc w:val="left"/>
        <w:rPr>
          <w:rFonts w:ascii="Times New Roman" w:hAnsi="Times New Roman"/>
          <w:b/>
          <w:sz w:val="20"/>
        </w:rPr>
      </w:pPr>
      <w:bookmarkStart w:id="69" w:name="tx497326_67"/>
      <w:bookmarkEnd w:id="69"/>
      <w:r>
        <w:rPr>
          <w:rFonts w:ascii="Times New Roman" w:hAnsi="Times New Roman"/>
          <w:b/>
          <w:sz w:val="20"/>
        </w:rPr>
        <w:t xml:space="preserve">ITEM 14. MATERIAL MODIFICATIONS TO THE RIGHTS OF SECURITY HOLDERS AND USE OF PROCEEDS </w:t>
      </w:r>
    </w:p>
    <w:p>
      <w:pPr>
        <w:pStyle w:val="TextBody"/>
        <w:spacing w:before="120" w:after="0"/>
        <w:jc w:val="both"/>
        <w:rPr>
          <w:rFonts w:ascii="Times New Roman" w:hAnsi="Times New Roman"/>
          <w:b/>
          <w:sz w:val="20"/>
        </w:rPr>
      </w:pPr>
      <w:r>
        <w:rPr>
          <w:rFonts w:ascii="Times New Roman" w:hAnsi="Times New Roman"/>
          <w:b/>
          <w:sz w:val="20"/>
        </w:rPr>
        <w:t xml:space="preserve">Use of Proceeds </w:t>
      </w:r>
    </w:p>
    <w:p>
      <w:pPr>
        <w:pStyle w:val="TextBody"/>
        <w:spacing w:before="120" w:after="0"/>
        <w:jc w:val="both"/>
        <w:rPr>
          <w:rFonts w:ascii="Times New Roman" w:hAnsi="Times New Roman"/>
          <w:sz w:val="20"/>
        </w:rPr>
      </w:pPr>
      <w:r>
        <w:rPr>
          <w:rFonts w:ascii="Times New Roman" w:hAnsi="Times New Roman"/>
          <w:sz w:val="20"/>
        </w:rPr>
        <w:t xml:space="preserve">The following “Use of Proceeds” information relates to the registration statement on Form F-1, as amended (File No. 333-260357) (the “F-1 Registration Statement”) in relation to our initial public offering of 4,000,000 ADSs representing 1,000,000 ordinary shares, at an initial offering price of US$16.50 per ADS. Our initial public offering closed in November 2021. Credit Suisse Securities (USA) LLC and Jefferies LLC were the representatives of the underwriters for our initial public offering. </w:t>
      </w:r>
    </w:p>
    <w:p>
      <w:pPr>
        <w:pStyle w:val="TextBody"/>
        <w:spacing w:before="240" w:after="0"/>
        <w:jc w:val="both"/>
        <w:rPr>
          <w:rFonts w:ascii="Times New Roman" w:hAnsi="Times New Roman"/>
          <w:sz w:val="20"/>
        </w:rPr>
      </w:pPr>
      <w:r>
        <w:rPr>
          <w:rFonts w:ascii="Times New Roman" w:hAnsi="Times New Roman"/>
          <w:sz w:val="20"/>
        </w:rPr>
        <w:t xml:space="preserve">The F-1 Registration Statement was declared effective by the SEC on November 10, 2021. For the period from the effective date of the F-1 Registration Statement to December 31, 2021, the total expenses incurred for our company’s account in connection with our initial public offering were approximately €8.3 million (US$9.4 million based on the spot exchange rate as of December 31, 2021 of US$1.00 = €0.88292), which included approximately €4.2 million (US$4.7 million based on the spot exchange rate as of December 31, 2021 of US$1.00 = €0.88292) in underwriting discounts and commissions for the initial public offering and approximately €4.1 million (US$4.7 million based on the spot exchange rate as of December 31, 2021 of US$1.00 = €0.88292) in other costs and expenses for our initial public offering. Including the ADSs sold upon the exercise of the over-allotment option by our underwriters, we offered and sold an aggregate of 4,600,000 ADSs at an initial public offering price of US$16.50 per ADS. We received approximately €58.2 million (US$66.0 million based on the spot exchange rate as of December 31, 2021 of US$1.00 = €0.88292) in net proceeds from our initial public offering, after deducting underwriting commissions and discounts and the offering expenses payable by us. None of the transaction expenses included payments to directors or officers of our company or their associates, persons owning more than 10% or more of our equity securities or our affiliates. None of the net proceeds from the initial public offering were paid, directly or indirectly, to any of our directors or officers or their associates, persons owning 10% or more of our equity securities or our affiliates. </w:t>
      </w:r>
    </w:p>
    <w:p>
      <w:pPr>
        <w:pStyle w:val="TextBody"/>
        <w:spacing w:before="240" w:after="0"/>
        <w:jc w:val="both"/>
        <w:rPr>
          <w:rFonts w:ascii="Times New Roman" w:hAnsi="Times New Roman"/>
          <w:sz w:val="20"/>
        </w:rPr>
      </w:pPr>
      <w:r>
        <w:rPr>
          <w:rFonts w:ascii="Times New Roman" w:hAnsi="Times New Roman"/>
          <w:sz w:val="20"/>
        </w:rPr>
        <w:t xml:space="preserve">There has been no material change in the expected use of the net proceeds from our IPO as described in our final prospectus filed with the SEC on November 11, 2021 pursuant to Rule 424(b). As of the date of the filing of this Annual Report, we have used all of the net proceeds from our initial public offering. </w:t>
      </w:r>
    </w:p>
    <w:p>
      <w:pPr>
        <w:pStyle w:val="TextBody"/>
        <w:spacing w:before="360" w:after="0"/>
        <w:jc w:val="left"/>
        <w:rPr>
          <w:rFonts w:ascii="Times New Roman" w:hAnsi="Times New Roman"/>
          <w:b/>
          <w:sz w:val="20"/>
        </w:rPr>
      </w:pPr>
      <w:bookmarkStart w:id="70" w:name="tx497326_68"/>
      <w:bookmarkEnd w:id="70"/>
      <w:r>
        <w:rPr>
          <w:rFonts w:ascii="Times New Roman" w:hAnsi="Times New Roman"/>
          <w:b/>
          <w:sz w:val="20"/>
        </w:rPr>
        <w:t xml:space="preserve">ITEM 15. CONTROLS AND PROCEDURES </w:t>
      </w:r>
    </w:p>
    <w:p>
      <w:pPr>
        <w:pStyle w:val="TextBody"/>
        <w:spacing w:before="120" w:after="0"/>
        <w:jc w:val="both"/>
        <w:rPr>
          <w:rFonts w:ascii="Times New Roman" w:hAnsi="Times New Roman"/>
          <w:b/>
          <w:sz w:val="20"/>
        </w:rPr>
      </w:pPr>
      <w:r>
        <w:rPr>
          <w:rFonts w:ascii="Times New Roman" w:hAnsi="Times New Roman"/>
          <w:b/>
          <w:sz w:val="20"/>
        </w:rPr>
        <w:t xml:space="preserve">Disclosure Controls and Procedures </w:t>
      </w:r>
    </w:p>
    <w:p>
      <w:pPr>
        <w:pStyle w:val="TextBody"/>
        <w:spacing w:before="120" w:after="0"/>
        <w:jc w:val="both"/>
        <w:rPr>
          <w:rFonts w:ascii="Times New Roman" w:hAnsi="Times New Roman"/>
          <w:sz w:val="20"/>
        </w:rPr>
      </w:pPr>
      <w:r>
        <w:rPr>
          <w:rFonts w:ascii="Times New Roman" w:hAnsi="Times New Roman"/>
          <w:sz w:val="20"/>
        </w:rPr>
        <w:t xml:space="preserve">As required by Rule 13a-15 under the Exchange Act, management, including our co-chief executive officers and our chief financial officer, has evaluated the effectiveness of our disclosure controls and procedures as of December 31, 2022. 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limitations, controls and procedures designed to ensure that information required to be disclosed by us in our reports that we file or submit under the Exchange Act is accumulated and communicated to our management, including our co-chief executive officers and chief financial officer, or persons performing similar functions, as appropriate to allow timely decisions regarding our required disclosures. </w:t>
      </w:r>
    </w:p>
    <w:p>
      <w:pPr>
        <w:pStyle w:val="TextBody"/>
        <w:spacing w:before="240" w:after="0"/>
        <w:jc w:val="both"/>
        <w:rPr>
          <w:rFonts w:ascii="Times New Roman" w:hAnsi="Times New Roman"/>
          <w:sz w:val="20"/>
        </w:rPr>
      </w:pPr>
      <w:r>
        <w:rPr>
          <w:rFonts w:ascii="Times New Roman" w:hAnsi="Times New Roman"/>
          <w:sz w:val="20"/>
        </w:rPr>
        <w:t xml:space="preserve">Based on the foregoing, our co-chief executive officers and our chief financial officer have concluded that, as a result of the material weaknesses in our internal control over financial reporting described below, the design and operation of our disclosure controls and procedures were not effective as of December 31, 2022. Until remediated, there is a reasonable possibility that these material weaknesses could result in a material misstatement of our consolidated financial statements or disclosures that would not be prevented or detected. </w:t>
      </w:r>
    </w:p>
    <w:p>
      <w:pPr>
        <w:pStyle w:val="TextBody"/>
        <w:spacing w:before="360" w:after="0"/>
        <w:jc w:val="both"/>
        <w:rPr>
          <w:rFonts w:ascii="Times New Roman" w:hAnsi="Times New Roman"/>
          <w:b/>
          <w:sz w:val="20"/>
        </w:rPr>
      </w:pPr>
      <w:r>
        <w:rPr>
          <w:rFonts w:ascii="Times New Roman" w:hAnsi="Times New Roman"/>
          <w:b/>
          <w:sz w:val="20"/>
        </w:rPr>
        <w:t xml:space="preserve">Management’s Annual Report on Internal Control over Financial Reporting </w:t>
      </w:r>
    </w:p>
    <w:p>
      <w:pPr>
        <w:pStyle w:val="TextBody"/>
        <w:spacing w:before="120" w:after="0"/>
        <w:jc w:val="both"/>
        <w:rPr>
          <w:rFonts w:ascii="Times New Roman" w:hAnsi="Times New Roman"/>
          <w:sz w:val="20"/>
        </w:rPr>
      </w:pPr>
      <w:r>
        <w:rPr>
          <w:rFonts w:ascii="Times New Roman" w:hAnsi="Times New Roman"/>
          <w:sz w:val="20"/>
        </w:rPr>
        <w:t xml:space="preserve">Our management is responsible for establishing and maintaining adequate internal control over financial reporting as defined in Rule 13a-15(f) under the Exchange Act. Internal control over financial reporting is a process designed to provide reasonable assurance regarding the reliability of financial reporting and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preparation of financial statements in accordance with IFRS as issued by the IASB. Because of its inherent limitations, internal control over financial reporting may not prevent or detect misstatements. Also, projections or any evaluation or effectiveness for future periods are subject to the risk that controls may become inadequate because of changes in conditions, or that the degree of compliance with the policies or procedures may deteriorate. </w:t>
      </w:r>
    </w:p>
    <w:p>
      <w:pPr>
        <w:pStyle w:val="TextBody"/>
        <w:spacing w:before="240" w:after="0"/>
        <w:jc w:val="both"/>
        <w:rPr>
          <w:rFonts w:ascii="Times New Roman" w:hAnsi="Times New Roman"/>
          <w:sz w:val="20"/>
        </w:rPr>
      </w:pPr>
      <w:r>
        <w:rPr>
          <w:rFonts w:ascii="Times New Roman" w:hAnsi="Times New Roman"/>
          <w:sz w:val="20"/>
        </w:rPr>
        <w:t xml:space="preserve">Our management assessed the effectiveness of our internal control over financial reporting based on the criteria established in the SEC guidance on conducting such assessments as of December 31, 2022. Our management conducted the assessment based on certain criteria established in the Internal Control Integrated Framework issued by the Committee of Sponsoring Organizations (COSO) of the Treadway Commission in 2013. Based on such evaluation, our co-chief executive officers and chief financial officer have concluded that as of December 31, 2022, our internal controls over financial reporting were not effective. </w:t>
      </w:r>
    </w:p>
    <w:p>
      <w:pPr>
        <w:pStyle w:val="TextBody"/>
        <w:spacing w:before="240" w:after="0"/>
        <w:jc w:val="both"/>
        <w:rPr>
          <w:rFonts w:ascii="Times New Roman" w:hAnsi="Times New Roman"/>
          <w:sz w:val="20"/>
        </w:rPr>
      </w:pPr>
      <w:r>
        <w:rPr>
          <w:rFonts w:ascii="Times New Roman" w:hAnsi="Times New Roman"/>
          <w:sz w:val="20"/>
        </w:rPr>
        <w:t xml:space="preserve">We have remediated a previously reported material weakness in our internal controls relating to a lack of effective communication and information flows which allows the accounting department to be aware of details of relevant material transactions/agreements. However, the following material weaknesses in our internal controls existed as of December 31, 2022: (i) a lack of sufficient resources with an appropriate level of technical accounting and SEC reporting experience and clearly defined roles within the finance and accounting functions, (ii) insufficient risk assessment procedures necessary to ensure the completeness of processes and identification of required internal controls over financial reporting, (iii) a lack of design and operating effectiveness of controls in accounting process which can prevent material misstatements in a timely manner, (iv) a lack of controls related to inventory valuation, (v) a lack of design and operating effectiveness of general information technology controls (GITC) for information systems that are relevant to the preparation of the consolidated financial statements and (vi) a failure to implement sufficient monitoring controls ensuring that corrective action is taken when implemented controls do not operate as designed. </w:t>
      </w:r>
    </w:p>
    <w:p>
      <w:pPr>
        <w:pStyle w:val="TextBody"/>
        <w:spacing w:before="360" w:after="0"/>
        <w:jc w:val="left"/>
        <w:rPr>
          <w:rFonts w:ascii="Times New Roman" w:hAnsi="Times New Roman"/>
          <w:b/>
          <w:i/>
          <w:sz w:val="20"/>
        </w:rPr>
      </w:pPr>
      <w:r>
        <w:rPr>
          <w:rFonts w:ascii="Times New Roman" w:hAnsi="Times New Roman"/>
          <w:b/>
          <w:i/>
          <w:sz w:val="20"/>
        </w:rPr>
        <w:t xml:space="preserve">Remediation Plans </w:t>
      </w:r>
    </w:p>
    <w:p>
      <w:pPr>
        <w:pStyle w:val="TextBody"/>
        <w:spacing w:before="120" w:after="0"/>
        <w:jc w:val="both"/>
        <w:rPr>
          <w:rFonts w:ascii="Times New Roman" w:hAnsi="Times New Roman"/>
          <w:sz w:val="20"/>
        </w:rPr>
      </w:pPr>
      <w:r>
        <w:rPr>
          <w:rFonts w:ascii="Times New Roman" w:hAnsi="Times New Roman"/>
          <w:sz w:val="20"/>
        </w:rPr>
        <w:t xml:space="preserve">In 2022, we began taking actions to remediate the deficiencies in our internal controls over financial reporting by starting to implement additional processes and controls designed to address the underlying causes associated with the above-mentioned material weaknesses. Furthermore, the following previously disclosed material weakness in our internal controls over financial reporting was fully remediated: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 lack of effective communication and information flows which allows the accounting department to be aware of details of relevant material transactions/ agreements. </w:t>
            </w:r>
          </w:p>
        </w:tc>
      </w:tr>
    </w:tbl>
    <w:p>
      <w:pPr>
        <w:pStyle w:val="TextBody"/>
        <w:spacing w:before="240" w:after="0"/>
        <w:jc w:val="both"/>
        <w:rPr>
          <w:rFonts w:ascii="Times New Roman" w:hAnsi="Times New Roman"/>
          <w:sz w:val="20"/>
        </w:rPr>
      </w:pPr>
      <w:r>
        <w:rPr>
          <w:rFonts w:ascii="Times New Roman" w:hAnsi="Times New Roman"/>
          <w:sz w:val="20"/>
        </w:rPr>
        <w:t xml:space="preserve">We achieved remediation by establishing regularly meetings with the accounting department and the sales team to ensure effective communication and information flows regarding all commercial aspects of key customer contracts. Future planned refinements include the implementation of a contract management tool which allows for a more structured contract management. In addition, we are in the process of updating our sales process to promote a closer collaboration of all relevant departments at an early stage of negotiations with a potential customer. </w:t>
      </w:r>
    </w:p>
    <w:p>
      <w:pPr>
        <w:pStyle w:val="TextBody"/>
        <w:spacing w:before="120" w:after="0"/>
        <w:jc w:val="both"/>
        <w:rPr>
          <w:rFonts w:ascii="Times New Roman" w:hAnsi="Times New Roman"/>
          <w:sz w:val="20"/>
        </w:rPr>
      </w:pPr>
      <w:r>
        <w:rPr>
          <w:rFonts w:ascii="Times New Roman" w:hAnsi="Times New Roman"/>
          <w:sz w:val="20"/>
        </w:rPr>
        <w:t xml:space="preserve">Our management is committed to finalizing the remediation of the material weaknesses during 2023. Our internal control remediation efforts include the following: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hired additional resources to support our accounting and financial reporting functions in Germany and the United States (US), including a Head of Accounting Principles, a SOX Manager and a Head of Accounting in the US, who each have the requisite background and knowledge in the application of IFRS. We will continue to hire additional personnel with IFRS knowledge and additional resources with an appropriate level of SEC reporting experience in fiscal 2023. During fiscal year 2022, we hired external consultants dedicated to managing complex accounting topics with experience in IFRS who will continue to support our accounting and financial reporting functions in fiscal year 2023. </w:t>
            </w:r>
          </w:p>
        </w:tc>
      </w:tr>
    </w:tbl>
    <w:p>
      <w:pPr>
        <w:pStyle w:val="TextBody"/>
        <w:spacing w:before="0" w:after="0"/>
        <w:jc w:val="left"/>
        <w:rPr/>
      </w:pPr>
      <w:r>
        <w:rPr/>
        <w:t> </w:t>
      </w:r>
    </w:p>
    <w:tbl>
      <w:tblPr>
        <w:tblW w:w="6400" w:type="dxa"/>
        <w:jc w:val="left"/>
        <w:tblInd w:w="0" w:type="dxa"/>
        <w:tblCellMar>
          <w:top w:w="0" w:type="dxa"/>
          <w:left w:w="0" w:type="dxa"/>
          <w:bottom w:w="0" w:type="dxa"/>
          <w:right w:w="0" w:type="dxa"/>
        </w:tblCellMar>
      </w:tblPr>
      <w:tblGrid>
        <w:gridCol w:w="75"/>
        <w:gridCol w:w="110"/>
        <w:gridCol w:w="60"/>
        <w:gridCol w:w="61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15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key components of our remediation plans in fiscal 2023 are as follows: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Enhance the execution of our risk assessment activities by evaluating whether the design of our internal controls appropriately addresses the risks in our business processes and changes in the business (including changes to people, processes and systems) that could impact our system of internal controls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Review our current processes, procedures and systems to identify opportunities to enhance the design of each process and to design and implement additional control activities that can prevent material misstatements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Develop and roll-out a process to manage the valuation of inventory in combination with quarterly meetings with all stakeholders to agree on production and forecasts. Design and implement controls that address the valuation of inventory, including control activities associated with the review of data used and the appropriateness of the assumptions and methodology used to determine the net realizable value </w:t>
            </w:r>
          </w:p>
        </w:tc>
      </w:tr>
    </w:tbl>
    <w:p>
      <w:pPr>
        <w:pStyle w:val="TextBody"/>
        <w:spacing w:before="0" w:after="0"/>
        <w:jc w:val="left"/>
        <w:rPr/>
      </w:pPr>
      <w:r>
        <w:rPr/>
        <w:t> </w:t>
      </w:r>
    </w:p>
    <w:tbl>
      <w:tblPr>
        <w:tblW w:w="9190" w:type="dxa"/>
        <w:jc w:val="left"/>
        <w:tblInd w:w="0" w:type="dxa"/>
        <w:tblCellMar>
          <w:top w:w="0" w:type="dxa"/>
          <w:left w:w="0" w:type="dxa"/>
          <w:bottom w:w="0" w:type="dxa"/>
          <w:right w:w="0" w:type="dxa"/>
        </w:tblCellMar>
      </w:tblPr>
      <w:tblGrid>
        <w:gridCol w:w="75"/>
        <w:gridCol w:w="110"/>
        <w:gridCol w:w="60"/>
        <w:gridCol w:w="89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4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Create greater awareness and continuously improve the system of internal control over financial reporting by: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Investment in a state-of-the-art governance, risk, and compliance tool (SAP GRC Process Control) to support internal controls over financial reporting on the software / IT side. </w:t>
            </w:r>
          </w:p>
        </w:tc>
      </w:tr>
    </w:tbl>
    <w:p>
      <w:pPr>
        <w:pStyle w:val="TextBody"/>
        <w:spacing w:before="0" w:after="0"/>
        <w:jc w:val="left"/>
        <w:rPr/>
      </w:pPr>
      <w:r>
        <w:rPr/>
        <w:t> </w:t>
      </w:r>
    </w:p>
    <w:tbl>
      <w:tblPr>
        <w:tblW w:w="9745" w:type="dxa"/>
        <w:jc w:val="left"/>
        <w:tblInd w:w="0" w:type="dxa"/>
        <w:tblCellMar>
          <w:top w:w="0" w:type="dxa"/>
          <w:left w:w="0" w:type="dxa"/>
          <w:bottom w:w="0" w:type="dxa"/>
          <w:right w:w="0" w:type="dxa"/>
        </w:tblCellMar>
      </w:tblPr>
      <w:tblGrid>
        <w:gridCol w:w="75"/>
        <w:gridCol w:w="110"/>
        <w:gridCol w:w="60"/>
        <w:gridCol w:w="95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50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Implementing LucaNet, a consolidation and planning platform, to support financial statement closing and reporting.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Establishing a internal controls manual (including communication and training) and continuous monitoring of defined controls. </w:t>
            </w:r>
          </w:p>
        </w:tc>
      </w:tr>
    </w:tbl>
    <w:p>
      <w:pPr>
        <w:pStyle w:val="TextBody"/>
        <w:spacing w:before="0" w:after="0"/>
        <w:jc w:val="left"/>
        <w:rPr/>
      </w:pPr>
      <w:r>
        <w:rPr/>
        <w:t> </w:t>
      </w:r>
    </w:p>
    <w:tbl>
      <w:tblPr>
        <w:tblW w:w="3595" w:type="dxa"/>
        <w:jc w:val="left"/>
        <w:tblInd w:w="0" w:type="dxa"/>
        <w:tblCellMar>
          <w:top w:w="0" w:type="dxa"/>
          <w:left w:w="0" w:type="dxa"/>
          <w:bottom w:w="0" w:type="dxa"/>
          <w:right w:w="0" w:type="dxa"/>
        </w:tblCellMar>
      </w:tblPr>
      <w:tblGrid>
        <w:gridCol w:w="75"/>
        <w:gridCol w:w="110"/>
        <w:gridCol w:w="60"/>
        <w:gridCol w:w="33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35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Establishment of a global ethics hotline.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We finalized the implementation of SAP ERP S4/HANA for the German and U.S. group companies in April 2022 and initiated a project to formalize policies and procedures and finalize the design and implementation of internal controls relating to GITCs for our IT systems. </w:t>
            </w:r>
          </w:p>
        </w:tc>
      </w:tr>
    </w:tbl>
    <w:p>
      <w:pPr>
        <w:pStyle w:val="TextBody"/>
        <w:spacing w:before="240" w:after="0"/>
        <w:jc w:val="both"/>
        <w:rPr>
          <w:rFonts w:ascii="Times New Roman" w:hAnsi="Times New Roman"/>
          <w:sz w:val="20"/>
        </w:rPr>
      </w:pPr>
      <w:r>
        <w:rPr>
          <w:rFonts w:ascii="Times New Roman" w:hAnsi="Times New Roman"/>
          <w:sz w:val="20"/>
        </w:rPr>
        <w:t xml:space="preserve">While we are working to remediate the weaknesses as quickly and efficiently as possible, we cannot at this time provide an estimate of the timeframe for implementing our plan to remediate these material weaknesses. These remediation measures may be time consuming and costly, and might place significant demands on our financial and operational resources. As we continue with the remediation of our material weaknesses, we may determine that additional or other measures may be necessary to address and remediate the material weaknesses, depending on the circumstances and our needs. </w:t>
      </w:r>
    </w:p>
    <w:p>
      <w:pPr>
        <w:pStyle w:val="TextBody"/>
        <w:spacing w:before="240" w:after="0"/>
        <w:jc w:val="both"/>
        <w:rPr>
          <w:rFonts w:ascii="Times New Roman" w:hAnsi="Times New Roman"/>
          <w:sz w:val="20"/>
        </w:rPr>
      </w:pPr>
      <w:r>
        <w:rPr>
          <w:rFonts w:ascii="Times New Roman" w:hAnsi="Times New Roman"/>
          <w:sz w:val="20"/>
        </w:rPr>
        <w:t xml:space="preserve">Although we have made enhancements to our control procedures in these areas, the material weaknesses will not be remediated until the necessary controls have been fully implemented and operating effectively. See Item 3. “Key Information—D. Risk Factors—Risks Related to the ADSs—We have identified material weaknesses in our internal control over financial reporting. If we are unable to successfully remediate these material weaknesses and to maintain an effective system of internal control over financial reporting, we may not be able to accurately report our financial results or prevent fraud. If we are unable to successfully remediate these material weaknesses and to maintain an effective system of internal control over financial reporting, we may not be able to accurately report our financial results or prevent fraud.” </w:t>
      </w:r>
    </w:p>
    <w:p>
      <w:pPr>
        <w:pStyle w:val="TextBody"/>
        <w:spacing w:before="360" w:after="0"/>
        <w:jc w:val="both"/>
        <w:rPr>
          <w:rFonts w:ascii="Times New Roman" w:hAnsi="Times New Roman"/>
          <w:b/>
          <w:sz w:val="20"/>
        </w:rPr>
      </w:pPr>
      <w:r>
        <w:rPr>
          <w:rFonts w:ascii="Times New Roman" w:hAnsi="Times New Roman"/>
          <w:b/>
          <w:sz w:val="20"/>
        </w:rPr>
        <w:t xml:space="preserve">Attestation Report of the Registered Public Accounting Firm </w:t>
      </w:r>
    </w:p>
    <w:p>
      <w:pPr>
        <w:pStyle w:val="TextBody"/>
        <w:spacing w:before="120" w:after="0"/>
        <w:jc w:val="both"/>
        <w:rPr>
          <w:rFonts w:ascii="Times New Roman" w:hAnsi="Times New Roman"/>
          <w:sz w:val="20"/>
        </w:rPr>
      </w:pPr>
      <w:r>
        <w:rPr>
          <w:rFonts w:ascii="Times New Roman" w:hAnsi="Times New Roman"/>
          <w:sz w:val="20"/>
        </w:rPr>
        <w:t xml:space="preserve">Not applicable. </w:t>
      </w:r>
    </w:p>
    <w:p>
      <w:pPr>
        <w:pStyle w:val="TextBody"/>
        <w:spacing w:before="360" w:after="0"/>
        <w:jc w:val="both"/>
        <w:rPr>
          <w:rFonts w:ascii="Times New Roman" w:hAnsi="Times New Roman"/>
          <w:b/>
          <w:sz w:val="20"/>
        </w:rPr>
      </w:pPr>
      <w:r>
        <w:rPr>
          <w:rFonts w:ascii="Times New Roman" w:hAnsi="Times New Roman"/>
          <w:b/>
          <w:sz w:val="20"/>
        </w:rPr>
        <w:t xml:space="preserve">Changes in Internal Control over Financial Reporting </w:t>
      </w:r>
    </w:p>
    <w:p>
      <w:pPr>
        <w:pStyle w:val="TextBody"/>
        <w:spacing w:before="120" w:after="0"/>
        <w:jc w:val="both"/>
        <w:rPr>
          <w:rFonts w:ascii="Times New Roman" w:hAnsi="Times New Roman"/>
          <w:sz w:val="20"/>
        </w:rPr>
      </w:pPr>
      <w:r>
        <w:rPr>
          <w:rFonts w:ascii="Times New Roman" w:hAnsi="Times New Roman"/>
          <w:sz w:val="20"/>
        </w:rPr>
        <w:t xml:space="preserve">As described above, we implemented and initiated a number of changes to our internal control over financial reporting (as defined in Rule 13a-15(f) under the Exchange Act) that materially affected, or are reasonably likely to materially affect, internal control over financial reporting as part of the remediation measures. </w:t>
      </w:r>
    </w:p>
    <w:p>
      <w:pPr>
        <w:pStyle w:val="TextBody"/>
        <w:spacing w:before="240" w:after="0"/>
        <w:jc w:val="both"/>
        <w:rPr>
          <w:rFonts w:ascii="Times New Roman" w:hAnsi="Times New Roman"/>
          <w:sz w:val="20"/>
        </w:rPr>
      </w:pPr>
      <w:r>
        <w:rPr>
          <w:rFonts w:ascii="Times New Roman" w:hAnsi="Times New Roman"/>
          <w:sz w:val="20"/>
        </w:rPr>
        <w:t xml:space="preserve">Although we are actively working towards the remediation of the remaining material weaknesses in our internal controls over financial reporting, we will not be in a position to remediate all material weaknesses until the necessary controls have been fully implemented and are operating effectively. Our management is committed to executing the remediation plans described above. </w:t>
      </w:r>
    </w:p>
    <w:p>
      <w:pPr>
        <w:pStyle w:val="TextBody"/>
        <w:spacing w:before="360" w:after="0"/>
        <w:jc w:val="left"/>
        <w:rPr>
          <w:rFonts w:ascii="Times New Roman" w:hAnsi="Times New Roman"/>
          <w:b/>
          <w:sz w:val="20"/>
        </w:rPr>
      </w:pPr>
      <w:bookmarkStart w:id="71" w:name="tx497326_69"/>
      <w:bookmarkEnd w:id="71"/>
      <w:r>
        <w:rPr>
          <w:rFonts w:ascii="Times New Roman" w:hAnsi="Times New Roman"/>
          <w:b/>
          <w:sz w:val="20"/>
        </w:rPr>
        <w:t xml:space="preserve">ITEM 16A. AUDIT COMMITTEE FINANCIAL EXPERT </w:t>
      </w:r>
    </w:p>
    <w:p>
      <w:pPr>
        <w:pStyle w:val="TextBody"/>
        <w:spacing w:before="120" w:after="0"/>
        <w:jc w:val="both"/>
        <w:rPr>
          <w:rFonts w:ascii="Times New Roman" w:hAnsi="Times New Roman"/>
          <w:sz w:val="20"/>
        </w:rPr>
      </w:pPr>
      <w:r>
        <w:rPr>
          <w:rFonts w:ascii="Times New Roman" w:hAnsi="Times New Roman"/>
          <w:sz w:val="20"/>
        </w:rPr>
        <w:t xml:space="preserve">See “Item 6. Directors, Senior Management and Employees—C. Board Practices—Audit Committee.” </w:t>
      </w:r>
    </w:p>
    <w:p>
      <w:pPr>
        <w:pStyle w:val="TextBody"/>
        <w:spacing w:before="360" w:after="0"/>
        <w:jc w:val="left"/>
        <w:rPr>
          <w:rFonts w:ascii="Times New Roman" w:hAnsi="Times New Roman"/>
          <w:b/>
          <w:sz w:val="20"/>
        </w:rPr>
      </w:pPr>
      <w:bookmarkStart w:id="72" w:name="tx497326_70"/>
      <w:bookmarkEnd w:id="72"/>
      <w:r>
        <w:rPr>
          <w:rFonts w:ascii="Times New Roman" w:hAnsi="Times New Roman"/>
          <w:b/>
          <w:sz w:val="20"/>
        </w:rPr>
        <w:t xml:space="preserve">ITEM 16B. CODE OF ETHICS </w:t>
      </w:r>
    </w:p>
    <w:p>
      <w:pPr>
        <w:pStyle w:val="TextBody"/>
        <w:spacing w:before="120" w:after="0"/>
        <w:jc w:val="both"/>
        <w:rPr>
          <w:rFonts w:ascii="Times New Roman" w:hAnsi="Times New Roman"/>
          <w:sz w:val="20"/>
        </w:rPr>
      </w:pPr>
      <w:r>
        <w:rPr>
          <w:rFonts w:ascii="Times New Roman" w:hAnsi="Times New Roman"/>
          <w:sz w:val="20"/>
        </w:rPr>
        <w:t xml:space="preserve">We have adopted a Code of Business Conduct &amp; Ethics, or Code of Conduct, which outlines the principles of legal and ethical business conduct under which we do business. The Code of Conduct applies to all of our supervisory board members, management board members, directors of our subsidiaries and employees. The full text of the Code of Conduct is available on our website at https://www.mynaric.com. The information and other content appearing on our website are not part of this Annual Report and our website address is included in this Annual Report as an inactive textual reference only.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rPr/>
      </w:pPr>
      <w:r>
        <w:rPr/>
      </w:r>
    </w:p>
    <w:p>
      <w:pPr>
        <w:pStyle w:val="Heading5"/>
        <w:rPr/>
      </w:pPr>
      <w:hyperlink w:anchor="toc">
        <w:r>
          <w:rPr>
            <w:rStyle w:val="InternetLink"/>
          </w:rPr>
          <w:t>Table of Contents</w:t>
        </w:r>
      </w:hyperlink>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rFonts w:ascii="Times New Roman" w:hAnsi="Times New Roman"/>
          <w:b/>
          <w:spacing w:val="0"/>
          <w:sz w:val="20"/>
        </w:rPr>
      </w:pPr>
      <w:r>
        <w:rPr>
          <w:rFonts w:ascii="Times New Roman" w:hAnsi="Times New Roman"/>
          <w:b/>
          <w:spacing w:val="0"/>
          <w:sz w:val="20"/>
        </w:rPr>
        <w:t xml:space="preserve">ITEM 16C. PRINCIPAL ACCOUNTANT FEES AND SERVICES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both"/>
        <w:rPr>
          <w:rFonts w:ascii="Times New Roman" w:hAnsi="Times New Roman"/>
          <w:spacing w:val="0"/>
          <w:sz w:val="20"/>
        </w:rPr>
      </w:pPr>
      <w:r>
        <w:rPr>
          <w:rFonts w:ascii="Times New Roman" w:hAnsi="Times New Roman"/>
          <w:spacing w:val="0"/>
          <w:sz w:val="20"/>
        </w:rPr>
        <w:t xml:space="preserve">KPMG AG Wirtschaftsprüfungsgesellschaft, Munich, Germany (PCAOB ID: 1021) (“KPMG”) has served as our principal accountant for the years ended December 31, 2022 and 2021 for which audited consolidated financial statements appear in this Annual Report. </w:t>
      </w:r>
    </w:p>
    <w:p>
      <w:pPr>
        <w:pStyle w:val="TextBody"/>
        <w:spacing w:before="240" w:after="0"/>
        <w:jc w:val="both"/>
        <w:rPr>
          <w:rFonts w:ascii="Times New Roman" w:hAnsi="Times New Roman"/>
          <w:spacing w:val="0"/>
          <w:sz w:val="20"/>
        </w:rPr>
      </w:pPr>
      <w:r>
        <w:rPr>
          <w:rFonts w:ascii="Times New Roman" w:hAnsi="Times New Roman"/>
          <w:spacing w:val="0"/>
          <w:sz w:val="20"/>
        </w:rPr>
        <w:t xml:space="preserve">Set forth below are the total fees incurred on a consolidated basis, by KPMG, and affiliates for providing audit and other professional services in each of the last two years: </w:t>
      </w:r>
    </w:p>
    <w:p>
      <w:pPr>
        <w:pStyle w:val="TextBody"/>
        <w:spacing w:before="0" w:after="0"/>
        <w:jc w:val="left"/>
        <w:rPr>
          <w:spacing w:val="0"/>
        </w:rPr>
      </w:pPr>
      <w:r>
        <w:rPr>
          <w:spacing w:val="0"/>
        </w:rPr>
        <w:t> </w:t>
      </w:r>
    </w:p>
    <w:tbl>
      <w:tblPr>
        <w:tblW w:w="4987" w:type="dxa"/>
        <w:jc w:val="left"/>
        <w:tblInd w:w="0" w:type="dxa"/>
        <w:tblCellMar>
          <w:top w:w="0" w:type="dxa"/>
          <w:left w:w="0" w:type="dxa"/>
          <w:bottom w:w="0" w:type="dxa"/>
          <w:right w:w="0" w:type="dxa"/>
        </w:tblCellMar>
      </w:tblPr>
      <w:tblGrid>
        <w:gridCol w:w="905"/>
        <w:gridCol w:w="120"/>
        <w:gridCol w:w="163"/>
        <w:gridCol w:w="1533"/>
        <w:gridCol w:w="163"/>
        <w:gridCol w:w="328"/>
        <w:gridCol w:w="163"/>
        <w:gridCol w:w="1537"/>
        <w:gridCol w:w="75"/>
      </w:tblGrid>
      <w:tr>
        <w:trPr/>
        <w:tc>
          <w:tcPr>
            <w:tcW w:w="9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53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53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87" w:type="dxa"/>
            <w:gridSpan w:val="6"/>
            <w:tcBorders/>
            <w:shd w:fill="auto" w:val="clear"/>
            <w:vAlign w:val="center"/>
          </w:tcPr>
          <w:p>
            <w:pPr>
              <w:pStyle w:val="TableContents"/>
              <w:spacing w:before="0" w:after="0"/>
              <w:jc w:val="center"/>
              <w:rPr>
                <w:spacing w:val="0"/>
              </w:rPr>
            </w:pPr>
            <w:r>
              <w:rPr>
                <w:spacing w:val="0"/>
              </w:rPr>
              <w:t>    </w:t>
            </w:r>
            <w:r>
              <w:rPr>
                <w:b/>
                <w:spacing w:val="0"/>
              </w:rPr>
              <w:t>For the year ended December 31,    </w:t>
            </w:r>
          </w:p>
        </w:tc>
        <w:tc>
          <w:tcPr>
            <w:tcW w:w="75" w:type="dxa"/>
            <w:tcBorders/>
            <w:shd w:fill="auto" w:val="clear"/>
            <w:vAlign w:val="center"/>
          </w:tcPr>
          <w:p>
            <w:pPr>
              <w:pStyle w:val="TableContents"/>
              <w:spacing w:before="0" w:after="283"/>
              <w:rPr/>
            </w:pPr>
            <w:r>
              <w:rPr/>
              <w:t> </w:t>
            </w:r>
          </w:p>
        </w:tc>
      </w:tr>
      <w:tr>
        <w:trPr/>
        <w:tc>
          <w:tcPr>
            <w:tcW w:w="9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96" w:type="dxa"/>
            <w:gridSpan w:val="2"/>
            <w:tcBorders/>
            <w:shd w:fill="auto" w:val="clear"/>
            <w:vAlign w:val="center"/>
          </w:tcPr>
          <w:p>
            <w:pPr>
              <w:pStyle w:val="TableContents"/>
              <w:spacing w:before="0" w:after="0"/>
              <w:jc w:val="center"/>
              <w:rPr>
                <w:b/>
                <w:spacing w:val="0"/>
              </w:rPr>
            </w:pPr>
            <w:r>
              <w:rPr>
                <w:b/>
                <w:spacing w:val="0"/>
              </w:rPr>
              <w:t>2022</w:t>
            </w:r>
          </w:p>
        </w:tc>
        <w:tc>
          <w:tcPr>
            <w:tcW w:w="163" w:type="dxa"/>
            <w:tcBorders/>
            <w:shd w:fill="auto" w:val="clear"/>
            <w:vAlign w:val="center"/>
          </w:tcPr>
          <w:p>
            <w:pPr>
              <w:pStyle w:val="TableContents"/>
              <w:spacing w:before="0" w:after="283"/>
              <w:rPr/>
            </w:pPr>
            <w:r>
              <w:rPr/>
              <w:t> </w:t>
            </w:r>
          </w:p>
        </w:tc>
        <w:tc>
          <w:tcPr>
            <w:tcW w:w="328" w:type="dxa"/>
            <w:tcBorders/>
            <w:shd w:fill="auto" w:val="clear"/>
            <w:vAlign w:val="center"/>
          </w:tcPr>
          <w:p>
            <w:pPr>
              <w:pStyle w:val="TableContents"/>
              <w:spacing w:before="0" w:after="283"/>
              <w:rPr/>
            </w:pPr>
            <w:r>
              <w:rPr/>
              <w:t>  </w:t>
            </w:r>
          </w:p>
        </w:tc>
        <w:tc>
          <w:tcPr>
            <w:tcW w:w="1700" w:type="dxa"/>
            <w:gridSpan w:val="2"/>
            <w:tcBorders/>
            <w:shd w:fill="auto" w:val="clear"/>
            <w:vAlign w:val="center"/>
          </w:tcPr>
          <w:p>
            <w:pPr>
              <w:pStyle w:val="TableContents"/>
              <w:spacing w:before="0" w:after="0"/>
              <w:jc w:val="center"/>
              <w:rPr>
                <w:b/>
                <w:spacing w:val="0"/>
              </w:rPr>
            </w:pPr>
            <w:r>
              <w:rPr>
                <w:b/>
                <w:spacing w:val="0"/>
              </w:rPr>
              <w:t>2021</w:t>
            </w:r>
          </w:p>
        </w:tc>
        <w:tc>
          <w:tcPr>
            <w:tcW w:w="75" w:type="dxa"/>
            <w:tcBorders/>
            <w:shd w:fill="auto" w:val="clear"/>
            <w:vAlign w:val="center"/>
          </w:tcPr>
          <w:p>
            <w:pPr>
              <w:pStyle w:val="TableContents"/>
              <w:spacing w:before="0" w:after="283"/>
              <w:rPr/>
            </w:pPr>
            <w:r>
              <w:rPr/>
              <w:t> </w:t>
            </w:r>
          </w:p>
        </w:tc>
      </w:tr>
      <w:tr>
        <w:trPr/>
        <w:tc>
          <w:tcPr>
            <w:tcW w:w="9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87" w:type="dxa"/>
            <w:gridSpan w:val="6"/>
            <w:tcBorders/>
            <w:shd w:fill="auto" w:val="clear"/>
            <w:vAlign w:val="center"/>
          </w:tcPr>
          <w:p>
            <w:pPr>
              <w:pStyle w:val="TableContents"/>
              <w:spacing w:before="0" w:after="0"/>
              <w:jc w:val="center"/>
              <w:rPr>
                <w:b/>
                <w:spacing w:val="0"/>
              </w:rPr>
            </w:pPr>
            <w:r>
              <w:rPr>
                <w:b/>
                <w:spacing w:val="0"/>
              </w:rPr>
              <w:t>(in € million)</w:t>
            </w:r>
          </w:p>
        </w:tc>
        <w:tc>
          <w:tcPr>
            <w:tcW w:w="75" w:type="dxa"/>
            <w:tcBorders/>
            <w:shd w:fill="auto" w:val="clear"/>
            <w:vAlign w:val="center"/>
          </w:tcPr>
          <w:p>
            <w:pPr>
              <w:pStyle w:val="TableContents"/>
              <w:spacing w:before="0" w:after="283"/>
              <w:rPr/>
            </w:pPr>
            <w:r>
              <w:rPr/>
              <w:t> </w:t>
            </w:r>
          </w:p>
        </w:tc>
      </w:tr>
      <w:tr>
        <w:trPr/>
        <w:tc>
          <w:tcPr>
            <w:tcW w:w="9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Audit Fees</w:t>
            </w:r>
          </w:p>
        </w:tc>
        <w:tc>
          <w:tcPr>
            <w:tcW w:w="12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1533" w:type="dxa"/>
            <w:tcBorders/>
            <w:shd w:fill="CCEEFF" w:val="clear"/>
            <w:vAlign w:val="center"/>
          </w:tcPr>
          <w:p>
            <w:pPr>
              <w:pStyle w:val="TableContents"/>
              <w:spacing w:before="0" w:after="283"/>
              <w:jc w:val="right"/>
              <w:rPr/>
            </w:pPr>
            <w:r>
              <w:rPr/>
              <w:t>1,136</w:t>
            </w:r>
          </w:p>
        </w:tc>
        <w:tc>
          <w:tcPr>
            <w:tcW w:w="163" w:type="dxa"/>
            <w:tcBorders/>
            <w:shd w:fill="CCEEFF" w:val="clear"/>
            <w:vAlign w:val="center"/>
          </w:tcPr>
          <w:p>
            <w:pPr>
              <w:pStyle w:val="TableContents"/>
              <w:spacing w:before="0" w:after="283"/>
              <w:rPr/>
            </w:pPr>
            <w:r>
              <w:rPr/>
              <w:t> </w:t>
            </w:r>
          </w:p>
        </w:tc>
        <w:tc>
          <w:tcPr>
            <w:tcW w:w="328"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1537" w:type="dxa"/>
            <w:tcBorders/>
            <w:shd w:fill="CCEEFF" w:val="clear"/>
            <w:vAlign w:val="center"/>
          </w:tcPr>
          <w:p>
            <w:pPr>
              <w:pStyle w:val="TableContents"/>
              <w:spacing w:before="0" w:after="283"/>
              <w:jc w:val="right"/>
              <w:rPr/>
            </w:pPr>
            <w:r>
              <w:rPr/>
              <w:t>1,255</w:t>
            </w:r>
          </w:p>
        </w:tc>
        <w:tc>
          <w:tcPr>
            <w:tcW w:w="75" w:type="dxa"/>
            <w:tcBorders/>
            <w:shd w:fill="CCEEFF" w:val="clear"/>
            <w:vAlign w:val="center"/>
          </w:tcPr>
          <w:p>
            <w:pPr>
              <w:pStyle w:val="TableContents"/>
              <w:spacing w:before="0" w:after="283"/>
              <w:rPr/>
            </w:pPr>
            <w:r>
              <w:rPr/>
              <w:t> </w:t>
            </w:r>
          </w:p>
        </w:tc>
      </w:tr>
      <w:tr>
        <w:trPr/>
        <w:tc>
          <w:tcPr>
            <w:tcW w:w="9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w:t>
            </w:r>
          </w:p>
        </w:tc>
        <w:tc>
          <w:tcPr>
            <w:tcW w:w="12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533" w:type="dxa"/>
            <w:tcBorders/>
            <w:shd w:fill="auto" w:val="clear"/>
            <w:vAlign w:val="center"/>
          </w:tcPr>
          <w:p>
            <w:pPr>
              <w:pStyle w:val="TableContents"/>
              <w:spacing w:before="0" w:after="283"/>
              <w:jc w:val="right"/>
              <w:rPr/>
            </w:pPr>
            <w:r>
              <w:rPr/>
              <w:t>1,136</w:t>
            </w:r>
          </w:p>
        </w:tc>
        <w:tc>
          <w:tcPr>
            <w:tcW w:w="163" w:type="dxa"/>
            <w:tcBorders/>
            <w:shd w:fill="auto" w:val="clear"/>
            <w:vAlign w:val="center"/>
          </w:tcPr>
          <w:p>
            <w:pPr>
              <w:pStyle w:val="TableContents"/>
              <w:spacing w:before="0" w:after="283"/>
              <w:rPr/>
            </w:pPr>
            <w:r>
              <w:rPr/>
              <w:t> </w:t>
            </w:r>
          </w:p>
        </w:tc>
        <w:tc>
          <w:tcPr>
            <w:tcW w:w="328"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537" w:type="dxa"/>
            <w:tcBorders/>
            <w:shd w:fill="auto" w:val="clear"/>
            <w:vAlign w:val="center"/>
          </w:tcPr>
          <w:p>
            <w:pPr>
              <w:pStyle w:val="TableContents"/>
              <w:spacing w:before="0" w:after="283"/>
              <w:jc w:val="right"/>
              <w:rPr/>
            </w:pPr>
            <w:r>
              <w:rPr/>
              <w:t>1,255</w:t>
            </w:r>
          </w:p>
        </w:tc>
        <w:tc>
          <w:tcPr>
            <w:tcW w:w="75" w:type="dxa"/>
            <w:tcBorders/>
            <w:shd w:fill="auto" w:val="clear"/>
            <w:vAlign w:val="center"/>
          </w:tcPr>
          <w:p>
            <w:pPr>
              <w:pStyle w:val="TableContents"/>
              <w:spacing w:before="0" w:after="283"/>
              <w:rPr/>
            </w:pPr>
            <w:r>
              <w:rPr/>
              <w:t> </w:t>
            </w:r>
          </w:p>
        </w:tc>
      </w:tr>
    </w:tbl>
    <w:p>
      <w:pPr>
        <w:pStyle w:val="TextBody"/>
        <w:spacing w:before="240" w:after="0"/>
        <w:jc w:val="both"/>
        <w:rPr>
          <w:spacing w:val="0"/>
        </w:rPr>
      </w:pPr>
      <w:r>
        <w:rPr>
          <w:spacing w:val="0"/>
        </w:rPr>
        <w:t>“</w:t>
      </w:r>
      <w:r>
        <w:rPr>
          <w:rFonts w:ascii="Times New Roman" w:hAnsi="Times New Roman"/>
          <w:spacing w:val="0"/>
          <w:sz w:val="20"/>
        </w:rPr>
        <w:t xml:space="preserve">Audit Fees” are the aggregate fees earned by KPMG for the audit of our annual financial statements, reviews of interim financial statements and attestation services that are provided in connection with statutory and regulatory filings or engagements and comfort letters. </w:t>
      </w:r>
    </w:p>
    <w:p>
      <w:pPr>
        <w:pStyle w:val="TextBody"/>
        <w:spacing w:before="240" w:after="0"/>
        <w:jc w:val="both"/>
        <w:rPr>
          <w:rFonts w:ascii="Times New Roman" w:hAnsi="Times New Roman"/>
          <w:sz w:val="20"/>
        </w:rPr>
      </w:pPr>
      <w:r>
        <w:rPr>
          <w:rFonts w:ascii="Times New Roman" w:hAnsi="Times New Roman"/>
          <w:sz w:val="20"/>
        </w:rPr>
        <w:t xml:space="preserve">The Company’s audit committee approves all auditing services and permitted </w:t>
      </w:r>
    </w:p>
    <w:p>
      <w:pPr>
        <w:pStyle w:val="TextBody"/>
        <w:spacing w:before="240" w:after="0"/>
        <w:jc w:val="both"/>
        <w:rPr>
          <w:rFonts w:ascii="Times New Roman" w:hAnsi="Times New Roman"/>
          <w:spacing w:val="0"/>
          <w:sz w:val="20"/>
        </w:rPr>
      </w:pPr>
      <w:r>
        <w:rPr>
          <w:rFonts w:ascii="Times New Roman" w:hAnsi="Times New Roman"/>
          <w:spacing w:val="0"/>
          <w:sz w:val="20"/>
        </w:rPr>
        <w:t>non-audit</w:t>
      </w:r>
    </w:p>
    <w:p>
      <w:pPr>
        <w:pStyle w:val="TextBody"/>
        <w:spacing w:before="240" w:after="0"/>
        <w:jc w:val="both"/>
        <w:rPr>
          <w:rFonts w:ascii="Times New Roman" w:hAnsi="Times New Roman"/>
          <w:sz w:val="20"/>
        </w:rPr>
      </w:pPr>
      <w:r>
        <w:rPr>
          <w:rFonts w:ascii="Times New Roman" w:hAnsi="Times New Roman"/>
          <w:sz w:val="20"/>
        </w:rPr>
        <w:t xml:space="preserve">services performed for the Company by its independent auditor in advance of an engagement. All auditing services and permitted </w:t>
      </w:r>
    </w:p>
    <w:p>
      <w:pPr>
        <w:pStyle w:val="TextBody"/>
        <w:spacing w:before="240" w:after="0"/>
        <w:jc w:val="both"/>
        <w:rPr>
          <w:rFonts w:ascii="Times New Roman" w:hAnsi="Times New Roman"/>
          <w:spacing w:val="0"/>
          <w:sz w:val="20"/>
        </w:rPr>
      </w:pPr>
      <w:r>
        <w:rPr>
          <w:rFonts w:ascii="Times New Roman" w:hAnsi="Times New Roman"/>
          <w:spacing w:val="0"/>
          <w:sz w:val="20"/>
        </w:rPr>
        <w:t>non-audit</w:t>
      </w:r>
    </w:p>
    <w:p>
      <w:pPr>
        <w:pStyle w:val="TextBody"/>
        <w:spacing w:before="240" w:after="0"/>
        <w:jc w:val="both"/>
        <w:rPr>
          <w:rFonts w:ascii="Times New Roman" w:hAnsi="Times New Roman"/>
          <w:sz w:val="20"/>
        </w:rPr>
      </w:pPr>
      <w:r>
        <w:rPr>
          <w:rFonts w:ascii="Times New Roman" w:hAnsi="Times New Roman"/>
          <w:sz w:val="20"/>
        </w:rPr>
        <w:t xml:space="preserve">services to be performed for the Company by its independent auditor must be approved by the Chair of the audit committee in advance to ensure that such engagements do not impair the independence of our independent registered public accounting firm. All audit services were approved by the Audit Committee.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ITEM 16D. EXEMPTIONS FROM THE LISTING STANDARDS FOR AUDIT COMMITTEES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both"/>
        <w:rPr>
          <w:rFonts w:ascii="Times New Roman" w:hAnsi="Times New Roman"/>
          <w:spacing w:val="0"/>
          <w:sz w:val="20"/>
        </w:rPr>
      </w:pPr>
      <w:r>
        <w:rPr>
          <w:rFonts w:ascii="Times New Roman" w:hAnsi="Times New Roman"/>
          <w:spacing w:val="0"/>
          <w:sz w:val="20"/>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ITEM 16E. PURCHASES OF EQUITY SECURITIES BY THE ISSUER AND AFFILIATED PURCHASERS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both"/>
        <w:rPr>
          <w:rFonts w:ascii="Times New Roman" w:hAnsi="Times New Roman"/>
          <w:spacing w:val="0"/>
          <w:sz w:val="20"/>
        </w:rPr>
      </w:pPr>
      <w:r>
        <w:rPr>
          <w:rFonts w:ascii="Times New Roman" w:hAnsi="Times New Roman"/>
          <w:spacing w:val="0"/>
          <w:sz w:val="20"/>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ITEM 16F. CHANGE IN REGISTRANT’S CERTIFYING ACCOUNTANT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both"/>
        <w:rPr>
          <w:rFonts w:ascii="Times New Roman" w:hAnsi="Times New Roman"/>
          <w:spacing w:val="0"/>
          <w:sz w:val="20"/>
        </w:rPr>
      </w:pPr>
      <w:r>
        <w:rPr>
          <w:rFonts w:ascii="Times New Roman" w:hAnsi="Times New Roman"/>
          <w:spacing w:val="0"/>
          <w:sz w:val="20"/>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ITEM 16G. CORPORATE GOVERNANCE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both"/>
        <w:rPr>
          <w:rFonts w:ascii="Times New Roman" w:hAnsi="Times New Roman"/>
          <w:spacing w:val="0"/>
          <w:sz w:val="20"/>
        </w:rPr>
      </w:pPr>
      <w:r>
        <w:rPr>
          <w:rFonts w:ascii="Times New Roman" w:hAnsi="Times New Roman"/>
          <w:spacing w:val="0"/>
          <w:sz w:val="20"/>
        </w:rPr>
        <w:t xml:space="preserve">As a “foreign private issuer,” as defined by SEC rules, we are permitted to follow certain German corporate governance practices instead of those otherwise required under Nasdaq rules for domestic U.S. issuers. Specifically, a foreign private issuer may follow its home country practice in lieu of the requirements of the Rule 5600 Series, the requirement to disclose third party director and nominee compensation set forth in Rule 5250(b)(3), and the requirement to distribute annual and interim reports set forth in Rule 5250(d), provided, however, that such a company shall comply with the Notification of Noncompliance requirement (Rule 5625), the Voting Rights requirement (Rule 5640), the Diverse Board Representation Rule (Rule 5605(f)), the Board Diversity Disclosure Rule (Rule 5606), have an audit committee that satisfies Rule 5605(c)(3), and ensure that such audit committee’s members meet the independence requirement in Rule 5605(c)(2)(A)(ii). </w:t>
      </w:r>
    </w:p>
    <w:p>
      <w:pPr>
        <w:pStyle w:val="TextBody"/>
        <w:spacing w:before="240" w:after="0"/>
        <w:jc w:val="both"/>
        <w:rPr>
          <w:rFonts w:ascii="Times New Roman" w:hAnsi="Times New Roman"/>
          <w:spacing w:val="0"/>
          <w:sz w:val="20"/>
        </w:rPr>
      </w:pPr>
      <w:r>
        <w:rPr>
          <w:rFonts w:ascii="Times New Roman" w:hAnsi="Times New Roman"/>
          <w:spacing w:val="0"/>
          <w:sz w:val="20"/>
        </w:rPr>
        <w:t xml:space="preserve">The significant differences between the corporate governance practices that we follow and those set forth in the Nasdaq stock market rules are described below: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i/>
                <w:caps w:val="false"/>
                <w:smallCaps w:val="false"/>
                <w:spacing w:val="0"/>
                <w:sz w:val="20"/>
              </w:rPr>
            </w:pPr>
            <w:r>
              <w:rPr>
                <w:rFonts w:ascii="Times New Roman" w:hAnsi="Times New Roman"/>
                <w:i/>
                <w:caps w:val="false"/>
                <w:smallCaps w:val="false"/>
                <w:spacing w:val="0"/>
                <w:sz w:val="20"/>
              </w:rPr>
              <w:t>Distribution of Annual and Interim Reports</w:t>
            </w:r>
          </w:p>
          <w:p>
            <w:pPr>
              <w:pStyle w:val="TableContents"/>
              <w:spacing w:before="0" w:after="0"/>
              <w:jc w:val="both"/>
              <w:rPr>
                <w:rFonts w:ascii="Times New Roman" w:hAnsi="Times New Roman"/>
                <w:sz w:val="20"/>
              </w:rPr>
            </w:pPr>
            <w:r>
              <w:rPr>
                <w:rFonts w:ascii="Times New Roman" w:hAnsi="Times New Roman"/>
                <w:sz w:val="20"/>
              </w:rPr>
              <w:t>. Nasdaq Listing Rule 5250(d) requires that annual and interim reports be distributed or made available to shareholders within a reasonable period of time following filing with the SEC. Consistent with applicable rules and regulations in Germany, we do not distribute annual and interim reports automatically to shareholders. Instead, our annual and interim reports are available to shareholders on our website and delivery of printed versions thereof can be requested online. Furthermore, our annual and interim reports are also filed with the German Company Register (</w:t>
            </w:r>
          </w:p>
          <w:p>
            <w:pPr>
              <w:pStyle w:val="TableContents"/>
              <w:spacing w:before="0" w:after="0"/>
              <w:jc w:val="both"/>
              <w:rPr>
                <w:rFonts w:ascii="Times New Roman" w:hAnsi="Times New Roman"/>
                <w:i/>
                <w:caps w:val="false"/>
                <w:smallCaps w:val="false"/>
                <w:spacing w:val="0"/>
                <w:sz w:val="20"/>
              </w:rPr>
            </w:pPr>
            <w:r>
              <w:rPr>
                <w:rFonts w:ascii="Times New Roman" w:hAnsi="Times New Roman"/>
                <w:i/>
                <w:caps w:val="false"/>
                <w:smallCaps w:val="false"/>
                <w:spacing w:val="0"/>
                <w:sz w:val="20"/>
              </w:rPr>
              <w:t>Unternehmensregister</w:t>
            </w:r>
          </w:p>
          <w:p>
            <w:pPr>
              <w:pStyle w:val="TableContents"/>
              <w:spacing w:before="0" w:after="0"/>
              <w:jc w:val="both"/>
              <w:rPr>
                <w:rFonts w:ascii="Times New Roman" w:hAnsi="Times New Roman"/>
                <w:sz w:val="20"/>
              </w:rPr>
            </w:pPr>
            <w:r>
              <w:rPr>
                <w:rFonts w:ascii="Times New Roman" w:hAnsi="Times New Roman"/>
                <w:sz w:val="20"/>
              </w:rPr>
              <w:t xml:space="preserve">).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113 </w:t>
      </w:r>
    </w:p>
    <w:p>
      <w:pPr>
        <w:pStyle w:val="HorizontalLine"/>
        <w:rPr/>
      </w:pPr>
      <w:r>
        <w:rPr/>
      </w:r>
    </w:p>
    <w:p>
      <w:pPr>
        <w:pStyle w:val="TextBody"/>
        <w:spacing w:before="0" w:after="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i/>
                <w:caps w:val="false"/>
                <w:smallCaps w:val="false"/>
                <w:spacing w:val="0"/>
                <w:sz w:val="20"/>
              </w:rPr>
            </w:pPr>
            <w:r>
              <w:rPr>
                <w:rFonts w:ascii="Times New Roman" w:hAnsi="Times New Roman"/>
                <w:i/>
                <w:caps w:val="false"/>
                <w:smallCaps w:val="false"/>
                <w:spacing w:val="0"/>
                <w:sz w:val="20"/>
              </w:rPr>
              <w:t>Independent Directors</w:t>
            </w:r>
          </w:p>
          <w:p>
            <w:pPr>
              <w:pStyle w:val="TableContents"/>
              <w:spacing w:before="0" w:after="0"/>
              <w:jc w:val="both"/>
              <w:rPr>
                <w:rFonts w:ascii="Times New Roman" w:hAnsi="Times New Roman"/>
                <w:sz w:val="20"/>
              </w:rPr>
            </w:pPr>
            <w:r>
              <w:rPr>
                <w:rFonts w:ascii="Times New Roman" w:hAnsi="Times New Roman"/>
                <w:sz w:val="20"/>
              </w:rPr>
              <w:t xml:space="preserve">. Nasdaq Listing Rule 5605(b)(1) requires listed companies to have a majority of independent directors. There is no requirement under German law that the majority of members of a supervisory board be independent. The rules of procedure of our supervisory board provide that the supervisory board shall have a sufficient number of independent members within the meaning of the German Corporate Governance Code. The supervisory board has determined that a majority of the current members of our supervisory board are independent.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i/>
                <w:caps w:val="false"/>
                <w:smallCaps w:val="false"/>
                <w:spacing w:val="0"/>
                <w:sz w:val="20"/>
              </w:rPr>
            </w:pPr>
            <w:r>
              <w:rPr>
                <w:rFonts w:ascii="Times New Roman" w:hAnsi="Times New Roman"/>
                <w:i/>
                <w:caps w:val="false"/>
                <w:smallCaps w:val="false"/>
                <w:spacing w:val="0"/>
                <w:sz w:val="20"/>
              </w:rPr>
              <w:t>Executive Sessions</w:t>
            </w:r>
          </w:p>
          <w:p>
            <w:pPr>
              <w:pStyle w:val="TableContents"/>
              <w:spacing w:before="0" w:after="0"/>
              <w:jc w:val="both"/>
              <w:rPr>
                <w:rFonts w:ascii="Times New Roman" w:hAnsi="Times New Roman"/>
                <w:sz w:val="20"/>
              </w:rPr>
            </w:pPr>
            <w:r>
              <w:rPr>
                <w:rFonts w:ascii="Times New Roman" w:hAnsi="Times New Roman"/>
                <w:sz w:val="20"/>
              </w:rPr>
              <w:t xml:space="preserve">. Nasdaq Listing Rule 5605(b)(2) requires that independent directors have regularly scheduled meetings during which only independent directors are present. German law does not require executive sessions of independent directors. However, German law provides that the supervisory board shall hold at least two meetings per calendar half-year. Additionally, where supervisory board members are subject to conflicts of interest, they generally must refrain from taking part in deliberations and voting.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i/>
                <w:caps w:val="false"/>
                <w:smallCaps w:val="false"/>
                <w:spacing w:val="0"/>
                <w:sz w:val="20"/>
              </w:rPr>
            </w:pPr>
            <w:r>
              <w:rPr>
                <w:rFonts w:ascii="Times New Roman" w:hAnsi="Times New Roman"/>
                <w:i/>
                <w:caps w:val="false"/>
                <w:smallCaps w:val="false"/>
                <w:spacing w:val="0"/>
                <w:sz w:val="20"/>
              </w:rPr>
              <w:t>Audit Committee Responsibilities and Authority</w:t>
            </w:r>
          </w:p>
          <w:p>
            <w:pPr>
              <w:pStyle w:val="TableContents"/>
              <w:spacing w:before="0" w:after="0"/>
              <w:jc w:val="both"/>
              <w:rPr>
                <w:rFonts w:ascii="Times New Roman" w:hAnsi="Times New Roman"/>
                <w:sz w:val="20"/>
              </w:rPr>
            </w:pPr>
            <w:r>
              <w:rPr>
                <w:rFonts w:ascii="Times New Roman" w:hAnsi="Times New Roman"/>
                <w:sz w:val="20"/>
              </w:rPr>
              <w:t xml:space="preserve">. Nasdaq Listing Rule 5605(c)(1) requires companies to adopt a formal written audit committee charter specifying certain audit committee responsibilities. Pursuant to the German Stock Corporation Act, independent auditors are elected at the shareholders’ meeting, instead of being appointed by the audit committee. Also pursuant to the German Stock Corporation Act and applicable German law, our entire supervisory board, together with our management board, and in some cases, our shareholders, are responsible for the final approval of the audited financial statements and our supervisory board as a whole is responsible for many of the same functions that Nasdaq requires of an audit committee under its rules.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i/>
                <w:caps w:val="false"/>
                <w:smallCaps w:val="false"/>
                <w:spacing w:val="0"/>
                <w:sz w:val="20"/>
              </w:rPr>
            </w:pPr>
            <w:r>
              <w:rPr>
                <w:rFonts w:ascii="Times New Roman" w:hAnsi="Times New Roman"/>
                <w:i/>
                <w:caps w:val="false"/>
                <w:smallCaps w:val="false"/>
                <w:spacing w:val="0"/>
                <w:sz w:val="20"/>
              </w:rPr>
              <w:t>Proxy Solicitation</w:t>
            </w:r>
          </w:p>
          <w:p>
            <w:pPr>
              <w:pStyle w:val="TableContents"/>
              <w:spacing w:before="0" w:after="0"/>
              <w:jc w:val="both"/>
              <w:rPr>
                <w:rFonts w:ascii="Times New Roman" w:hAnsi="Times New Roman"/>
                <w:sz w:val="20"/>
              </w:rPr>
            </w:pPr>
            <w:r>
              <w:rPr>
                <w:rFonts w:ascii="Times New Roman" w:hAnsi="Times New Roman"/>
                <w:sz w:val="20"/>
              </w:rPr>
              <w:t xml:space="preserve">. Nasdaq Listing Rule 5620(b) requires companies that are not a limited partnership to solicit proxies and provide proxy statements for all meetings of shareholders and to provide copies of such proxy solicitation material to Nasdaq. Under German law, there is no requirement for companies to solicit proxies in connection with a meeting of shareholders. Shareholders have the right to exercise their voting rights in the shareholders’ meeting through proxies appointed by them in writing. The proxies appointed by us are obligated to vote only in accordance with the instructions of the represented shareholder.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i/>
                <w:caps w:val="false"/>
                <w:smallCaps w:val="false"/>
                <w:spacing w:val="0"/>
                <w:sz w:val="20"/>
              </w:rPr>
            </w:pPr>
            <w:r>
              <w:rPr>
                <w:rFonts w:ascii="Times New Roman" w:hAnsi="Times New Roman"/>
                <w:i/>
                <w:caps w:val="false"/>
                <w:smallCaps w:val="false"/>
                <w:spacing w:val="0"/>
                <w:sz w:val="20"/>
              </w:rPr>
              <w:t>Quorum</w:t>
            </w:r>
          </w:p>
          <w:p>
            <w:pPr>
              <w:pStyle w:val="TableContents"/>
              <w:spacing w:before="0" w:after="0"/>
              <w:jc w:val="both"/>
              <w:rPr>
                <w:rFonts w:ascii="Times New Roman" w:hAnsi="Times New Roman"/>
                <w:sz w:val="20"/>
              </w:rPr>
            </w:pPr>
            <w:r>
              <w:rPr>
                <w:rFonts w:ascii="Times New Roman" w:hAnsi="Times New Roman"/>
                <w:sz w:val="20"/>
              </w:rPr>
              <w:t xml:space="preserve">. Nasdaq Listing Rule 5605(c) provides that the minimum quorum requirement for a meeting of shareholders is 331/3% of the outstanding ordinary shares. Neither German law nor our articles of association provide for a minimum participation for a quorum for our shareholders’ meetings.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i/>
                <w:caps w:val="false"/>
                <w:smallCaps w:val="false"/>
                <w:spacing w:val="0"/>
                <w:sz w:val="20"/>
              </w:rPr>
            </w:pPr>
            <w:r>
              <w:rPr>
                <w:rFonts w:ascii="Times New Roman" w:hAnsi="Times New Roman"/>
                <w:i/>
                <w:caps w:val="false"/>
                <w:smallCaps w:val="false"/>
                <w:spacing w:val="0"/>
                <w:sz w:val="20"/>
              </w:rPr>
              <w:t>Shareholder Approval</w:t>
            </w:r>
          </w:p>
          <w:p>
            <w:pPr>
              <w:pStyle w:val="TableContents"/>
              <w:spacing w:before="0" w:after="0"/>
              <w:jc w:val="both"/>
              <w:rPr>
                <w:rFonts w:ascii="Times New Roman" w:hAnsi="Times New Roman"/>
                <w:sz w:val="20"/>
              </w:rPr>
            </w:pPr>
            <w:r>
              <w:rPr>
                <w:rFonts w:ascii="Times New Roman" w:hAnsi="Times New Roman"/>
                <w:sz w:val="20"/>
              </w:rPr>
              <w:t xml:space="preserve">. Nasdaq Listing Rule 5635 requires companies to obtain shareholder approval before undertaking any of the following transactions: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pacing w:val="0"/>
                <w:sz w:val="20"/>
              </w:rPr>
            </w:pPr>
            <w:r>
              <w:rPr>
                <w:rFonts w:ascii="Times New Roman" w:hAnsi="Times New Roman"/>
                <w:spacing w:val="0"/>
                <w:sz w:val="20"/>
              </w:rPr>
              <w:t xml:space="preserve">acquiring the stock or assets of another company, where such acquisition results in the issuance of 20% or more of our outstanding share capital or voting power; </w:t>
            </w:r>
          </w:p>
        </w:tc>
      </w:tr>
    </w:tbl>
    <w:p>
      <w:pPr>
        <w:pStyle w:val="TextBody"/>
        <w:spacing w:before="0" w:after="0"/>
        <w:jc w:val="left"/>
        <w:rPr>
          <w:spacing w:val="0"/>
        </w:rPr>
      </w:pPr>
      <w:r>
        <w:rPr>
          <w:spacing w:val="0"/>
        </w:rPr>
        <w:t> </w:t>
      </w:r>
    </w:p>
    <w:tbl>
      <w:tblPr>
        <w:tblW w:w="4195" w:type="dxa"/>
        <w:jc w:val="left"/>
        <w:tblInd w:w="0" w:type="dxa"/>
        <w:tblCellMar>
          <w:top w:w="0" w:type="dxa"/>
          <w:left w:w="0" w:type="dxa"/>
          <w:bottom w:w="0" w:type="dxa"/>
          <w:right w:w="0" w:type="dxa"/>
        </w:tblCellMar>
      </w:tblPr>
      <w:tblGrid>
        <w:gridCol w:w="75"/>
        <w:gridCol w:w="110"/>
        <w:gridCol w:w="60"/>
        <w:gridCol w:w="39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950" w:type="dxa"/>
            <w:tcBorders/>
            <w:shd w:fill="auto" w:val="clear"/>
            <w:vAlign w:val="center"/>
          </w:tcPr>
          <w:p>
            <w:pPr>
              <w:pStyle w:val="TableContents"/>
              <w:spacing w:before="0" w:after="0"/>
              <w:jc w:val="both"/>
              <w:rPr>
                <w:rFonts w:ascii="Times New Roman" w:hAnsi="Times New Roman"/>
                <w:spacing w:val="0"/>
                <w:sz w:val="20"/>
              </w:rPr>
            </w:pPr>
            <w:r>
              <w:rPr>
                <w:rFonts w:ascii="Times New Roman" w:hAnsi="Times New Roman"/>
                <w:spacing w:val="0"/>
                <w:sz w:val="20"/>
              </w:rPr>
              <w:t xml:space="preserve">entering into any change of control transaction; </w:t>
            </w:r>
          </w:p>
        </w:tc>
      </w:tr>
    </w:tbl>
    <w:p>
      <w:pPr>
        <w:pStyle w:val="TextBody"/>
        <w:spacing w:before="0" w:after="0"/>
        <w:jc w:val="left"/>
        <w:rPr>
          <w:spacing w:val="0"/>
        </w:rPr>
      </w:pPr>
      <w:r>
        <w:rPr>
          <w:spacing w:val="0"/>
        </w:rPr>
        <w:t> </w:t>
      </w:r>
    </w:p>
    <w:tbl>
      <w:tblPr>
        <w:tblW w:w="6805" w:type="dxa"/>
        <w:jc w:val="left"/>
        <w:tblInd w:w="0" w:type="dxa"/>
        <w:tblCellMar>
          <w:top w:w="0" w:type="dxa"/>
          <w:left w:w="0" w:type="dxa"/>
          <w:bottom w:w="0" w:type="dxa"/>
          <w:right w:w="0" w:type="dxa"/>
        </w:tblCellMar>
      </w:tblPr>
      <w:tblGrid>
        <w:gridCol w:w="75"/>
        <w:gridCol w:w="110"/>
        <w:gridCol w:w="60"/>
        <w:gridCol w:w="65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560" w:type="dxa"/>
            <w:tcBorders/>
            <w:shd w:fill="auto" w:val="clear"/>
            <w:vAlign w:val="center"/>
          </w:tcPr>
          <w:p>
            <w:pPr>
              <w:pStyle w:val="TableContents"/>
              <w:spacing w:before="0" w:after="0"/>
              <w:jc w:val="both"/>
              <w:rPr>
                <w:rFonts w:ascii="Times New Roman" w:hAnsi="Times New Roman"/>
                <w:spacing w:val="0"/>
                <w:sz w:val="20"/>
              </w:rPr>
            </w:pPr>
            <w:r>
              <w:rPr>
                <w:rFonts w:ascii="Times New Roman" w:hAnsi="Times New Roman"/>
                <w:spacing w:val="0"/>
                <w:sz w:val="20"/>
              </w:rPr>
              <w:t xml:space="preserve">establishing or materially amending any equity compensation arrangement;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Times New Roman" w:hAnsi="Times New Roman"/>
                <w:spacing w:val="0"/>
                <w:sz w:val="20"/>
              </w:rPr>
            </w:pPr>
            <w:r>
              <w:rPr>
                <w:rFonts w:ascii="Times New Roman" w:hAnsi="Times New Roman"/>
                <w:spacing w:val="0"/>
                <w:sz w:val="20"/>
              </w:rPr>
              <w:t xml:space="preserve">entering into any transaction other than a public offering involving the sale, issuance or potential issuance by us of shares (or securities convertible into or exercisable for shares) equal to 20% or more of our outstanding share capital or 20% or more of the voting power outstanding before the issuance for less than the greater of book or market value of the stock. </w:t>
            </w:r>
          </w:p>
        </w:tc>
      </w:tr>
    </w:tbl>
    <w:p>
      <w:pPr>
        <w:pStyle w:val="TextBody"/>
        <w:spacing w:before="240" w:after="0"/>
        <w:jc w:val="both"/>
        <w:rPr>
          <w:rFonts w:ascii="Times New Roman" w:hAnsi="Times New Roman"/>
          <w:spacing w:val="0"/>
          <w:sz w:val="20"/>
        </w:rPr>
      </w:pPr>
      <w:r>
        <w:rPr>
          <w:rFonts w:ascii="Times New Roman" w:hAnsi="Times New Roman"/>
          <w:spacing w:val="0"/>
          <w:sz w:val="20"/>
        </w:rPr>
        <w:t xml:space="preserve">Consistent with applicable German law, approval by the shareholders’ meeting is generally required for the issuance of any shares as well as any securities granting the respective holder the right to acquire shares (including options and convertibles). </w:t>
      </w:r>
    </w:p>
    <w:p>
      <w:pPr>
        <w:pStyle w:val="TextBody"/>
        <w:spacing w:before="240" w:after="0"/>
        <w:jc w:val="both"/>
        <w:rPr>
          <w:rFonts w:ascii="Times New Roman" w:hAnsi="Times New Roman"/>
          <w:spacing w:val="0"/>
          <w:sz w:val="20"/>
        </w:rPr>
      </w:pPr>
      <w:r>
        <w:rPr>
          <w:rFonts w:ascii="Times New Roman" w:hAnsi="Times New Roman"/>
          <w:spacing w:val="0"/>
          <w:sz w:val="20"/>
        </w:rPr>
        <w:t xml:space="preserve">We may utilize these and other exemptions for as long as we continue to qualify as a foreign private issuer.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ITEM 16H. MINE SAFETY DISCLOSURE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both"/>
        <w:rPr>
          <w:rFonts w:ascii="Times New Roman" w:hAnsi="Times New Roman"/>
          <w:spacing w:val="0"/>
          <w:sz w:val="20"/>
        </w:rPr>
      </w:pPr>
      <w:r>
        <w:rPr>
          <w:rFonts w:ascii="Times New Roman" w:hAnsi="Times New Roman"/>
          <w:spacing w:val="0"/>
          <w:sz w:val="20"/>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ITEM 16I. DISCLOSURE REGARDING FOREIGN JURISDICTIONS THAT PREVENT INSPECTIONS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both"/>
        <w:rPr>
          <w:rFonts w:ascii="Times New Roman" w:hAnsi="Times New Roman"/>
          <w:spacing w:val="0"/>
          <w:sz w:val="20"/>
        </w:rPr>
      </w:pPr>
      <w:r>
        <w:rPr>
          <w:rFonts w:ascii="Times New Roman" w:hAnsi="Times New Roman"/>
          <w:spacing w:val="0"/>
          <w:sz w:val="20"/>
        </w:rPr>
        <w:t xml:space="preserve">Not applicable. </w:t>
      </w:r>
    </w:p>
    <w:p>
      <w:pPr>
        <w:pStyle w:val="TextBody"/>
        <w:spacing w:before="0" w:after="0"/>
        <w:jc w:val="left"/>
        <w:rPr>
          <w:spacing w:val="0"/>
        </w:rPr>
      </w:pPr>
      <w:r>
        <w:rPr>
          <w:spacing w:val="0"/>
        </w:rPr>
        <w:t> </w:t>
      </w:r>
    </w:p>
    <w:p>
      <w:pPr>
        <w:pStyle w:val="TextBody"/>
        <w:jc w:val="center"/>
        <w:rPr>
          <w:rFonts w:ascii="Times New Roman" w:hAnsi="Times New Roman"/>
          <w:spacing w:val="0"/>
          <w:sz w:val="20"/>
        </w:rPr>
      </w:pPr>
      <w:r>
        <w:rPr>
          <w:rFonts w:ascii="Times New Roman" w:hAnsi="Times New Roman"/>
          <w:spacing w:val="0"/>
          <w:sz w:val="20"/>
        </w:rPr>
        <w:t>114</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3" w:name="tx497326_78"/>
      <w:bookmarkEnd w:id="73"/>
      <w:r>
        <w:rPr>
          <w:rFonts w:ascii="Times New Roman" w:hAnsi="Times New Roman"/>
          <w:b/>
          <w:sz w:val="20"/>
        </w:rPr>
        <w:t xml:space="preserve">PART III. </w:t>
      </w:r>
    </w:p>
    <w:p>
      <w:pPr>
        <w:pStyle w:val="TextBody"/>
        <w:spacing w:before="240" w:after="0"/>
        <w:jc w:val="left"/>
        <w:rPr>
          <w:rFonts w:ascii="Times New Roman" w:hAnsi="Times New Roman"/>
          <w:b/>
          <w:sz w:val="20"/>
        </w:rPr>
      </w:pPr>
      <w:bookmarkStart w:id="74" w:name="tx497326_79"/>
      <w:bookmarkEnd w:id="74"/>
      <w:r>
        <w:rPr>
          <w:rFonts w:ascii="Times New Roman" w:hAnsi="Times New Roman"/>
          <w:b/>
          <w:sz w:val="20"/>
        </w:rPr>
        <w:t xml:space="preserve">ITEM 17. FINANCIAL STATEMENTS </w:t>
      </w:r>
    </w:p>
    <w:p>
      <w:pPr>
        <w:pStyle w:val="TextBody"/>
        <w:spacing w:before="120" w:after="0"/>
        <w:jc w:val="both"/>
        <w:rPr>
          <w:rFonts w:ascii="Times New Roman" w:hAnsi="Times New Roman"/>
          <w:sz w:val="20"/>
        </w:rPr>
      </w:pPr>
      <w:r>
        <w:rPr>
          <w:rFonts w:ascii="Times New Roman" w:hAnsi="Times New Roman"/>
          <w:sz w:val="20"/>
        </w:rPr>
        <w:t xml:space="preserve">We have elected to provide financial statements and related information pursuant to “Item 18 Financial Statements.” </w:t>
      </w:r>
    </w:p>
    <w:p>
      <w:pPr>
        <w:pStyle w:val="TextBody"/>
        <w:spacing w:before="360" w:after="0"/>
        <w:jc w:val="left"/>
        <w:rPr>
          <w:rFonts w:ascii="Times New Roman" w:hAnsi="Times New Roman"/>
          <w:b/>
          <w:sz w:val="20"/>
        </w:rPr>
      </w:pPr>
      <w:bookmarkStart w:id="75" w:name="tx497326_80"/>
      <w:bookmarkEnd w:id="75"/>
      <w:r>
        <w:rPr>
          <w:rFonts w:ascii="Times New Roman" w:hAnsi="Times New Roman"/>
          <w:b/>
          <w:sz w:val="20"/>
        </w:rPr>
        <w:t xml:space="preserve">ITEM 18. FINANCIAL STATEMENTS </w:t>
      </w:r>
    </w:p>
    <w:p>
      <w:pPr>
        <w:pStyle w:val="TextBody"/>
        <w:spacing w:before="120" w:after="0"/>
        <w:jc w:val="both"/>
        <w:rPr>
          <w:rFonts w:ascii="Times New Roman" w:hAnsi="Times New Roman"/>
          <w:sz w:val="20"/>
        </w:rPr>
      </w:pPr>
      <w:r>
        <w:rPr>
          <w:rFonts w:ascii="Times New Roman" w:hAnsi="Times New Roman"/>
          <w:sz w:val="20"/>
        </w:rPr>
        <w:t xml:space="preserve">The audited consolidated financial statements as required under this Item 18 are attached hereto starting on page F-1 of this Form 20-F. </w:t>
      </w:r>
    </w:p>
    <w:p>
      <w:pPr>
        <w:pStyle w:val="TextBody"/>
        <w:spacing w:before="360" w:after="0"/>
        <w:jc w:val="left"/>
        <w:rPr>
          <w:rFonts w:ascii="Times New Roman" w:hAnsi="Times New Roman"/>
          <w:b/>
          <w:sz w:val="20"/>
        </w:rPr>
      </w:pPr>
      <w:bookmarkStart w:id="76" w:name="tx497326_81"/>
      <w:bookmarkEnd w:id="76"/>
      <w:r>
        <w:rPr>
          <w:rFonts w:ascii="Times New Roman" w:hAnsi="Times New Roman"/>
          <w:b/>
          <w:sz w:val="20"/>
        </w:rPr>
        <w:t xml:space="preserve">ITEM 19. EXHIBITS.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645"/>
        <w:gridCol w:w="120"/>
        <w:gridCol w:w="9440"/>
      </w:tblGrid>
      <w:tr>
        <w:trPr/>
        <w:tc>
          <w:tcPr>
            <w:tcW w:w="6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440" w:type="dxa"/>
            <w:tcBorders/>
            <w:shd w:fill="auto" w:val="clear"/>
            <w:vAlign w:val="center"/>
          </w:tcPr>
          <w:p>
            <w:pPr>
              <w:pStyle w:val="TableContents"/>
              <w:spacing w:before="0" w:after="283"/>
              <w:rPr>
                <w:sz w:val="4"/>
                <w:szCs w:val="4"/>
              </w:rPr>
            </w:pPr>
            <w:r>
              <w:rPr>
                <w:sz w:val="4"/>
                <w:szCs w:val="4"/>
              </w:rPr>
            </w:r>
          </w:p>
        </w:tc>
      </w:tr>
      <w:tr>
        <w:trPr/>
        <w:tc>
          <w:tcPr>
            <w:tcW w:w="645"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Exhibits</w:t>
            </w:r>
          </w:p>
        </w:tc>
        <w:tc>
          <w:tcPr>
            <w:tcW w:w="120" w:type="dxa"/>
            <w:tcBorders/>
            <w:shd w:fill="auto" w:val="clear"/>
            <w:vAlign w:val="center"/>
          </w:tcPr>
          <w:p>
            <w:pPr>
              <w:pStyle w:val="TableContents"/>
              <w:spacing w:before="0" w:after="283"/>
              <w:rPr/>
            </w:pPr>
            <w:r>
              <w:rPr/>
              <w:t>  </w:t>
            </w:r>
          </w:p>
        </w:tc>
        <w:tc>
          <w:tcPr>
            <w:tcW w:w="9440" w:type="dxa"/>
            <w:tcBorders>
              <w:bottom w:val="single" w:sz="8" w:space="0" w:color="000000"/>
            </w:tcBorders>
            <w:shd w:fill="auto" w:val="clear"/>
            <w:tcMar>
              <w:bottom w:w="28" w:type="dxa"/>
            </w:tcMar>
            <w:vAlign w:val="center"/>
          </w:tcPr>
          <w:p>
            <w:pPr>
              <w:pStyle w:val="TableContents"/>
              <w:spacing w:before="0" w:after="20"/>
              <w:rPr>
                <w:rFonts w:ascii="Times New Roman" w:hAnsi="Times New Roman"/>
                <w:b/>
                <w:sz w:val="16"/>
              </w:rPr>
            </w:pPr>
            <w:r>
              <w:rPr>
                <w:rFonts w:ascii="Times New Roman" w:hAnsi="Times New Roman"/>
                <w:b/>
                <w:sz w:val="16"/>
              </w:rPr>
              <w:t>Description</w:t>
            </w:r>
          </w:p>
        </w:tc>
      </w:tr>
      <w:tr>
        <w:trPr/>
        <w:tc>
          <w:tcPr>
            <w:tcW w:w="645" w:type="dxa"/>
            <w:tcBorders/>
            <w:shd w:fill="auto" w:val="clear"/>
            <w:vAlign w:val="center"/>
          </w:tcPr>
          <w:p>
            <w:pPr>
              <w:pStyle w:val="TableContents"/>
              <w:spacing w:before="0" w:after="283"/>
              <w:rPr>
                <w:sz w:val="4"/>
                <w:szCs w:val="4"/>
              </w:rPr>
            </w:pPr>
            <w:r>
              <w:rPr>
                <w:sz w:val="4"/>
                <w:szCs w:val="4"/>
              </w:rPr>
            </w:r>
          </w:p>
        </w:tc>
        <w:tc>
          <w:tcPr>
            <w:tcW w:w="9560" w:type="dxa"/>
            <w:gridSpan w:val="2"/>
            <w:tcBorders/>
            <w:shd w:fill="auto" w:val="clear"/>
            <w:vAlign w:val="center"/>
          </w:tcPr>
          <w:p>
            <w:pPr>
              <w:pStyle w:val="TableContents"/>
              <w:spacing w:before="0" w:after="283"/>
              <w:rPr>
                <w:sz w:val="4"/>
                <w:szCs w:val="4"/>
              </w:rPr>
            </w:pPr>
            <w:r>
              <w:rPr>
                <w:sz w:val="4"/>
                <w:szCs w:val="4"/>
              </w:rPr>
            </w:r>
          </w:p>
        </w:tc>
      </w:tr>
      <w:tr>
        <w:trPr/>
        <w:tc>
          <w:tcPr>
            <w:tcW w:w="645" w:type="dxa"/>
            <w:tcBorders/>
            <w:shd w:fill="auto" w:val="clear"/>
            <w:vAlign w:val="center"/>
          </w:tcPr>
          <w:p>
            <w:pPr>
              <w:pStyle w:val="TableContents"/>
              <w:spacing w:before="0" w:after="283"/>
              <w:rPr/>
            </w:pPr>
            <w:r>
              <w:rPr/>
              <w:t>  </w:t>
            </w:r>
            <w:r>
              <w:rPr/>
              <w:t>1.1*</w:t>
            </w:r>
          </w:p>
        </w:tc>
        <w:tc>
          <w:tcPr>
            <w:tcW w:w="120" w:type="dxa"/>
            <w:tcBorders/>
            <w:shd w:fill="auto" w:val="clear"/>
            <w:vAlign w:val="center"/>
          </w:tcPr>
          <w:p>
            <w:pPr>
              <w:pStyle w:val="TableContents"/>
              <w:spacing w:before="0" w:after="283"/>
              <w:rPr/>
            </w:pPr>
            <w:r>
              <w:rPr/>
              <w:t>  </w:t>
            </w:r>
          </w:p>
        </w:tc>
        <w:tc>
          <w:tcPr>
            <w:tcW w:w="9440" w:type="dxa"/>
            <w:tcBorders/>
            <w:shd w:fill="auto" w:val="clear"/>
            <w:vAlign w:val="center"/>
          </w:tcPr>
          <w:p>
            <w:pPr>
              <w:pStyle w:val="TableContents"/>
              <w:spacing w:before="0" w:after="0"/>
              <w:jc w:val="both"/>
              <w:rPr/>
            </w:pPr>
            <w:hyperlink w:anchor="d497326dex11.htm">
              <w:r>
                <w:rPr>
                  <w:rStyle w:val="InternetLink"/>
                  <w:rFonts w:ascii="Times New Roman" w:hAnsi="Times New Roman"/>
                  <w:sz w:val="20"/>
                </w:rPr>
                <w:t xml:space="preserve">Articles of Association of Mynaric AG (translated into English), dated August 16, 2022 </w:t>
              </w:r>
            </w:hyperlink>
          </w:p>
        </w:tc>
      </w:tr>
      <w:tr>
        <w:trPr/>
        <w:tc>
          <w:tcPr>
            <w:tcW w:w="645" w:type="dxa"/>
            <w:tcBorders/>
            <w:shd w:fill="auto" w:val="clear"/>
            <w:vAlign w:val="center"/>
          </w:tcPr>
          <w:p>
            <w:pPr>
              <w:pStyle w:val="TableContents"/>
              <w:spacing w:before="0" w:after="283"/>
              <w:rPr>
                <w:sz w:val="4"/>
                <w:szCs w:val="4"/>
              </w:rPr>
            </w:pPr>
            <w:r>
              <w:rPr>
                <w:sz w:val="4"/>
                <w:szCs w:val="4"/>
              </w:rPr>
            </w:r>
          </w:p>
        </w:tc>
        <w:tc>
          <w:tcPr>
            <w:tcW w:w="9560" w:type="dxa"/>
            <w:gridSpan w:val="2"/>
            <w:tcBorders/>
            <w:shd w:fill="auto" w:val="clear"/>
            <w:vAlign w:val="center"/>
          </w:tcPr>
          <w:p>
            <w:pPr>
              <w:pStyle w:val="TableContents"/>
              <w:spacing w:before="0" w:after="283"/>
              <w:rPr>
                <w:sz w:val="4"/>
                <w:szCs w:val="4"/>
              </w:rPr>
            </w:pPr>
            <w:r>
              <w:rPr>
                <w:sz w:val="4"/>
                <w:szCs w:val="4"/>
              </w:rPr>
            </w:r>
          </w:p>
        </w:tc>
      </w:tr>
      <w:tr>
        <w:trPr/>
        <w:tc>
          <w:tcPr>
            <w:tcW w:w="645" w:type="dxa"/>
            <w:tcBorders/>
            <w:shd w:fill="auto" w:val="clear"/>
            <w:vAlign w:val="center"/>
          </w:tcPr>
          <w:p>
            <w:pPr>
              <w:pStyle w:val="TableContents"/>
              <w:spacing w:before="0" w:after="283"/>
              <w:rPr/>
            </w:pPr>
            <w:r>
              <w:rPr/>
              <w:t>  </w:t>
            </w:r>
            <w:r>
              <w:rPr/>
              <w:t>1.2</w:t>
            </w:r>
          </w:p>
        </w:tc>
        <w:tc>
          <w:tcPr>
            <w:tcW w:w="120" w:type="dxa"/>
            <w:tcBorders/>
            <w:shd w:fill="auto" w:val="clear"/>
            <w:vAlign w:val="center"/>
          </w:tcPr>
          <w:p>
            <w:pPr>
              <w:pStyle w:val="TableContents"/>
              <w:spacing w:before="0" w:after="283"/>
              <w:rPr/>
            </w:pPr>
            <w:r>
              <w:rPr/>
              <w:t>  </w:t>
            </w:r>
          </w:p>
        </w:tc>
        <w:tc>
          <w:tcPr>
            <w:tcW w:w="9440" w:type="dxa"/>
            <w:tcBorders/>
            <w:shd w:fill="auto" w:val="clear"/>
            <w:vAlign w:val="center"/>
          </w:tcPr>
          <w:p>
            <w:pPr>
              <w:pStyle w:val="TableContents"/>
              <w:spacing w:before="0" w:after="0"/>
              <w:jc w:val="both"/>
              <w:rPr/>
            </w:pPr>
            <w:hyperlink r:id="rId5">
              <w:r>
                <w:rPr>
                  <w:rStyle w:val="InternetLink"/>
                  <w:rFonts w:ascii="Times New Roman" w:hAnsi="Times New Roman"/>
                  <w:sz w:val="20"/>
                </w:rPr>
                <w:t xml:space="preserve">Rules of Procedure of the Management Board of Mynaric AG (incorporated by reference to Exhibit 3.2 to the Company’s Registration Statement on Form F-1 (File No. 333-260357) filed with the SEC on October 29, 2022) </w:t>
              </w:r>
            </w:hyperlink>
          </w:p>
        </w:tc>
      </w:tr>
      <w:tr>
        <w:trPr/>
        <w:tc>
          <w:tcPr>
            <w:tcW w:w="645" w:type="dxa"/>
            <w:tcBorders/>
            <w:shd w:fill="auto" w:val="clear"/>
            <w:vAlign w:val="center"/>
          </w:tcPr>
          <w:p>
            <w:pPr>
              <w:pStyle w:val="TableContents"/>
              <w:spacing w:before="0" w:after="283"/>
              <w:rPr>
                <w:sz w:val="4"/>
                <w:szCs w:val="4"/>
              </w:rPr>
            </w:pPr>
            <w:r>
              <w:rPr>
                <w:sz w:val="4"/>
                <w:szCs w:val="4"/>
              </w:rPr>
            </w:r>
          </w:p>
        </w:tc>
        <w:tc>
          <w:tcPr>
            <w:tcW w:w="9560" w:type="dxa"/>
            <w:gridSpan w:val="2"/>
            <w:tcBorders/>
            <w:shd w:fill="auto" w:val="clear"/>
            <w:vAlign w:val="center"/>
          </w:tcPr>
          <w:p>
            <w:pPr>
              <w:pStyle w:val="TableContents"/>
              <w:spacing w:before="0" w:after="283"/>
              <w:rPr>
                <w:sz w:val="4"/>
                <w:szCs w:val="4"/>
              </w:rPr>
            </w:pPr>
            <w:r>
              <w:rPr>
                <w:sz w:val="4"/>
                <w:szCs w:val="4"/>
              </w:rPr>
            </w:r>
          </w:p>
        </w:tc>
      </w:tr>
      <w:tr>
        <w:trPr/>
        <w:tc>
          <w:tcPr>
            <w:tcW w:w="645" w:type="dxa"/>
            <w:tcBorders/>
            <w:shd w:fill="auto" w:val="clear"/>
            <w:vAlign w:val="center"/>
          </w:tcPr>
          <w:p>
            <w:pPr>
              <w:pStyle w:val="TableContents"/>
              <w:spacing w:before="0" w:after="283"/>
              <w:rPr/>
            </w:pPr>
            <w:r>
              <w:rPr/>
              <w:t>  </w:t>
            </w:r>
            <w:r>
              <w:rPr/>
              <w:t>1.3</w:t>
            </w:r>
          </w:p>
        </w:tc>
        <w:tc>
          <w:tcPr>
            <w:tcW w:w="120" w:type="dxa"/>
            <w:tcBorders/>
            <w:shd w:fill="auto" w:val="clear"/>
            <w:vAlign w:val="center"/>
          </w:tcPr>
          <w:p>
            <w:pPr>
              <w:pStyle w:val="TableContents"/>
              <w:spacing w:before="0" w:after="283"/>
              <w:rPr/>
            </w:pPr>
            <w:r>
              <w:rPr/>
              <w:t>  </w:t>
            </w:r>
          </w:p>
        </w:tc>
        <w:tc>
          <w:tcPr>
            <w:tcW w:w="9440" w:type="dxa"/>
            <w:tcBorders/>
            <w:shd w:fill="auto" w:val="clear"/>
            <w:vAlign w:val="center"/>
          </w:tcPr>
          <w:p>
            <w:pPr>
              <w:pStyle w:val="TableContents"/>
              <w:spacing w:before="0" w:after="0"/>
              <w:jc w:val="both"/>
              <w:rPr/>
            </w:pPr>
            <w:hyperlink r:id="rId6">
              <w:r>
                <w:rPr>
                  <w:rStyle w:val="InternetLink"/>
                  <w:rFonts w:ascii="Times New Roman" w:hAnsi="Times New Roman"/>
                  <w:sz w:val="20"/>
                </w:rPr>
                <w:t xml:space="preserve">Rules of Procedure of the Supervisory Board of Mynaric AG (incorporated by reference to Exhibit 3.3 to the Company’s Registration Statement on Form F-1 (File No. 333-260357) filed with the SEC on October 29, 2021) </w:t>
              </w:r>
            </w:hyperlink>
          </w:p>
        </w:tc>
      </w:tr>
      <w:tr>
        <w:trPr/>
        <w:tc>
          <w:tcPr>
            <w:tcW w:w="645" w:type="dxa"/>
            <w:tcBorders/>
            <w:shd w:fill="auto" w:val="clear"/>
            <w:vAlign w:val="center"/>
          </w:tcPr>
          <w:p>
            <w:pPr>
              <w:pStyle w:val="TableContents"/>
              <w:spacing w:before="0" w:after="283"/>
              <w:rPr>
                <w:sz w:val="4"/>
                <w:szCs w:val="4"/>
              </w:rPr>
            </w:pPr>
            <w:r>
              <w:rPr>
                <w:sz w:val="4"/>
                <w:szCs w:val="4"/>
              </w:rPr>
            </w:r>
          </w:p>
        </w:tc>
        <w:tc>
          <w:tcPr>
            <w:tcW w:w="9560" w:type="dxa"/>
            <w:gridSpan w:val="2"/>
            <w:tcBorders/>
            <w:shd w:fill="auto" w:val="clear"/>
            <w:vAlign w:val="center"/>
          </w:tcPr>
          <w:p>
            <w:pPr>
              <w:pStyle w:val="TableContents"/>
              <w:spacing w:before="0" w:after="283"/>
              <w:rPr>
                <w:sz w:val="4"/>
                <w:szCs w:val="4"/>
              </w:rPr>
            </w:pPr>
            <w:r>
              <w:rPr>
                <w:sz w:val="4"/>
                <w:szCs w:val="4"/>
              </w:rPr>
            </w:r>
          </w:p>
        </w:tc>
      </w:tr>
      <w:tr>
        <w:trPr/>
        <w:tc>
          <w:tcPr>
            <w:tcW w:w="645" w:type="dxa"/>
            <w:tcBorders/>
            <w:shd w:fill="auto" w:val="clear"/>
            <w:vAlign w:val="center"/>
          </w:tcPr>
          <w:p>
            <w:pPr>
              <w:pStyle w:val="TableContents"/>
              <w:spacing w:before="0" w:after="283"/>
              <w:rPr/>
            </w:pPr>
            <w:r>
              <w:rPr/>
              <w:t>  </w:t>
            </w:r>
            <w:r>
              <w:rPr/>
              <w:t>2.1</w:t>
            </w:r>
          </w:p>
        </w:tc>
        <w:tc>
          <w:tcPr>
            <w:tcW w:w="120" w:type="dxa"/>
            <w:tcBorders/>
            <w:shd w:fill="auto" w:val="clear"/>
            <w:vAlign w:val="center"/>
          </w:tcPr>
          <w:p>
            <w:pPr>
              <w:pStyle w:val="TableContents"/>
              <w:spacing w:before="0" w:after="283"/>
              <w:rPr/>
            </w:pPr>
            <w:r>
              <w:rPr/>
              <w:t>  </w:t>
            </w:r>
          </w:p>
        </w:tc>
        <w:tc>
          <w:tcPr>
            <w:tcW w:w="9440" w:type="dxa"/>
            <w:tcBorders/>
            <w:shd w:fill="auto" w:val="clear"/>
            <w:vAlign w:val="center"/>
          </w:tcPr>
          <w:p>
            <w:pPr>
              <w:pStyle w:val="TableContents"/>
              <w:spacing w:before="0" w:after="0"/>
              <w:jc w:val="both"/>
              <w:rPr/>
            </w:pPr>
            <w:hyperlink r:id="rId7">
              <w:r>
                <w:rPr>
                  <w:rStyle w:val="InternetLink"/>
                  <w:rFonts w:ascii="Times New Roman" w:hAnsi="Times New Roman"/>
                  <w:sz w:val="20"/>
                </w:rPr>
                <w:t xml:space="preserve">Form of Deposit Agreement between the registrant, the depositary and holders and beneficial owners of American Depositary Shares issued thereunder (incorporated by reference to Exhibit 4.1 to the Company’s Registration Statement on Form F-1 (File No. 333-260357) filed with the SEC on November 3, 2021) </w:t>
              </w:r>
            </w:hyperlink>
          </w:p>
        </w:tc>
      </w:tr>
      <w:tr>
        <w:trPr/>
        <w:tc>
          <w:tcPr>
            <w:tcW w:w="645" w:type="dxa"/>
            <w:tcBorders/>
            <w:shd w:fill="auto" w:val="clear"/>
            <w:vAlign w:val="center"/>
          </w:tcPr>
          <w:p>
            <w:pPr>
              <w:pStyle w:val="TableContents"/>
              <w:spacing w:before="0" w:after="283"/>
              <w:rPr>
                <w:sz w:val="4"/>
                <w:szCs w:val="4"/>
              </w:rPr>
            </w:pPr>
            <w:r>
              <w:rPr>
                <w:sz w:val="4"/>
                <w:szCs w:val="4"/>
              </w:rPr>
            </w:r>
          </w:p>
        </w:tc>
        <w:tc>
          <w:tcPr>
            <w:tcW w:w="9560" w:type="dxa"/>
            <w:gridSpan w:val="2"/>
            <w:tcBorders/>
            <w:shd w:fill="auto" w:val="clear"/>
            <w:vAlign w:val="center"/>
          </w:tcPr>
          <w:p>
            <w:pPr>
              <w:pStyle w:val="TableContents"/>
              <w:spacing w:before="0" w:after="283"/>
              <w:rPr>
                <w:sz w:val="4"/>
                <w:szCs w:val="4"/>
              </w:rPr>
            </w:pPr>
            <w:r>
              <w:rPr>
                <w:sz w:val="4"/>
                <w:szCs w:val="4"/>
              </w:rPr>
            </w:r>
          </w:p>
        </w:tc>
      </w:tr>
      <w:tr>
        <w:trPr/>
        <w:tc>
          <w:tcPr>
            <w:tcW w:w="645" w:type="dxa"/>
            <w:tcBorders/>
            <w:shd w:fill="auto" w:val="clear"/>
            <w:vAlign w:val="center"/>
          </w:tcPr>
          <w:p>
            <w:pPr>
              <w:pStyle w:val="TableContents"/>
              <w:spacing w:before="0" w:after="283"/>
              <w:rPr/>
            </w:pPr>
            <w:r>
              <w:rPr/>
              <w:t>  </w:t>
            </w:r>
            <w:r>
              <w:rPr/>
              <w:t>2.2</w:t>
            </w:r>
          </w:p>
        </w:tc>
        <w:tc>
          <w:tcPr>
            <w:tcW w:w="120" w:type="dxa"/>
            <w:tcBorders/>
            <w:shd w:fill="auto" w:val="clear"/>
            <w:vAlign w:val="center"/>
          </w:tcPr>
          <w:p>
            <w:pPr>
              <w:pStyle w:val="TableContents"/>
              <w:spacing w:before="0" w:after="283"/>
              <w:rPr/>
            </w:pPr>
            <w:r>
              <w:rPr/>
              <w:t>  </w:t>
            </w:r>
          </w:p>
        </w:tc>
        <w:tc>
          <w:tcPr>
            <w:tcW w:w="9440" w:type="dxa"/>
            <w:tcBorders/>
            <w:shd w:fill="auto" w:val="clear"/>
            <w:vAlign w:val="center"/>
          </w:tcPr>
          <w:p>
            <w:pPr>
              <w:pStyle w:val="TableContents"/>
              <w:spacing w:before="0" w:after="0"/>
              <w:jc w:val="both"/>
              <w:rPr/>
            </w:pPr>
            <w:hyperlink r:id="rId8">
              <w:r>
                <w:rPr>
                  <w:rStyle w:val="InternetLink"/>
                  <w:rFonts w:ascii="Times New Roman" w:hAnsi="Times New Roman"/>
                  <w:sz w:val="20"/>
                </w:rPr>
                <w:t xml:space="preserve">Form of American Depositary Receipt evidencing American Depositary Shares (incorporated by reference to Exhibit 4.1 to the Company’s Registration Statement on Form F-1 (File No. 333-260357) filed with the SEC on November 3, 2021) </w:t>
              </w:r>
            </w:hyperlink>
          </w:p>
        </w:tc>
      </w:tr>
      <w:tr>
        <w:trPr/>
        <w:tc>
          <w:tcPr>
            <w:tcW w:w="645" w:type="dxa"/>
            <w:tcBorders/>
            <w:shd w:fill="auto" w:val="clear"/>
            <w:vAlign w:val="center"/>
          </w:tcPr>
          <w:p>
            <w:pPr>
              <w:pStyle w:val="TableContents"/>
              <w:spacing w:before="0" w:after="283"/>
              <w:rPr>
                <w:sz w:val="4"/>
                <w:szCs w:val="4"/>
              </w:rPr>
            </w:pPr>
            <w:r>
              <w:rPr>
                <w:sz w:val="4"/>
                <w:szCs w:val="4"/>
              </w:rPr>
            </w:r>
          </w:p>
        </w:tc>
        <w:tc>
          <w:tcPr>
            <w:tcW w:w="9560" w:type="dxa"/>
            <w:gridSpan w:val="2"/>
            <w:tcBorders/>
            <w:shd w:fill="auto" w:val="clear"/>
            <w:vAlign w:val="center"/>
          </w:tcPr>
          <w:p>
            <w:pPr>
              <w:pStyle w:val="TableContents"/>
              <w:spacing w:before="0" w:after="283"/>
              <w:rPr>
                <w:sz w:val="4"/>
                <w:szCs w:val="4"/>
              </w:rPr>
            </w:pPr>
            <w:r>
              <w:rPr>
                <w:sz w:val="4"/>
                <w:szCs w:val="4"/>
              </w:rPr>
            </w:r>
          </w:p>
        </w:tc>
      </w:tr>
      <w:tr>
        <w:trPr/>
        <w:tc>
          <w:tcPr>
            <w:tcW w:w="645" w:type="dxa"/>
            <w:tcBorders/>
            <w:shd w:fill="auto" w:val="clear"/>
            <w:vAlign w:val="center"/>
          </w:tcPr>
          <w:p>
            <w:pPr>
              <w:pStyle w:val="TableContents"/>
              <w:spacing w:before="0" w:after="283"/>
              <w:rPr/>
            </w:pPr>
            <w:r>
              <w:rPr/>
              <w:t>  </w:t>
            </w:r>
            <w:r>
              <w:rPr/>
              <w:t>2.3*</w:t>
            </w:r>
          </w:p>
        </w:tc>
        <w:tc>
          <w:tcPr>
            <w:tcW w:w="120" w:type="dxa"/>
            <w:tcBorders/>
            <w:shd w:fill="auto" w:val="clear"/>
            <w:vAlign w:val="center"/>
          </w:tcPr>
          <w:p>
            <w:pPr>
              <w:pStyle w:val="TableContents"/>
              <w:spacing w:before="0" w:after="283"/>
              <w:rPr/>
            </w:pPr>
            <w:r>
              <w:rPr/>
              <w:t>  </w:t>
            </w:r>
          </w:p>
        </w:tc>
        <w:tc>
          <w:tcPr>
            <w:tcW w:w="9440" w:type="dxa"/>
            <w:tcBorders/>
            <w:shd w:fill="auto" w:val="clear"/>
            <w:vAlign w:val="center"/>
          </w:tcPr>
          <w:p>
            <w:pPr>
              <w:pStyle w:val="TableContents"/>
              <w:spacing w:before="0" w:after="0"/>
              <w:jc w:val="both"/>
              <w:rPr/>
            </w:pPr>
            <w:hyperlink w:anchor="d497326dex23.htm">
              <w:r>
                <w:rPr>
                  <w:rStyle w:val="InternetLink"/>
                  <w:rFonts w:ascii="Times New Roman" w:hAnsi="Times New Roman"/>
                  <w:sz w:val="20"/>
                </w:rPr>
                <w:t xml:space="preserve">Description of Securities </w:t>
              </w:r>
            </w:hyperlink>
          </w:p>
        </w:tc>
      </w:tr>
      <w:tr>
        <w:trPr/>
        <w:tc>
          <w:tcPr>
            <w:tcW w:w="645" w:type="dxa"/>
            <w:tcBorders/>
            <w:shd w:fill="auto" w:val="clear"/>
            <w:vAlign w:val="center"/>
          </w:tcPr>
          <w:p>
            <w:pPr>
              <w:pStyle w:val="TableContents"/>
              <w:spacing w:before="0" w:after="283"/>
              <w:rPr>
                <w:sz w:val="4"/>
                <w:szCs w:val="4"/>
              </w:rPr>
            </w:pPr>
            <w:r>
              <w:rPr>
                <w:sz w:val="4"/>
                <w:szCs w:val="4"/>
              </w:rPr>
            </w:r>
          </w:p>
        </w:tc>
        <w:tc>
          <w:tcPr>
            <w:tcW w:w="9560" w:type="dxa"/>
            <w:gridSpan w:val="2"/>
            <w:tcBorders/>
            <w:shd w:fill="auto" w:val="clear"/>
            <w:vAlign w:val="center"/>
          </w:tcPr>
          <w:p>
            <w:pPr>
              <w:pStyle w:val="TableContents"/>
              <w:spacing w:before="0" w:after="283"/>
              <w:rPr>
                <w:sz w:val="4"/>
                <w:szCs w:val="4"/>
              </w:rPr>
            </w:pPr>
            <w:r>
              <w:rPr>
                <w:sz w:val="4"/>
                <w:szCs w:val="4"/>
              </w:rPr>
            </w:r>
          </w:p>
        </w:tc>
      </w:tr>
      <w:tr>
        <w:trPr/>
        <w:tc>
          <w:tcPr>
            <w:tcW w:w="645" w:type="dxa"/>
            <w:tcBorders/>
            <w:shd w:fill="auto" w:val="clear"/>
            <w:vAlign w:val="center"/>
          </w:tcPr>
          <w:p>
            <w:pPr>
              <w:pStyle w:val="TableContents"/>
              <w:spacing w:before="0" w:after="283"/>
              <w:rPr/>
            </w:pPr>
            <w:r>
              <w:rPr/>
              <w:t>  </w:t>
            </w:r>
            <w:r>
              <w:rPr/>
              <w:t>4.1</w:t>
            </w:r>
          </w:p>
        </w:tc>
        <w:tc>
          <w:tcPr>
            <w:tcW w:w="120" w:type="dxa"/>
            <w:tcBorders/>
            <w:shd w:fill="auto" w:val="clear"/>
            <w:vAlign w:val="center"/>
          </w:tcPr>
          <w:p>
            <w:pPr>
              <w:pStyle w:val="TableContents"/>
              <w:spacing w:before="0" w:after="283"/>
              <w:rPr/>
            </w:pPr>
            <w:r>
              <w:rPr/>
              <w:t>  </w:t>
            </w:r>
          </w:p>
        </w:tc>
        <w:tc>
          <w:tcPr>
            <w:tcW w:w="9440" w:type="dxa"/>
            <w:tcBorders/>
            <w:shd w:fill="auto" w:val="clear"/>
            <w:vAlign w:val="center"/>
          </w:tcPr>
          <w:p>
            <w:pPr>
              <w:pStyle w:val="TableContents"/>
              <w:spacing w:before="0" w:after="0"/>
              <w:jc w:val="both"/>
              <w:rPr/>
            </w:pPr>
            <w:hyperlink r:id="rId9">
              <w:r>
                <w:rPr>
                  <w:rStyle w:val="InternetLink"/>
                  <w:rFonts w:ascii="Times New Roman" w:hAnsi="Times New Roman"/>
                  <w:sz w:val="20"/>
                </w:rPr>
                <w:t xml:space="preserve">Mynaric AG, Stock Option Program 2019 (incorporated by reference to Exhibit 10.1 to the Company’s Registration Statement on Form F-1 (File No. 333-260357) filed with the SEC on October 19, 2021) </w:t>
              </w:r>
            </w:hyperlink>
          </w:p>
        </w:tc>
      </w:tr>
      <w:tr>
        <w:trPr/>
        <w:tc>
          <w:tcPr>
            <w:tcW w:w="645" w:type="dxa"/>
            <w:tcBorders/>
            <w:shd w:fill="auto" w:val="clear"/>
            <w:vAlign w:val="center"/>
          </w:tcPr>
          <w:p>
            <w:pPr>
              <w:pStyle w:val="TableContents"/>
              <w:spacing w:before="0" w:after="283"/>
              <w:rPr>
                <w:sz w:val="4"/>
                <w:szCs w:val="4"/>
              </w:rPr>
            </w:pPr>
            <w:r>
              <w:rPr>
                <w:sz w:val="4"/>
                <w:szCs w:val="4"/>
              </w:rPr>
            </w:r>
          </w:p>
        </w:tc>
        <w:tc>
          <w:tcPr>
            <w:tcW w:w="9560" w:type="dxa"/>
            <w:gridSpan w:val="2"/>
            <w:tcBorders/>
            <w:shd w:fill="auto" w:val="clear"/>
            <w:vAlign w:val="center"/>
          </w:tcPr>
          <w:p>
            <w:pPr>
              <w:pStyle w:val="TableContents"/>
              <w:spacing w:before="0" w:after="283"/>
              <w:rPr>
                <w:sz w:val="4"/>
                <w:szCs w:val="4"/>
              </w:rPr>
            </w:pPr>
            <w:r>
              <w:rPr>
                <w:sz w:val="4"/>
                <w:szCs w:val="4"/>
              </w:rPr>
            </w:r>
          </w:p>
        </w:tc>
      </w:tr>
      <w:tr>
        <w:trPr/>
        <w:tc>
          <w:tcPr>
            <w:tcW w:w="645" w:type="dxa"/>
            <w:tcBorders/>
            <w:shd w:fill="auto" w:val="clear"/>
            <w:vAlign w:val="center"/>
          </w:tcPr>
          <w:p>
            <w:pPr>
              <w:pStyle w:val="TableContents"/>
              <w:spacing w:before="0" w:after="283"/>
              <w:rPr/>
            </w:pPr>
            <w:r>
              <w:rPr/>
              <w:t>  </w:t>
            </w:r>
            <w:r>
              <w:rPr/>
              <w:t>4.2</w:t>
            </w:r>
          </w:p>
        </w:tc>
        <w:tc>
          <w:tcPr>
            <w:tcW w:w="120" w:type="dxa"/>
            <w:tcBorders/>
            <w:shd w:fill="auto" w:val="clear"/>
            <w:vAlign w:val="center"/>
          </w:tcPr>
          <w:p>
            <w:pPr>
              <w:pStyle w:val="TableContents"/>
              <w:spacing w:before="0" w:after="283"/>
              <w:rPr/>
            </w:pPr>
            <w:r>
              <w:rPr/>
              <w:t>  </w:t>
            </w:r>
          </w:p>
        </w:tc>
        <w:tc>
          <w:tcPr>
            <w:tcW w:w="9440" w:type="dxa"/>
            <w:tcBorders/>
            <w:shd w:fill="auto" w:val="clear"/>
            <w:vAlign w:val="center"/>
          </w:tcPr>
          <w:p>
            <w:pPr>
              <w:pStyle w:val="TableContents"/>
              <w:spacing w:before="0" w:after="0"/>
              <w:jc w:val="both"/>
              <w:rPr/>
            </w:pPr>
            <w:hyperlink r:id="rId10">
              <w:r>
                <w:rPr>
                  <w:rStyle w:val="InternetLink"/>
                  <w:rFonts w:ascii="Times New Roman" w:hAnsi="Times New Roman"/>
                  <w:sz w:val="20"/>
                </w:rPr>
                <w:t xml:space="preserve">Mynaric AG, Stock Option Program 2020 (incorporated by reference to Exhibit 10.2 to the Company’s Registration Statement on Form F-1 (File No. 333-260357) filed with the SEC on October 19, 2021) </w:t>
              </w:r>
            </w:hyperlink>
          </w:p>
        </w:tc>
      </w:tr>
      <w:tr>
        <w:trPr/>
        <w:tc>
          <w:tcPr>
            <w:tcW w:w="645" w:type="dxa"/>
            <w:tcBorders/>
            <w:shd w:fill="auto" w:val="clear"/>
            <w:vAlign w:val="center"/>
          </w:tcPr>
          <w:p>
            <w:pPr>
              <w:pStyle w:val="TableContents"/>
              <w:spacing w:before="0" w:after="283"/>
              <w:rPr>
                <w:sz w:val="4"/>
                <w:szCs w:val="4"/>
              </w:rPr>
            </w:pPr>
            <w:r>
              <w:rPr>
                <w:sz w:val="4"/>
                <w:szCs w:val="4"/>
              </w:rPr>
            </w:r>
          </w:p>
        </w:tc>
        <w:tc>
          <w:tcPr>
            <w:tcW w:w="9560" w:type="dxa"/>
            <w:gridSpan w:val="2"/>
            <w:tcBorders/>
            <w:shd w:fill="auto" w:val="clear"/>
            <w:vAlign w:val="center"/>
          </w:tcPr>
          <w:p>
            <w:pPr>
              <w:pStyle w:val="TableContents"/>
              <w:spacing w:before="0" w:after="283"/>
              <w:rPr>
                <w:sz w:val="4"/>
                <w:szCs w:val="4"/>
              </w:rPr>
            </w:pPr>
            <w:r>
              <w:rPr>
                <w:sz w:val="4"/>
                <w:szCs w:val="4"/>
              </w:rPr>
            </w:r>
          </w:p>
        </w:tc>
      </w:tr>
      <w:tr>
        <w:trPr/>
        <w:tc>
          <w:tcPr>
            <w:tcW w:w="645" w:type="dxa"/>
            <w:tcBorders/>
            <w:shd w:fill="auto" w:val="clear"/>
            <w:vAlign w:val="center"/>
          </w:tcPr>
          <w:p>
            <w:pPr>
              <w:pStyle w:val="TableContents"/>
              <w:spacing w:before="0" w:after="283"/>
              <w:rPr/>
            </w:pPr>
            <w:r>
              <w:rPr/>
              <w:t>  </w:t>
            </w:r>
            <w:r>
              <w:rPr/>
              <w:t>4.3</w:t>
            </w:r>
          </w:p>
        </w:tc>
        <w:tc>
          <w:tcPr>
            <w:tcW w:w="120" w:type="dxa"/>
            <w:tcBorders/>
            <w:shd w:fill="auto" w:val="clear"/>
            <w:vAlign w:val="center"/>
          </w:tcPr>
          <w:p>
            <w:pPr>
              <w:pStyle w:val="TableContents"/>
              <w:spacing w:before="0" w:after="283"/>
              <w:rPr/>
            </w:pPr>
            <w:r>
              <w:rPr/>
              <w:t>  </w:t>
            </w:r>
          </w:p>
        </w:tc>
        <w:tc>
          <w:tcPr>
            <w:tcW w:w="9440" w:type="dxa"/>
            <w:tcBorders/>
            <w:shd w:fill="auto" w:val="clear"/>
            <w:vAlign w:val="center"/>
          </w:tcPr>
          <w:p>
            <w:pPr>
              <w:pStyle w:val="TableContents"/>
              <w:spacing w:before="0" w:after="0"/>
              <w:jc w:val="both"/>
              <w:rPr/>
            </w:pPr>
            <w:hyperlink r:id="rId11">
              <w:r>
                <w:rPr>
                  <w:rStyle w:val="InternetLink"/>
                  <w:rFonts w:ascii="Times New Roman" w:hAnsi="Times New Roman"/>
                  <w:sz w:val="20"/>
                </w:rPr>
                <w:t xml:space="preserve">Mynaric AG, Stock Option Program 2021 (incorporated by reference to Exhibit 10.3 to the Company’s Registration Statement on Form F-1 (File No. 333-260357) filed with the SEC on October 19, 2021) </w:t>
              </w:r>
            </w:hyperlink>
          </w:p>
        </w:tc>
      </w:tr>
      <w:tr>
        <w:trPr/>
        <w:tc>
          <w:tcPr>
            <w:tcW w:w="645" w:type="dxa"/>
            <w:tcBorders/>
            <w:shd w:fill="auto" w:val="clear"/>
            <w:vAlign w:val="center"/>
          </w:tcPr>
          <w:p>
            <w:pPr>
              <w:pStyle w:val="TableContents"/>
              <w:spacing w:before="0" w:after="283"/>
              <w:rPr>
                <w:sz w:val="4"/>
                <w:szCs w:val="4"/>
              </w:rPr>
            </w:pPr>
            <w:r>
              <w:rPr>
                <w:sz w:val="4"/>
                <w:szCs w:val="4"/>
              </w:rPr>
            </w:r>
          </w:p>
        </w:tc>
        <w:tc>
          <w:tcPr>
            <w:tcW w:w="9560" w:type="dxa"/>
            <w:gridSpan w:val="2"/>
            <w:tcBorders/>
            <w:shd w:fill="auto" w:val="clear"/>
            <w:vAlign w:val="center"/>
          </w:tcPr>
          <w:p>
            <w:pPr>
              <w:pStyle w:val="TableContents"/>
              <w:spacing w:before="0" w:after="283"/>
              <w:rPr>
                <w:sz w:val="4"/>
                <w:szCs w:val="4"/>
              </w:rPr>
            </w:pPr>
            <w:r>
              <w:rPr>
                <w:sz w:val="4"/>
                <w:szCs w:val="4"/>
              </w:rPr>
            </w:r>
          </w:p>
        </w:tc>
      </w:tr>
      <w:tr>
        <w:trPr/>
        <w:tc>
          <w:tcPr>
            <w:tcW w:w="645" w:type="dxa"/>
            <w:tcBorders/>
            <w:shd w:fill="auto" w:val="clear"/>
            <w:vAlign w:val="center"/>
          </w:tcPr>
          <w:p>
            <w:pPr>
              <w:pStyle w:val="TableContents"/>
              <w:spacing w:before="0" w:after="283"/>
              <w:rPr/>
            </w:pPr>
            <w:r>
              <w:rPr/>
              <w:t>  </w:t>
            </w:r>
            <w:r>
              <w:rPr/>
              <w:t>4.4</w:t>
            </w:r>
          </w:p>
        </w:tc>
        <w:tc>
          <w:tcPr>
            <w:tcW w:w="120" w:type="dxa"/>
            <w:tcBorders/>
            <w:shd w:fill="auto" w:val="clear"/>
            <w:vAlign w:val="center"/>
          </w:tcPr>
          <w:p>
            <w:pPr>
              <w:pStyle w:val="TableContents"/>
              <w:spacing w:before="0" w:after="283"/>
              <w:rPr/>
            </w:pPr>
            <w:r>
              <w:rPr/>
              <w:t>  </w:t>
            </w:r>
          </w:p>
        </w:tc>
        <w:tc>
          <w:tcPr>
            <w:tcW w:w="9440" w:type="dxa"/>
            <w:tcBorders/>
            <w:shd w:fill="auto" w:val="clear"/>
            <w:vAlign w:val="center"/>
          </w:tcPr>
          <w:p>
            <w:pPr>
              <w:pStyle w:val="TableContents"/>
              <w:spacing w:before="0" w:after="0"/>
              <w:jc w:val="both"/>
              <w:rPr/>
            </w:pPr>
            <w:hyperlink r:id="rId12">
              <w:r>
                <w:rPr>
                  <w:rStyle w:val="InternetLink"/>
                  <w:rFonts w:ascii="Times New Roman" w:hAnsi="Times New Roman"/>
                  <w:sz w:val="20"/>
                </w:rPr>
                <w:t xml:space="preserve">Mynaric AG, Restricted Stock Units Program 2021 (incorporated by reference to Exhibit 10.4 to the Company’s Registration Statement on Form F-1 (File No. 333-260357) filed with the SEC on October 19, 2021) </w:t>
              </w:r>
            </w:hyperlink>
          </w:p>
        </w:tc>
      </w:tr>
      <w:tr>
        <w:trPr/>
        <w:tc>
          <w:tcPr>
            <w:tcW w:w="645" w:type="dxa"/>
            <w:tcBorders/>
            <w:shd w:fill="auto" w:val="clear"/>
            <w:vAlign w:val="center"/>
          </w:tcPr>
          <w:p>
            <w:pPr>
              <w:pStyle w:val="TableContents"/>
              <w:spacing w:before="0" w:after="283"/>
              <w:rPr>
                <w:sz w:val="4"/>
                <w:szCs w:val="4"/>
              </w:rPr>
            </w:pPr>
            <w:r>
              <w:rPr>
                <w:sz w:val="4"/>
                <w:szCs w:val="4"/>
              </w:rPr>
            </w:r>
          </w:p>
        </w:tc>
        <w:tc>
          <w:tcPr>
            <w:tcW w:w="9560" w:type="dxa"/>
            <w:gridSpan w:val="2"/>
            <w:tcBorders/>
            <w:shd w:fill="auto" w:val="clear"/>
            <w:vAlign w:val="center"/>
          </w:tcPr>
          <w:p>
            <w:pPr>
              <w:pStyle w:val="TableContents"/>
              <w:spacing w:before="0" w:after="283"/>
              <w:rPr>
                <w:sz w:val="4"/>
                <w:szCs w:val="4"/>
              </w:rPr>
            </w:pPr>
            <w:r>
              <w:rPr>
                <w:sz w:val="4"/>
                <w:szCs w:val="4"/>
              </w:rPr>
            </w:r>
          </w:p>
        </w:tc>
      </w:tr>
      <w:tr>
        <w:trPr/>
        <w:tc>
          <w:tcPr>
            <w:tcW w:w="645" w:type="dxa"/>
            <w:tcBorders/>
            <w:shd w:fill="auto" w:val="clear"/>
            <w:vAlign w:val="center"/>
          </w:tcPr>
          <w:p>
            <w:pPr>
              <w:pStyle w:val="TableContents"/>
              <w:spacing w:before="0" w:after="283"/>
              <w:rPr/>
            </w:pPr>
            <w:r>
              <w:rPr/>
              <w:t>  </w:t>
            </w:r>
            <w:r>
              <w:rPr/>
              <w:t>4.5*</w:t>
            </w:r>
          </w:p>
        </w:tc>
        <w:tc>
          <w:tcPr>
            <w:tcW w:w="120" w:type="dxa"/>
            <w:tcBorders/>
            <w:shd w:fill="auto" w:val="clear"/>
            <w:vAlign w:val="center"/>
          </w:tcPr>
          <w:p>
            <w:pPr>
              <w:pStyle w:val="TableContents"/>
              <w:spacing w:before="0" w:after="283"/>
              <w:rPr/>
            </w:pPr>
            <w:r>
              <w:rPr/>
              <w:t>  </w:t>
            </w:r>
          </w:p>
        </w:tc>
        <w:tc>
          <w:tcPr>
            <w:tcW w:w="9440" w:type="dxa"/>
            <w:tcBorders/>
            <w:shd w:fill="auto" w:val="clear"/>
            <w:vAlign w:val="center"/>
          </w:tcPr>
          <w:p>
            <w:pPr>
              <w:pStyle w:val="TableContents"/>
              <w:spacing w:before="0" w:after="0"/>
              <w:jc w:val="both"/>
              <w:rPr/>
            </w:pPr>
            <w:hyperlink w:anchor="d497326dex45.htm">
              <w:r>
                <w:rPr>
                  <w:rStyle w:val="InternetLink"/>
                  <w:rFonts w:ascii="Times New Roman" w:hAnsi="Times New Roman"/>
                  <w:sz w:val="20"/>
                </w:rPr>
                <w:t xml:space="preserve">Mynaric AG, Stock Option Program 2022 </w:t>
              </w:r>
            </w:hyperlink>
          </w:p>
        </w:tc>
      </w:tr>
      <w:tr>
        <w:trPr/>
        <w:tc>
          <w:tcPr>
            <w:tcW w:w="645" w:type="dxa"/>
            <w:tcBorders/>
            <w:shd w:fill="auto" w:val="clear"/>
            <w:vAlign w:val="center"/>
          </w:tcPr>
          <w:p>
            <w:pPr>
              <w:pStyle w:val="TableContents"/>
              <w:spacing w:before="0" w:after="283"/>
              <w:rPr>
                <w:sz w:val="4"/>
                <w:szCs w:val="4"/>
              </w:rPr>
            </w:pPr>
            <w:r>
              <w:rPr>
                <w:sz w:val="4"/>
                <w:szCs w:val="4"/>
              </w:rPr>
            </w:r>
          </w:p>
        </w:tc>
        <w:tc>
          <w:tcPr>
            <w:tcW w:w="9560" w:type="dxa"/>
            <w:gridSpan w:val="2"/>
            <w:tcBorders/>
            <w:shd w:fill="auto" w:val="clear"/>
            <w:vAlign w:val="center"/>
          </w:tcPr>
          <w:p>
            <w:pPr>
              <w:pStyle w:val="TableContents"/>
              <w:spacing w:before="0" w:after="283"/>
              <w:rPr>
                <w:sz w:val="4"/>
                <w:szCs w:val="4"/>
              </w:rPr>
            </w:pPr>
            <w:r>
              <w:rPr>
                <w:sz w:val="4"/>
                <w:szCs w:val="4"/>
              </w:rPr>
            </w:r>
          </w:p>
        </w:tc>
      </w:tr>
      <w:tr>
        <w:trPr/>
        <w:tc>
          <w:tcPr>
            <w:tcW w:w="645" w:type="dxa"/>
            <w:tcBorders/>
            <w:shd w:fill="auto" w:val="clear"/>
            <w:vAlign w:val="center"/>
          </w:tcPr>
          <w:p>
            <w:pPr>
              <w:pStyle w:val="TableContents"/>
              <w:spacing w:before="0" w:after="283"/>
              <w:rPr/>
            </w:pPr>
            <w:r>
              <w:rPr/>
              <w:t>  </w:t>
            </w:r>
            <w:r>
              <w:rPr/>
              <w:t>4.6</w:t>
            </w:r>
          </w:p>
        </w:tc>
        <w:tc>
          <w:tcPr>
            <w:tcW w:w="120" w:type="dxa"/>
            <w:tcBorders/>
            <w:shd w:fill="auto" w:val="clear"/>
            <w:vAlign w:val="center"/>
          </w:tcPr>
          <w:p>
            <w:pPr>
              <w:pStyle w:val="TableContents"/>
              <w:spacing w:before="0" w:after="283"/>
              <w:rPr/>
            </w:pPr>
            <w:r>
              <w:rPr/>
              <w:t>  </w:t>
            </w:r>
          </w:p>
        </w:tc>
        <w:tc>
          <w:tcPr>
            <w:tcW w:w="9440" w:type="dxa"/>
            <w:tcBorders/>
            <w:shd w:fill="auto" w:val="clear"/>
            <w:vAlign w:val="center"/>
          </w:tcPr>
          <w:p>
            <w:pPr>
              <w:pStyle w:val="TableContents"/>
              <w:spacing w:before="0" w:after="0"/>
              <w:jc w:val="both"/>
              <w:rPr/>
            </w:pPr>
            <w:hyperlink r:id="rId13">
              <w:r>
                <w:rPr>
                  <w:rStyle w:val="InternetLink"/>
                  <w:rFonts w:ascii="Times New Roman" w:hAnsi="Times New Roman"/>
                  <w:sz w:val="20"/>
                </w:rPr>
                <w:t xml:space="preserve">Business Opportunity Agreement, dated October 21, 2021 (incorporated by reference to Exhibit 10.5 to the Company’s Registration Statement on Form F-1 (File No. 333-260357) filed with the SEC on November 3, 2021) </w:t>
              </w:r>
            </w:hyperlink>
          </w:p>
        </w:tc>
      </w:tr>
      <w:tr>
        <w:trPr/>
        <w:tc>
          <w:tcPr>
            <w:tcW w:w="645" w:type="dxa"/>
            <w:tcBorders/>
            <w:shd w:fill="auto" w:val="clear"/>
            <w:vAlign w:val="center"/>
          </w:tcPr>
          <w:p>
            <w:pPr>
              <w:pStyle w:val="TableContents"/>
              <w:spacing w:before="0" w:after="283"/>
              <w:rPr>
                <w:sz w:val="4"/>
                <w:szCs w:val="4"/>
              </w:rPr>
            </w:pPr>
            <w:r>
              <w:rPr>
                <w:sz w:val="4"/>
                <w:szCs w:val="4"/>
              </w:rPr>
            </w:r>
          </w:p>
        </w:tc>
        <w:tc>
          <w:tcPr>
            <w:tcW w:w="9560" w:type="dxa"/>
            <w:gridSpan w:val="2"/>
            <w:tcBorders/>
            <w:shd w:fill="auto" w:val="clear"/>
            <w:vAlign w:val="center"/>
          </w:tcPr>
          <w:p>
            <w:pPr>
              <w:pStyle w:val="TableContents"/>
              <w:spacing w:before="0" w:after="283"/>
              <w:rPr>
                <w:sz w:val="4"/>
                <w:szCs w:val="4"/>
              </w:rPr>
            </w:pPr>
            <w:r>
              <w:rPr>
                <w:sz w:val="4"/>
                <w:szCs w:val="4"/>
              </w:rPr>
            </w:r>
          </w:p>
        </w:tc>
      </w:tr>
      <w:tr>
        <w:trPr/>
        <w:tc>
          <w:tcPr>
            <w:tcW w:w="645" w:type="dxa"/>
            <w:tcBorders/>
            <w:shd w:fill="auto" w:val="clear"/>
            <w:vAlign w:val="center"/>
          </w:tcPr>
          <w:p>
            <w:pPr>
              <w:pStyle w:val="TableContents"/>
              <w:spacing w:before="0" w:after="283"/>
              <w:rPr/>
            </w:pPr>
            <w:r>
              <w:rPr/>
              <w:t>  </w:t>
            </w:r>
            <w:r>
              <w:rPr/>
              <w:t>4.7*†</w:t>
            </w:r>
          </w:p>
        </w:tc>
        <w:tc>
          <w:tcPr>
            <w:tcW w:w="120" w:type="dxa"/>
            <w:tcBorders/>
            <w:shd w:fill="auto" w:val="clear"/>
            <w:vAlign w:val="center"/>
          </w:tcPr>
          <w:p>
            <w:pPr>
              <w:pStyle w:val="TableContents"/>
              <w:spacing w:before="0" w:after="283"/>
              <w:rPr/>
            </w:pPr>
            <w:r>
              <w:rPr/>
              <w:t>  </w:t>
            </w:r>
          </w:p>
        </w:tc>
        <w:tc>
          <w:tcPr>
            <w:tcW w:w="9440" w:type="dxa"/>
            <w:tcBorders/>
            <w:shd w:fill="auto" w:val="clear"/>
            <w:vAlign w:val="center"/>
          </w:tcPr>
          <w:p>
            <w:pPr>
              <w:pStyle w:val="TableContents"/>
              <w:spacing w:before="0" w:after="0"/>
              <w:jc w:val="both"/>
              <w:rPr/>
            </w:pPr>
            <w:hyperlink w:anchor="d497326dex47.htm">
              <w:r>
                <w:rPr>
                  <w:rStyle w:val="InternetLink"/>
                  <w:rFonts w:ascii="Times New Roman" w:hAnsi="Times New Roman"/>
                  <w:sz w:val="20"/>
                </w:rPr>
                <w:t xml:space="preserve">Credit Agreement entered into by and between Mynaric USA Inc., Mynaric AG, CO FINANCE II LVS I LLC, CO FINANCE LVS XL LLC and Alter Domus (US) LLC, dated as of April 25, 2023 </w:t>
              </w:r>
            </w:hyperlink>
          </w:p>
        </w:tc>
      </w:tr>
      <w:tr>
        <w:trPr/>
        <w:tc>
          <w:tcPr>
            <w:tcW w:w="645" w:type="dxa"/>
            <w:tcBorders/>
            <w:shd w:fill="auto" w:val="clear"/>
            <w:vAlign w:val="center"/>
          </w:tcPr>
          <w:p>
            <w:pPr>
              <w:pStyle w:val="TableContents"/>
              <w:spacing w:before="0" w:after="283"/>
              <w:rPr>
                <w:sz w:val="4"/>
                <w:szCs w:val="4"/>
              </w:rPr>
            </w:pPr>
            <w:r>
              <w:rPr>
                <w:sz w:val="4"/>
                <w:szCs w:val="4"/>
              </w:rPr>
            </w:r>
          </w:p>
        </w:tc>
        <w:tc>
          <w:tcPr>
            <w:tcW w:w="9560" w:type="dxa"/>
            <w:gridSpan w:val="2"/>
            <w:tcBorders/>
            <w:shd w:fill="auto" w:val="clear"/>
            <w:vAlign w:val="center"/>
          </w:tcPr>
          <w:p>
            <w:pPr>
              <w:pStyle w:val="TableContents"/>
              <w:spacing w:before="0" w:after="283"/>
              <w:rPr>
                <w:sz w:val="4"/>
                <w:szCs w:val="4"/>
              </w:rPr>
            </w:pPr>
            <w:r>
              <w:rPr>
                <w:sz w:val="4"/>
                <w:szCs w:val="4"/>
              </w:rPr>
            </w:r>
          </w:p>
        </w:tc>
      </w:tr>
      <w:tr>
        <w:trPr/>
        <w:tc>
          <w:tcPr>
            <w:tcW w:w="645" w:type="dxa"/>
            <w:tcBorders/>
            <w:shd w:fill="auto" w:val="clear"/>
            <w:vAlign w:val="center"/>
          </w:tcPr>
          <w:p>
            <w:pPr>
              <w:pStyle w:val="TableContents"/>
              <w:spacing w:before="0" w:after="283"/>
              <w:rPr/>
            </w:pPr>
            <w:r>
              <w:rPr/>
              <w:t>  </w:t>
            </w:r>
            <w:r>
              <w:rPr/>
              <w:t>8.1</w:t>
            </w:r>
          </w:p>
        </w:tc>
        <w:tc>
          <w:tcPr>
            <w:tcW w:w="120" w:type="dxa"/>
            <w:tcBorders/>
            <w:shd w:fill="auto" w:val="clear"/>
            <w:vAlign w:val="center"/>
          </w:tcPr>
          <w:p>
            <w:pPr>
              <w:pStyle w:val="TableContents"/>
              <w:spacing w:before="0" w:after="283"/>
              <w:rPr/>
            </w:pPr>
            <w:r>
              <w:rPr/>
              <w:t>  </w:t>
            </w:r>
          </w:p>
        </w:tc>
        <w:tc>
          <w:tcPr>
            <w:tcW w:w="9440" w:type="dxa"/>
            <w:tcBorders/>
            <w:shd w:fill="auto" w:val="clear"/>
            <w:vAlign w:val="center"/>
          </w:tcPr>
          <w:p>
            <w:pPr>
              <w:pStyle w:val="TableContents"/>
              <w:spacing w:before="0" w:after="0"/>
              <w:jc w:val="both"/>
              <w:rPr/>
            </w:pPr>
            <w:hyperlink r:id="rId14">
              <w:r>
                <w:rPr>
                  <w:rStyle w:val="InternetLink"/>
                  <w:rFonts w:ascii="Times New Roman" w:hAnsi="Times New Roman"/>
                  <w:sz w:val="20"/>
                </w:rPr>
                <w:t xml:space="preserve">List of Subsidiaries (incorporated by reference to Exhibit 8.1 to the Company’s Annual Report on Form 20-F (File No. 001-41045) filed with the SEC on May 6, 2022) </w:t>
              </w:r>
            </w:hyperlink>
          </w:p>
        </w:tc>
      </w:tr>
      <w:tr>
        <w:trPr/>
        <w:tc>
          <w:tcPr>
            <w:tcW w:w="645" w:type="dxa"/>
            <w:tcBorders/>
            <w:shd w:fill="auto" w:val="clear"/>
            <w:vAlign w:val="center"/>
          </w:tcPr>
          <w:p>
            <w:pPr>
              <w:pStyle w:val="TableContents"/>
              <w:spacing w:before="0" w:after="283"/>
              <w:rPr>
                <w:sz w:val="4"/>
                <w:szCs w:val="4"/>
              </w:rPr>
            </w:pPr>
            <w:r>
              <w:rPr>
                <w:sz w:val="4"/>
                <w:szCs w:val="4"/>
              </w:rPr>
            </w:r>
          </w:p>
        </w:tc>
        <w:tc>
          <w:tcPr>
            <w:tcW w:w="9560" w:type="dxa"/>
            <w:gridSpan w:val="2"/>
            <w:tcBorders/>
            <w:shd w:fill="auto" w:val="clear"/>
            <w:vAlign w:val="center"/>
          </w:tcPr>
          <w:p>
            <w:pPr>
              <w:pStyle w:val="TableContents"/>
              <w:spacing w:before="0" w:after="283"/>
              <w:rPr>
                <w:sz w:val="4"/>
                <w:szCs w:val="4"/>
              </w:rPr>
            </w:pPr>
            <w:r>
              <w:rPr>
                <w:sz w:val="4"/>
                <w:szCs w:val="4"/>
              </w:rPr>
            </w:r>
          </w:p>
        </w:tc>
      </w:tr>
      <w:tr>
        <w:trPr/>
        <w:tc>
          <w:tcPr>
            <w:tcW w:w="645" w:type="dxa"/>
            <w:tcBorders/>
            <w:shd w:fill="auto" w:val="clear"/>
            <w:vAlign w:val="center"/>
          </w:tcPr>
          <w:p>
            <w:pPr>
              <w:pStyle w:val="TableContents"/>
              <w:spacing w:before="0" w:after="283"/>
              <w:rPr/>
            </w:pPr>
            <w:r>
              <w:rPr/>
              <w:t>12.1*</w:t>
            </w:r>
          </w:p>
        </w:tc>
        <w:tc>
          <w:tcPr>
            <w:tcW w:w="120" w:type="dxa"/>
            <w:tcBorders/>
            <w:shd w:fill="auto" w:val="clear"/>
            <w:vAlign w:val="center"/>
          </w:tcPr>
          <w:p>
            <w:pPr>
              <w:pStyle w:val="TableContents"/>
              <w:spacing w:before="0" w:after="283"/>
              <w:rPr/>
            </w:pPr>
            <w:r>
              <w:rPr/>
              <w:t>  </w:t>
            </w:r>
          </w:p>
        </w:tc>
        <w:tc>
          <w:tcPr>
            <w:tcW w:w="9440" w:type="dxa"/>
            <w:tcBorders/>
            <w:shd w:fill="auto" w:val="clear"/>
            <w:vAlign w:val="center"/>
          </w:tcPr>
          <w:p>
            <w:pPr>
              <w:pStyle w:val="TableContents"/>
              <w:spacing w:before="0" w:after="0"/>
              <w:jc w:val="both"/>
              <w:rPr/>
            </w:pPr>
            <w:hyperlink w:anchor="d497326dex121.htm">
              <w:r>
                <w:rPr>
                  <w:rStyle w:val="InternetLink"/>
                  <w:rFonts w:ascii="Times New Roman" w:hAnsi="Times New Roman"/>
                  <w:sz w:val="20"/>
                </w:rPr>
                <w:t xml:space="preserve">Co-CEO Certification Pursuant to Section 302 of the Sarbanes-Oxley Act of 2002 </w:t>
              </w:r>
            </w:hyperlink>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rPr/>
      </w:pPr>
      <w:r>
        <w:rPr/>
      </w:r>
    </w:p>
    <w:p>
      <w:pPr>
        <w:pStyle w:val="Heading5"/>
        <w:rPr/>
      </w:pPr>
      <w:hyperlink w:anchor="toc">
        <w:r>
          <w:rPr>
            <w:rStyle w:val="InternetLink"/>
          </w:rPr>
          <w:t>Table of Contents</w:t>
        </w:r>
      </w:hyperlink>
    </w:p>
    <w:tbl>
      <w:tblPr>
        <w:tblW w:w="9775" w:type="dxa"/>
        <w:jc w:val="left"/>
        <w:tblInd w:w="0" w:type="dxa"/>
        <w:tblCellMar>
          <w:top w:w="0" w:type="dxa"/>
          <w:left w:w="0" w:type="dxa"/>
          <w:bottom w:w="0" w:type="dxa"/>
          <w:right w:w="0" w:type="dxa"/>
        </w:tblCellMar>
      </w:tblPr>
      <w:tblGrid>
        <w:gridCol w:w="1070"/>
        <w:gridCol w:w="120"/>
        <w:gridCol w:w="8585"/>
      </w:tblGrid>
      <w:tr>
        <w:trPr/>
        <w:tc>
          <w:tcPr>
            <w:tcW w:w="10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585" w:type="dxa"/>
            <w:tcBorders/>
            <w:shd w:fill="auto" w:val="clear"/>
            <w:vAlign w:val="center"/>
          </w:tcPr>
          <w:p>
            <w:pPr>
              <w:pStyle w:val="TableContents"/>
              <w:spacing w:before="0" w:after="283"/>
              <w:rPr>
                <w:sz w:val="4"/>
                <w:szCs w:val="4"/>
              </w:rPr>
            </w:pPr>
            <w:r>
              <w:rPr>
                <w:sz w:val="4"/>
                <w:szCs w:val="4"/>
              </w:rPr>
            </w:r>
          </w:p>
        </w:tc>
      </w:tr>
      <w:tr>
        <w:trPr/>
        <w:tc>
          <w:tcPr>
            <w:tcW w:w="107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Exhibits</w:t>
            </w:r>
          </w:p>
        </w:tc>
        <w:tc>
          <w:tcPr>
            <w:tcW w:w="120" w:type="dxa"/>
            <w:tcBorders/>
            <w:shd w:fill="auto" w:val="clear"/>
            <w:vAlign w:val="center"/>
          </w:tcPr>
          <w:p>
            <w:pPr>
              <w:pStyle w:val="TableContents"/>
              <w:spacing w:before="0" w:after="283"/>
              <w:rPr/>
            </w:pPr>
            <w:r>
              <w:rPr/>
              <w:t>  </w:t>
            </w:r>
          </w:p>
        </w:tc>
        <w:tc>
          <w:tcPr>
            <w:tcW w:w="8585" w:type="dxa"/>
            <w:tcBorders>
              <w:bottom w:val="single" w:sz="8" w:space="0" w:color="000000"/>
            </w:tcBorders>
            <w:shd w:fill="auto" w:val="clear"/>
            <w:tcMar>
              <w:bottom w:w="28" w:type="dxa"/>
            </w:tcMar>
            <w:vAlign w:val="center"/>
          </w:tcPr>
          <w:p>
            <w:pPr>
              <w:pStyle w:val="TableContents"/>
              <w:spacing w:before="0" w:after="20"/>
              <w:rPr>
                <w:rFonts w:ascii="Times New Roman" w:hAnsi="Times New Roman"/>
                <w:b/>
                <w:sz w:val="16"/>
              </w:rPr>
            </w:pPr>
            <w:r>
              <w:rPr>
                <w:rFonts w:ascii="Times New Roman" w:hAnsi="Times New Roman"/>
                <w:b/>
                <w:sz w:val="16"/>
              </w:rPr>
              <w:t>Description</w:t>
            </w:r>
          </w:p>
        </w:tc>
      </w:tr>
      <w:tr>
        <w:trPr/>
        <w:tc>
          <w:tcPr>
            <w:tcW w:w="1070" w:type="dxa"/>
            <w:tcBorders/>
            <w:shd w:fill="auto" w:val="clear"/>
            <w:vAlign w:val="center"/>
          </w:tcPr>
          <w:p>
            <w:pPr>
              <w:pStyle w:val="TableContents"/>
              <w:spacing w:before="0" w:after="283"/>
              <w:rPr>
                <w:sz w:val="4"/>
                <w:szCs w:val="4"/>
              </w:rPr>
            </w:pPr>
            <w:r>
              <w:rPr>
                <w:sz w:val="4"/>
                <w:szCs w:val="4"/>
              </w:rPr>
            </w:r>
          </w:p>
        </w:tc>
        <w:tc>
          <w:tcPr>
            <w:tcW w:w="8705" w:type="dxa"/>
            <w:gridSpan w:val="2"/>
            <w:tcBorders/>
            <w:shd w:fill="auto" w:val="clear"/>
            <w:vAlign w:val="center"/>
          </w:tcPr>
          <w:p>
            <w:pPr>
              <w:pStyle w:val="TableContents"/>
              <w:spacing w:before="0" w:after="283"/>
              <w:rPr>
                <w:sz w:val="4"/>
                <w:szCs w:val="4"/>
              </w:rPr>
            </w:pPr>
            <w:r>
              <w:rPr>
                <w:sz w:val="4"/>
                <w:szCs w:val="4"/>
              </w:rPr>
            </w:r>
          </w:p>
        </w:tc>
      </w:tr>
      <w:tr>
        <w:trPr/>
        <w:tc>
          <w:tcPr>
            <w:tcW w:w="1070" w:type="dxa"/>
            <w:tcBorders/>
            <w:shd w:fill="auto" w:val="clear"/>
            <w:vAlign w:val="center"/>
          </w:tcPr>
          <w:p>
            <w:pPr>
              <w:pStyle w:val="TableContents"/>
              <w:spacing w:before="0" w:after="283"/>
              <w:rPr/>
            </w:pPr>
            <w:r>
              <w:rPr/>
              <w:t>12.2*</w:t>
            </w:r>
          </w:p>
        </w:tc>
        <w:tc>
          <w:tcPr>
            <w:tcW w:w="120" w:type="dxa"/>
            <w:tcBorders/>
            <w:shd w:fill="auto" w:val="clear"/>
            <w:vAlign w:val="center"/>
          </w:tcPr>
          <w:p>
            <w:pPr>
              <w:pStyle w:val="TableContents"/>
              <w:spacing w:before="0" w:after="283"/>
              <w:rPr/>
            </w:pPr>
            <w:r>
              <w:rPr/>
              <w:t>  </w:t>
            </w:r>
          </w:p>
        </w:tc>
        <w:tc>
          <w:tcPr>
            <w:tcW w:w="8585" w:type="dxa"/>
            <w:tcBorders/>
            <w:shd w:fill="auto" w:val="clear"/>
            <w:vAlign w:val="center"/>
          </w:tcPr>
          <w:p>
            <w:pPr>
              <w:pStyle w:val="TableContents"/>
              <w:spacing w:before="0" w:after="0"/>
              <w:jc w:val="both"/>
              <w:rPr/>
            </w:pPr>
            <w:hyperlink w:anchor="d497326dex122.htm">
              <w:r>
                <w:rPr>
                  <w:rStyle w:val="InternetLink"/>
                  <w:rFonts w:ascii="Times New Roman" w:hAnsi="Times New Roman"/>
                  <w:sz w:val="20"/>
                </w:rPr>
                <w:t xml:space="preserve">Co-CEO Certification Pursuant to Section 302 of the Sarbanes-Oxley Act of 2002 </w:t>
              </w:r>
            </w:hyperlink>
          </w:p>
        </w:tc>
      </w:tr>
      <w:tr>
        <w:trPr/>
        <w:tc>
          <w:tcPr>
            <w:tcW w:w="1070" w:type="dxa"/>
            <w:tcBorders/>
            <w:shd w:fill="auto" w:val="clear"/>
            <w:vAlign w:val="center"/>
          </w:tcPr>
          <w:p>
            <w:pPr>
              <w:pStyle w:val="TableContents"/>
              <w:spacing w:before="0" w:after="283"/>
              <w:rPr>
                <w:sz w:val="4"/>
                <w:szCs w:val="4"/>
              </w:rPr>
            </w:pPr>
            <w:r>
              <w:rPr>
                <w:sz w:val="4"/>
                <w:szCs w:val="4"/>
              </w:rPr>
            </w:r>
          </w:p>
        </w:tc>
        <w:tc>
          <w:tcPr>
            <w:tcW w:w="8705" w:type="dxa"/>
            <w:gridSpan w:val="2"/>
            <w:tcBorders/>
            <w:shd w:fill="auto" w:val="clear"/>
            <w:vAlign w:val="center"/>
          </w:tcPr>
          <w:p>
            <w:pPr>
              <w:pStyle w:val="TableContents"/>
              <w:spacing w:before="0" w:after="283"/>
              <w:rPr>
                <w:sz w:val="4"/>
                <w:szCs w:val="4"/>
              </w:rPr>
            </w:pPr>
            <w:r>
              <w:rPr>
                <w:sz w:val="4"/>
                <w:szCs w:val="4"/>
              </w:rPr>
            </w:r>
          </w:p>
        </w:tc>
      </w:tr>
      <w:tr>
        <w:trPr/>
        <w:tc>
          <w:tcPr>
            <w:tcW w:w="1070" w:type="dxa"/>
            <w:tcBorders/>
            <w:shd w:fill="auto" w:val="clear"/>
            <w:vAlign w:val="center"/>
          </w:tcPr>
          <w:p>
            <w:pPr>
              <w:pStyle w:val="TableContents"/>
              <w:spacing w:before="0" w:after="283"/>
              <w:rPr/>
            </w:pPr>
            <w:r>
              <w:rPr/>
              <w:t>12.3*</w:t>
            </w:r>
          </w:p>
        </w:tc>
        <w:tc>
          <w:tcPr>
            <w:tcW w:w="120" w:type="dxa"/>
            <w:tcBorders/>
            <w:shd w:fill="auto" w:val="clear"/>
            <w:vAlign w:val="center"/>
          </w:tcPr>
          <w:p>
            <w:pPr>
              <w:pStyle w:val="TableContents"/>
              <w:spacing w:before="0" w:after="283"/>
              <w:rPr/>
            </w:pPr>
            <w:r>
              <w:rPr/>
              <w:t>  </w:t>
            </w:r>
          </w:p>
        </w:tc>
        <w:tc>
          <w:tcPr>
            <w:tcW w:w="8585" w:type="dxa"/>
            <w:tcBorders/>
            <w:shd w:fill="auto" w:val="clear"/>
            <w:vAlign w:val="center"/>
          </w:tcPr>
          <w:p>
            <w:pPr>
              <w:pStyle w:val="TableContents"/>
              <w:spacing w:before="0" w:after="283"/>
              <w:rPr/>
            </w:pPr>
            <w:hyperlink w:anchor="d497326dex123.htm">
              <w:r>
                <w:rPr>
                  <w:rStyle w:val="InternetLink"/>
                </w:rPr>
                <w:t xml:space="preserve">CFO Certification Pursuant to Section 302 of the Sarbanes-Oxley Act of 2002 </w:t>
              </w:r>
            </w:hyperlink>
          </w:p>
        </w:tc>
      </w:tr>
      <w:tr>
        <w:trPr/>
        <w:tc>
          <w:tcPr>
            <w:tcW w:w="1070" w:type="dxa"/>
            <w:tcBorders/>
            <w:shd w:fill="auto" w:val="clear"/>
            <w:vAlign w:val="center"/>
          </w:tcPr>
          <w:p>
            <w:pPr>
              <w:pStyle w:val="TableContents"/>
              <w:spacing w:before="0" w:after="283"/>
              <w:rPr>
                <w:sz w:val="4"/>
                <w:szCs w:val="4"/>
              </w:rPr>
            </w:pPr>
            <w:r>
              <w:rPr>
                <w:sz w:val="4"/>
                <w:szCs w:val="4"/>
              </w:rPr>
            </w:r>
          </w:p>
        </w:tc>
        <w:tc>
          <w:tcPr>
            <w:tcW w:w="8705" w:type="dxa"/>
            <w:gridSpan w:val="2"/>
            <w:tcBorders/>
            <w:shd w:fill="auto" w:val="clear"/>
            <w:vAlign w:val="center"/>
          </w:tcPr>
          <w:p>
            <w:pPr>
              <w:pStyle w:val="TableContents"/>
              <w:spacing w:before="0" w:after="283"/>
              <w:rPr>
                <w:sz w:val="4"/>
                <w:szCs w:val="4"/>
              </w:rPr>
            </w:pPr>
            <w:r>
              <w:rPr>
                <w:sz w:val="4"/>
                <w:szCs w:val="4"/>
              </w:rPr>
            </w:r>
          </w:p>
        </w:tc>
      </w:tr>
      <w:tr>
        <w:trPr/>
        <w:tc>
          <w:tcPr>
            <w:tcW w:w="1070" w:type="dxa"/>
            <w:tcBorders/>
            <w:shd w:fill="auto" w:val="clear"/>
            <w:vAlign w:val="center"/>
          </w:tcPr>
          <w:p>
            <w:pPr>
              <w:pStyle w:val="TableContents"/>
              <w:spacing w:before="0" w:after="283"/>
              <w:rPr/>
            </w:pPr>
            <w:r>
              <w:rPr/>
              <w:t>13.1**</w:t>
            </w:r>
          </w:p>
        </w:tc>
        <w:tc>
          <w:tcPr>
            <w:tcW w:w="120" w:type="dxa"/>
            <w:tcBorders/>
            <w:shd w:fill="auto" w:val="clear"/>
            <w:vAlign w:val="center"/>
          </w:tcPr>
          <w:p>
            <w:pPr>
              <w:pStyle w:val="TableContents"/>
              <w:spacing w:before="0" w:after="283"/>
              <w:rPr/>
            </w:pPr>
            <w:r>
              <w:rPr/>
              <w:t>  </w:t>
            </w:r>
          </w:p>
        </w:tc>
        <w:tc>
          <w:tcPr>
            <w:tcW w:w="8585" w:type="dxa"/>
            <w:tcBorders/>
            <w:shd w:fill="auto" w:val="clear"/>
            <w:vAlign w:val="center"/>
          </w:tcPr>
          <w:p>
            <w:pPr>
              <w:pStyle w:val="TableContents"/>
              <w:spacing w:before="0" w:after="283"/>
              <w:rPr/>
            </w:pPr>
            <w:hyperlink w:anchor="d497326dex131.htm">
              <w:r>
                <w:rPr>
                  <w:rStyle w:val="InternetLink"/>
                </w:rPr>
                <w:t xml:space="preserve">Co-CEO Certification Pursuant to Section 906 of the Sarbanes-Oxley Act of 2002 </w:t>
              </w:r>
            </w:hyperlink>
          </w:p>
        </w:tc>
      </w:tr>
      <w:tr>
        <w:trPr/>
        <w:tc>
          <w:tcPr>
            <w:tcW w:w="1070" w:type="dxa"/>
            <w:tcBorders/>
            <w:shd w:fill="auto" w:val="clear"/>
            <w:vAlign w:val="center"/>
          </w:tcPr>
          <w:p>
            <w:pPr>
              <w:pStyle w:val="TableContents"/>
              <w:spacing w:before="0" w:after="283"/>
              <w:rPr>
                <w:sz w:val="4"/>
                <w:szCs w:val="4"/>
              </w:rPr>
            </w:pPr>
            <w:r>
              <w:rPr>
                <w:sz w:val="4"/>
                <w:szCs w:val="4"/>
              </w:rPr>
            </w:r>
          </w:p>
        </w:tc>
        <w:tc>
          <w:tcPr>
            <w:tcW w:w="8705" w:type="dxa"/>
            <w:gridSpan w:val="2"/>
            <w:tcBorders/>
            <w:shd w:fill="auto" w:val="clear"/>
            <w:vAlign w:val="center"/>
          </w:tcPr>
          <w:p>
            <w:pPr>
              <w:pStyle w:val="TableContents"/>
              <w:spacing w:before="0" w:after="283"/>
              <w:rPr>
                <w:sz w:val="4"/>
                <w:szCs w:val="4"/>
              </w:rPr>
            </w:pPr>
            <w:r>
              <w:rPr>
                <w:sz w:val="4"/>
                <w:szCs w:val="4"/>
              </w:rPr>
            </w:r>
          </w:p>
        </w:tc>
      </w:tr>
      <w:tr>
        <w:trPr/>
        <w:tc>
          <w:tcPr>
            <w:tcW w:w="1070" w:type="dxa"/>
            <w:tcBorders/>
            <w:shd w:fill="auto" w:val="clear"/>
            <w:vAlign w:val="center"/>
          </w:tcPr>
          <w:p>
            <w:pPr>
              <w:pStyle w:val="TableContents"/>
              <w:spacing w:before="0" w:after="283"/>
              <w:rPr/>
            </w:pPr>
            <w:r>
              <w:rPr/>
              <w:t>13.2**</w:t>
            </w:r>
          </w:p>
        </w:tc>
        <w:tc>
          <w:tcPr>
            <w:tcW w:w="120" w:type="dxa"/>
            <w:tcBorders/>
            <w:shd w:fill="auto" w:val="clear"/>
            <w:vAlign w:val="center"/>
          </w:tcPr>
          <w:p>
            <w:pPr>
              <w:pStyle w:val="TableContents"/>
              <w:spacing w:before="0" w:after="283"/>
              <w:rPr/>
            </w:pPr>
            <w:r>
              <w:rPr/>
              <w:t>  </w:t>
            </w:r>
          </w:p>
        </w:tc>
        <w:tc>
          <w:tcPr>
            <w:tcW w:w="8585" w:type="dxa"/>
            <w:tcBorders/>
            <w:shd w:fill="auto" w:val="clear"/>
            <w:vAlign w:val="center"/>
          </w:tcPr>
          <w:p>
            <w:pPr>
              <w:pStyle w:val="TableContents"/>
              <w:spacing w:before="0" w:after="283"/>
              <w:rPr/>
            </w:pPr>
            <w:hyperlink w:anchor="d497326dex132.htm">
              <w:r>
                <w:rPr>
                  <w:rStyle w:val="InternetLink"/>
                </w:rPr>
                <w:t xml:space="preserve">Co-CEO Certification Pursuant to Section 906 of the Sarbanes-Oxley Act of 2002 </w:t>
              </w:r>
            </w:hyperlink>
          </w:p>
        </w:tc>
      </w:tr>
      <w:tr>
        <w:trPr/>
        <w:tc>
          <w:tcPr>
            <w:tcW w:w="1070" w:type="dxa"/>
            <w:tcBorders/>
            <w:shd w:fill="auto" w:val="clear"/>
            <w:vAlign w:val="center"/>
          </w:tcPr>
          <w:p>
            <w:pPr>
              <w:pStyle w:val="TableContents"/>
              <w:spacing w:before="0" w:after="283"/>
              <w:rPr>
                <w:sz w:val="4"/>
                <w:szCs w:val="4"/>
              </w:rPr>
            </w:pPr>
            <w:r>
              <w:rPr>
                <w:sz w:val="4"/>
                <w:szCs w:val="4"/>
              </w:rPr>
            </w:r>
          </w:p>
        </w:tc>
        <w:tc>
          <w:tcPr>
            <w:tcW w:w="8705" w:type="dxa"/>
            <w:gridSpan w:val="2"/>
            <w:tcBorders/>
            <w:shd w:fill="auto" w:val="clear"/>
            <w:vAlign w:val="center"/>
          </w:tcPr>
          <w:p>
            <w:pPr>
              <w:pStyle w:val="TableContents"/>
              <w:spacing w:before="0" w:after="283"/>
              <w:rPr>
                <w:sz w:val="4"/>
                <w:szCs w:val="4"/>
              </w:rPr>
            </w:pPr>
            <w:r>
              <w:rPr>
                <w:sz w:val="4"/>
                <w:szCs w:val="4"/>
              </w:rPr>
            </w:r>
          </w:p>
        </w:tc>
      </w:tr>
      <w:tr>
        <w:trPr/>
        <w:tc>
          <w:tcPr>
            <w:tcW w:w="1070" w:type="dxa"/>
            <w:tcBorders/>
            <w:shd w:fill="auto" w:val="clear"/>
            <w:vAlign w:val="center"/>
          </w:tcPr>
          <w:p>
            <w:pPr>
              <w:pStyle w:val="TableContents"/>
              <w:spacing w:before="0" w:after="283"/>
              <w:rPr/>
            </w:pPr>
            <w:r>
              <w:rPr/>
              <w:t>13.3**</w:t>
            </w:r>
          </w:p>
        </w:tc>
        <w:tc>
          <w:tcPr>
            <w:tcW w:w="120" w:type="dxa"/>
            <w:tcBorders/>
            <w:shd w:fill="auto" w:val="clear"/>
            <w:vAlign w:val="center"/>
          </w:tcPr>
          <w:p>
            <w:pPr>
              <w:pStyle w:val="TableContents"/>
              <w:spacing w:before="0" w:after="283"/>
              <w:rPr/>
            </w:pPr>
            <w:r>
              <w:rPr/>
              <w:t>  </w:t>
            </w:r>
          </w:p>
        </w:tc>
        <w:tc>
          <w:tcPr>
            <w:tcW w:w="8585" w:type="dxa"/>
            <w:tcBorders/>
            <w:shd w:fill="auto" w:val="clear"/>
            <w:vAlign w:val="center"/>
          </w:tcPr>
          <w:p>
            <w:pPr>
              <w:pStyle w:val="TableContents"/>
              <w:spacing w:before="0" w:after="283"/>
              <w:rPr/>
            </w:pPr>
            <w:hyperlink w:anchor="d497326dex133.htm">
              <w:r>
                <w:rPr>
                  <w:rStyle w:val="InternetLink"/>
                </w:rPr>
                <w:t xml:space="preserve">CFO Certification Pursuant to Section 906 of the Sarbanes-Oxley Act of 2002 </w:t>
              </w:r>
            </w:hyperlink>
          </w:p>
        </w:tc>
      </w:tr>
      <w:tr>
        <w:trPr/>
        <w:tc>
          <w:tcPr>
            <w:tcW w:w="1070" w:type="dxa"/>
            <w:tcBorders/>
            <w:shd w:fill="auto" w:val="clear"/>
            <w:vAlign w:val="center"/>
          </w:tcPr>
          <w:p>
            <w:pPr>
              <w:pStyle w:val="TableContents"/>
              <w:spacing w:before="0" w:after="283"/>
              <w:rPr>
                <w:sz w:val="4"/>
                <w:szCs w:val="4"/>
              </w:rPr>
            </w:pPr>
            <w:r>
              <w:rPr>
                <w:sz w:val="4"/>
                <w:szCs w:val="4"/>
              </w:rPr>
            </w:r>
          </w:p>
        </w:tc>
        <w:tc>
          <w:tcPr>
            <w:tcW w:w="8705" w:type="dxa"/>
            <w:gridSpan w:val="2"/>
            <w:tcBorders/>
            <w:shd w:fill="auto" w:val="clear"/>
            <w:vAlign w:val="center"/>
          </w:tcPr>
          <w:p>
            <w:pPr>
              <w:pStyle w:val="TableContents"/>
              <w:spacing w:before="0" w:after="283"/>
              <w:rPr>
                <w:sz w:val="4"/>
                <w:szCs w:val="4"/>
              </w:rPr>
            </w:pPr>
            <w:r>
              <w:rPr>
                <w:sz w:val="4"/>
                <w:szCs w:val="4"/>
              </w:rPr>
            </w:r>
          </w:p>
        </w:tc>
      </w:tr>
      <w:tr>
        <w:trPr/>
        <w:tc>
          <w:tcPr>
            <w:tcW w:w="1070" w:type="dxa"/>
            <w:tcBorders/>
            <w:shd w:fill="auto" w:val="clear"/>
            <w:vAlign w:val="center"/>
          </w:tcPr>
          <w:p>
            <w:pPr>
              <w:pStyle w:val="TableContents"/>
              <w:spacing w:before="0" w:after="283"/>
              <w:rPr/>
            </w:pPr>
            <w:r>
              <w:rPr/>
              <w:t>15.1*</w:t>
            </w:r>
          </w:p>
        </w:tc>
        <w:tc>
          <w:tcPr>
            <w:tcW w:w="120" w:type="dxa"/>
            <w:tcBorders/>
            <w:shd w:fill="auto" w:val="clear"/>
            <w:vAlign w:val="center"/>
          </w:tcPr>
          <w:p>
            <w:pPr>
              <w:pStyle w:val="TableContents"/>
              <w:spacing w:before="0" w:after="283"/>
              <w:rPr/>
            </w:pPr>
            <w:r>
              <w:rPr/>
              <w:t>  </w:t>
            </w:r>
          </w:p>
        </w:tc>
        <w:tc>
          <w:tcPr>
            <w:tcW w:w="8585" w:type="dxa"/>
            <w:tcBorders/>
            <w:shd w:fill="auto" w:val="clear"/>
            <w:vAlign w:val="center"/>
          </w:tcPr>
          <w:p>
            <w:pPr>
              <w:pStyle w:val="TableContents"/>
              <w:spacing w:before="0" w:after="283"/>
              <w:rPr/>
            </w:pPr>
            <w:hyperlink w:anchor="d497326dex151.htm">
              <w:r>
                <w:rPr>
                  <w:rStyle w:val="InternetLink"/>
                </w:rPr>
                <w:t xml:space="preserve">Consent of KPMG AG Wirtschaftsprüfungsgesellschaft </w:t>
              </w:r>
            </w:hyperlink>
          </w:p>
        </w:tc>
      </w:tr>
      <w:tr>
        <w:trPr/>
        <w:tc>
          <w:tcPr>
            <w:tcW w:w="1070" w:type="dxa"/>
            <w:tcBorders/>
            <w:shd w:fill="auto" w:val="clear"/>
            <w:vAlign w:val="center"/>
          </w:tcPr>
          <w:p>
            <w:pPr>
              <w:pStyle w:val="TableContents"/>
              <w:spacing w:before="0" w:after="283"/>
              <w:rPr>
                <w:sz w:val="4"/>
                <w:szCs w:val="4"/>
              </w:rPr>
            </w:pPr>
            <w:r>
              <w:rPr>
                <w:sz w:val="4"/>
                <w:szCs w:val="4"/>
              </w:rPr>
            </w:r>
          </w:p>
        </w:tc>
        <w:tc>
          <w:tcPr>
            <w:tcW w:w="8705" w:type="dxa"/>
            <w:gridSpan w:val="2"/>
            <w:tcBorders/>
            <w:shd w:fill="auto" w:val="clear"/>
            <w:vAlign w:val="center"/>
          </w:tcPr>
          <w:p>
            <w:pPr>
              <w:pStyle w:val="TableContents"/>
              <w:spacing w:before="0" w:after="283"/>
              <w:rPr>
                <w:sz w:val="4"/>
                <w:szCs w:val="4"/>
              </w:rPr>
            </w:pPr>
            <w:r>
              <w:rPr>
                <w:sz w:val="4"/>
                <w:szCs w:val="4"/>
              </w:rPr>
            </w:r>
          </w:p>
        </w:tc>
      </w:tr>
      <w:tr>
        <w:trPr/>
        <w:tc>
          <w:tcPr>
            <w:tcW w:w="1070" w:type="dxa"/>
            <w:tcBorders/>
            <w:shd w:fill="auto" w:val="clear"/>
            <w:vAlign w:val="center"/>
          </w:tcPr>
          <w:p>
            <w:pPr>
              <w:pStyle w:val="TableContents"/>
              <w:spacing w:before="0" w:after="283"/>
              <w:rPr/>
            </w:pPr>
            <w:r>
              <w:rPr/>
              <w:t>101.INS*</w:t>
            </w:r>
          </w:p>
        </w:tc>
        <w:tc>
          <w:tcPr>
            <w:tcW w:w="120" w:type="dxa"/>
            <w:tcBorders/>
            <w:shd w:fill="auto" w:val="clear"/>
            <w:vAlign w:val="center"/>
          </w:tcPr>
          <w:p>
            <w:pPr>
              <w:pStyle w:val="TableContents"/>
              <w:spacing w:before="0" w:after="283"/>
              <w:rPr/>
            </w:pPr>
            <w:r>
              <w:rPr/>
              <w:t>  </w:t>
            </w:r>
          </w:p>
        </w:tc>
        <w:tc>
          <w:tcPr>
            <w:tcW w:w="8585" w:type="dxa"/>
            <w:tcBorders/>
            <w:shd w:fill="auto" w:val="clear"/>
            <w:vAlign w:val="center"/>
          </w:tcPr>
          <w:p>
            <w:pPr>
              <w:pStyle w:val="TableContents"/>
              <w:spacing w:before="0" w:after="283"/>
              <w:rPr/>
            </w:pPr>
            <w:r>
              <w:rPr/>
              <w:t>Inline XBRL Instance Document</w:t>
            </w:r>
          </w:p>
        </w:tc>
      </w:tr>
      <w:tr>
        <w:trPr/>
        <w:tc>
          <w:tcPr>
            <w:tcW w:w="1070" w:type="dxa"/>
            <w:tcBorders/>
            <w:shd w:fill="auto" w:val="clear"/>
            <w:vAlign w:val="center"/>
          </w:tcPr>
          <w:p>
            <w:pPr>
              <w:pStyle w:val="TableContents"/>
              <w:spacing w:before="0" w:after="283"/>
              <w:rPr>
                <w:sz w:val="4"/>
                <w:szCs w:val="4"/>
              </w:rPr>
            </w:pPr>
            <w:r>
              <w:rPr>
                <w:sz w:val="4"/>
                <w:szCs w:val="4"/>
              </w:rPr>
            </w:r>
          </w:p>
        </w:tc>
        <w:tc>
          <w:tcPr>
            <w:tcW w:w="8705" w:type="dxa"/>
            <w:gridSpan w:val="2"/>
            <w:tcBorders/>
            <w:shd w:fill="auto" w:val="clear"/>
            <w:vAlign w:val="center"/>
          </w:tcPr>
          <w:p>
            <w:pPr>
              <w:pStyle w:val="TableContents"/>
              <w:spacing w:before="0" w:after="283"/>
              <w:rPr>
                <w:sz w:val="4"/>
                <w:szCs w:val="4"/>
              </w:rPr>
            </w:pPr>
            <w:r>
              <w:rPr>
                <w:sz w:val="4"/>
                <w:szCs w:val="4"/>
              </w:rPr>
            </w:r>
          </w:p>
        </w:tc>
      </w:tr>
      <w:tr>
        <w:trPr/>
        <w:tc>
          <w:tcPr>
            <w:tcW w:w="1070" w:type="dxa"/>
            <w:tcBorders/>
            <w:shd w:fill="auto" w:val="clear"/>
            <w:vAlign w:val="center"/>
          </w:tcPr>
          <w:p>
            <w:pPr>
              <w:pStyle w:val="TableContents"/>
              <w:spacing w:before="0" w:after="283"/>
              <w:rPr/>
            </w:pPr>
            <w:r>
              <w:rPr/>
              <w:t>101.SCH*</w:t>
            </w:r>
          </w:p>
        </w:tc>
        <w:tc>
          <w:tcPr>
            <w:tcW w:w="120" w:type="dxa"/>
            <w:tcBorders/>
            <w:shd w:fill="auto" w:val="clear"/>
            <w:vAlign w:val="center"/>
          </w:tcPr>
          <w:p>
            <w:pPr>
              <w:pStyle w:val="TableContents"/>
              <w:spacing w:before="0" w:after="283"/>
              <w:rPr/>
            </w:pPr>
            <w:r>
              <w:rPr/>
              <w:t>  </w:t>
            </w:r>
          </w:p>
        </w:tc>
        <w:tc>
          <w:tcPr>
            <w:tcW w:w="8585" w:type="dxa"/>
            <w:tcBorders/>
            <w:shd w:fill="auto" w:val="clear"/>
            <w:vAlign w:val="center"/>
          </w:tcPr>
          <w:p>
            <w:pPr>
              <w:pStyle w:val="TableContents"/>
              <w:spacing w:before="0" w:after="283"/>
              <w:rPr/>
            </w:pPr>
            <w:r>
              <w:rPr/>
              <w:t>Inline XBRL Taxonomy Extension Schema Document</w:t>
            </w:r>
          </w:p>
        </w:tc>
      </w:tr>
      <w:tr>
        <w:trPr/>
        <w:tc>
          <w:tcPr>
            <w:tcW w:w="1070" w:type="dxa"/>
            <w:tcBorders/>
            <w:shd w:fill="auto" w:val="clear"/>
            <w:vAlign w:val="center"/>
          </w:tcPr>
          <w:p>
            <w:pPr>
              <w:pStyle w:val="TableContents"/>
              <w:spacing w:before="0" w:after="283"/>
              <w:rPr>
                <w:sz w:val="4"/>
                <w:szCs w:val="4"/>
              </w:rPr>
            </w:pPr>
            <w:r>
              <w:rPr>
                <w:sz w:val="4"/>
                <w:szCs w:val="4"/>
              </w:rPr>
            </w:r>
          </w:p>
        </w:tc>
        <w:tc>
          <w:tcPr>
            <w:tcW w:w="8705" w:type="dxa"/>
            <w:gridSpan w:val="2"/>
            <w:tcBorders/>
            <w:shd w:fill="auto" w:val="clear"/>
            <w:vAlign w:val="center"/>
          </w:tcPr>
          <w:p>
            <w:pPr>
              <w:pStyle w:val="TableContents"/>
              <w:spacing w:before="0" w:after="283"/>
              <w:rPr>
                <w:sz w:val="4"/>
                <w:szCs w:val="4"/>
              </w:rPr>
            </w:pPr>
            <w:r>
              <w:rPr>
                <w:sz w:val="4"/>
                <w:szCs w:val="4"/>
              </w:rPr>
            </w:r>
          </w:p>
        </w:tc>
      </w:tr>
      <w:tr>
        <w:trPr/>
        <w:tc>
          <w:tcPr>
            <w:tcW w:w="1070" w:type="dxa"/>
            <w:tcBorders/>
            <w:shd w:fill="auto" w:val="clear"/>
            <w:vAlign w:val="center"/>
          </w:tcPr>
          <w:p>
            <w:pPr>
              <w:pStyle w:val="TableContents"/>
              <w:spacing w:before="0" w:after="283"/>
              <w:rPr/>
            </w:pPr>
            <w:r>
              <w:rPr/>
              <w:t>101.PRE*</w:t>
            </w:r>
          </w:p>
        </w:tc>
        <w:tc>
          <w:tcPr>
            <w:tcW w:w="120" w:type="dxa"/>
            <w:tcBorders/>
            <w:shd w:fill="auto" w:val="clear"/>
            <w:vAlign w:val="center"/>
          </w:tcPr>
          <w:p>
            <w:pPr>
              <w:pStyle w:val="TableContents"/>
              <w:spacing w:before="0" w:after="283"/>
              <w:rPr/>
            </w:pPr>
            <w:r>
              <w:rPr/>
              <w:t>  </w:t>
            </w:r>
          </w:p>
        </w:tc>
        <w:tc>
          <w:tcPr>
            <w:tcW w:w="8585" w:type="dxa"/>
            <w:tcBorders/>
            <w:shd w:fill="auto" w:val="clear"/>
            <w:vAlign w:val="center"/>
          </w:tcPr>
          <w:p>
            <w:pPr>
              <w:pStyle w:val="TableContents"/>
              <w:spacing w:before="0" w:after="283"/>
              <w:rPr/>
            </w:pPr>
            <w:r>
              <w:rPr/>
              <w:t>Inline XBRL Taxonomy Presentation Linkbase Document</w:t>
            </w:r>
          </w:p>
        </w:tc>
      </w:tr>
      <w:tr>
        <w:trPr/>
        <w:tc>
          <w:tcPr>
            <w:tcW w:w="1070" w:type="dxa"/>
            <w:tcBorders/>
            <w:shd w:fill="auto" w:val="clear"/>
            <w:vAlign w:val="center"/>
          </w:tcPr>
          <w:p>
            <w:pPr>
              <w:pStyle w:val="TableContents"/>
              <w:spacing w:before="0" w:after="283"/>
              <w:rPr>
                <w:sz w:val="4"/>
                <w:szCs w:val="4"/>
              </w:rPr>
            </w:pPr>
            <w:r>
              <w:rPr>
                <w:sz w:val="4"/>
                <w:szCs w:val="4"/>
              </w:rPr>
            </w:r>
          </w:p>
        </w:tc>
        <w:tc>
          <w:tcPr>
            <w:tcW w:w="8705" w:type="dxa"/>
            <w:gridSpan w:val="2"/>
            <w:tcBorders/>
            <w:shd w:fill="auto" w:val="clear"/>
            <w:vAlign w:val="center"/>
          </w:tcPr>
          <w:p>
            <w:pPr>
              <w:pStyle w:val="TableContents"/>
              <w:spacing w:before="0" w:after="283"/>
              <w:rPr>
                <w:sz w:val="4"/>
                <w:szCs w:val="4"/>
              </w:rPr>
            </w:pPr>
            <w:r>
              <w:rPr>
                <w:sz w:val="4"/>
                <w:szCs w:val="4"/>
              </w:rPr>
            </w:r>
          </w:p>
        </w:tc>
      </w:tr>
      <w:tr>
        <w:trPr/>
        <w:tc>
          <w:tcPr>
            <w:tcW w:w="1070" w:type="dxa"/>
            <w:tcBorders/>
            <w:shd w:fill="auto" w:val="clear"/>
            <w:vAlign w:val="center"/>
          </w:tcPr>
          <w:p>
            <w:pPr>
              <w:pStyle w:val="TableContents"/>
              <w:spacing w:before="0" w:after="283"/>
              <w:rPr/>
            </w:pPr>
            <w:r>
              <w:rPr/>
              <w:t>101.CAL*</w:t>
            </w:r>
          </w:p>
        </w:tc>
        <w:tc>
          <w:tcPr>
            <w:tcW w:w="120" w:type="dxa"/>
            <w:tcBorders/>
            <w:shd w:fill="auto" w:val="clear"/>
            <w:vAlign w:val="center"/>
          </w:tcPr>
          <w:p>
            <w:pPr>
              <w:pStyle w:val="TableContents"/>
              <w:spacing w:before="0" w:after="283"/>
              <w:rPr/>
            </w:pPr>
            <w:r>
              <w:rPr/>
              <w:t>  </w:t>
            </w:r>
          </w:p>
        </w:tc>
        <w:tc>
          <w:tcPr>
            <w:tcW w:w="8585" w:type="dxa"/>
            <w:tcBorders/>
            <w:shd w:fill="auto" w:val="clear"/>
            <w:vAlign w:val="center"/>
          </w:tcPr>
          <w:p>
            <w:pPr>
              <w:pStyle w:val="TableContents"/>
              <w:spacing w:before="0" w:after="283"/>
              <w:rPr/>
            </w:pPr>
            <w:r>
              <w:rPr/>
              <w:t>Inline XBRL Taxonomy Calculation Linkbase Document</w:t>
            </w:r>
          </w:p>
        </w:tc>
      </w:tr>
      <w:tr>
        <w:trPr/>
        <w:tc>
          <w:tcPr>
            <w:tcW w:w="1070" w:type="dxa"/>
            <w:tcBorders/>
            <w:shd w:fill="auto" w:val="clear"/>
            <w:vAlign w:val="center"/>
          </w:tcPr>
          <w:p>
            <w:pPr>
              <w:pStyle w:val="TableContents"/>
              <w:spacing w:before="0" w:after="283"/>
              <w:rPr>
                <w:sz w:val="4"/>
                <w:szCs w:val="4"/>
              </w:rPr>
            </w:pPr>
            <w:r>
              <w:rPr>
                <w:sz w:val="4"/>
                <w:szCs w:val="4"/>
              </w:rPr>
            </w:r>
          </w:p>
        </w:tc>
        <w:tc>
          <w:tcPr>
            <w:tcW w:w="8705" w:type="dxa"/>
            <w:gridSpan w:val="2"/>
            <w:tcBorders/>
            <w:shd w:fill="auto" w:val="clear"/>
            <w:vAlign w:val="center"/>
          </w:tcPr>
          <w:p>
            <w:pPr>
              <w:pStyle w:val="TableContents"/>
              <w:spacing w:before="0" w:after="283"/>
              <w:rPr>
                <w:sz w:val="4"/>
                <w:szCs w:val="4"/>
              </w:rPr>
            </w:pPr>
            <w:r>
              <w:rPr>
                <w:sz w:val="4"/>
                <w:szCs w:val="4"/>
              </w:rPr>
            </w:r>
          </w:p>
        </w:tc>
      </w:tr>
      <w:tr>
        <w:trPr/>
        <w:tc>
          <w:tcPr>
            <w:tcW w:w="1070" w:type="dxa"/>
            <w:tcBorders/>
            <w:shd w:fill="auto" w:val="clear"/>
            <w:vAlign w:val="center"/>
          </w:tcPr>
          <w:p>
            <w:pPr>
              <w:pStyle w:val="TableContents"/>
              <w:spacing w:before="0" w:after="283"/>
              <w:rPr/>
            </w:pPr>
            <w:r>
              <w:rPr/>
              <w:t>101.LAB*</w:t>
            </w:r>
          </w:p>
        </w:tc>
        <w:tc>
          <w:tcPr>
            <w:tcW w:w="120" w:type="dxa"/>
            <w:tcBorders/>
            <w:shd w:fill="auto" w:val="clear"/>
            <w:vAlign w:val="center"/>
          </w:tcPr>
          <w:p>
            <w:pPr>
              <w:pStyle w:val="TableContents"/>
              <w:spacing w:before="0" w:after="283"/>
              <w:rPr/>
            </w:pPr>
            <w:r>
              <w:rPr/>
              <w:t>  </w:t>
            </w:r>
          </w:p>
        </w:tc>
        <w:tc>
          <w:tcPr>
            <w:tcW w:w="8585" w:type="dxa"/>
            <w:tcBorders/>
            <w:shd w:fill="auto" w:val="clear"/>
            <w:vAlign w:val="center"/>
          </w:tcPr>
          <w:p>
            <w:pPr>
              <w:pStyle w:val="TableContents"/>
              <w:spacing w:before="0" w:after="283"/>
              <w:rPr/>
            </w:pPr>
            <w:r>
              <w:rPr/>
              <w:t>Inline XBRL Taxonomy Label Linkbase Document</w:t>
            </w:r>
          </w:p>
        </w:tc>
      </w:tr>
      <w:tr>
        <w:trPr/>
        <w:tc>
          <w:tcPr>
            <w:tcW w:w="1070" w:type="dxa"/>
            <w:tcBorders/>
            <w:shd w:fill="auto" w:val="clear"/>
            <w:vAlign w:val="center"/>
          </w:tcPr>
          <w:p>
            <w:pPr>
              <w:pStyle w:val="TableContents"/>
              <w:spacing w:before="0" w:after="283"/>
              <w:rPr>
                <w:sz w:val="4"/>
                <w:szCs w:val="4"/>
              </w:rPr>
            </w:pPr>
            <w:r>
              <w:rPr>
                <w:sz w:val="4"/>
                <w:szCs w:val="4"/>
              </w:rPr>
            </w:r>
          </w:p>
        </w:tc>
        <w:tc>
          <w:tcPr>
            <w:tcW w:w="8705" w:type="dxa"/>
            <w:gridSpan w:val="2"/>
            <w:tcBorders/>
            <w:shd w:fill="auto" w:val="clear"/>
            <w:vAlign w:val="center"/>
          </w:tcPr>
          <w:p>
            <w:pPr>
              <w:pStyle w:val="TableContents"/>
              <w:spacing w:before="0" w:after="283"/>
              <w:rPr>
                <w:sz w:val="4"/>
                <w:szCs w:val="4"/>
              </w:rPr>
            </w:pPr>
            <w:r>
              <w:rPr>
                <w:sz w:val="4"/>
                <w:szCs w:val="4"/>
              </w:rPr>
            </w:r>
          </w:p>
        </w:tc>
      </w:tr>
      <w:tr>
        <w:trPr/>
        <w:tc>
          <w:tcPr>
            <w:tcW w:w="1070" w:type="dxa"/>
            <w:tcBorders/>
            <w:shd w:fill="auto" w:val="clear"/>
            <w:vAlign w:val="center"/>
          </w:tcPr>
          <w:p>
            <w:pPr>
              <w:pStyle w:val="TableContents"/>
              <w:spacing w:before="0" w:after="283"/>
              <w:rPr/>
            </w:pPr>
            <w:r>
              <w:rPr/>
              <w:t>101.DEF*</w:t>
            </w:r>
          </w:p>
        </w:tc>
        <w:tc>
          <w:tcPr>
            <w:tcW w:w="120" w:type="dxa"/>
            <w:tcBorders/>
            <w:shd w:fill="auto" w:val="clear"/>
            <w:vAlign w:val="center"/>
          </w:tcPr>
          <w:p>
            <w:pPr>
              <w:pStyle w:val="TableContents"/>
              <w:spacing w:before="0" w:after="283"/>
              <w:rPr/>
            </w:pPr>
            <w:r>
              <w:rPr/>
              <w:t>  </w:t>
            </w:r>
          </w:p>
        </w:tc>
        <w:tc>
          <w:tcPr>
            <w:tcW w:w="8585" w:type="dxa"/>
            <w:tcBorders/>
            <w:shd w:fill="auto" w:val="clear"/>
            <w:vAlign w:val="center"/>
          </w:tcPr>
          <w:p>
            <w:pPr>
              <w:pStyle w:val="TableContents"/>
              <w:spacing w:before="0" w:after="283"/>
              <w:rPr/>
            </w:pPr>
            <w:r>
              <w:rPr/>
              <w:t>Inline XBRL Taxonomy Extension Definition Linkbase Document</w:t>
            </w:r>
          </w:p>
        </w:tc>
      </w:tr>
      <w:tr>
        <w:trPr/>
        <w:tc>
          <w:tcPr>
            <w:tcW w:w="1070" w:type="dxa"/>
            <w:tcBorders/>
            <w:shd w:fill="auto" w:val="clear"/>
            <w:vAlign w:val="center"/>
          </w:tcPr>
          <w:p>
            <w:pPr>
              <w:pStyle w:val="TableContents"/>
              <w:spacing w:before="0" w:after="283"/>
              <w:rPr>
                <w:sz w:val="4"/>
                <w:szCs w:val="4"/>
              </w:rPr>
            </w:pPr>
            <w:r>
              <w:rPr>
                <w:sz w:val="4"/>
                <w:szCs w:val="4"/>
              </w:rPr>
            </w:r>
          </w:p>
        </w:tc>
        <w:tc>
          <w:tcPr>
            <w:tcW w:w="8705" w:type="dxa"/>
            <w:gridSpan w:val="2"/>
            <w:tcBorders/>
            <w:shd w:fill="auto" w:val="clear"/>
            <w:vAlign w:val="center"/>
          </w:tcPr>
          <w:p>
            <w:pPr>
              <w:pStyle w:val="TableContents"/>
              <w:spacing w:before="0" w:after="283"/>
              <w:rPr>
                <w:sz w:val="4"/>
                <w:szCs w:val="4"/>
              </w:rPr>
            </w:pPr>
            <w:r>
              <w:rPr>
                <w:sz w:val="4"/>
                <w:szCs w:val="4"/>
              </w:rPr>
            </w:r>
          </w:p>
        </w:tc>
      </w:tr>
      <w:tr>
        <w:trPr/>
        <w:tc>
          <w:tcPr>
            <w:tcW w:w="1070"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8585" w:type="dxa"/>
            <w:tcBorders/>
            <w:shd w:fill="auto" w:val="clear"/>
            <w:vAlign w:val="center"/>
          </w:tcPr>
          <w:p>
            <w:pPr>
              <w:pStyle w:val="TableContents"/>
              <w:spacing w:before="0" w:after="283"/>
              <w:rPr/>
            </w:pPr>
            <w:r>
              <w:rPr/>
              <w:t>Cover Page Interactive Data File (formatted in Inline XBRL and contained in Exhibit 101)</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w:t>
            </w:r>
          </w:p>
        </w:tc>
        <w:tc>
          <w:tcPr>
            <w:tcW w:w="1005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Certain of the exhibits and schedules to this Exhibit have been omitted in accordance with Regulation S-K Item 601(a)(5). The registrant agrees to furnish a copy of all omitted exhibits and schedules to the SEC upon its request. </w:t>
            </w:r>
          </w:p>
        </w:tc>
      </w:tr>
    </w:tbl>
    <w:tbl>
      <w:tblPr>
        <w:tblW w:w="1450" w:type="dxa"/>
        <w:jc w:val="left"/>
        <w:tblInd w:w="0" w:type="dxa"/>
        <w:tblCellMar>
          <w:top w:w="0" w:type="dxa"/>
          <w:left w:w="0" w:type="dxa"/>
          <w:bottom w:w="0" w:type="dxa"/>
          <w:right w:w="0" w:type="dxa"/>
        </w:tblCellMar>
      </w:tblPr>
      <w:tblGrid>
        <w:gridCol w:w="155"/>
        <w:gridCol w:w="1295"/>
      </w:tblGrid>
      <w:tr>
        <w:trPr/>
        <w:tc>
          <w:tcPr>
            <w:tcW w:w="155" w:type="dxa"/>
            <w:tcBorders/>
            <w:shd w:fill="auto" w:val="clear"/>
            <w:vAlign w:val="center"/>
          </w:tcPr>
          <w:p>
            <w:pPr>
              <w:pStyle w:val="TableContents"/>
              <w:spacing w:before="0" w:after="283"/>
              <w:jc w:val="left"/>
              <w:rPr/>
            </w:pPr>
            <w:r>
              <w:rPr/>
              <w:t>*</w:t>
            </w:r>
          </w:p>
        </w:tc>
        <w:tc>
          <w:tcPr>
            <w:tcW w:w="12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Filed herewith. </w:t>
            </w:r>
          </w:p>
        </w:tc>
      </w:tr>
    </w:tbl>
    <w:tbl>
      <w:tblPr>
        <w:tblW w:w="1960" w:type="dxa"/>
        <w:jc w:val="left"/>
        <w:tblInd w:w="0" w:type="dxa"/>
        <w:tblCellMar>
          <w:top w:w="0" w:type="dxa"/>
          <w:left w:w="0" w:type="dxa"/>
          <w:bottom w:w="0" w:type="dxa"/>
          <w:right w:w="0" w:type="dxa"/>
        </w:tblCellMar>
      </w:tblPr>
      <w:tblGrid>
        <w:gridCol w:w="275"/>
        <w:gridCol w:w="1685"/>
      </w:tblGrid>
      <w:tr>
        <w:trPr/>
        <w:tc>
          <w:tcPr>
            <w:tcW w:w="275" w:type="dxa"/>
            <w:tcBorders/>
            <w:shd w:fill="auto" w:val="clear"/>
            <w:vAlign w:val="center"/>
          </w:tcPr>
          <w:p>
            <w:pPr>
              <w:pStyle w:val="TableContents"/>
              <w:spacing w:before="0" w:after="283"/>
              <w:jc w:val="left"/>
              <w:rPr/>
            </w:pPr>
            <w:r>
              <w:rPr/>
              <w:t>**</w:t>
            </w:r>
          </w:p>
        </w:tc>
        <w:tc>
          <w:tcPr>
            <w:tcW w:w="168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Furnished herewith.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both"/>
        <w:rPr>
          <w:rFonts w:ascii="Times New Roman" w:hAnsi="Times New Roman"/>
          <w:sz w:val="20"/>
        </w:rPr>
      </w:pPr>
      <w:r>
        <w:rPr>
          <w:rFonts w:ascii="Times New Roman" w:hAnsi="Times New Roman"/>
          <w:sz w:val="20"/>
        </w:rPr>
        <w:t xml:space="preserve">The registrant certifies that it meets all of the requirements for filing on Form 20-F and has duly caused this Annual Report to be signed on its behalf by the undersigned, thereunto duly authorized. </w:t>
      </w:r>
    </w:p>
    <w:p>
      <w:pPr>
        <w:pStyle w:val="TextBody"/>
        <w:spacing w:before="0" w:after="0"/>
        <w:jc w:val="left"/>
        <w:rPr/>
      </w:pPr>
      <w:r>
        <w:rPr/>
        <w:t> </w:t>
      </w:r>
    </w:p>
    <w:tbl>
      <w:tblPr>
        <w:tblW w:w="3255" w:type="dxa"/>
        <w:jc w:val="left"/>
        <w:tblInd w:w="0" w:type="dxa"/>
        <w:tblCellMar>
          <w:top w:w="0" w:type="dxa"/>
          <w:left w:w="0" w:type="dxa"/>
          <w:bottom w:w="0" w:type="dxa"/>
          <w:right w:w="0" w:type="dxa"/>
        </w:tblCellMar>
      </w:tblPr>
      <w:tblGrid>
        <w:gridCol w:w="335"/>
        <w:gridCol w:w="60"/>
        <w:gridCol w:w="545"/>
        <w:gridCol w:w="60"/>
        <w:gridCol w:w="2255"/>
      </w:tblGrid>
      <w:tr>
        <w:trPr/>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55" w:type="dxa"/>
            <w:tcBorders/>
            <w:shd w:fill="auto" w:val="clear"/>
            <w:vAlign w:val="center"/>
          </w:tcPr>
          <w:p>
            <w:pPr>
              <w:pStyle w:val="TableContents"/>
              <w:spacing w:before="0" w:after="283"/>
              <w:rPr>
                <w:sz w:val="4"/>
                <w:szCs w:val="4"/>
              </w:rPr>
            </w:pPr>
            <w:r>
              <w:rPr>
                <w:sz w:val="4"/>
                <w:szCs w:val="4"/>
              </w:rPr>
            </w:r>
          </w:p>
        </w:tc>
      </w:tr>
      <w:tr>
        <w:trPr/>
        <w:tc>
          <w:tcPr>
            <w:tcW w:w="3255" w:type="dxa"/>
            <w:gridSpan w:val="5"/>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MYNARIC AG</w:t>
            </w:r>
          </w:p>
        </w:tc>
      </w:tr>
      <w:tr>
        <w:trPr/>
        <w:tc>
          <w:tcPr>
            <w:tcW w:w="335" w:type="dxa"/>
            <w:tcBorders/>
            <w:shd w:fill="auto" w:val="clear"/>
            <w:vAlign w:val="center"/>
          </w:tcPr>
          <w:p>
            <w:pPr>
              <w:pStyle w:val="TableContents"/>
              <w:spacing w:before="0" w:after="283"/>
              <w:rPr>
                <w:sz w:val="4"/>
                <w:szCs w:val="4"/>
              </w:rPr>
            </w:pPr>
            <w:r>
              <w:rPr>
                <w:sz w:val="4"/>
                <w:szCs w:val="4"/>
              </w:rPr>
            </w:r>
          </w:p>
        </w:tc>
        <w:tc>
          <w:tcPr>
            <w:tcW w:w="2920" w:type="dxa"/>
            <w:gridSpan w:val="4"/>
            <w:tcBorders/>
            <w:shd w:fill="auto" w:val="clear"/>
            <w:vAlign w:val="center"/>
          </w:tcPr>
          <w:p>
            <w:pPr>
              <w:pStyle w:val="TableContents"/>
              <w:spacing w:before="0" w:after="283"/>
              <w:rPr>
                <w:sz w:val="4"/>
                <w:szCs w:val="4"/>
              </w:rPr>
            </w:pPr>
            <w:r>
              <w:rPr>
                <w:sz w:val="4"/>
                <w:szCs w:val="4"/>
              </w:rPr>
            </w:r>
          </w:p>
        </w:tc>
      </w:tr>
      <w:tr>
        <w:trPr/>
        <w:tc>
          <w:tcPr>
            <w:tcW w:w="3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By:</w:t>
            </w:r>
          </w:p>
        </w:tc>
        <w:tc>
          <w:tcPr>
            <w:tcW w:w="60" w:type="dxa"/>
            <w:tcBorders/>
            <w:shd w:fill="auto" w:val="clear"/>
            <w:vAlign w:val="center"/>
          </w:tcPr>
          <w:p>
            <w:pPr>
              <w:pStyle w:val="TableContents"/>
              <w:spacing w:before="0" w:after="283"/>
              <w:rPr/>
            </w:pPr>
            <w:r>
              <w:rPr/>
              <w:t> </w:t>
            </w:r>
          </w:p>
        </w:tc>
        <w:tc>
          <w:tcPr>
            <w:tcW w:w="2860" w:type="dxa"/>
            <w:gridSpan w:val="3"/>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Emin Bulent Altan</w:t>
            </w:r>
          </w:p>
        </w:tc>
      </w:tr>
      <w:tr>
        <w:trPr/>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Name:</w:t>
            </w:r>
          </w:p>
        </w:tc>
        <w:tc>
          <w:tcPr>
            <w:tcW w:w="60" w:type="dxa"/>
            <w:tcBorders/>
            <w:shd w:fill="auto" w:val="clear"/>
            <w:vAlign w:val="center"/>
          </w:tcPr>
          <w:p>
            <w:pPr>
              <w:pStyle w:val="TableContents"/>
              <w:spacing w:before="0" w:after="283"/>
              <w:rPr/>
            </w:pPr>
            <w:r>
              <w:rPr/>
              <w:t> </w:t>
            </w:r>
          </w:p>
        </w:tc>
        <w:tc>
          <w:tcPr>
            <w:tcW w:w="22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Emin Bulent Altan</w:t>
            </w:r>
          </w:p>
        </w:tc>
      </w:tr>
      <w:tr>
        <w:trPr/>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Title:</w:t>
            </w:r>
          </w:p>
        </w:tc>
        <w:tc>
          <w:tcPr>
            <w:tcW w:w="60" w:type="dxa"/>
            <w:tcBorders/>
            <w:shd w:fill="auto" w:val="clear"/>
            <w:vAlign w:val="center"/>
          </w:tcPr>
          <w:p>
            <w:pPr>
              <w:pStyle w:val="TableContents"/>
              <w:spacing w:before="0" w:after="283"/>
              <w:rPr/>
            </w:pPr>
            <w:r>
              <w:rPr/>
              <w:t> </w:t>
            </w:r>
          </w:p>
        </w:tc>
        <w:tc>
          <w:tcPr>
            <w:tcW w:w="22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Co-Chief Executive Officer</w:t>
            </w:r>
          </w:p>
        </w:tc>
      </w:tr>
    </w:tbl>
    <w:p>
      <w:pPr>
        <w:pStyle w:val="TextBody"/>
        <w:spacing w:before="0" w:after="0"/>
        <w:jc w:val="left"/>
        <w:rPr/>
      </w:pPr>
      <w:r>
        <w:rPr/>
        <w:t> </w:t>
      </w:r>
    </w:p>
    <w:tbl>
      <w:tblPr>
        <w:tblW w:w="3105" w:type="dxa"/>
        <w:jc w:val="left"/>
        <w:tblInd w:w="0" w:type="dxa"/>
        <w:tblCellMar>
          <w:top w:w="0" w:type="dxa"/>
          <w:left w:w="0" w:type="dxa"/>
          <w:bottom w:w="0" w:type="dxa"/>
          <w:right w:w="0" w:type="dxa"/>
        </w:tblCellMar>
      </w:tblPr>
      <w:tblGrid>
        <w:gridCol w:w="335"/>
        <w:gridCol w:w="60"/>
        <w:gridCol w:w="545"/>
        <w:gridCol w:w="60"/>
        <w:gridCol w:w="2105"/>
      </w:tblGrid>
      <w:tr>
        <w:trPr/>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05" w:type="dxa"/>
            <w:tcBorders/>
            <w:shd w:fill="auto" w:val="clear"/>
            <w:vAlign w:val="center"/>
          </w:tcPr>
          <w:p>
            <w:pPr>
              <w:pStyle w:val="TableContents"/>
              <w:spacing w:before="0" w:after="283"/>
              <w:rPr>
                <w:sz w:val="4"/>
                <w:szCs w:val="4"/>
              </w:rPr>
            </w:pPr>
            <w:r>
              <w:rPr>
                <w:sz w:val="4"/>
                <w:szCs w:val="4"/>
              </w:rPr>
            </w:r>
          </w:p>
        </w:tc>
      </w:tr>
      <w:tr>
        <w:trPr/>
        <w:tc>
          <w:tcPr>
            <w:tcW w:w="3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By:</w:t>
            </w:r>
          </w:p>
        </w:tc>
        <w:tc>
          <w:tcPr>
            <w:tcW w:w="60" w:type="dxa"/>
            <w:tcBorders/>
            <w:shd w:fill="auto" w:val="clear"/>
            <w:vAlign w:val="center"/>
          </w:tcPr>
          <w:p>
            <w:pPr>
              <w:pStyle w:val="TableContents"/>
              <w:spacing w:before="0" w:after="283"/>
              <w:rPr/>
            </w:pPr>
            <w:r>
              <w:rPr/>
              <w:t> </w:t>
            </w:r>
          </w:p>
        </w:tc>
        <w:tc>
          <w:tcPr>
            <w:tcW w:w="2710" w:type="dxa"/>
            <w:gridSpan w:val="3"/>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Stefan Berndt-von Bülow</w:t>
            </w:r>
          </w:p>
        </w:tc>
      </w:tr>
      <w:tr>
        <w:trPr/>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Name:</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Stefan Berndt-von Bülow</w:t>
            </w:r>
          </w:p>
        </w:tc>
      </w:tr>
      <w:tr>
        <w:trPr/>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Title:</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Chief Financial Officer</w:t>
            </w:r>
          </w:p>
        </w:tc>
      </w:tr>
    </w:tbl>
    <w:p>
      <w:pPr>
        <w:pStyle w:val="TextBody"/>
        <w:spacing w:before="240" w:after="0"/>
        <w:jc w:val="left"/>
        <w:rPr>
          <w:rFonts w:ascii="Times New Roman" w:hAnsi="Times New Roman"/>
          <w:sz w:val="20"/>
        </w:rPr>
      </w:pPr>
      <w:r>
        <w:rPr>
          <w:rFonts w:ascii="Times New Roman" w:hAnsi="Times New Roman"/>
          <w:sz w:val="20"/>
        </w:rPr>
        <w:t xml:space="preserve">Date: May 1, 2023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rPr/>
      </w:pPr>
      <w:r>
        <w:rPr/>
      </w:r>
    </w:p>
    <w:p>
      <w:pPr>
        <w:pStyle w:val="Heading5"/>
        <w:rPr/>
      </w:pPr>
      <w:hyperlink w:anchor="toc">
        <w:r>
          <w:rPr>
            <w:rStyle w:val="InternetLink"/>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MYNARIC AG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INDEX TO FINANCIAL STATEMENTS </w:t>
      </w:r>
    </w:p>
    <w:p>
      <w:pPr>
        <w:pStyle w:val="TextBody"/>
        <w:spacing w:before="0" w:after="0"/>
        <w:jc w:val="left"/>
        <w:rPr>
          <w:spacing w:val="0"/>
        </w:rPr>
      </w:pPr>
      <w:r>
        <w:rPr>
          <w:spacing w:val="0"/>
        </w:rPr>
        <w:t> </w:t>
      </w:r>
    </w:p>
    <w:tbl>
      <w:tblPr>
        <w:tblW w:w="9130" w:type="dxa"/>
        <w:jc w:val="left"/>
        <w:tblInd w:w="0" w:type="dxa"/>
        <w:tblCellMar>
          <w:top w:w="0" w:type="dxa"/>
          <w:left w:w="0" w:type="dxa"/>
          <w:bottom w:w="0" w:type="dxa"/>
          <w:right w:w="0" w:type="dxa"/>
        </w:tblCellMar>
      </w:tblPr>
      <w:tblGrid>
        <w:gridCol w:w="8240"/>
        <w:gridCol w:w="120"/>
        <w:gridCol w:w="143"/>
        <w:gridCol w:w="552"/>
        <w:gridCol w:w="75"/>
      </w:tblGrid>
      <w:tr>
        <w:trPr/>
        <w:tc>
          <w:tcPr>
            <w:tcW w:w="82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82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95" w:type="dxa"/>
            <w:gridSpan w:val="2"/>
            <w:tcBorders/>
            <w:shd w:fill="auto" w:val="clear"/>
            <w:vAlign w:val="center"/>
          </w:tcPr>
          <w:p>
            <w:pPr>
              <w:pStyle w:val="TableContents"/>
              <w:spacing w:before="0" w:after="0"/>
              <w:jc w:val="center"/>
              <w:rPr>
                <w:b/>
                <w:spacing w:val="0"/>
              </w:rPr>
            </w:pPr>
            <w:r>
              <w:rPr>
                <w:b/>
                <w:spacing w:val="0"/>
              </w:rPr>
              <w:t>PAGE</w:t>
            </w:r>
          </w:p>
        </w:tc>
        <w:tc>
          <w:tcPr>
            <w:tcW w:w="75" w:type="dxa"/>
            <w:tcBorders/>
            <w:shd w:fill="auto" w:val="clear"/>
            <w:vAlign w:val="center"/>
          </w:tcPr>
          <w:p>
            <w:pPr>
              <w:pStyle w:val="TableContents"/>
              <w:spacing w:before="0" w:after="283"/>
              <w:rPr/>
            </w:pPr>
            <w:r>
              <w:rPr/>
              <w:t> </w:t>
            </w:r>
          </w:p>
        </w:tc>
      </w:tr>
      <w:tr>
        <w:trPr/>
        <w:tc>
          <w:tcPr>
            <w:tcW w:w="8240" w:type="dxa"/>
            <w:tcBorders/>
            <w:shd w:fill="auto" w:val="clear"/>
            <w:vAlign w:val="center"/>
          </w:tcPr>
          <w:p>
            <w:pPr>
              <w:pStyle w:val="TableContents"/>
              <w:spacing w:before="0" w:after="0"/>
              <w:rPr/>
            </w:pPr>
            <w:hyperlink w:anchor="fin497326_1">
              <w:r>
                <w:rPr>
                  <w:rStyle w:val="InternetLink"/>
                  <w:rFonts w:ascii="Times New Roman" w:hAnsi="Times New Roman"/>
                  <w:sz w:val="20"/>
                </w:rPr>
                <w:t>REPORT OF INDEPENDENT REGISTERED PUBLIC ACCOUNTING FIRM</w:t>
              </w:r>
            </w:hyperlink>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552" w:type="dxa"/>
            <w:tcBorders/>
            <w:shd w:fill="auto" w:val="clear"/>
            <w:vAlign w:val="center"/>
          </w:tcPr>
          <w:p>
            <w:pPr>
              <w:pStyle w:val="TableContents"/>
              <w:spacing w:before="0" w:after="0"/>
              <w:jc w:val="right"/>
              <w:rPr/>
            </w:pPr>
            <w:r>
              <w:rPr/>
              <w:t>F-2</w:t>
            </w:r>
          </w:p>
        </w:tc>
        <w:tc>
          <w:tcPr>
            <w:tcW w:w="75" w:type="dxa"/>
            <w:tcBorders/>
            <w:shd w:fill="auto" w:val="clear"/>
            <w:vAlign w:val="center"/>
          </w:tcPr>
          <w:p>
            <w:pPr>
              <w:pStyle w:val="TableContents"/>
              <w:spacing w:before="0" w:after="283"/>
              <w:rPr/>
            </w:pPr>
            <w:r>
              <w:rPr/>
              <w:t> </w:t>
            </w:r>
          </w:p>
        </w:tc>
      </w:tr>
      <w:tr>
        <w:trPr/>
        <w:tc>
          <w:tcPr>
            <w:tcW w:w="8240" w:type="dxa"/>
            <w:tcBorders/>
            <w:shd w:fill="auto" w:val="clear"/>
            <w:vAlign w:val="center"/>
          </w:tcPr>
          <w:p>
            <w:pPr>
              <w:pStyle w:val="TableContents"/>
              <w:spacing w:before="0" w:after="0"/>
              <w:rPr/>
            </w:pPr>
            <w:hyperlink w:anchor="fin497326_2">
              <w:r>
                <w:rPr>
                  <w:rStyle w:val="InternetLink"/>
                  <w:rFonts w:ascii="Times New Roman" w:hAnsi="Times New Roman"/>
                  <w:spacing w:val="0"/>
                  <w:sz w:val="20"/>
                </w:rPr>
                <w:t>CONSOLIDATED STATEMENTS OF PROFIT OR LOSS AND OTHER COMPREHENSIVE INCOME</w:t>
              </w:r>
            </w:hyperlink>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552" w:type="dxa"/>
            <w:tcBorders/>
            <w:shd w:fill="auto" w:val="clear"/>
            <w:vAlign w:val="center"/>
          </w:tcPr>
          <w:p>
            <w:pPr>
              <w:pStyle w:val="TableContents"/>
              <w:spacing w:before="0" w:after="0"/>
              <w:jc w:val="right"/>
              <w:rPr>
                <w:spacing w:val="0"/>
              </w:rPr>
            </w:pPr>
            <w:r>
              <w:rPr>
                <w:spacing w:val="0"/>
              </w:rPr>
              <w:t>F-</w:t>
            </w:r>
          </w:p>
          <w:p>
            <w:pPr>
              <w:pStyle w:val="TableContents"/>
              <w:spacing w:before="0" w:after="0"/>
              <w:jc w:val="right"/>
              <w:rPr>
                <w:spacing w:val="0"/>
              </w:rPr>
            </w:pPr>
            <w:r>
              <w:rPr>
                <w:spacing w:val="0"/>
              </w:rPr>
              <w:t>3</w:t>
            </w:r>
          </w:p>
        </w:tc>
        <w:tc>
          <w:tcPr>
            <w:tcW w:w="75" w:type="dxa"/>
            <w:tcBorders/>
            <w:shd w:fill="auto" w:val="clear"/>
            <w:vAlign w:val="center"/>
          </w:tcPr>
          <w:p>
            <w:pPr>
              <w:pStyle w:val="TableContents"/>
              <w:spacing w:before="0" w:after="283"/>
              <w:rPr/>
            </w:pPr>
            <w:r>
              <w:rPr/>
              <w:t> </w:t>
            </w:r>
          </w:p>
        </w:tc>
      </w:tr>
      <w:tr>
        <w:trPr/>
        <w:tc>
          <w:tcPr>
            <w:tcW w:w="8240" w:type="dxa"/>
            <w:tcBorders/>
            <w:shd w:fill="auto" w:val="clear"/>
            <w:vAlign w:val="center"/>
          </w:tcPr>
          <w:p>
            <w:pPr>
              <w:pStyle w:val="TableContents"/>
              <w:spacing w:before="0" w:after="0"/>
              <w:rPr/>
            </w:pPr>
            <w:hyperlink w:anchor="fin497326_3">
              <w:r>
                <w:rPr>
                  <w:rStyle w:val="InternetLink"/>
                  <w:rFonts w:ascii="Times New Roman" w:hAnsi="Times New Roman"/>
                  <w:spacing w:val="0"/>
                  <w:sz w:val="20"/>
                </w:rPr>
                <w:t>CONSOLIDATED STATEMENTS OF FINANCIAL POSITION</w:t>
              </w:r>
            </w:hyperlink>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552" w:type="dxa"/>
            <w:tcBorders/>
            <w:shd w:fill="auto" w:val="clear"/>
            <w:vAlign w:val="center"/>
          </w:tcPr>
          <w:p>
            <w:pPr>
              <w:pStyle w:val="TableContents"/>
              <w:spacing w:before="0" w:after="0"/>
              <w:jc w:val="right"/>
              <w:rPr>
                <w:spacing w:val="0"/>
              </w:rPr>
            </w:pPr>
            <w:r>
              <w:rPr>
                <w:spacing w:val="0"/>
              </w:rPr>
              <w:t>F-</w:t>
            </w:r>
          </w:p>
          <w:p>
            <w:pPr>
              <w:pStyle w:val="TableContents"/>
              <w:spacing w:before="0" w:after="0"/>
              <w:jc w:val="right"/>
              <w:rPr>
                <w:spacing w:val="0"/>
              </w:rPr>
            </w:pPr>
            <w:r>
              <w:rPr>
                <w:spacing w:val="0"/>
              </w:rPr>
              <w:t>4</w:t>
            </w:r>
          </w:p>
        </w:tc>
        <w:tc>
          <w:tcPr>
            <w:tcW w:w="75" w:type="dxa"/>
            <w:tcBorders/>
            <w:shd w:fill="auto" w:val="clear"/>
            <w:vAlign w:val="center"/>
          </w:tcPr>
          <w:p>
            <w:pPr>
              <w:pStyle w:val="TableContents"/>
              <w:spacing w:before="0" w:after="283"/>
              <w:rPr/>
            </w:pPr>
            <w:r>
              <w:rPr/>
              <w:t> </w:t>
            </w:r>
          </w:p>
        </w:tc>
      </w:tr>
      <w:tr>
        <w:trPr/>
        <w:tc>
          <w:tcPr>
            <w:tcW w:w="8240" w:type="dxa"/>
            <w:tcBorders/>
            <w:shd w:fill="auto" w:val="clear"/>
            <w:vAlign w:val="center"/>
          </w:tcPr>
          <w:p>
            <w:pPr>
              <w:pStyle w:val="TableContents"/>
              <w:spacing w:before="0" w:after="0"/>
              <w:rPr/>
            </w:pPr>
            <w:hyperlink w:anchor="fin497326_4">
              <w:r>
                <w:rPr>
                  <w:rStyle w:val="InternetLink"/>
                  <w:rFonts w:ascii="Times New Roman" w:hAnsi="Times New Roman"/>
                  <w:spacing w:val="0"/>
                  <w:sz w:val="20"/>
                </w:rPr>
                <w:t>CONSOLIDATED STATEMENTS OF CHANGES IN EQUITY</w:t>
              </w:r>
            </w:hyperlink>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552" w:type="dxa"/>
            <w:tcBorders/>
            <w:shd w:fill="auto" w:val="clear"/>
            <w:vAlign w:val="center"/>
          </w:tcPr>
          <w:p>
            <w:pPr>
              <w:pStyle w:val="TableContents"/>
              <w:spacing w:before="0" w:after="0"/>
              <w:jc w:val="right"/>
              <w:rPr>
                <w:spacing w:val="0"/>
              </w:rPr>
            </w:pPr>
            <w:r>
              <w:rPr>
                <w:spacing w:val="0"/>
              </w:rPr>
              <w:t>F-</w:t>
            </w:r>
          </w:p>
          <w:p>
            <w:pPr>
              <w:pStyle w:val="TableContents"/>
              <w:spacing w:before="0" w:after="0"/>
              <w:jc w:val="right"/>
              <w:rPr>
                <w:spacing w:val="0"/>
              </w:rPr>
            </w:pPr>
            <w:r>
              <w:rPr>
                <w:spacing w:val="0"/>
              </w:rPr>
              <w:t>5</w:t>
            </w:r>
          </w:p>
        </w:tc>
        <w:tc>
          <w:tcPr>
            <w:tcW w:w="75" w:type="dxa"/>
            <w:tcBorders/>
            <w:shd w:fill="auto" w:val="clear"/>
            <w:vAlign w:val="center"/>
          </w:tcPr>
          <w:p>
            <w:pPr>
              <w:pStyle w:val="TableContents"/>
              <w:spacing w:before="0" w:after="283"/>
              <w:rPr/>
            </w:pPr>
            <w:r>
              <w:rPr/>
              <w:t> </w:t>
            </w:r>
          </w:p>
        </w:tc>
      </w:tr>
      <w:tr>
        <w:trPr/>
        <w:tc>
          <w:tcPr>
            <w:tcW w:w="8240" w:type="dxa"/>
            <w:tcBorders/>
            <w:shd w:fill="auto" w:val="clear"/>
            <w:vAlign w:val="center"/>
          </w:tcPr>
          <w:p>
            <w:pPr>
              <w:pStyle w:val="TableContents"/>
              <w:spacing w:before="0" w:after="0"/>
              <w:rPr/>
            </w:pPr>
            <w:hyperlink w:anchor="fin497326_5">
              <w:r>
                <w:rPr>
                  <w:rStyle w:val="InternetLink"/>
                  <w:rFonts w:ascii="Times New Roman" w:hAnsi="Times New Roman"/>
                  <w:spacing w:val="0"/>
                  <w:sz w:val="20"/>
                </w:rPr>
                <w:t>CONSOLIDATED STATEMENTS OF CASH FLOWS</w:t>
              </w:r>
            </w:hyperlink>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552" w:type="dxa"/>
            <w:tcBorders/>
            <w:shd w:fill="auto" w:val="clear"/>
            <w:vAlign w:val="center"/>
          </w:tcPr>
          <w:p>
            <w:pPr>
              <w:pStyle w:val="TableContents"/>
              <w:spacing w:before="0" w:after="0"/>
              <w:jc w:val="right"/>
              <w:rPr>
                <w:spacing w:val="0"/>
              </w:rPr>
            </w:pPr>
            <w:r>
              <w:rPr>
                <w:spacing w:val="0"/>
              </w:rPr>
              <w:t>F-</w:t>
            </w:r>
          </w:p>
          <w:p>
            <w:pPr>
              <w:pStyle w:val="TableContents"/>
              <w:spacing w:before="0" w:after="0"/>
              <w:jc w:val="right"/>
              <w:rPr>
                <w:spacing w:val="0"/>
              </w:rPr>
            </w:pPr>
            <w:r>
              <w:rPr>
                <w:spacing w:val="0"/>
              </w:rPr>
              <w:t>6</w:t>
            </w:r>
          </w:p>
        </w:tc>
        <w:tc>
          <w:tcPr>
            <w:tcW w:w="75" w:type="dxa"/>
            <w:tcBorders/>
            <w:shd w:fill="auto" w:val="clear"/>
            <w:vAlign w:val="center"/>
          </w:tcPr>
          <w:p>
            <w:pPr>
              <w:pStyle w:val="TableContents"/>
              <w:spacing w:before="0" w:after="283"/>
              <w:rPr/>
            </w:pPr>
            <w:r>
              <w:rPr/>
              <w:t> </w:t>
            </w:r>
          </w:p>
        </w:tc>
      </w:tr>
      <w:tr>
        <w:trPr/>
        <w:tc>
          <w:tcPr>
            <w:tcW w:w="8240" w:type="dxa"/>
            <w:tcBorders/>
            <w:shd w:fill="auto" w:val="clear"/>
            <w:vAlign w:val="center"/>
          </w:tcPr>
          <w:p>
            <w:pPr>
              <w:pStyle w:val="TableContents"/>
              <w:spacing w:before="0" w:after="0"/>
              <w:rPr/>
            </w:pPr>
            <w:hyperlink w:anchor="fin497326_6">
              <w:r>
                <w:rPr>
                  <w:rStyle w:val="InternetLink"/>
                  <w:rFonts w:ascii="Times New Roman" w:hAnsi="Times New Roman"/>
                  <w:spacing w:val="0"/>
                  <w:sz w:val="20"/>
                </w:rPr>
                <w:t>NOTES TO AND FORMING PART OF THE CONSOLIDATED FINANCIAL STATEMENTS</w:t>
              </w:r>
            </w:hyperlink>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552" w:type="dxa"/>
            <w:tcBorders/>
            <w:shd w:fill="auto" w:val="clear"/>
            <w:vAlign w:val="center"/>
          </w:tcPr>
          <w:p>
            <w:pPr>
              <w:pStyle w:val="TableContents"/>
              <w:spacing w:before="0" w:after="0"/>
              <w:jc w:val="right"/>
              <w:rPr/>
            </w:pPr>
            <w:r>
              <w:rPr/>
              <w:t>F-</w:t>
            </w:r>
          </w:p>
          <w:p>
            <w:pPr>
              <w:pStyle w:val="TableContents"/>
              <w:spacing w:before="0" w:after="0"/>
              <w:jc w:val="right"/>
              <w:rPr>
                <w:spacing w:val="0"/>
              </w:rPr>
            </w:pPr>
            <w:r>
              <w:rPr>
                <w:spacing w:val="0"/>
              </w:rPr>
              <w:t>7</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1</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REPORT OF INDEPEN</w:t>
      </w:r>
    </w:p>
    <w:p>
      <w:pPr>
        <w:pStyle w:val="TextBody"/>
        <w:spacing w:before="0" w:after="0"/>
        <w:jc w:val="left"/>
        <w:rPr>
          <w:rFonts w:ascii="Times New Roman" w:hAnsi="Times New Roman"/>
          <w:sz w:val="20"/>
        </w:rPr>
      </w:pPr>
      <w:r>
        <w:rPr>
          <w:rFonts w:ascii="Times New Roman" w:hAnsi="Times New Roman"/>
          <w:sz w:val="20"/>
        </w:rPr>
        <w:t>DE</w:t>
      </w:r>
    </w:p>
    <w:p>
      <w:pPr>
        <w:pStyle w:val="TextBody"/>
        <w:spacing w:before="0" w:after="0"/>
        <w:jc w:val="left"/>
        <w:rPr>
          <w:rFonts w:ascii="Times New Roman" w:hAnsi="Times New Roman"/>
          <w:sz w:val="20"/>
        </w:rPr>
      </w:pPr>
      <w:r>
        <w:rPr>
          <w:rFonts w:ascii="Times New Roman" w:hAnsi="Times New Roman"/>
          <w:sz w:val="20"/>
        </w:rPr>
        <w:t xml:space="preserve">NT REGISTERED PUBLIC ACCOUNTING FIRM </w:t>
      </w:r>
    </w:p>
    <w:p>
      <w:pPr>
        <w:pStyle w:val="TextBody"/>
        <w:spacing w:before="120" w:after="0"/>
        <w:jc w:val="left"/>
        <w:rPr>
          <w:rFonts w:ascii="Times New Roman" w:hAnsi="Times New Roman"/>
          <w:i/>
          <w:sz w:val="20"/>
        </w:rPr>
      </w:pPr>
      <w:r>
        <w:rPr>
          <w:rFonts w:ascii="Times New Roman" w:hAnsi="Times New Roman"/>
          <w:i/>
          <w:sz w:val="20"/>
        </w:rPr>
        <w:t xml:space="preserve">Opinion on the Consolidated Financial Statements </w:t>
      </w:r>
    </w:p>
    <w:p>
      <w:pPr>
        <w:pStyle w:val="TextBody"/>
        <w:spacing w:before="120" w:after="0"/>
        <w:jc w:val="both"/>
        <w:rPr>
          <w:rFonts w:ascii="Times New Roman" w:hAnsi="Times New Roman"/>
          <w:sz w:val="20"/>
        </w:rPr>
      </w:pPr>
      <w:r>
        <w:rPr>
          <w:rFonts w:ascii="Times New Roman" w:hAnsi="Times New Roman"/>
          <w:sz w:val="20"/>
        </w:rPr>
        <w:t>We have audited the accompanying consolidated statements of financial position of Mynaric AG and subsidiaries (the Company) as of December </w:t>
      </w:r>
    </w:p>
    <w:p>
      <w:pPr>
        <w:pStyle w:val="TextBody"/>
        <w:spacing w:before="120" w:after="0"/>
        <w:jc w:val="both"/>
        <w:rPr>
          <w:rFonts w:ascii="Times New Roman" w:hAnsi="Times New Roman"/>
          <w:sz w:val="20"/>
        </w:rPr>
      </w:pPr>
      <w:r>
        <w:rPr>
          <w:rFonts w:ascii="Times New Roman" w:hAnsi="Times New Roman"/>
          <w:sz w:val="20"/>
        </w:rPr>
        <w:t>31</w:t>
      </w:r>
    </w:p>
    <w:p>
      <w:pPr>
        <w:pStyle w:val="TextBody"/>
        <w:spacing w:before="120" w:after="0"/>
        <w:jc w:val="both"/>
        <w:rPr>
          <w:rFonts w:ascii="Times New Roman" w:hAnsi="Times New Roman"/>
          <w:sz w:val="20"/>
        </w:rPr>
      </w:pPr>
      <w:r>
        <w:rPr>
          <w:rFonts w:ascii="Times New Roman" w:hAnsi="Times New Roman"/>
          <w:sz w:val="20"/>
        </w:rPr>
        <w:t xml:space="preserve">, 2022 and 2021, the related consolidated statements of profit/loss and other comprehensive income/loss, changes in equity, and cash flows for each of the years in the three-year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International Financial Reporting Standards as issued by the International Accounting Standards Board. </w:t>
      </w:r>
    </w:p>
    <w:p>
      <w:pPr>
        <w:pStyle w:val="TextBody"/>
        <w:spacing w:before="360" w:after="0"/>
        <w:jc w:val="left"/>
        <w:rPr>
          <w:rFonts w:ascii="Times New Roman" w:hAnsi="Times New Roman"/>
          <w:i/>
          <w:sz w:val="20"/>
        </w:rPr>
      </w:pPr>
      <w:r>
        <w:rPr>
          <w:rFonts w:ascii="Times New Roman" w:hAnsi="Times New Roman"/>
          <w:i/>
          <w:sz w:val="20"/>
        </w:rPr>
        <w:t xml:space="preserve">Going Concern </w:t>
      </w:r>
    </w:p>
    <w:p>
      <w:pPr>
        <w:pStyle w:val="TextBody"/>
        <w:spacing w:before="120" w:after="0"/>
        <w:jc w:val="both"/>
        <w:rPr>
          <w:rFonts w:ascii="Times New Roman" w:hAnsi="Times New Roman"/>
          <w:sz w:val="20"/>
        </w:rPr>
      </w:pPr>
      <w:r>
        <w:rPr>
          <w:rFonts w:ascii="Times New Roman" w:hAnsi="Times New Roman"/>
          <w:sz w:val="20"/>
        </w:rPr>
        <w:t>The accompanying consolidated financial statements have been prepared assuming that the Company will continue as a going concern. As discussed in Note 2 to the consolidated financial statements, the Company has suffered recurring losses from operations and has a net capital deficiency that raise substantial doubt about its ability to continue as a going concern</w:t>
      </w:r>
    </w:p>
    <w:p>
      <w:pPr>
        <w:pStyle w:val="TextBody"/>
        <w:spacing w:before="120" w:after="0"/>
        <w:jc w:val="both"/>
        <w:rPr>
          <w:rFonts w:ascii="Times New Roman" w:hAnsi="Times New Roman"/>
          <w:i/>
          <w:sz w:val="20"/>
        </w:rPr>
      </w:pPr>
      <w:r>
        <w:rPr>
          <w:rFonts w:ascii="Times New Roman" w:hAnsi="Times New Roman"/>
          <w:i/>
          <w:sz w:val="20"/>
        </w:rPr>
        <w:t xml:space="preserve">. </w:t>
      </w:r>
    </w:p>
    <w:p>
      <w:pPr>
        <w:pStyle w:val="TextBody"/>
        <w:spacing w:before="120" w:after="0"/>
        <w:jc w:val="both"/>
        <w:rPr>
          <w:rFonts w:ascii="Times New Roman" w:hAnsi="Times New Roman"/>
          <w:sz w:val="20"/>
        </w:rPr>
      </w:pPr>
      <w:r>
        <w:rPr>
          <w:rFonts w:ascii="Times New Roman" w:hAnsi="Times New Roman"/>
          <w:sz w:val="20"/>
        </w:rPr>
        <w:t xml:space="preserve">Management’s plans in regard to these matters are also described in Note 2. The consolidated financial statements do not include any adjustments that might result from the outcome of this uncertainty. </w:t>
      </w:r>
    </w:p>
    <w:p>
      <w:pPr>
        <w:pStyle w:val="TextBody"/>
        <w:spacing w:before="360" w:after="0"/>
        <w:jc w:val="left"/>
        <w:rPr>
          <w:rFonts w:ascii="Times New Roman" w:hAnsi="Times New Roman"/>
          <w:i/>
          <w:sz w:val="20"/>
        </w:rPr>
      </w:pPr>
      <w:r>
        <w:rPr>
          <w:rFonts w:ascii="Times New Roman" w:hAnsi="Times New Roman"/>
          <w:i/>
          <w:sz w:val="20"/>
        </w:rPr>
        <w:t xml:space="preserve">Basis for Opinion </w:t>
      </w:r>
    </w:p>
    <w:p>
      <w:pPr>
        <w:pStyle w:val="TextBody"/>
        <w:spacing w:before="120" w:after="0"/>
        <w:jc w:val="both"/>
        <w:rPr>
          <w:rFonts w:ascii="Times New Roman" w:hAnsi="Times New Roman"/>
          <w:sz w:val="20"/>
        </w:rPr>
      </w:pPr>
      <w:r>
        <w:rPr>
          <w:rFonts w:ascii="Times New Roman" w:hAnsi="Times New Roman"/>
          <w:sz w:val="20"/>
        </w:rPr>
        <w:t xml:space="preserve">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spacing w:before="240" w:after="0"/>
        <w:jc w:val="both"/>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spacing w:before="240" w:after="0"/>
        <w:jc w:val="both"/>
        <w:rPr>
          <w:rFonts w:ascii="Times New Roman" w:hAnsi="Times New Roman"/>
          <w:sz w:val="20"/>
        </w:rPr>
      </w:pPr>
      <w:r>
        <w:rPr>
          <w:rFonts w:ascii="Times New Roman" w:hAnsi="Times New Roman"/>
          <w:sz w:val="20"/>
        </w:rPr>
        <w:t xml:space="preserve">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spacing w:before="240" w:after="0"/>
        <w:jc w:val="left"/>
        <w:rPr>
          <w:rFonts w:ascii="Times New Roman" w:hAnsi="Times New Roman"/>
          <w:sz w:val="20"/>
        </w:rPr>
      </w:pPr>
      <w:r>
        <w:rPr>
          <w:rFonts w:ascii="Times New Roman" w:hAnsi="Times New Roman"/>
          <w:sz w:val="20"/>
        </w:rPr>
        <w:t xml:space="preserve">We have served as the Company’s auditor since 2020 </w:t>
      </w:r>
    </w:p>
    <w:p>
      <w:pPr>
        <w:pStyle w:val="TextBody"/>
        <w:spacing w:before="240" w:after="0"/>
        <w:jc w:val="both"/>
        <w:rPr>
          <w:rFonts w:ascii="Times New Roman" w:hAnsi="Times New Roman"/>
          <w:sz w:val="20"/>
        </w:rPr>
      </w:pPr>
      <w:r>
        <w:rPr>
          <w:rFonts w:ascii="Times New Roman" w:hAnsi="Times New Roman"/>
          <w:sz w:val="20"/>
        </w:rPr>
        <w:t xml:space="preserve">Munich, Germany </w:t>
      </w:r>
    </w:p>
    <w:p>
      <w:pPr>
        <w:pStyle w:val="TextBody"/>
        <w:spacing w:before="0" w:after="0"/>
        <w:jc w:val="both"/>
        <w:rPr>
          <w:rFonts w:ascii="Times New Roman" w:hAnsi="Times New Roman"/>
          <w:sz w:val="20"/>
        </w:rPr>
      </w:pPr>
      <w:r>
        <w:rPr>
          <w:rFonts w:ascii="Times New Roman" w:hAnsi="Times New Roman"/>
          <w:sz w:val="20"/>
        </w:rPr>
        <w:t xml:space="preserve">May 1, 2023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 </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rFonts w:ascii="Times New Roman" w:hAnsi="Times New Roman"/>
          <w:b/>
          <w:sz w:val="20"/>
        </w:rPr>
      </w:pPr>
      <w:r>
        <w:rPr>
          <w:rFonts w:ascii="Times New Roman" w:hAnsi="Times New Roman"/>
          <w:b/>
          <w:sz w:val="20"/>
        </w:rPr>
        <w:t xml:space="preserve">Consolidated statements of profit/loss and other comprehensive income/loss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highlight w:val="white"/>
        </w:rPr>
      </w:pPr>
      <w:r>
        <w:rPr>
          <w:rFonts w:ascii="Times New Roman" w:hAnsi="Times New Roman"/>
          <w:b/>
          <w:sz w:val="20"/>
          <w:highlight w:val="white"/>
        </w:rPr>
        <w:t>for the years ended December 31, 2022, 2021 and 2020</w:t>
      </w:r>
    </w:p>
    <w:p>
      <w:pPr>
        <w:pStyle w:val="TextBody"/>
        <w:spacing w:before="0" w:after="0"/>
        <w:jc w:val="left"/>
        <w:rPr>
          <w:highlight w:val="white"/>
        </w:rPr>
      </w:pPr>
      <w:r>
        <w:rPr>
          <w:highlight w:val="white"/>
        </w:rPr>
        <w:t> </w:t>
      </w:r>
    </w:p>
    <w:tbl>
      <w:tblPr>
        <w:tblW w:w="9880" w:type="dxa"/>
        <w:jc w:val="left"/>
        <w:tblInd w:w="0" w:type="dxa"/>
        <w:tblCellMar>
          <w:top w:w="0" w:type="dxa"/>
          <w:left w:w="0" w:type="dxa"/>
          <w:bottom w:w="0" w:type="dxa"/>
          <w:right w:w="0" w:type="dxa"/>
        </w:tblCellMar>
      </w:tblPr>
      <w:tblGrid>
        <w:gridCol w:w="5360"/>
        <w:gridCol w:w="120"/>
        <w:gridCol w:w="93"/>
        <w:gridCol w:w="407"/>
        <w:gridCol w:w="60"/>
        <w:gridCol w:w="120"/>
        <w:gridCol w:w="60"/>
        <w:gridCol w:w="980"/>
        <w:gridCol w:w="155"/>
        <w:gridCol w:w="60"/>
        <w:gridCol w:w="60"/>
        <w:gridCol w:w="980"/>
        <w:gridCol w:w="155"/>
        <w:gridCol w:w="60"/>
        <w:gridCol w:w="60"/>
        <w:gridCol w:w="980"/>
        <w:gridCol w:w="170"/>
      </w:tblGrid>
      <w:tr>
        <w:trPr/>
        <w:tc>
          <w:tcPr>
            <w:tcW w:w="53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360" w:type="dxa"/>
            <w:tcBorders/>
            <w:shd w:fill="auto" w:val="clear"/>
            <w:vAlign w:val="center"/>
          </w:tcPr>
          <w:p>
            <w:pPr>
              <w:pStyle w:val="TableContents"/>
              <w:spacing w:before="0" w:after="0"/>
              <w:rPr>
                <w:bdr w:val="single" w:sz="8" w:space="1" w:color="000000"/>
              </w:rPr>
            </w:pPr>
            <w:r>
              <w:rPr>
                <w:bdr w:val="single" w:sz="8" w:space="1" w:color="000000"/>
              </w:rPr>
              <w:t xml:space="preserve">€ </w:t>
            </w:r>
            <w:r>
              <w:rPr>
                <w:rFonts w:ascii="Times New Roman" w:hAnsi="Times New Roman"/>
                <w:sz w:val="16"/>
                <w:bdr w:val="single" w:sz="8" w:space="1" w:color="000000"/>
              </w:rPr>
              <w:t>thousand</w:t>
            </w:r>
          </w:p>
        </w:tc>
        <w:tc>
          <w:tcPr>
            <w:tcW w:w="120" w:type="dxa"/>
            <w:tcBorders/>
            <w:shd w:fill="auto" w:val="clear"/>
            <w:vAlign w:val="center"/>
          </w:tcPr>
          <w:p>
            <w:pPr>
              <w:pStyle w:val="TableContents"/>
              <w:spacing w:before="0" w:after="283"/>
              <w:rPr/>
            </w:pPr>
            <w:r>
              <w:rPr/>
              <w:t>  </w:t>
            </w:r>
          </w:p>
        </w:tc>
        <w:tc>
          <w:tcPr>
            <w:tcW w:w="50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Note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170" w:type="dxa"/>
            <w:tcBorders/>
            <w:shd w:fill="auto" w:val="clear"/>
            <w:vAlign w:val="center"/>
          </w:tcPr>
          <w:p>
            <w:pPr>
              <w:pStyle w:val="TableContents"/>
              <w:spacing w:before="0" w:after="283"/>
              <w:rPr/>
            </w:pPr>
            <w:r>
              <w:rPr/>
              <w:t> </w:t>
            </w:r>
          </w:p>
        </w:tc>
      </w:tr>
      <w:tr>
        <w:trPr/>
        <w:tc>
          <w:tcPr>
            <w:tcW w:w="53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Revenue</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4,422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2,355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679</w:t>
            </w:r>
          </w:p>
        </w:tc>
        <w:tc>
          <w:tcPr>
            <w:tcW w:w="170" w:type="dxa"/>
            <w:tcBorders/>
            <w:shd w:fill="CCEEFF" w:val="clear"/>
            <w:vAlign w:val="center"/>
          </w:tcPr>
          <w:p>
            <w:pPr>
              <w:pStyle w:val="TableContents"/>
              <w:spacing w:before="0" w:after="283"/>
              <w:rPr/>
            </w:pPr>
            <w:r>
              <w:rPr/>
              <w:t> </w:t>
            </w:r>
          </w:p>
        </w:tc>
      </w:tr>
      <w:tr>
        <w:trPr/>
        <w:tc>
          <w:tcPr>
            <w:tcW w:w="53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operating income</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2,376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435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295</w:t>
            </w:r>
          </w:p>
        </w:tc>
        <w:tc>
          <w:tcPr>
            <w:tcW w:w="170" w:type="dxa"/>
            <w:tcBorders/>
            <w:shd w:fill="auto" w:val="clear"/>
            <w:vAlign w:val="center"/>
          </w:tcPr>
          <w:p>
            <w:pPr>
              <w:pStyle w:val="TableContents"/>
              <w:spacing w:before="0" w:after="283"/>
              <w:rPr/>
            </w:pPr>
            <w:r>
              <w:rPr/>
              <w:t> </w:t>
            </w:r>
          </w:p>
        </w:tc>
      </w:tr>
      <w:tr>
        <w:trPr/>
        <w:tc>
          <w:tcPr>
            <w:tcW w:w="53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Cost of materials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(15,434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(10,624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(6,221</w:t>
            </w:r>
          </w:p>
        </w:tc>
        <w:tc>
          <w:tcPr>
            <w:tcW w:w="170" w:type="dxa"/>
            <w:tcBorders/>
            <w:shd w:fill="CCEEFF" w:val="clear"/>
            <w:vAlign w:val="center"/>
          </w:tcPr>
          <w:p>
            <w:pPr>
              <w:pStyle w:val="TableContents"/>
              <w:spacing w:before="0" w:after="283"/>
              <w:rPr/>
            </w:pPr>
            <w:r>
              <w:rPr/>
              <w:t>) </w:t>
            </w:r>
          </w:p>
        </w:tc>
      </w:tr>
      <w:tr>
        <w:trPr/>
        <w:tc>
          <w:tcPr>
            <w:tcW w:w="5360" w:type="dxa"/>
            <w:tcBorders/>
            <w:shd w:fill="auto" w:val="clear"/>
            <w:vAlign w:val="center"/>
          </w:tcPr>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of which capitalized costs 2022: </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(689</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2021: </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(1,995</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2020: </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(4,073</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53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Personnel costs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(37,410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(23,365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(16,834</w:t>
            </w:r>
          </w:p>
        </w:tc>
        <w:tc>
          <w:tcPr>
            <w:tcW w:w="170" w:type="dxa"/>
            <w:tcBorders/>
            <w:shd w:fill="CCEEFF" w:val="clear"/>
            <w:vAlign w:val="center"/>
          </w:tcPr>
          <w:p>
            <w:pPr>
              <w:pStyle w:val="TableContents"/>
              <w:spacing w:before="0" w:after="283"/>
              <w:rPr/>
            </w:pPr>
            <w:r>
              <w:rPr/>
              <w:t>) </w:t>
            </w:r>
          </w:p>
        </w:tc>
      </w:tr>
      <w:tr>
        <w:trPr/>
        <w:tc>
          <w:tcPr>
            <w:tcW w:w="5360" w:type="dxa"/>
            <w:tcBorders/>
            <w:shd w:fill="auto" w:val="clear"/>
            <w:vAlign w:val="center"/>
          </w:tcPr>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of which capitalized costs 2022: </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(665</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2021: </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(1,906</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2020: </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(3,921</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53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Depreciation, amortisation and impairment</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10.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(7,989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(4,518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(1,843</w:t>
            </w:r>
          </w:p>
        </w:tc>
        <w:tc>
          <w:tcPr>
            <w:tcW w:w="170" w:type="dxa"/>
            <w:tcBorders/>
            <w:shd w:fill="CCEEFF" w:val="clear"/>
            <w:vAlign w:val="center"/>
          </w:tcPr>
          <w:p>
            <w:pPr>
              <w:pStyle w:val="TableContents"/>
              <w:spacing w:before="0" w:after="283"/>
              <w:rPr/>
            </w:pPr>
            <w:r>
              <w:rPr/>
              <w:t>) </w:t>
            </w:r>
          </w:p>
        </w:tc>
      </w:tr>
      <w:tr>
        <w:trPr/>
        <w:tc>
          <w:tcPr>
            <w:tcW w:w="5360" w:type="dxa"/>
            <w:tcBorders/>
            <w:shd w:fill="auto" w:val="clear"/>
            <w:vAlign w:val="center"/>
          </w:tcPr>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of which capitalized costs 2022: </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(112</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2021: </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(287</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2020: </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(802</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53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 operating costs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11.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(22,082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(11,830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(5,345</w:t>
            </w:r>
          </w:p>
        </w:tc>
        <w:tc>
          <w:tcPr>
            <w:tcW w:w="170" w:type="dxa"/>
            <w:tcBorders/>
            <w:shd w:fill="CCEEFF" w:val="clear"/>
            <w:vAlign w:val="center"/>
          </w:tcPr>
          <w:p>
            <w:pPr>
              <w:pStyle w:val="TableContents"/>
              <w:spacing w:before="0" w:after="283"/>
              <w:rPr/>
            </w:pPr>
            <w:r>
              <w:rPr/>
              <w:t>) </w:t>
            </w:r>
          </w:p>
        </w:tc>
      </w:tr>
      <w:tr>
        <w:trPr/>
        <w:tc>
          <w:tcPr>
            <w:tcW w:w="5360" w:type="dxa"/>
            <w:tcBorders/>
            <w:shd w:fill="auto" w:val="clear"/>
            <w:vAlign w:val="center"/>
          </w:tcPr>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of which capitalized costs 2022: </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(101</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2021: </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(427</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2020: </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(579</w:t>
            </w:r>
          </w:p>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53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Change in inventories of finished goods and work in progress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12.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760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568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637</w:t>
            </w:r>
          </w:p>
        </w:tc>
        <w:tc>
          <w:tcPr>
            <w:tcW w:w="170" w:type="dxa"/>
            <w:tcBorders/>
            <w:shd w:fill="CCEEFF" w:val="clear"/>
            <w:vAlign w:val="center"/>
          </w:tcPr>
          <w:p>
            <w:pPr>
              <w:pStyle w:val="TableContents"/>
              <w:spacing w:before="0" w:after="283"/>
              <w:rPr/>
            </w:pPr>
            <w:r>
              <w:rPr/>
              <w:t> </w:t>
            </w:r>
          </w:p>
        </w:tc>
      </w:tr>
      <w:tr>
        <w:trPr/>
        <w:tc>
          <w:tcPr>
            <w:tcW w:w="53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Own work capitalized</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jc w:val="right"/>
              <w:rPr/>
            </w:pPr>
            <w:r>
              <w:rPr/>
              <w:t>13.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1,567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4,615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9,375</w:t>
            </w:r>
          </w:p>
        </w:tc>
        <w:tc>
          <w:tcPr>
            <w:tcW w:w="170" w:type="dxa"/>
            <w:tcBorders/>
            <w:shd w:fill="auto" w:val="clear"/>
            <w:vAlign w:val="center"/>
          </w:tcPr>
          <w:p>
            <w:pPr>
              <w:pStyle w:val="TableContents"/>
              <w:spacing w:before="0" w:after="283"/>
              <w:rPr/>
            </w:pPr>
            <w:r>
              <w:rPr/>
              <w:t> </w:t>
            </w:r>
          </w:p>
        </w:tc>
      </w:tr>
      <w:tr>
        <w:trPr/>
        <w:tc>
          <w:tcPr>
            <w:tcW w:w="53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36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Operating profit/(loss)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(73,790</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(42,364</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(19,257</w:t>
            </w:r>
          </w:p>
        </w:tc>
        <w:tc>
          <w:tcPr>
            <w:tcW w:w="170" w:type="dxa"/>
            <w:tcBorders/>
            <w:shd w:fill="CCEEFF" w:val="clear"/>
            <w:vAlign w:val="center"/>
          </w:tcPr>
          <w:p>
            <w:pPr>
              <w:pStyle w:val="TableContents"/>
              <w:spacing w:before="0" w:after="0"/>
              <w:rPr>
                <w:b/>
                <w:spacing w:val="0"/>
              </w:rPr>
            </w:pPr>
            <w:r>
              <w:rPr>
                <w:b/>
                <w:spacing w:val="0"/>
              </w:rPr>
              <w:t>) </w:t>
            </w:r>
          </w:p>
        </w:tc>
      </w:tr>
      <w:tr>
        <w:trPr/>
        <w:tc>
          <w:tcPr>
            <w:tcW w:w="53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3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Interest and similar income</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18</w:t>
            </w:r>
          </w:p>
        </w:tc>
        <w:tc>
          <w:tcPr>
            <w:tcW w:w="170" w:type="dxa"/>
            <w:tcBorders/>
            <w:shd w:fill="auto" w:val="clear"/>
            <w:vAlign w:val="center"/>
          </w:tcPr>
          <w:p>
            <w:pPr>
              <w:pStyle w:val="TableContents"/>
              <w:spacing w:before="0" w:after="283"/>
              <w:rPr/>
            </w:pPr>
            <w:r>
              <w:rPr/>
              <w:t> </w:t>
            </w:r>
          </w:p>
        </w:tc>
      </w:tr>
      <w:tr>
        <w:trPr/>
        <w:tc>
          <w:tcPr>
            <w:tcW w:w="53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Interest and similar expenses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14.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(2,545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(2,148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0</w:t>
            </w:r>
          </w:p>
        </w:tc>
        <w:tc>
          <w:tcPr>
            <w:tcW w:w="170" w:type="dxa"/>
            <w:tcBorders/>
            <w:shd w:fill="CCEEFF" w:val="clear"/>
            <w:vAlign w:val="center"/>
          </w:tcPr>
          <w:p>
            <w:pPr>
              <w:pStyle w:val="TableContents"/>
              <w:spacing w:before="0" w:after="283"/>
              <w:rPr/>
            </w:pPr>
            <w:r>
              <w:rPr/>
              <w:t> </w:t>
            </w:r>
          </w:p>
        </w:tc>
      </w:tr>
      <w:tr>
        <w:trPr/>
        <w:tc>
          <w:tcPr>
            <w:tcW w:w="53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foreign exchange gain / (loss)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jc w:val="right"/>
              <w:rPr/>
            </w:pPr>
            <w:r>
              <w:rPr/>
              <w:t>14.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2,574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826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(531</w:t>
            </w:r>
          </w:p>
        </w:tc>
        <w:tc>
          <w:tcPr>
            <w:tcW w:w="170" w:type="dxa"/>
            <w:tcBorders/>
            <w:shd w:fill="auto" w:val="clear"/>
            <w:vAlign w:val="center"/>
          </w:tcPr>
          <w:p>
            <w:pPr>
              <w:pStyle w:val="TableContents"/>
              <w:spacing w:before="0" w:after="283"/>
              <w:rPr/>
            </w:pPr>
            <w:r>
              <w:rPr/>
              <w:t>) </w:t>
            </w:r>
          </w:p>
        </w:tc>
      </w:tr>
      <w:tr>
        <w:trPr/>
        <w:tc>
          <w:tcPr>
            <w:tcW w:w="53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36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Net finance income/(costs)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29</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(1,322</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(513</w:t>
            </w:r>
          </w:p>
        </w:tc>
        <w:tc>
          <w:tcPr>
            <w:tcW w:w="170" w:type="dxa"/>
            <w:tcBorders/>
            <w:shd w:fill="CCEEFF" w:val="clear"/>
            <w:vAlign w:val="center"/>
          </w:tcPr>
          <w:p>
            <w:pPr>
              <w:pStyle w:val="TableContents"/>
              <w:spacing w:before="0" w:after="0"/>
              <w:rPr>
                <w:b/>
                <w:spacing w:val="0"/>
              </w:rPr>
            </w:pPr>
            <w:r>
              <w:rPr>
                <w:b/>
                <w:spacing w:val="0"/>
              </w:rPr>
              <w:t>) </w:t>
            </w:r>
          </w:p>
        </w:tc>
      </w:tr>
      <w:tr>
        <w:trPr/>
        <w:tc>
          <w:tcPr>
            <w:tcW w:w="53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3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Share of profit of equity-accounted investees, net of tax</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jc w:val="right"/>
              <w:rPr/>
            </w:pPr>
            <w:r>
              <w:rPr/>
              <w:t>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0</w:t>
            </w:r>
          </w:p>
        </w:tc>
        <w:tc>
          <w:tcPr>
            <w:tcW w:w="170" w:type="dxa"/>
            <w:tcBorders/>
            <w:shd w:fill="auto" w:val="clear"/>
            <w:vAlign w:val="center"/>
          </w:tcPr>
          <w:p>
            <w:pPr>
              <w:pStyle w:val="TableContents"/>
              <w:spacing w:before="0" w:after="283"/>
              <w:rPr/>
            </w:pPr>
            <w:r>
              <w:rPr/>
              <w:t> </w:t>
            </w:r>
          </w:p>
        </w:tc>
      </w:tr>
      <w:tr>
        <w:trPr/>
        <w:tc>
          <w:tcPr>
            <w:tcW w:w="53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36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Profit/(loss) before tax</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(73,806</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(43,686</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(19,770</w:t>
            </w:r>
          </w:p>
        </w:tc>
        <w:tc>
          <w:tcPr>
            <w:tcW w:w="170" w:type="dxa"/>
            <w:tcBorders/>
            <w:shd w:fill="CCEEFF" w:val="clear"/>
            <w:vAlign w:val="center"/>
          </w:tcPr>
          <w:p>
            <w:pPr>
              <w:pStyle w:val="TableContents"/>
              <w:spacing w:before="0" w:after="0"/>
              <w:rPr>
                <w:b/>
                <w:spacing w:val="0"/>
              </w:rPr>
            </w:pPr>
            <w:r>
              <w:rPr>
                <w:b/>
                <w:spacing w:val="0"/>
              </w:rPr>
              <w:t>) </w:t>
            </w:r>
          </w:p>
        </w:tc>
      </w:tr>
      <w:tr>
        <w:trPr/>
        <w:tc>
          <w:tcPr>
            <w:tcW w:w="53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3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Income tax expense</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(1,791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0</w:t>
            </w:r>
          </w:p>
        </w:tc>
        <w:tc>
          <w:tcPr>
            <w:tcW w:w="170" w:type="dxa"/>
            <w:tcBorders/>
            <w:shd w:fill="auto" w:val="clear"/>
            <w:vAlign w:val="center"/>
          </w:tcPr>
          <w:p>
            <w:pPr>
              <w:pStyle w:val="TableContents"/>
              <w:spacing w:before="0" w:after="283"/>
              <w:rPr/>
            </w:pPr>
            <w:r>
              <w:rPr/>
              <w:t> </w:t>
            </w:r>
          </w:p>
        </w:tc>
      </w:tr>
      <w:tr>
        <w:trPr/>
        <w:tc>
          <w:tcPr>
            <w:tcW w:w="53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36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Consolidated net profit/(loss)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(73,782</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(45,477</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(19,770</w:t>
            </w:r>
          </w:p>
        </w:tc>
        <w:tc>
          <w:tcPr>
            <w:tcW w:w="170" w:type="dxa"/>
            <w:tcBorders/>
            <w:shd w:fill="CCEEFF" w:val="clear"/>
            <w:vAlign w:val="center"/>
          </w:tcPr>
          <w:p>
            <w:pPr>
              <w:pStyle w:val="TableContents"/>
              <w:spacing w:before="0" w:after="0"/>
              <w:rPr>
                <w:b/>
                <w:spacing w:val="0"/>
              </w:rPr>
            </w:pPr>
            <w:r>
              <w:rPr>
                <w:b/>
                <w:spacing w:val="0"/>
              </w:rPr>
              <w:t>) </w:t>
            </w:r>
          </w:p>
        </w:tc>
      </w:tr>
      <w:tr>
        <w:trPr/>
        <w:tc>
          <w:tcPr>
            <w:tcW w:w="53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36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Other comprehensive income/(loss)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536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Items which may be subsequently reclassified to profit and loss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53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Foreign operations – foreign currency translation differences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(411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(498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367</w:t>
            </w:r>
          </w:p>
        </w:tc>
        <w:tc>
          <w:tcPr>
            <w:tcW w:w="170" w:type="dxa"/>
            <w:tcBorders/>
            <w:shd w:fill="auto" w:val="clear"/>
            <w:vAlign w:val="center"/>
          </w:tcPr>
          <w:p>
            <w:pPr>
              <w:pStyle w:val="TableContents"/>
              <w:spacing w:before="0" w:after="283"/>
              <w:rPr/>
            </w:pPr>
            <w:r>
              <w:rPr/>
              <w:t> </w:t>
            </w:r>
          </w:p>
        </w:tc>
      </w:tr>
      <w:tr>
        <w:trPr/>
        <w:tc>
          <w:tcPr>
            <w:tcW w:w="53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36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Other comprehensive income/(loss) for the period after tax</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(411</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(498</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367</w:t>
            </w:r>
          </w:p>
        </w:tc>
        <w:tc>
          <w:tcPr>
            <w:tcW w:w="170" w:type="dxa"/>
            <w:tcBorders/>
            <w:shd w:fill="CCEEFF" w:val="clear"/>
            <w:vAlign w:val="center"/>
          </w:tcPr>
          <w:p>
            <w:pPr>
              <w:pStyle w:val="TableContents"/>
              <w:spacing w:before="0" w:after="0"/>
              <w:rPr>
                <w:spacing w:val="0"/>
              </w:rPr>
            </w:pPr>
            <w:r>
              <w:rPr>
                <w:spacing w:val="0"/>
              </w:rPr>
              <w:t> </w:t>
            </w:r>
          </w:p>
        </w:tc>
      </w:tr>
      <w:tr>
        <w:trPr/>
        <w:tc>
          <w:tcPr>
            <w:tcW w:w="53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36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 comprehensive (loss) for the period</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980" w:type="dxa"/>
            <w:tcBorders/>
            <w:shd w:fill="auto" w:val="clear"/>
            <w:vAlign w:val="center"/>
          </w:tcPr>
          <w:p>
            <w:pPr>
              <w:pStyle w:val="TableContents"/>
              <w:spacing w:before="0" w:after="0"/>
              <w:jc w:val="right"/>
              <w:rPr>
                <w:b/>
                <w:spacing w:val="0"/>
              </w:rPr>
            </w:pPr>
            <w:r>
              <w:rPr>
                <w:b/>
                <w:spacing w:val="0"/>
              </w:rPr>
              <w:t>(74,193</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980" w:type="dxa"/>
            <w:tcBorders/>
            <w:shd w:fill="auto" w:val="clear"/>
            <w:vAlign w:val="center"/>
          </w:tcPr>
          <w:p>
            <w:pPr>
              <w:pStyle w:val="TableContents"/>
              <w:spacing w:before="0" w:after="0"/>
              <w:jc w:val="right"/>
              <w:rPr>
                <w:b/>
                <w:spacing w:val="0"/>
              </w:rPr>
            </w:pPr>
            <w:r>
              <w:rPr>
                <w:b/>
                <w:spacing w:val="0"/>
              </w:rPr>
              <w:t>(45,975</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980" w:type="dxa"/>
            <w:tcBorders/>
            <w:shd w:fill="auto" w:val="clear"/>
            <w:vAlign w:val="center"/>
          </w:tcPr>
          <w:p>
            <w:pPr>
              <w:pStyle w:val="TableContents"/>
              <w:spacing w:before="0" w:after="0"/>
              <w:jc w:val="right"/>
              <w:rPr>
                <w:b/>
                <w:spacing w:val="0"/>
              </w:rPr>
            </w:pPr>
            <w:r>
              <w:rPr>
                <w:b/>
                <w:spacing w:val="0"/>
              </w:rPr>
              <w:t>(19,403</w:t>
            </w:r>
          </w:p>
        </w:tc>
        <w:tc>
          <w:tcPr>
            <w:tcW w:w="170" w:type="dxa"/>
            <w:tcBorders/>
            <w:shd w:fill="auto" w:val="clear"/>
            <w:vAlign w:val="center"/>
          </w:tcPr>
          <w:p>
            <w:pPr>
              <w:pStyle w:val="TableContents"/>
              <w:spacing w:before="0" w:after="0"/>
              <w:rPr>
                <w:b/>
                <w:spacing w:val="0"/>
              </w:rPr>
            </w:pPr>
            <w:r>
              <w:rPr>
                <w:b/>
                <w:spacing w:val="0"/>
              </w:rPr>
              <w:t>) </w:t>
            </w:r>
          </w:p>
        </w:tc>
      </w:tr>
      <w:tr>
        <w:trPr/>
        <w:tc>
          <w:tcPr>
            <w:tcW w:w="53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3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Weighted average ordinary shares outstanding (basic and diluted)</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5,435,839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4,250,134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3,349,403</w:t>
            </w:r>
          </w:p>
        </w:tc>
        <w:tc>
          <w:tcPr>
            <w:tcW w:w="170" w:type="dxa"/>
            <w:tcBorders/>
            <w:shd w:fill="CCEEFF" w:val="clear"/>
            <w:vAlign w:val="center"/>
          </w:tcPr>
          <w:p>
            <w:pPr>
              <w:pStyle w:val="TableContents"/>
              <w:spacing w:before="0" w:after="283"/>
              <w:rPr/>
            </w:pPr>
            <w:r>
              <w:rPr/>
              <w:t> </w:t>
            </w:r>
          </w:p>
        </w:tc>
      </w:tr>
      <w:tr>
        <w:trPr/>
        <w:tc>
          <w:tcPr>
            <w:tcW w:w="53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Basic and diluted loss per share in EUR</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(13.57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(10.70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(5.90</w:t>
            </w:r>
          </w:p>
        </w:tc>
        <w:tc>
          <w:tcPr>
            <w:tcW w:w="170" w:type="dxa"/>
            <w:tcBorders/>
            <w:shd w:fill="auto" w:val="clear"/>
            <w:vAlign w:val="center"/>
          </w:tcPr>
          <w:p>
            <w:pPr>
              <w:pStyle w:val="TableContents"/>
              <w:spacing w:before="0" w:after="283"/>
              <w:rPr/>
            </w:pPr>
            <w:r>
              <w:rPr/>
              <w:t>)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The accompanying notes are an integral part of these consolidated financial statements.</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3</w:t>
      </w:r>
    </w:p>
    <w:p>
      <w:pPr>
        <w:pStyle w:val="HorizontalLine"/>
        <w:rPr/>
      </w:pPr>
      <w:r>
        <w:rPr/>
      </w:r>
    </w:p>
    <w:p>
      <w:pPr>
        <w:pStyle w:val="TextBody"/>
        <w:spacing w:before="0" w:after="0"/>
        <w:rPr/>
      </w:pPr>
      <w:hyperlink w:anchor="toc">
        <w:r>
          <w:rPr>
            <w:rStyle w:val="InternetLink"/>
            <w:highlight w:val="white"/>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rFonts w:ascii="Times New Roman" w:hAnsi="Times New Roman"/>
          <w:b/>
          <w:spacing w:val="0"/>
          <w:sz w:val="20"/>
        </w:rPr>
      </w:pPr>
      <w:r>
        <w:rPr>
          <w:rFonts w:ascii="Times New Roman" w:hAnsi="Times New Roman"/>
          <w:b/>
          <w:spacing w:val="0"/>
          <w:sz w:val="20"/>
        </w:rPr>
        <w:t>Consolidated statements of financial position as of December 31, 2022 and 2021</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sz w:val="24"/>
          <w:highlight w:val="white"/>
        </w:rPr>
      </w:pPr>
      <w:r>
        <w:rPr>
          <w:sz w:val="24"/>
          <w:highlight w:val="white"/>
        </w:rPr>
      </w:r>
    </w:p>
    <w:tbl>
      <w:tblPr>
        <w:tblW w:w="7378" w:type="dxa"/>
        <w:jc w:val="left"/>
        <w:tblInd w:w="0" w:type="dxa"/>
        <w:tblCellMar>
          <w:top w:w="0" w:type="dxa"/>
          <w:left w:w="0" w:type="dxa"/>
          <w:bottom w:w="0" w:type="dxa"/>
          <w:right w:w="0" w:type="dxa"/>
        </w:tblCellMar>
      </w:tblPr>
      <w:tblGrid>
        <w:gridCol w:w="3995"/>
        <w:gridCol w:w="120"/>
        <w:gridCol w:w="93"/>
        <w:gridCol w:w="407"/>
        <w:gridCol w:w="60"/>
        <w:gridCol w:w="120"/>
        <w:gridCol w:w="70"/>
        <w:gridCol w:w="1029"/>
        <w:gridCol w:w="155"/>
        <w:gridCol w:w="60"/>
        <w:gridCol w:w="76"/>
        <w:gridCol w:w="1023"/>
        <w:gridCol w:w="170"/>
      </w:tblGrid>
      <w:tr>
        <w:trPr/>
        <w:tc>
          <w:tcPr>
            <w:tcW w:w="39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995" w:type="dxa"/>
            <w:tcBorders/>
            <w:shd w:fill="auto" w:val="clear"/>
            <w:vAlign w:val="center"/>
          </w:tcPr>
          <w:p>
            <w:pPr>
              <w:pStyle w:val="TableContents"/>
              <w:spacing w:before="0" w:after="0"/>
              <w:rPr>
                <w:spacing w:val="0"/>
                <w:bdr w:val="single" w:sz="8" w:space="1" w:color="000000"/>
              </w:rPr>
            </w:pPr>
            <w:r>
              <w:rPr>
                <w:spacing w:val="0"/>
                <w:bdr w:val="single" w:sz="8" w:space="1" w:color="000000"/>
              </w:rPr>
              <w:t xml:space="preserve">€ </w:t>
            </w:r>
            <w:r>
              <w:rPr>
                <w:rFonts w:ascii="Times New Roman" w:hAnsi="Times New Roman"/>
                <w:spacing w:val="0"/>
                <w:sz w:val="16"/>
                <w:bdr w:val="single" w:sz="8" w:space="1" w:color="000000"/>
              </w:rPr>
              <w:t>thousand</w:t>
            </w:r>
          </w:p>
        </w:tc>
        <w:tc>
          <w:tcPr>
            <w:tcW w:w="120" w:type="dxa"/>
            <w:tcBorders/>
            <w:shd w:fill="auto" w:val="clear"/>
            <w:vAlign w:val="center"/>
          </w:tcPr>
          <w:p>
            <w:pPr>
              <w:pStyle w:val="TableContents"/>
              <w:spacing w:before="0" w:after="0"/>
              <w:rPr>
                <w:spacing w:val="0"/>
              </w:rPr>
            </w:pPr>
            <w:r>
              <w:rPr>
                <w:spacing w:val="0"/>
              </w:rPr>
              <w:t>  </w:t>
            </w:r>
          </w:p>
        </w:tc>
        <w:tc>
          <w:tcPr>
            <w:tcW w:w="500" w:type="dxa"/>
            <w:gridSpan w:val="2"/>
            <w:tcBorders/>
            <w:shd w:fill="auto" w:val="clear"/>
            <w:vAlign w:val="center"/>
          </w:tcPr>
          <w:p>
            <w:pPr>
              <w:pStyle w:val="TableContents"/>
              <w:spacing w:before="0" w:after="0"/>
              <w:jc w:val="center"/>
              <w:rPr>
                <w:b/>
                <w:spacing w:val="0"/>
              </w:rPr>
            </w:pPr>
            <w:r>
              <w:rPr>
                <w:b/>
                <w:spacing w:val="0"/>
              </w:rPr>
              <w:t>Note</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099" w:type="dxa"/>
            <w:gridSpan w:val="2"/>
            <w:tcBorders/>
            <w:shd w:fill="auto" w:val="clear"/>
            <w:vAlign w:val="center"/>
          </w:tcPr>
          <w:p>
            <w:pPr>
              <w:pStyle w:val="TableContents"/>
              <w:spacing w:before="0" w:after="0"/>
              <w:jc w:val="center"/>
              <w:rPr>
                <w:b/>
                <w:spacing w:val="0"/>
              </w:rPr>
            </w:pPr>
            <w:r>
              <w:rPr>
                <w:b/>
                <w:spacing w:val="0"/>
              </w:rPr>
              <w:t>12/31/2022</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099" w:type="dxa"/>
            <w:gridSpan w:val="2"/>
            <w:tcBorders/>
            <w:shd w:fill="auto" w:val="clear"/>
            <w:vAlign w:val="center"/>
          </w:tcPr>
          <w:p>
            <w:pPr>
              <w:pStyle w:val="TableContents"/>
              <w:spacing w:before="0" w:after="0"/>
              <w:jc w:val="center"/>
              <w:rPr>
                <w:b/>
                <w:spacing w:val="0"/>
              </w:rPr>
            </w:pPr>
            <w:r>
              <w:rPr>
                <w:b/>
                <w:spacing w:val="0"/>
              </w:rPr>
              <w:t>12/31/2021</w:t>
            </w:r>
          </w:p>
        </w:tc>
        <w:tc>
          <w:tcPr>
            <w:tcW w:w="170" w:type="dxa"/>
            <w:tcBorders/>
            <w:shd w:fill="auto" w:val="clear"/>
            <w:vAlign w:val="center"/>
          </w:tcPr>
          <w:p>
            <w:pPr>
              <w:pStyle w:val="TableContents"/>
              <w:spacing w:before="0" w:after="0"/>
              <w:rPr>
                <w:spacing w:val="0"/>
              </w:rPr>
            </w:pPr>
            <w:r>
              <w:rPr>
                <w:spacing w:val="0"/>
              </w:rPr>
              <w:t> </w:t>
            </w:r>
          </w:p>
        </w:tc>
      </w:tr>
      <w:tr>
        <w:trPr/>
        <w:tc>
          <w:tcPr>
            <w:tcW w:w="399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1029"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1023"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0"/>
              <w:rPr>
                <w:rFonts w:ascii="Times New Roman" w:hAnsi="Times New Roman"/>
                <w:b/>
                <w:i/>
                <w:caps w:val="false"/>
                <w:smallCaps w:val="false"/>
                <w:spacing w:val="0"/>
                <w:sz w:val="20"/>
              </w:rPr>
            </w:pPr>
            <w:r>
              <w:rPr>
                <w:rFonts w:ascii="Times New Roman" w:hAnsi="Times New Roman"/>
                <w:b/>
                <w:i/>
                <w:caps w:val="false"/>
                <w:smallCaps w:val="false"/>
                <w:spacing w:val="0"/>
                <w:sz w:val="20"/>
              </w:rPr>
              <w:t>Non-current</w:t>
            </w:r>
          </w:p>
          <w:p>
            <w:pPr>
              <w:pStyle w:val="TableContents"/>
              <w:spacing w:before="0" w:after="0"/>
              <w:rPr>
                <w:rFonts w:ascii="Times New Roman" w:hAnsi="Times New Roman"/>
                <w:b/>
                <w:i/>
                <w:caps w:val="false"/>
                <w:smallCaps w:val="false"/>
                <w:spacing w:val="0"/>
                <w:sz w:val="20"/>
              </w:rPr>
            </w:pPr>
            <w:r>
              <w:rPr>
                <w:rFonts w:ascii="Times New Roman" w:hAnsi="Times New Roman"/>
                <w:b/>
                <w:i/>
                <w:caps w:val="false"/>
                <w:smallCaps w:val="false"/>
                <w:spacing w:val="0"/>
                <w:sz w:val="20"/>
              </w:rPr>
              <w:t>assets</w:t>
            </w:r>
          </w:p>
        </w:tc>
        <w:tc>
          <w:tcPr>
            <w:tcW w:w="120" w:type="dxa"/>
            <w:tcBorders/>
            <w:shd w:fill="auto" w:val="clear"/>
            <w:vAlign w:val="center"/>
          </w:tcPr>
          <w:p>
            <w:pPr>
              <w:pStyle w:val="TableContents"/>
              <w:spacing w:before="0" w:after="0"/>
              <w:rPr/>
            </w:pPr>
            <w:r>
              <w:rPr/>
              <w:t> </w:t>
            </w:r>
          </w:p>
        </w:tc>
        <w:tc>
          <w:tcPr>
            <w:tcW w:w="93" w:type="dxa"/>
            <w:tcBorders/>
            <w:shd w:fill="auto" w:val="clear"/>
            <w:vAlign w:val="center"/>
          </w:tcPr>
          <w:p>
            <w:pPr>
              <w:pStyle w:val="TableContents"/>
              <w:spacing w:before="0" w:after="0"/>
              <w:rPr/>
            </w:pPr>
            <w:r>
              <w:rPr/>
              <w:t> </w:t>
            </w:r>
          </w:p>
        </w:tc>
        <w:tc>
          <w:tcPr>
            <w:tcW w:w="407" w:type="dxa"/>
            <w:tcBorders/>
            <w:shd w:fill="auto" w:val="clear"/>
            <w:vAlign w:val="center"/>
          </w:tcPr>
          <w:p>
            <w:pPr>
              <w:pStyle w:val="TableContents"/>
              <w:spacing w:before="0" w:after="0"/>
              <w:jc w:val="right"/>
              <w:rPr/>
            </w:pPr>
            <w:r>
              <w:rPr/>
              <w:t> </w:t>
            </w:r>
          </w:p>
        </w:tc>
        <w:tc>
          <w:tcPr>
            <w:tcW w:w="6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70" w:type="dxa"/>
            <w:tcBorders/>
            <w:shd w:fill="auto" w:val="clear"/>
            <w:vAlign w:val="center"/>
          </w:tcPr>
          <w:p>
            <w:pPr>
              <w:pStyle w:val="TableContents"/>
              <w:spacing w:before="0" w:after="0"/>
              <w:rPr/>
            </w:pPr>
            <w:r>
              <w:rPr/>
              <w:t> </w:t>
            </w:r>
          </w:p>
        </w:tc>
        <w:tc>
          <w:tcPr>
            <w:tcW w:w="1029" w:type="dxa"/>
            <w:tcBorders/>
            <w:shd w:fill="auto" w:val="clear"/>
            <w:vAlign w:val="center"/>
          </w:tcPr>
          <w:p>
            <w:pPr>
              <w:pStyle w:val="TableContents"/>
              <w:spacing w:before="0" w:after="0"/>
              <w:rPr/>
            </w:pPr>
            <w:r>
              <w:rPr/>
              <w:t> </w:t>
            </w:r>
          </w:p>
        </w:tc>
        <w:tc>
          <w:tcPr>
            <w:tcW w:w="15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76" w:type="dxa"/>
            <w:tcBorders/>
            <w:shd w:fill="auto" w:val="clear"/>
            <w:vAlign w:val="center"/>
          </w:tcPr>
          <w:p>
            <w:pPr>
              <w:pStyle w:val="TableContents"/>
              <w:spacing w:before="0" w:after="0"/>
              <w:rPr/>
            </w:pPr>
            <w:r>
              <w:rPr/>
              <w:t> </w:t>
            </w:r>
          </w:p>
        </w:tc>
        <w:tc>
          <w:tcPr>
            <w:tcW w:w="1023" w:type="dxa"/>
            <w:tcBorders/>
            <w:shd w:fill="auto" w:val="clear"/>
            <w:vAlign w:val="center"/>
          </w:tcPr>
          <w:p>
            <w:pPr>
              <w:pStyle w:val="TableContents"/>
              <w:spacing w:before="0" w:after="0"/>
              <w:rPr/>
            </w:pPr>
            <w:r>
              <w:rPr/>
              <w:t> </w:t>
            </w:r>
          </w:p>
        </w:tc>
        <w:tc>
          <w:tcPr>
            <w:tcW w:w="170" w:type="dxa"/>
            <w:tcBorders/>
            <w:shd w:fill="auto" w:val="clear"/>
            <w:vAlign w:val="center"/>
          </w:tcPr>
          <w:p>
            <w:pPr>
              <w:pStyle w:val="TableContents"/>
              <w:spacing w:before="0" w:after="0"/>
              <w:rPr/>
            </w:pPr>
            <w:r>
              <w:rPr/>
              <w:t> </w:t>
            </w:r>
          </w:p>
        </w:tc>
      </w:tr>
      <w:tr>
        <w:trPr/>
        <w:tc>
          <w:tcPr>
            <w:tcW w:w="39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Intangible assets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17.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1029" w:type="dxa"/>
            <w:tcBorders/>
            <w:shd w:fill="CCEEFF" w:val="clear"/>
            <w:vAlign w:val="center"/>
          </w:tcPr>
          <w:p>
            <w:pPr>
              <w:pStyle w:val="TableContents"/>
              <w:spacing w:before="0" w:after="283"/>
              <w:jc w:val="right"/>
              <w:rPr/>
            </w:pPr>
            <w:r>
              <w:rPr/>
              <w:t>18,058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1023" w:type="dxa"/>
            <w:tcBorders/>
            <w:shd w:fill="CCEEFF" w:val="clear"/>
            <w:vAlign w:val="center"/>
          </w:tcPr>
          <w:p>
            <w:pPr>
              <w:pStyle w:val="TableContents"/>
              <w:spacing w:before="0" w:after="283"/>
              <w:jc w:val="right"/>
              <w:rPr/>
            </w:pPr>
            <w:r>
              <w:rPr/>
              <w:t>19,969</w:t>
            </w:r>
          </w:p>
        </w:tc>
        <w:tc>
          <w:tcPr>
            <w:tcW w:w="170" w:type="dxa"/>
            <w:tcBorders/>
            <w:shd w:fill="CCEEFF"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Right-of-use</w:t>
            </w:r>
          </w:p>
          <w:p>
            <w:pPr>
              <w:pStyle w:val="TableContents"/>
              <w:spacing w:before="0" w:after="0"/>
              <w:rPr>
                <w:rFonts w:ascii="Times New Roman" w:hAnsi="Times New Roman"/>
                <w:sz w:val="20"/>
              </w:rPr>
            </w:pPr>
            <w:r>
              <w:rPr>
                <w:rFonts w:ascii="Times New Roman" w:hAnsi="Times New Roman"/>
                <w:sz w:val="20"/>
              </w:rPr>
              <w:t>assets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jc w:val="right"/>
              <w:rPr/>
            </w:pPr>
            <w:r>
              <w:rPr/>
              <w:t>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029" w:type="dxa"/>
            <w:tcBorders/>
            <w:shd w:fill="auto" w:val="clear"/>
            <w:vAlign w:val="center"/>
          </w:tcPr>
          <w:p>
            <w:pPr>
              <w:pStyle w:val="TableContents"/>
              <w:spacing w:before="0" w:after="283"/>
              <w:jc w:val="right"/>
              <w:rPr/>
            </w:pPr>
            <w:r>
              <w:rPr/>
              <w:t>8,782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23" w:type="dxa"/>
            <w:tcBorders/>
            <w:shd w:fill="auto" w:val="clear"/>
            <w:vAlign w:val="center"/>
          </w:tcPr>
          <w:p>
            <w:pPr>
              <w:pStyle w:val="TableContents"/>
              <w:spacing w:before="0" w:after="283"/>
              <w:jc w:val="right"/>
              <w:rPr/>
            </w:pPr>
            <w:r>
              <w:rPr/>
              <w:t>8,827</w:t>
            </w:r>
          </w:p>
        </w:tc>
        <w:tc>
          <w:tcPr>
            <w:tcW w:w="170"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Property, plant and equipment</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18.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1029" w:type="dxa"/>
            <w:tcBorders/>
            <w:shd w:fill="CCEEFF" w:val="clear"/>
            <w:vAlign w:val="center"/>
          </w:tcPr>
          <w:p>
            <w:pPr>
              <w:pStyle w:val="TableContents"/>
              <w:spacing w:before="0" w:after="283"/>
              <w:jc w:val="right"/>
              <w:rPr/>
            </w:pPr>
            <w:r>
              <w:rPr/>
              <w:t>22,309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1023" w:type="dxa"/>
            <w:tcBorders/>
            <w:shd w:fill="CCEEFF" w:val="clear"/>
            <w:vAlign w:val="center"/>
          </w:tcPr>
          <w:p>
            <w:pPr>
              <w:pStyle w:val="TableContents"/>
              <w:spacing w:before="0" w:after="283"/>
              <w:jc w:val="right"/>
              <w:rPr/>
            </w:pPr>
            <w:r>
              <w:rPr/>
              <w:t>16,768</w:t>
            </w:r>
          </w:p>
        </w:tc>
        <w:tc>
          <w:tcPr>
            <w:tcW w:w="170" w:type="dxa"/>
            <w:tcBorders/>
            <w:shd w:fill="CCEEFF"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Equity-accounted investees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jc w:val="right"/>
              <w:rPr/>
            </w:pPr>
            <w:r>
              <w:rPr/>
              <w:t>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029" w:type="dxa"/>
            <w:tcBorders/>
            <w:shd w:fill="auto" w:val="clear"/>
            <w:vAlign w:val="center"/>
          </w:tcPr>
          <w:p>
            <w:pPr>
              <w:pStyle w:val="TableContents"/>
              <w:spacing w:before="0" w:after="283"/>
              <w:jc w:val="right"/>
              <w:rPr/>
            </w:pPr>
            <w:r>
              <w:rPr/>
              <w:t>355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23" w:type="dxa"/>
            <w:tcBorders/>
            <w:shd w:fill="auto" w:val="clear"/>
            <w:vAlign w:val="center"/>
          </w:tcPr>
          <w:p>
            <w:pPr>
              <w:pStyle w:val="TableContents"/>
              <w:spacing w:before="0" w:after="283"/>
              <w:jc w:val="right"/>
              <w:rPr/>
            </w:pPr>
            <w:r>
              <w:rPr/>
              <w:t>0</w:t>
            </w:r>
          </w:p>
        </w:tc>
        <w:tc>
          <w:tcPr>
            <w:tcW w:w="170"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Other </w:t>
            </w:r>
          </w:p>
          <w:p>
            <w:pPr>
              <w:pStyle w:val="TableContents"/>
              <w:spacing w:before="0" w:after="0"/>
              <w:rPr>
                <w:rFonts w:ascii="Times New Roman" w:hAnsi="Times New Roman"/>
                <w:spacing w:val="0"/>
                <w:sz w:val="20"/>
              </w:rPr>
            </w:pPr>
            <w:r>
              <w:rPr>
                <w:rFonts w:ascii="Times New Roman" w:hAnsi="Times New Roman"/>
                <w:spacing w:val="0"/>
                <w:sz w:val="20"/>
              </w:rPr>
              <w:t>non-current</w:t>
            </w:r>
          </w:p>
          <w:p>
            <w:pPr>
              <w:pStyle w:val="TableContents"/>
              <w:spacing w:before="0" w:after="0"/>
              <w:rPr>
                <w:rFonts w:ascii="Times New Roman" w:hAnsi="Times New Roman"/>
                <w:sz w:val="20"/>
              </w:rPr>
            </w:pPr>
            <w:r>
              <w:rPr>
                <w:rFonts w:ascii="Times New Roman" w:hAnsi="Times New Roman"/>
                <w:sz w:val="20"/>
              </w:rPr>
              <w:t>financial assets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23.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1029" w:type="dxa"/>
            <w:tcBorders/>
            <w:shd w:fill="CCEEFF" w:val="clear"/>
            <w:vAlign w:val="center"/>
          </w:tcPr>
          <w:p>
            <w:pPr>
              <w:pStyle w:val="TableContents"/>
              <w:spacing w:before="0" w:after="283"/>
              <w:jc w:val="right"/>
              <w:rPr/>
            </w:pPr>
            <w:r>
              <w:rPr/>
              <w:t>449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1023" w:type="dxa"/>
            <w:tcBorders/>
            <w:shd w:fill="CCEEFF" w:val="clear"/>
            <w:vAlign w:val="center"/>
          </w:tcPr>
          <w:p>
            <w:pPr>
              <w:pStyle w:val="TableContents"/>
              <w:spacing w:before="0" w:after="283"/>
              <w:jc w:val="right"/>
              <w:rPr/>
            </w:pPr>
            <w:r>
              <w:rPr/>
              <w:t>411</w:t>
            </w:r>
          </w:p>
        </w:tc>
        <w:tc>
          <w:tcPr>
            <w:tcW w:w="170" w:type="dxa"/>
            <w:tcBorders/>
            <w:shd w:fill="CCEEFF"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2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0"/>
              <w:rPr>
                <w:bdr w:val="single" w:sz="2" w:space="1" w:color="000000"/>
              </w:rPr>
            </w:pPr>
            <w:r>
              <w:rPr>
                <w:bdr w:val="single" w:sz="2" w:space="1" w:color="000000"/>
              </w:rPr>
              <w:t> </w:t>
            </w:r>
          </w:p>
        </w:tc>
        <w:tc>
          <w:tcPr>
            <w:tcW w:w="1023"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0"/>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Total </w:t>
            </w:r>
          </w:p>
          <w:p>
            <w:pPr>
              <w:pStyle w:val="TableContents"/>
              <w:spacing w:before="0" w:after="0"/>
              <w:rPr>
                <w:rFonts w:ascii="Times New Roman" w:hAnsi="Times New Roman"/>
                <w:b/>
                <w:i/>
                <w:caps w:val="false"/>
                <w:smallCaps w:val="false"/>
                <w:spacing w:val="0"/>
                <w:sz w:val="20"/>
              </w:rPr>
            </w:pPr>
            <w:r>
              <w:rPr>
                <w:rFonts w:ascii="Times New Roman" w:hAnsi="Times New Roman"/>
                <w:b/>
                <w:i/>
                <w:caps w:val="false"/>
                <w:smallCaps w:val="false"/>
                <w:spacing w:val="0"/>
                <w:sz w:val="20"/>
              </w:rPr>
              <w:t>Non-current</w:t>
            </w:r>
          </w:p>
          <w:p>
            <w:pPr>
              <w:pStyle w:val="TableContents"/>
              <w:spacing w:before="0" w:after="0"/>
              <w:rPr>
                <w:rFonts w:ascii="Times New Roman" w:hAnsi="Times New Roman"/>
                <w:b/>
                <w:i/>
                <w:caps w:val="false"/>
                <w:smallCaps w:val="false"/>
                <w:spacing w:val="0"/>
                <w:sz w:val="20"/>
              </w:rPr>
            </w:pPr>
            <w:r>
              <w:rPr>
                <w:rFonts w:ascii="Times New Roman" w:hAnsi="Times New Roman"/>
                <w:b/>
                <w:i/>
                <w:caps w:val="false"/>
                <w:smallCaps w:val="false"/>
                <w:spacing w:val="0"/>
                <w:sz w:val="20"/>
              </w:rPr>
              <w:t>assets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0"/>
              <w:rPr>
                <w:spacing w:val="0"/>
              </w:rPr>
            </w:pPr>
            <w:r>
              <w:rPr>
                <w:spacing w:val="0"/>
              </w:rPr>
              <w:t> </w:t>
            </w:r>
          </w:p>
        </w:tc>
        <w:tc>
          <w:tcPr>
            <w:tcW w:w="1029" w:type="dxa"/>
            <w:tcBorders/>
            <w:shd w:fill="auto" w:val="clear"/>
            <w:vAlign w:val="center"/>
          </w:tcPr>
          <w:p>
            <w:pPr>
              <w:pStyle w:val="TableContents"/>
              <w:spacing w:before="0" w:after="0"/>
              <w:jc w:val="right"/>
              <w:rPr>
                <w:b/>
                <w:spacing w:val="0"/>
              </w:rPr>
            </w:pPr>
            <w:r>
              <w:rPr>
                <w:b/>
                <w:spacing w:val="0"/>
              </w:rPr>
              <w:t>49,953</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0"/>
              <w:rPr>
                <w:spacing w:val="0"/>
              </w:rPr>
            </w:pPr>
            <w:r>
              <w:rPr>
                <w:spacing w:val="0"/>
              </w:rPr>
              <w:t> </w:t>
            </w:r>
          </w:p>
        </w:tc>
        <w:tc>
          <w:tcPr>
            <w:tcW w:w="1023" w:type="dxa"/>
            <w:tcBorders/>
            <w:shd w:fill="auto" w:val="clear"/>
            <w:vAlign w:val="center"/>
          </w:tcPr>
          <w:p>
            <w:pPr>
              <w:pStyle w:val="TableContents"/>
              <w:spacing w:before="0" w:after="0"/>
              <w:jc w:val="right"/>
              <w:rPr>
                <w:b/>
                <w:spacing w:val="0"/>
              </w:rPr>
            </w:pPr>
            <w:r>
              <w:rPr>
                <w:b/>
                <w:spacing w:val="0"/>
              </w:rPr>
              <w:t>45,975</w:t>
            </w:r>
          </w:p>
        </w:tc>
        <w:tc>
          <w:tcPr>
            <w:tcW w:w="170" w:type="dxa"/>
            <w:tcBorders/>
            <w:shd w:fill="auto" w:val="clear"/>
            <w:vAlign w:val="center"/>
          </w:tcPr>
          <w:p>
            <w:pPr>
              <w:pStyle w:val="TableContents"/>
              <w:spacing w:before="0" w:after="0"/>
              <w:rPr>
                <w:spacing w:val="0"/>
              </w:rPr>
            </w:pPr>
            <w:r>
              <w:rPr>
                <w:spacing w:val="0"/>
              </w:rPr>
              <w:t> </w:t>
            </w:r>
          </w:p>
        </w:tc>
      </w:tr>
      <w:tr>
        <w:trPr/>
        <w:tc>
          <w:tcPr>
            <w:tcW w:w="4615" w:type="dxa"/>
            <w:gridSpan w:val="4"/>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2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0"/>
              <w:rPr>
                <w:bdr w:val="single" w:sz="2" w:space="1" w:color="000000"/>
              </w:rPr>
            </w:pPr>
            <w:r>
              <w:rPr>
                <w:bdr w:val="single" w:sz="2" w:space="1" w:color="000000"/>
              </w:rPr>
              <w:t> </w:t>
            </w:r>
          </w:p>
        </w:tc>
        <w:tc>
          <w:tcPr>
            <w:tcW w:w="1023"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Current assets</w:t>
            </w:r>
          </w:p>
        </w:tc>
        <w:tc>
          <w:tcPr>
            <w:tcW w:w="120" w:type="dxa"/>
            <w:tcBorders/>
            <w:shd w:fill="CCEEFF" w:val="clear"/>
            <w:vAlign w:val="center"/>
          </w:tcPr>
          <w:p>
            <w:pPr>
              <w:pStyle w:val="TableContents"/>
              <w:spacing w:before="0" w:after="0"/>
              <w:rPr/>
            </w:pPr>
            <w:r>
              <w:rPr/>
              <w:t> </w:t>
            </w:r>
          </w:p>
        </w:tc>
        <w:tc>
          <w:tcPr>
            <w:tcW w:w="93" w:type="dxa"/>
            <w:tcBorders/>
            <w:shd w:fill="CCEEFF" w:val="clear"/>
            <w:vAlign w:val="center"/>
          </w:tcPr>
          <w:p>
            <w:pPr>
              <w:pStyle w:val="TableContents"/>
              <w:spacing w:before="0" w:after="0"/>
              <w:rPr/>
            </w:pPr>
            <w:r>
              <w:rPr/>
              <w:t> </w:t>
            </w:r>
          </w:p>
        </w:tc>
        <w:tc>
          <w:tcPr>
            <w:tcW w:w="407" w:type="dxa"/>
            <w:tcBorders/>
            <w:shd w:fill="CCEEFF" w:val="clear"/>
            <w:vAlign w:val="center"/>
          </w:tcPr>
          <w:p>
            <w:pPr>
              <w:pStyle w:val="TableContents"/>
              <w:spacing w:before="0" w:after="0"/>
              <w:jc w:val="right"/>
              <w:rPr/>
            </w:pPr>
            <w:r>
              <w:rPr/>
              <w:t> </w:t>
            </w:r>
          </w:p>
        </w:tc>
        <w:tc>
          <w:tcPr>
            <w:tcW w:w="60" w:type="dxa"/>
            <w:tcBorders/>
            <w:shd w:fill="CCEEFF" w:val="clear"/>
            <w:vAlign w:val="center"/>
          </w:tcPr>
          <w:p>
            <w:pPr>
              <w:pStyle w:val="TableContents"/>
              <w:spacing w:before="0" w:after="0"/>
              <w:rPr/>
            </w:pPr>
            <w:r>
              <w:rPr/>
              <w:t> </w:t>
            </w:r>
          </w:p>
        </w:tc>
        <w:tc>
          <w:tcPr>
            <w:tcW w:w="120" w:type="dxa"/>
            <w:tcBorders/>
            <w:shd w:fill="CCEEFF" w:val="clear"/>
            <w:vAlign w:val="center"/>
          </w:tcPr>
          <w:p>
            <w:pPr>
              <w:pStyle w:val="TableContents"/>
              <w:spacing w:before="0" w:after="0"/>
              <w:rPr/>
            </w:pPr>
            <w:r>
              <w:rPr/>
              <w:t> </w:t>
            </w:r>
          </w:p>
        </w:tc>
        <w:tc>
          <w:tcPr>
            <w:tcW w:w="70" w:type="dxa"/>
            <w:tcBorders/>
            <w:shd w:fill="CCEEFF" w:val="clear"/>
            <w:vAlign w:val="center"/>
          </w:tcPr>
          <w:p>
            <w:pPr>
              <w:pStyle w:val="TableContents"/>
              <w:spacing w:before="0" w:after="0"/>
              <w:rPr/>
            </w:pPr>
            <w:r>
              <w:rPr/>
              <w:t> </w:t>
            </w:r>
          </w:p>
        </w:tc>
        <w:tc>
          <w:tcPr>
            <w:tcW w:w="1029" w:type="dxa"/>
            <w:tcBorders/>
            <w:shd w:fill="CCEEFF" w:val="clear"/>
            <w:vAlign w:val="center"/>
          </w:tcPr>
          <w:p>
            <w:pPr>
              <w:pStyle w:val="TableContents"/>
              <w:spacing w:before="0" w:after="0"/>
              <w:rPr/>
            </w:pPr>
            <w:r>
              <w:rPr/>
              <w:t> </w:t>
            </w:r>
          </w:p>
        </w:tc>
        <w:tc>
          <w:tcPr>
            <w:tcW w:w="155" w:type="dxa"/>
            <w:tcBorders/>
            <w:shd w:fill="CCEEFF" w:val="clear"/>
            <w:vAlign w:val="center"/>
          </w:tcPr>
          <w:p>
            <w:pPr>
              <w:pStyle w:val="TableContents"/>
              <w:spacing w:before="0" w:after="0"/>
              <w:rPr/>
            </w:pPr>
            <w:r>
              <w:rPr/>
              <w:t> </w:t>
            </w:r>
          </w:p>
        </w:tc>
        <w:tc>
          <w:tcPr>
            <w:tcW w:w="60" w:type="dxa"/>
            <w:tcBorders/>
            <w:shd w:fill="CCEEFF" w:val="clear"/>
            <w:vAlign w:val="center"/>
          </w:tcPr>
          <w:p>
            <w:pPr>
              <w:pStyle w:val="TableContents"/>
              <w:spacing w:before="0" w:after="0"/>
              <w:rPr/>
            </w:pPr>
            <w:r>
              <w:rPr/>
              <w:t> </w:t>
            </w:r>
          </w:p>
        </w:tc>
        <w:tc>
          <w:tcPr>
            <w:tcW w:w="76" w:type="dxa"/>
            <w:tcBorders/>
            <w:shd w:fill="CCEEFF" w:val="clear"/>
            <w:vAlign w:val="center"/>
          </w:tcPr>
          <w:p>
            <w:pPr>
              <w:pStyle w:val="TableContents"/>
              <w:spacing w:before="0" w:after="0"/>
              <w:rPr/>
            </w:pPr>
            <w:r>
              <w:rPr/>
              <w:t> </w:t>
            </w:r>
          </w:p>
        </w:tc>
        <w:tc>
          <w:tcPr>
            <w:tcW w:w="1023" w:type="dxa"/>
            <w:tcBorders/>
            <w:shd w:fill="CCEEFF" w:val="clear"/>
            <w:vAlign w:val="center"/>
          </w:tcPr>
          <w:p>
            <w:pPr>
              <w:pStyle w:val="TableContents"/>
              <w:spacing w:before="0" w:after="0"/>
              <w:rPr/>
            </w:pPr>
            <w:r>
              <w:rPr/>
              <w:t> </w:t>
            </w:r>
          </w:p>
        </w:tc>
        <w:tc>
          <w:tcPr>
            <w:tcW w:w="170" w:type="dxa"/>
            <w:tcBorders/>
            <w:shd w:fill="CCEEFF" w:val="clear"/>
            <w:vAlign w:val="center"/>
          </w:tcPr>
          <w:p>
            <w:pPr>
              <w:pStyle w:val="TableContents"/>
              <w:spacing w:before="0" w:after="0"/>
              <w:rPr/>
            </w:pPr>
            <w:r>
              <w:rPr/>
              <w:t> </w:t>
            </w:r>
          </w:p>
        </w:tc>
      </w:tr>
      <w:tr>
        <w:trPr/>
        <w:tc>
          <w:tcPr>
            <w:tcW w:w="39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Inventories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jc w:val="right"/>
              <w:rPr/>
            </w:pPr>
            <w:r>
              <w:rPr/>
              <w:t>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029" w:type="dxa"/>
            <w:tcBorders/>
            <w:shd w:fill="auto" w:val="clear"/>
            <w:vAlign w:val="center"/>
          </w:tcPr>
          <w:p>
            <w:pPr>
              <w:pStyle w:val="TableContents"/>
              <w:spacing w:before="0" w:after="283"/>
              <w:jc w:val="right"/>
              <w:rPr/>
            </w:pPr>
            <w:r>
              <w:rPr/>
              <w:t>13,348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23" w:type="dxa"/>
            <w:tcBorders/>
            <w:shd w:fill="auto" w:val="clear"/>
            <w:vAlign w:val="center"/>
          </w:tcPr>
          <w:p>
            <w:pPr>
              <w:pStyle w:val="TableContents"/>
              <w:spacing w:before="0" w:after="283"/>
              <w:jc w:val="right"/>
              <w:rPr/>
            </w:pPr>
            <w:r>
              <w:rPr/>
              <w:t>8,399</w:t>
            </w:r>
          </w:p>
        </w:tc>
        <w:tc>
          <w:tcPr>
            <w:tcW w:w="170"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Trade receivables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1029" w:type="dxa"/>
            <w:tcBorders/>
            <w:shd w:fill="CCEEFF" w:val="clear"/>
            <w:vAlign w:val="center"/>
          </w:tcPr>
          <w:p>
            <w:pPr>
              <w:pStyle w:val="TableContents"/>
              <w:spacing w:before="0" w:after="283"/>
              <w:jc w:val="right"/>
              <w:rPr/>
            </w:pPr>
            <w:r>
              <w:rPr/>
              <w:t>1,101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1023" w:type="dxa"/>
            <w:tcBorders/>
            <w:shd w:fill="CCEEFF" w:val="clear"/>
            <w:vAlign w:val="center"/>
          </w:tcPr>
          <w:p>
            <w:pPr>
              <w:pStyle w:val="TableContents"/>
              <w:spacing w:before="0" w:after="283"/>
              <w:jc w:val="right"/>
              <w:rPr/>
            </w:pPr>
            <w:r>
              <w:rPr/>
              <w:t>0</w:t>
            </w:r>
          </w:p>
        </w:tc>
        <w:tc>
          <w:tcPr>
            <w:tcW w:w="170" w:type="dxa"/>
            <w:tcBorders/>
            <w:shd w:fill="CCEEFF"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Other financial and </w:t>
            </w:r>
          </w:p>
          <w:p>
            <w:pPr>
              <w:pStyle w:val="TableContents"/>
              <w:spacing w:before="0" w:after="0"/>
              <w:rPr>
                <w:rFonts w:ascii="Times New Roman" w:hAnsi="Times New Roman"/>
                <w:spacing w:val="0"/>
                <w:sz w:val="20"/>
              </w:rPr>
            </w:pPr>
            <w:r>
              <w:rPr>
                <w:rFonts w:ascii="Times New Roman" w:hAnsi="Times New Roman"/>
                <w:spacing w:val="0"/>
                <w:sz w:val="20"/>
              </w:rPr>
              <w:t>non-financial</w:t>
            </w:r>
          </w:p>
          <w:p>
            <w:pPr>
              <w:pStyle w:val="TableContents"/>
              <w:spacing w:before="0" w:after="0"/>
              <w:rPr>
                <w:rFonts w:ascii="Times New Roman" w:hAnsi="Times New Roman"/>
                <w:sz w:val="20"/>
              </w:rPr>
            </w:pPr>
            <w:r>
              <w:rPr>
                <w:rFonts w:ascii="Times New Roman" w:hAnsi="Times New Roman"/>
                <w:sz w:val="20"/>
              </w:rPr>
              <w:t>assets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jc w:val="right"/>
              <w:rPr/>
            </w:pPr>
            <w:r>
              <w:rPr/>
              <w:t>23.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029" w:type="dxa"/>
            <w:tcBorders/>
            <w:shd w:fill="auto" w:val="clear"/>
            <w:vAlign w:val="center"/>
          </w:tcPr>
          <w:p>
            <w:pPr>
              <w:pStyle w:val="TableContents"/>
              <w:spacing w:before="0" w:after="283"/>
              <w:jc w:val="right"/>
              <w:rPr/>
            </w:pPr>
            <w:r>
              <w:rPr/>
              <w:t>5,681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23" w:type="dxa"/>
            <w:tcBorders/>
            <w:shd w:fill="auto" w:val="clear"/>
            <w:vAlign w:val="center"/>
          </w:tcPr>
          <w:p>
            <w:pPr>
              <w:pStyle w:val="TableContents"/>
              <w:spacing w:before="0" w:after="283"/>
              <w:jc w:val="right"/>
              <w:rPr/>
            </w:pPr>
            <w:r>
              <w:rPr/>
              <w:t>5,512</w:t>
            </w:r>
          </w:p>
        </w:tc>
        <w:tc>
          <w:tcPr>
            <w:tcW w:w="170"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24.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1029" w:type="dxa"/>
            <w:tcBorders/>
            <w:shd w:fill="CCEEFF" w:val="clear"/>
            <w:vAlign w:val="center"/>
          </w:tcPr>
          <w:p>
            <w:pPr>
              <w:pStyle w:val="TableContents"/>
              <w:spacing w:before="0" w:after="283"/>
              <w:jc w:val="right"/>
              <w:rPr/>
            </w:pPr>
            <w:r>
              <w:rPr/>
              <w:t>10,238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1023" w:type="dxa"/>
            <w:tcBorders/>
            <w:shd w:fill="CCEEFF" w:val="clear"/>
            <w:vAlign w:val="center"/>
          </w:tcPr>
          <w:p>
            <w:pPr>
              <w:pStyle w:val="TableContents"/>
              <w:spacing w:before="0" w:after="283"/>
              <w:jc w:val="right"/>
              <w:rPr/>
            </w:pPr>
            <w:r>
              <w:rPr/>
              <w:t>48,143</w:t>
            </w:r>
          </w:p>
        </w:tc>
        <w:tc>
          <w:tcPr>
            <w:tcW w:w="170" w:type="dxa"/>
            <w:tcBorders/>
            <w:shd w:fill="CCEEFF"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2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0"/>
              <w:rPr>
                <w:bdr w:val="single" w:sz="2" w:space="1" w:color="000000"/>
              </w:rPr>
            </w:pPr>
            <w:r>
              <w:rPr>
                <w:bdr w:val="single" w:sz="2" w:space="1" w:color="000000"/>
              </w:rPr>
              <w:t> </w:t>
            </w:r>
          </w:p>
        </w:tc>
        <w:tc>
          <w:tcPr>
            <w:tcW w:w="1023"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0"/>
              <w:rPr>
                <w:rFonts w:ascii="Times New Roman" w:hAnsi="Times New Roman"/>
                <w:b/>
                <w:i/>
                <w:caps w:val="false"/>
                <w:smallCaps w:val="false"/>
                <w:spacing w:val="0"/>
                <w:sz w:val="20"/>
              </w:rPr>
            </w:pPr>
            <w:r>
              <w:rPr>
                <w:rFonts w:ascii="Times New Roman" w:hAnsi="Times New Roman"/>
                <w:b/>
                <w:i/>
                <w:caps w:val="false"/>
                <w:smallCaps w:val="false"/>
                <w:spacing w:val="0"/>
                <w:sz w:val="20"/>
              </w:rPr>
              <w:t>Total current assets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0"/>
              <w:rPr>
                <w:spacing w:val="0"/>
              </w:rPr>
            </w:pPr>
            <w:r>
              <w:rPr>
                <w:spacing w:val="0"/>
              </w:rPr>
              <w:t> </w:t>
            </w:r>
          </w:p>
        </w:tc>
        <w:tc>
          <w:tcPr>
            <w:tcW w:w="1029" w:type="dxa"/>
            <w:tcBorders/>
            <w:shd w:fill="auto" w:val="clear"/>
            <w:vAlign w:val="center"/>
          </w:tcPr>
          <w:p>
            <w:pPr>
              <w:pStyle w:val="TableContents"/>
              <w:spacing w:before="0" w:after="0"/>
              <w:jc w:val="right"/>
              <w:rPr>
                <w:b/>
                <w:spacing w:val="0"/>
              </w:rPr>
            </w:pPr>
            <w:r>
              <w:rPr>
                <w:b/>
                <w:spacing w:val="0"/>
              </w:rPr>
              <w:t>30,368</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0"/>
              <w:rPr>
                <w:spacing w:val="0"/>
              </w:rPr>
            </w:pPr>
            <w:r>
              <w:rPr>
                <w:spacing w:val="0"/>
              </w:rPr>
              <w:t> </w:t>
            </w:r>
          </w:p>
        </w:tc>
        <w:tc>
          <w:tcPr>
            <w:tcW w:w="1023" w:type="dxa"/>
            <w:tcBorders/>
            <w:shd w:fill="auto" w:val="clear"/>
            <w:vAlign w:val="center"/>
          </w:tcPr>
          <w:p>
            <w:pPr>
              <w:pStyle w:val="TableContents"/>
              <w:spacing w:before="0" w:after="0"/>
              <w:jc w:val="right"/>
              <w:rPr>
                <w:b/>
                <w:spacing w:val="0"/>
              </w:rPr>
            </w:pPr>
            <w:r>
              <w:rPr>
                <w:b/>
                <w:spacing w:val="0"/>
              </w:rPr>
              <w:t>62,054</w:t>
            </w:r>
          </w:p>
        </w:tc>
        <w:tc>
          <w:tcPr>
            <w:tcW w:w="170" w:type="dxa"/>
            <w:tcBorders/>
            <w:shd w:fill="auto" w:val="clear"/>
            <w:vAlign w:val="center"/>
          </w:tcPr>
          <w:p>
            <w:pPr>
              <w:pStyle w:val="TableContents"/>
              <w:spacing w:before="0" w:after="0"/>
              <w:rPr>
                <w:spacing w:val="0"/>
              </w:rPr>
            </w:pPr>
            <w:r>
              <w:rPr>
                <w:spacing w:val="0"/>
              </w:rPr>
              <w:t> </w:t>
            </w:r>
          </w:p>
        </w:tc>
      </w:tr>
      <w:tr>
        <w:trPr/>
        <w:tc>
          <w:tcPr>
            <w:tcW w:w="4615" w:type="dxa"/>
            <w:gridSpan w:val="4"/>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2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0"/>
              <w:rPr>
                <w:bdr w:val="single" w:sz="2" w:space="1" w:color="000000"/>
              </w:rPr>
            </w:pPr>
            <w:r>
              <w:rPr>
                <w:bdr w:val="single" w:sz="2" w:space="1" w:color="000000"/>
              </w:rPr>
              <w:t> </w:t>
            </w:r>
          </w:p>
        </w:tc>
        <w:tc>
          <w:tcPr>
            <w:tcW w:w="1023"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 ASSETS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0"/>
              <w:rPr>
                <w:spacing w:val="0"/>
              </w:rPr>
            </w:pPr>
            <w:r>
              <w:rPr>
                <w:spacing w:val="0"/>
              </w:rPr>
              <w:t> </w:t>
            </w:r>
          </w:p>
        </w:tc>
        <w:tc>
          <w:tcPr>
            <w:tcW w:w="1029" w:type="dxa"/>
            <w:tcBorders/>
            <w:shd w:fill="CCEEFF" w:val="clear"/>
            <w:vAlign w:val="center"/>
          </w:tcPr>
          <w:p>
            <w:pPr>
              <w:pStyle w:val="TableContents"/>
              <w:spacing w:before="0" w:after="0"/>
              <w:jc w:val="right"/>
              <w:rPr>
                <w:b/>
                <w:spacing w:val="0"/>
              </w:rPr>
            </w:pPr>
            <w:r>
              <w:rPr>
                <w:b/>
                <w:spacing w:val="0"/>
              </w:rPr>
              <w:t>80,321</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0"/>
              <w:rPr>
                <w:spacing w:val="0"/>
              </w:rPr>
            </w:pPr>
            <w:r>
              <w:rPr>
                <w:spacing w:val="0"/>
              </w:rPr>
              <w:t> </w:t>
            </w:r>
          </w:p>
        </w:tc>
        <w:tc>
          <w:tcPr>
            <w:tcW w:w="1023" w:type="dxa"/>
            <w:tcBorders/>
            <w:shd w:fill="CCEEFF" w:val="clear"/>
            <w:vAlign w:val="center"/>
          </w:tcPr>
          <w:p>
            <w:pPr>
              <w:pStyle w:val="TableContents"/>
              <w:spacing w:before="0" w:after="0"/>
              <w:jc w:val="right"/>
              <w:rPr>
                <w:b/>
                <w:spacing w:val="0"/>
              </w:rPr>
            </w:pPr>
            <w:r>
              <w:rPr>
                <w:b/>
                <w:spacing w:val="0"/>
              </w:rPr>
              <w:t>108,029</w:t>
            </w:r>
          </w:p>
        </w:tc>
        <w:tc>
          <w:tcPr>
            <w:tcW w:w="170" w:type="dxa"/>
            <w:tcBorders/>
            <w:shd w:fill="CCEEFF" w:val="clear"/>
            <w:vAlign w:val="center"/>
          </w:tcPr>
          <w:p>
            <w:pPr>
              <w:pStyle w:val="TableContents"/>
              <w:spacing w:before="0" w:after="0"/>
              <w:rPr>
                <w:spacing w:val="0"/>
              </w:rPr>
            </w:pPr>
            <w:r>
              <w:rPr>
                <w:spacing w:val="0"/>
              </w:rPr>
              <w:t> </w:t>
            </w:r>
          </w:p>
        </w:tc>
      </w:tr>
      <w:tr>
        <w:trPr/>
        <w:tc>
          <w:tcPr>
            <w:tcW w:w="4615" w:type="dxa"/>
            <w:gridSpan w:val="4"/>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2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0"/>
              <w:rPr>
                <w:bdr w:val="single" w:sz="2" w:space="1" w:color="000000"/>
              </w:rPr>
            </w:pPr>
            <w:r>
              <w:rPr>
                <w:bdr w:val="single" w:sz="2" w:space="1" w:color="000000"/>
              </w:rPr>
              <w:t> </w:t>
            </w:r>
          </w:p>
        </w:tc>
        <w:tc>
          <w:tcPr>
            <w:tcW w:w="1023"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283"/>
              <w:rPr/>
            </w:pPr>
            <w:r>
              <w:rPr/>
              <w:t> </w:t>
            </w:r>
          </w:p>
        </w:tc>
        <w:tc>
          <w:tcPr>
            <w:tcW w:w="680" w:type="dxa"/>
            <w:gridSpan w:val="4"/>
            <w:tcBorders/>
            <w:shd w:fill="auto" w:val="clear"/>
            <w:vAlign w:val="center"/>
          </w:tcPr>
          <w:p>
            <w:pPr>
              <w:pStyle w:val="TableContents"/>
              <w:spacing w:before="0" w:after="283"/>
              <w:rPr/>
            </w:pPr>
            <w:r>
              <w:rPr/>
              <w:t> </w:t>
            </w:r>
          </w:p>
        </w:tc>
        <w:tc>
          <w:tcPr>
            <w:tcW w:w="1374" w:type="dxa"/>
            <w:gridSpan w:val="4"/>
            <w:tcBorders/>
            <w:shd w:fill="auto" w:val="clear"/>
            <w:vAlign w:val="center"/>
          </w:tcPr>
          <w:p>
            <w:pPr>
              <w:pStyle w:val="TableContents"/>
              <w:spacing w:before="0" w:after="283"/>
              <w:rPr/>
            </w:pPr>
            <w:r>
              <w:rPr/>
              <w:t> </w:t>
            </w:r>
          </w:p>
        </w:tc>
        <w:tc>
          <w:tcPr>
            <w:tcW w:w="1329" w:type="dxa"/>
            <w:gridSpan w:val="4"/>
            <w:tcBorders/>
            <w:shd w:fill="auto"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0"/>
              <w:rPr>
                <w:rFonts w:ascii="Times New Roman" w:hAnsi="Times New Roman"/>
                <w:b/>
                <w:sz w:val="20"/>
                <w:bdr w:val="single" w:sz="8" w:space="1" w:color="000000"/>
              </w:rPr>
            </w:pPr>
            <w:r>
              <w:rPr>
                <w:rFonts w:ascii="Times New Roman" w:hAnsi="Times New Roman"/>
                <w:b/>
                <w:sz w:val="20"/>
                <w:bdr w:val="single" w:sz="8" w:space="1" w:color="000000"/>
              </w:rPr>
              <w:t>EQUITY AND LIABILITIES</w:t>
            </w:r>
          </w:p>
        </w:tc>
        <w:tc>
          <w:tcPr>
            <w:tcW w:w="120" w:type="dxa"/>
            <w:tcBorders/>
            <w:shd w:fill="auto" w:val="clear"/>
            <w:vAlign w:val="center"/>
          </w:tcPr>
          <w:p>
            <w:pPr>
              <w:pStyle w:val="TableContents"/>
              <w:spacing w:before="0" w:after="283"/>
              <w:rPr/>
            </w:pPr>
            <w:r>
              <w:rPr/>
              <w:t>  </w:t>
            </w:r>
          </w:p>
        </w:tc>
        <w:tc>
          <w:tcPr>
            <w:tcW w:w="50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Note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9"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12/31/2022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99"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12/31/2021</w:t>
            </w:r>
          </w:p>
        </w:tc>
        <w:tc>
          <w:tcPr>
            <w:tcW w:w="170" w:type="dxa"/>
            <w:tcBorders/>
            <w:shd w:fill="auto" w:val="clear"/>
            <w:vAlign w:val="center"/>
          </w:tcPr>
          <w:p>
            <w:pPr>
              <w:pStyle w:val="TableContents"/>
              <w:spacing w:before="0" w:after="283"/>
              <w:rPr/>
            </w:pPr>
            <w:r>
              <w:rPr/>
              <w:t> </w:t>
            </w:r>
          </w:p>
        </w:tc>
      </w:tr>
      <w:tr>
        <w:trPr/>
        <w:tc>
          <w:tcPr>
            <w:tcW w:w="7208" w:type="dxa"/>
            <w:gridSpan w:val="12"/>
            <w:tcBorders/>
            <w:shd w:fill="CCEEFF" w:val="clear"/>
            <w:vAlign w:val="center"/>
          </w:tcPr>
          <w:p>
            <w:pPr>
              <w:pStyle w:val="TableContents"/>
              <w:spacing w:before="0" w:after="0"/>
              <w:rPr>
                <w:rFonts w:ascii="Times New Roman" w:hAnsi="Times New Roman"/>
                <w:b/>
                <w:i/>
                <w:caps w:val="false"/>
                <w:smallCaps w:val="false"/>
                <w:spacing w:val="0"/>
                <w:sz w:val="20"/>
              </w:rPr>
            </w:pPr>
            <w:r>
              <w:rPr>
                <w:rFonts w:ascii="Times New Roman" w:hAnsi="Times New Roman"/>
                <w:b/>
                <w:i/>
                <w:caps w:val="false"/>
                <w:smallCaps w:val="false"/>
                <w:spacing w:val="0"/>
                <w:sz w:val="20"/>
              </w:rPr>
              <w:t>Equity</w:t>
            </w:r>
          </w:p>
        </w:tc>
        <w:tc>
          <w:tcPr>
            <w:tcW w:w="170" w:type="dxa"/>
            <w:tcBorders/>
            <w:shd w:fill="CCEEFF" w:val="clear"/>
            <w:vAlign w:val="center"/>
          </w:tcPr>
          <w:p>
            <w:pPr>
              <w:pStyle w:val="TableContents"/>
              <w:spacing w:before="0" w:after="0"/>
              <w:rPr>
                <w:spacing w:val="0"/>
              </w:rPr>
            </w:pPr>
            <w:r>
              <w:rPr>
                <w:spacing w:val="0"/>
              </w:rPr>
              <w:t> </w:t>
            </w:r>
          </w:p>
        </w:tc>
      </w:tr>
      <w:tr>
        <w:trPr/>
        <w:tc>
          <w:tcPr>
            <w:tcW w:w="39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Share capital</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jc w:val="right"/>
              <w:rPr/>
            </w:pPr>
            <w:r>
              <w:rPr/>
              <w:t>25.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029" w:type="dxa"/>
            <w:tcBorders/>
            <w:shd w:fill="auto" w:val="clear"/>
            <w:vAlign w:val="center"/>
          </w:tcPr>
          <w:p>
            <w:pPr>
              <w:pStyle w:val="TableContents"/>
              <w:spacing w:before="0" w:after="283"/>
              <w:jc w:val="right"/>
              <w:rPr/>
            </w:pPr>
            <w:r>
              <w:rPr/>
              <w:t>5,668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23" w:type="dxa"/>
            <w:tcBorders/>
            <w:shd w:fill="auto" w:val="clear"/>
            <w:vAlign w:val="center"/>
          </w:tcPr>
          <w:p>
            <w:pPr>
              <w:pStyle w:val="TableContents"/>
              <w:spacing w:before="0" w:after="283"/>
              <w:jc w:val="right"/>
              <w:rPr/>
            </w:pPr>
            <w:r>
              <w:rPr/>
              <w:t>5,243</w:t>
            </w:r>
          </w:p>
        </w:tc>
        <w:tc>
          <w:tcPr>
            <w:tcW w:w="170"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Capital reserve</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25.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1029" w:type="dxa"/>
            <w:tcBorders/>
            <w:shd w:fill="CCEEFF" w:val="clear"/>
            <w:vAlign w:val="center"/>
          </w:tcPr>
          <w:p>
            <w:pPr>
              <w:pStyle w:val="TableContents"/>
              <w:spacing w:before="0" w:after="283"/>
              <w:jc w:val="right"/>
              <w:rPr/>
            </w:pPr>
            <w:r>
              <w:rPr/>
              <w:t>189,269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1023" w:type="dxa"/>
            <w:tcBorders/>
            <w:shd w:fill="CCEEFF" w:val="clear"/>
            <w:vAlign w:val="center"/>
          </w:tcPr>
          <w:p>
            <w:pPr>
              <w:pStyle w:val="TableContents"/>
              <w:spacing w:before="0" w:after="283"/>
              <w:jc w:val="right"/>
              <w:rPr/>
            </w:pPr>
            <w:r>
              <w:rPr/>
              <w:t>172,622</w:t>
            </w:r>
          </w:p>
        </w:tc>
        <w:tc>
          <w:tcPr>
            <w:tcW w:w="170" w:type="dxa"/>
            <w:tcBorders/>
            <w:shd w:fill="CCEEFF"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Accumulated deficit</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029" w:type="dxa"/>
            <w:tcBorders/>
            <w:shd w:fill="auto" w:val="clear"/>
            <w:vAlign w:val="center"/>
          </w:tcPr>
          <w:p>
            <w:pPr>
              <w:pStyle w:val="TableContents"/>
              <w:spacing w:before="0" w:after="283"/>
              <w:jc w:val="right"/>
              <w:rPr/>
            </w:pPr>
            <w:r>
              <w:rPr/>
              <w:t>(166,549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23" w:type="dxa"/>
            <w:tcBorders/>
            <w:shd w:fill="auto" w:val="clear"/>
            <w:vAlign w:val="center"/>
          </w:tcPr>
          <w:p>
            <w:pPr>
              <w:pStyle w:val="TableContents"/>
              <w:spacing w:before="0" w:after="283"/>
              <w:jc w:val="right"/>
              <w:rPr/>
            </w:pPr>
            <w:r>
              <w:rPr/>
              <w:t>(92,767</w:t>
            </w:r>
          </w:p>
        </w:tc>
        <w:tc>
          <w:tcPr>
            <w:tcW w:w="170"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Accumulated other comprehensive income/(loss)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25.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1029" w:type="dxa"/>
            <w:tcBorders/>
            <w:shd w:fill="CCEEFF" w:val="clear"/>
            <w:vAlign w:val="center"/>
          </w:tcPr>
          <w:p>
            <w:pPr>
              <w:pStyle w:val="TableContents"/>
              <w:spacing w:before="0" w:after="283"/>
              <w:jc w:val="right"/>
              <w:rPr/>
            </w:pPr>
            <w:r>
              <w:rPr/>
              <w:t>(595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1023" w:type="dxa"/>
            <w:tcBorders/>
            <w:shd w:fill="CCEEFF" w:val="clear"/>
            <w:vAlign w:val="center"/>
          </w:tcPr>
          <w:p>
            <w:pPr>
              <w:pStyle w:val="TableContents"/>
              <w:spacing w:before="0" w:after="283"/>
              <w:jc w:val="right"/>
              <w:rPr/>
            </w:pPr>
            <w:r>
              <w:rPr/>
              <w:t>(184</w:t>
            </w:r>
          </w:p>
        </w:tc>
        <w:tc>
          <w:tcPr>
            <w:tcW w:w="170" w:type="dxa"/>
            <w:tcBorders/>
            <w:shd w:fill="CCEEFF"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2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0"/>
              <w:rPr>
                <w:bdr w:val="single" w:sz="2" w:space="1" w:color="000000"/>
              </w:rPr>
            </w:pPr>
            <w:r>
              <w:rPr>
                <w:bdr w:val="single" w:sz="2" w:space="1" w:color="000000"/>
              </w:rPr>
              <w:t> </w:t>
            </w:r>
          </w:p>
        </w:tc>
        <w:tc>
          <w:tcPr>
            <w:tcW w:w="1023"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 EQUITY</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0"/>
              <w:rPr>
                <w:spacing w:val="0"/>
              </w:rPr>
            </w:pPr>
            <w:r>
              <w:rPr>
                <w:spacing w:val="0"/>
              </w:rPr>
              <w:t> </w:t>
            </w:r>
          </w:p>
        </w:tc>
        <w:tc>
          <w:tcPr>
            <w:tcW w:w="1029" w:type="dxa"/>
            <w:tcBorders/>
            <w:shd w:fill="auto" w:val="clear"/>
            <w:vAlign w:val="center"/>
          </w:tcPr>
          <w:p>
            <w:pPr>
              <w:pStyle w:val="TableContents"/>
              <w:spacing w:before="0" w:after="0"/>
              <w:jc w:val="right"/>
              <w:rPr>
                <w:b/>
                <w:spacing w:val="0"/>
              </w:rPr>
            </w:pPr>
            <w:r>
              <w:rPr>
                <w:b/>
                <w:spacing w:val="0"/>
              </w:rPr>
              <w:t>27,793</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0"/>
              <w:rPr>
                <w:spacing w:val="0"/>
              </w:rPr>
            </w:pPr>
            <w:r>
              <w:rPr>
                <w:spacing w:val="0"/>
              </w:rPr>
              <w:t> </w:t>
            </w:r>
          </w:p>
        </w:tc>
        <w:tc>
          <w:tcPr>
            <w:tcW w:w="1023" w:type="dxa"/>
            <w:tcBorders/>
            <w:shd w:fill="auto" w:val="clear"/>
            <w:vAlign w:val="center"/>
          </w:tcPr>
          <w:p>
            <w:pPr>
              <w:pStyle w:val="TableContents"/>
              <w:spacing w:before="0" w:after="0"/>
              <w:jc w:val="right"/>
              <w:rPr>
                <w:b/>
                <w:spacing w:val="0"/>
              </w:rPr>
            </w:pPr>
            <w:r>
              <w:rPr>
                <w:b/>
                <w:spacing w:val="0"/>
              </w:rPr>
              <w:t>84,914</w:t>
            </w:r>
          </w:p>
        </w:tc>
        <w:tc>
          <w:tcPr>
            <w:tcW w:w="170" w:type="dxa"/>
            <w:tcBorders/>
            <w:shd w:fill="auto" w:val="clear"/>
            <w:vAlign w:val="center"/>
          </w:tcPr>
          <w:p>
            <w:pPr>
              <w:pStyle w:val="TableContents"/>
              <w:spacing w:before="0" w:after="0"/>
              <w:rPr>
                <w:spacing w:val="0"/>
              </w:rPr>
            </w:pPr>
            <w:r>
              <w:rPr>
                <w:spacing w:val="0"/>
              </w:rPr>
              <w:t> </w:t>
            </w:r>
          </w:p>
        </w:tc>
      </w:tr>
      <w:tr>
        <w:trPr/>
        <w:tc>
          <w:tcPr>
            <w:tcW w:w="4615" w:type="dxa"/>
            <w:gridSpan w:val="4"/>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2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0"/>
              <w:rPr>
                <w:bdr w:val="single" w:sz="2" w:space="1" w:color="000000"/>
              </w:rPr>
            </w:pPr>
            <w:r>
              <w:rPr>
                <w:bdr w:val="single" w:sz="2" w:space="1" w:color="000000"/>
              </w:rPr>
              <w:t> </w:t>
            </w:r>
          </w:p>
        </w:tc>
        <w:tc>
          <w:tcPr>
            <w:tcW w:w="1023"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b/>
                <w:i/>
                <w:caps w:val="false"/>
                <w:smallCaps w:val="false"/>
                <w:spacing w:val="0"/>
                <w:sz w:val="20"/>
              </w:rPr>
            </w:pPr>
            <w:r>
              <w:rPr>
                <w:rFonts w:ascii="Times New Roman" w:hAnsi="Times New Roman"/>
                <w:b/>
                <w:i/>
                <w:caps w:val="false"/>
                <w:smallCaps w:val="false"/>
                <w:spacing w:val="0"/>
                <w:sz w:val="20"/>
              </w:rPr>
              <w:t>Non-current</w:t>
            </w:r>
          </w:p>
          <w:p>
            <w:pPr>
              <w:pStyle w:val="TableContents"/>
              <w:spacing w:before="0" w:after="0"/>
              <w:rPr>
                <w:rFonts w:ascii="Times New Roman" w:hAnsi="Times New Roman"/>
                <w:b/>
                <w:i/>
                <w:caps w:val="false"/>
                <w:smallCaps w:val="false"/>
                <w:spacing w:val="0"/>
                <w:sz w:val="20"/>
              </w:rPr>
            </w:pPr>
            <w:r>
              <w:rPr>
                <w:rFonts w:ascii="Times New Roman" w:hAnsi="Times New Roman"/>
                <w:b/>
                <w:i/>
                <w:caps w:val="false"/>
                <w:smallCaps w:val="false"/>
                <w:spacing w:val="0"/>
                <w:sz w:val="20"/>
              </w:rPr>
              <w:t>liabilities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1029"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1023"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Provisions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jc w:val="right"/>
              <w:rPr/>
            </w:pPr>
            <w:r>
              <w:rPr/>
              <w:t>26.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029" w:type="dxa"/>
            <w:tcBorders/>
            <w:shd w:fill="auto" w:val="clear"/>
            <w:vAlign w:val="center"/>
          </w:tcPr>
          <w:p>
            <w:pPr>
              <w:pStyle w:val="TableContents"/>
              <w:spacing w:before="0" w:after="283"/>
              <w:jc w:val="right"/>
              <w:rPr/>
            </w:pPr>
            <w:r>
              <w:rPr/>
              <w:t>217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23" w:type="dxa"/>
            <w:tcBorders/>
            <w:shd w:fill="auto" w:val="clear"/>
            <w:vAlign w:val="center"/>
          </w:tcPr>
          <w:p>
            <w:pPr>
              <w:pStyle w:val="TableContents"/>
              <w:spacing w:before="0" w:after="283"/>
              <w:jc w:val="right"/>
              <w:rPr/>
            </w:pPr>
            <w:r>
              <w:rPr/>
              <w:t>211</w:t>
            </w:r>
          </w:p>
        </w:tc>
        <w:tc>
          <w:tcPr>
            <w:tcW w:w="170"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Non-current</w:t>
            </w:r>
          </w:p>
          <w:p>
            <w:pPr>
              <w:pStyle w:val="TableContents"/>
              <w:spacing w:before="0" w:after="0"/>
              <w:rPr>
                <w:rFonts w:ascii="Times New Roman" w:hAnsi="Times New Roman"/>
                <w:sz w:val="20"/>
              </w:rPr>
            </w:pPr>
            <w:r>
              <w:rPr>
                <w:rFonts w:ascii="Times New Roman" w:hAnsi="Times New Roman"/>
                <w:sz w:val="20"/>
              </w:rPr>
              <w:t>lease liabilities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31.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1029" w:type="dxa"/>
            <w:tcBorders/>
            <w:shd w:fill="CCEEFF" w:val="clear"/>
            <w:vAlign w:val="center"/>
          </w:tcPr>
          <w:p>
            <w:pPr>
              <w:pStyle w:val="TableContents"/>
              <w:spacing w:before="0" w:after="283"/>
              <w:jc w:val="right"/>
              <w:rPr/>
            </w:pPr>
            <w:r>
              <w:rPr/>
              <w:t>7,087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1023" w:type="dxa"/>
            <w:tcBorders/>
            <w:shd w:fill="CCEEFF" w:val="clear"/>
            <w:vAlign w:val="center"/>
          </w:tcPr>
          <w:p>
            <w:pPr>
              <w:pStyle w:val="TableContents"/>
              <w:spacing w:before="0" w:after="283"/>
              <w:jc w:val="right"/>
              <w:rPr/>
            </w:pPr>
            <w:r>
              <w:rPr/>
              <w:t>7,389</w:t>
            </w:r>
          </w:p>
        </w:tc>
        <w:tc>
          <w:tcPr>
            <w:tcW w:w="170" w:type="dxa"/>
            <w:tcBorders/>
            <w:shd w:fill="CCEEFF"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financial liabilities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jc w:val="right"/>
              <w:rPr/>
            </w:pPr>
            <w:r>
              <w:rPr/>
              <w:t>29.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029" w:type="dxa"/>
            <w:tcBorders/>
            <w:shd w:fill="auto" w:val="clear"/>
            <w:vAlign w:val="center"/>
          </w:tcPr>
          <w:p>
            <w:pPr>
              <w:pStyle w:val="TableContents"/>
              <w:spacing w:before="0" w:after="283"/>
              <w:jc w:val="right"/>
              <w:rPr/>
            </w:pPr>
            <w:r>
              <w:rPr/>
              <w:t>249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23" w:type="dxa"/>
            <w:tcBorders/>
            <w:shd w:fill="auto" w:val="clear"/>
            <w:vAlign w:val="center"/>
          </w:tcPr>
          <w:p>
            <w:pPr>
              <w:pStyle w:val="TableContents"/>
              <w:spacing w:before="0" w:after="283"/>
              <w:jc w:val="right"/>
              <w:rPr/>
            </w:pPr>
            <w:r>
              <w:rPr/>
              <w:t>0</w:t>
            </w:r>
          </w:p>
        </w:tc>
        <w:tc>
          <w:tcPr>
            <w:tcW w:w="170"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Deferred tax liability</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15.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1029" w:type="dxa"/>
            <w:tcBorders/>
            <w:shd w:fill="CCEEFF" w:val="clear"/>
            <w:vAlign w:val="center"/>
          </w:tcPr>
          <w:p>
            <w:pPr>
              <w:pStyle w:val="TableContents"/>
              <w:spacing w:before="0" w:after="283"/>
              <w:jc w:val="right"/>
              <w:rPr/>
            </w:pPr>
            <w:r>
              <w:rPr/>
              <w:t>1,766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1023" w:type="dxa"/>
            <w:tcBorders/>
            <w:shd w:fill="CCEEFF" w:val="clear"/>
            <w:vAlign w:val="center"/>
          </w:tcPr>
          <w:p>
            <w:pPr>
              <w:pStyle w:val="TableContents"/>
              <w:spacing w:before="0" w:after="283"/>
              <w:jc w:val="right"/>
              <w:rPr/>
            </w:pPr>
            <w:r>
              <w:rPr/>
              <w:t>1,791</w:t>
            </w:r>
          </w:p>
        </w:tc>
        <w:tc>
          <w:tcPr>
            <w:tcW w:w="170" w:type="dxa"/>
            <w:tcBorders/>
            <w:shd w:fill="CCEEFF"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2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0"/>
              <w:rPr>
                <w:bdr w:val="single" w:sz="2" w:space="1" w:color="000000"/>
              </w:rPr>
            </w:pPr>
            <w:r>
              <w:rPr>
                <w:bdr w:val="single" w:sz="2" w:space="1" w:color="000000"/>
              </w:rPr>
              <w:t> </w:t>
            </w:r>
          </w:p>
        </w:tc>
        <w:tc>
          <w:tcPr>
            <w:tcW w:w="1023"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 xml:space="preserve">Total </w:t>
            </w:r>
          </w:p>
          <w:p>
            <w:pPr>
              <w:pStyle w:val="TableContents"/>
              <w:spacing w:before="0" w:after="0"/>
              <w:rPr>
                <w:rFonts w:ascii="Times New Roman" w:hAnsi="Times New Roman"/>
                <w:b/>
                <w:spacing w:val="0"/>
                <w:sz w:val="20"/>
              </w:rPr>
            </w:pPr>
            <w:r>
              <w:rPr>
                <w:rFonts w:ascii="Times New Roman" w:hAnsi="Times New Roman"/>
                <w:b/>
                <w:spacing w:val="0"/>
                <w:sz w:val="20"/>
              </w:rPr>
              <w:t>non-current</w:t>
            </w:r>
          </w:p>
          <w:p>
            <w:pPr>
              <w:pStyle w:val="TableContents"/>
              <w:spacing w:before="0" w:after="0"/>
              <w:rPr>
                <w:rFonts w:ascii="Times New Roman" w:hAnsi="Times New Roman"/>
                <w:b/>
                <w:sz w:val="20"/>
              </w:rPr>
            </w:pPr>
            <w:r>
              <w:rPr>
                <w:rFonts w:ascii="Times New Roman" w:hAnsi="Times New Roman"/>
                <w:b/>
                <w:sz w:val="20"/>
              </w:rPr>
              <w:t>liabilities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0"/>
              <w:rPr>
                <w:spacing w:val="0"/>
              </w:rPr>
            </w:pPr>
            <w:r>
              <w:rPr>
                <w:spacing w:val="0"/>
              </w:rPr>
              <w:t> </w:t>
            </w:r>
          </w:p>
        </w:tc>
        <w:tc>
          <w:tcPr>
            <w:tcW w:w="1029" w:type="dxa"/>
            <w:tcBorders/>
            <w:shd w:fill="auto" w:val="clear"/>
            <w:vAlign w:val="center"/>
          </w:tcPr>
          <w:p>
            <w:pPr>
              <w:pStyle w:val="TableContents"/>
              <w:spacing w:before="0" w:after="0"/>
              <w:jc w:val="right"/>
              <w:rPr>
                <w:b/>
                <w:spacing w:val="0"/>
              </w:rPr>
            </w:pPr>
            <w:r>
              <w:rPr>
                <w:b/>
                <w:spacing w:val="0"/>
              </w:rPr>
              <w:t>9,319</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0"/>
              <w:rPr>
                <w:spacing w:val="0"/>
              </w:rPr>
            </w:pPr>
            <w:r>
              <w:rPr>
                <w:spacing w:val="0"/>
              </w:rPr>
              <w:t> </w:t>
            </w:r>
          </w:p>
        </w:tc>
        <w:tc>
          <w:tcPr>
            <w:tcW w:w="1023" w:type="dxa"/>
            <w:tcBorders/>
            <w:shd w:fill="auto" w:val="clear"/>
            <w:vAlign w:val="center"/>
          </w:tcPr>
          <w:p>
            <w:pPr>
              <w:pStyle w:val="TableContents"/>
              <w:spacing w:before="0" w:after="0"/>
              <w:jc w:val="right"/>
              <w:rPr>
                <w:b/>
                <w:spacing w:val="0"/>
              </w:rPr>
            </w:pPr>
            <w:r>
              <w:rPr>
                <w:b/>
                <w:spacing w:val="0"/>
              </w:rPr>
              <w:t>9,391</w:t>
            </w:r>
          </w:p>
        </w:tc>
        <w:tc>
          <w:tcPr>
            <w:tcW w:w="170" w:type="dxa"/>
            <w:tcBorders/>
            <w:shd w:fill="auto" w:val="clear"/>
            <w:vAlign w:val="center"/>
          </w:tcPr>
          <w:p>
            <w:pPr>
              <w:pStyle w:val="TableContents"/>
              <w:spacing w:before="0" w:after="0"/>
              <w:rPr>
                <w:spacing w:val="0"/>
              </w:rPr>
            </w:pPr>
            <w:r>
              <w:rPr>
                <w:spacing w:val="0"/>
              </w:rPr>
              <w:t> </w:t>
            </w:r>
          </w:p>
        </w:tc>
      </w:tr>
      <w:tr>
        <w:trPr/>
        <w:tc>
          <w:tcPr>
            <w:tcW w:w="39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2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0"/>
              <w:rPr>
                <w:bdr w:val="single" w:sz="2" w:space="1" w:color="000000"/>
              </w:rPr>
            </w:pPr>
            <w:r>
              <w:rPr>
                <w:bdr w:val="single" w:sz="2" w:space="1" w:color="000000"/>
              </w:rPr>
              <w:t> </w:t>
            </w:r>
          </w:p>
        </w:tc>
        <w:tc>
          <w:tcPr>
            <w:tcW w:w="1023"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b/>
                <w:i/>
                <w:caps w:val="false"/>
                <w:smallCaps w:val="false"/>
                <w:spacing w:val="0"/>
                <w:sz w:val="20"/>
              </w:rPr>
            </w:pPr>
            <w:r>
              <w:rPr>
                <w:rFonts w:ascii="Times New Roman" w:hAnsi="Times New Roman"/>
                <w:b/>
                <w:i/>
                <w:caps w:val="false"/>
                <w:smallCaps w:val="false"/>
                <w:spacing w:val="0"/>
                <w:sz w:val="20"/>
              </w:rPr>
              <w:t>Current liabilities</w:t>
            </w:r>
          </w:p>
        </w:tc>
        <w:tc>
          <w:tcPr>
            <w:tcW w:w="120" w:type="dxa"/>
            <w:tcBorders/>
            <w:shd w:fill="CCEEFF" w:val="clear"/>
            <w:vAlign w:val="center"/>
          </w:tcPr>
          <w:p>
            <w:pPr>
              <w:pStyle w:val="TableContents"/>
              <w:spacing w:before="0" w:after="0"/>
              <w:rPr/>
            </w:pPr>
            <w:r>
              <w:rPr/>
              <w:t> </w:t>
            </w:r>
          </w:p>
        </w:tc>
        <w:tc>
          <w:tcPr>
            <w:tcW w:w="93" w:type="dxa"/>
            <w:tcBorders/>
            <w:shd w:fill="CCEEFF" w:val="clear"/>
            <w:vAlign w:val="center"/>
          </w:tcPr>
          <w:p>
            <w:pPr>
              <w:pStyle w:val="TableContents"/>
              <w:spacing w:before="0" w:after="0"/>
              <w:rPr/>
            </w:pPr>
            <w:r>
              <w:rPr/>
              <w:t> </w:t>
            </w:r>
          </w:p>
        </w:tc>
        <w:tc>
          <w:tcPr>
            <w:tcW w:w="407" w:type="dxa"/>
            <w:tcBorders/>
            <w:shd w:fill="CCEEFF" w:val="clear"/>
            <w:vAlign w:val="center"/>
          </w:tcPr>
          <w:p>
            <w:pPr>
              <w:pStyle w:val="TableContents"/>
              <w:spacing w:before="0" w:after="0"/>
              <w:jc w:val="right"/>
              <w:rPr/>
            </w:pPr>
            <w:r>
              <w:rPr/>
              <w:t> </w:t>
            </w:r>
          </w:p>
        </w:tc>
        <w:tc>
          <w:tcPr>
            <w:tcW w:w="60" w:type="dxa"/>
            <w:tcBorders/>
            <w:shd w:fill="CCEEFF" w:val="clear"/>
            <w:vAlign w:val="center"/>
          </w:tcPr>
          <w:p>
            <w:pPr>
              <w:pStyle w:val="TableContents"/>
              <w:spacing w:before="0" w:after="0"/>
              <w:rPr/>
            </w:pPr>
            <w:r>
              <w:rPr/>
              <w:t> </w:t>
            </w:r>
          </w:p>
        </w:tc>
        <w:tc>
          <w:tcPr>
            <w:tcW w:w="120" w:type="dxa"/>
            <w:tcBorders/>
            <w:shd w:fill="CCEEFF" w:val="clear"/>
            <w:vAlign w:val="center"/>
          </w:tcPr>
          <w:p>
            <w:pPr>
              <w:pStyle w:val="TableContents"/>
              <w:spacing w:before="0" w:after="0"/>
              <w:rPr/>
            </w:pPr>
            <w:r>
              <w:rPr/>
              <w:t> </w:t>
            </w:r>
          </w:p>
        </w:tc>
        <w:tc>
          <w:tcPr>
            <w:tcW w:w="70" w:type="dxa"/>
            <w:tcBorders/>
            <w:shd w:fill="CCEEFF" w:val="clear"/>
            <w:vAlign w:val="center"/>
          </w:tcPr>
          <w:p>
            <w:pPr>
              <w:pStyle w:val="TableContents"/>
              <w:spacing w:before="0" w:after="0"/>
              <w:rPr/>
            </w:pPr>
            <w:r>
              <w:rPr/>
              <w:t> </w:t>
            </w:r>
          </w:p>
        </w:tc>
        <w:tc>
          <w:tcPr>
            <w:tcW w:w="1029" w:type="dxa"/>
            <w:tcBorders/>
            <w:shd w:fill="CCEEFF" w:val="clear"/>
            <w:vAlign w:val="center"/>
          </w:tcPr>
          <w:p>
            <w:pPr>
              <w:pStyle w:val="TableContents"/>
              <w:spacing w:before="0" w:after="0"/>
              <w:rPr/>
            </w:pPr>
            <w:r>
              <w:rPr/>
              <w:t> </w:t>
            </w:r>
          </w:p>
        </w:tc>
        <w:tc>
          <w:tcPr>
            <w:tcW w:w="155" w:type="dxa"/>
            <w:tcBorders/>
            <w:shd w:fill="CCEEFF" w:val="clear"/>
            <w:vAlign w:val="center"/>
          </w:tcPr>
          <w:p>
            <w:pPr>
              <w:pStyle w:val="TableContents"/>
              <w:spacing w:before="0" w:after="0"/>
              <w:rPr/>
            </w:pPr>
            <w:r>
              <w:rPr/>
              <w:t> </w:t>
            </w:r>
          </w:p>
        </w:tc>
        <w:tc>
          <w:tcPr>
            <w:tcW w:w="60" w:type="dxa"/>
            <w:tcBorders/>
            <w:shd w:fill="CCEEFF" w:val="clear"/>
            <w:vAlign w:val="center"/>
          </w:tcPr>
          <w:p>
            <w:pPr>
              <w:pStyle w:val="TableContents"/>
              <w:spacing w:before="0" w:after="0"/>
              <w:rPr/>
            </w:pPr>
            <w:r>
              <w:rPr/>
              <w:t> </w:t>
            </w:r>
          </w:p>
        </w:tc>
        <w:tc>
          <w:tcPr>
            <w:tcW w:w="76" w:type="dxa"/>
            <w:tcBorders/>
            <w:shd w:fill="CCEEFF" w:val="clear"/>
            <w:vAlign w:val="center"/>
          </w:tcPr>
          <w:p>
            <w:pPr>
              <w:pStyle w:val="TableContents"/>
              <w:spacing w:before="0" w:after="0"/>
              <w:rPr/>
            </w:pPr>
            <w:r>
              <w:rPr/>
              <w:t> </w:t>
            </w:r>
          </w:p>
        </w:tc>
        <w:tc>
          <w:tcPr>
            <w:tcW w:w="1023" w:type="dxa"/>
            <w:tcBorders/>
            <w:shd w:fill="CCEEFF" w:val="clear"/>
            <w:vAlign w:val="center"/>
          </w:tcPr>
          <w:p>
            <w:pPr>
              <w:pStyle w:val="TableContents"/>
              <w:spacing w:before="0" w:after="0"/>
              <w:rPr/>
            </w:pPr>
            <w:r>
              <w:rPr/>
              <w:t> </w:t>
            </w:r>
          </w:p>
        </w:tc>
        <w:tc>
          <w:tcPr>
            <w:tcW w:w="170" w:type="dxa"/>
            <w:tcBorders/>
            <w:shd w:fill="CCEEFF" w:val="clear"/>
            <w:vAlign w:val="center"/>
          </w:tcPr>
          <w:p>
            <w:pPr>
              <w:pStyle w:val="TableContents"/>
              <w:spacing w:before="0" w:after="0"/>
              <w:rPr/>
            </w:pPr>
            <w:r>
              <w:rPr/>
              <w:t> </w:t>
            </w:r>
          </w:p>
        </w:tc>
      </w:tr>
      <w:tr>
        <w:trPr/>
        <w:tc>
          <w:tcPr>
            <w:tcW w:w="39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Provisions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jc w:val="right"/>
              <w:rPr/>
            </w:pPr>
            <w:r>
              <w:rPr/>
              <w:t>26.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029" w:type="dxa"/>
            <w:tcBorders/>
            <w:shd w:fill="auto" w:val="clear"/>
            <w:vAlign w:val="center"/>
          </w:tcPr>
          <w:p>
            <w:pPr>
              <w:pStyle w:val="TableContents"/>
              <w:spacing w:before="0" w:after="283"/>
              <w:jc w:val="right"/>
              <w:rPr/>
            </w:pPr>
            <w:r>
              <w:rPr/>
              <w:t>723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23" w:type="dxa"/>
            <w:tcBorders/>
            <w:shd w:fill="auto" w:val="clear"/>
            <w:vAlign w:val="center"/>
          </w:tcPr>
          <w:p>
            <w:pPr>
              <w:pStyle w:val="TableContents"/>
              <w:spacing w:before="0" w:after="283"/>
              <w:jc w:val="right"/>
              <w:rPr/>
            </w:pPr>
            <w:r>
              <w:rPr/>
              <w:t>1,023</w:t>
            </w:r>
          </w:p>
        </w:tc>
        <w:tc>
          <w:tcPr>
            <w:tcW w:w="170"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Current lease liabilities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32.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1029" w:type="dxa"/>
            <w:tcBorders/>
            <w:shd w:fill="CCEEFF" w:val="clear"/>
            <w:vAlign w:val="center"/>
          </w:tcPr>
          <w:p>
            <w:pPr>
              <w:pStyle w:val="TableContents"/>
              <w:spacing w:before="0" w:after="283"/>
              <w:jc w:val="right"/>
              <w:rPr/>
            </w:pPr>
            <w:r>
              <w:rPr/>
              <w:t>1,855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1023" w:type="dxa"/>
            <w:tcBorders/>
            <w:shd w:fill="CCEEFF" w:val="clear"/>
            <w:vAlign w:val="center"/>
          </w:tcPr>
          <w:p>
            <w:pPr>
              <w:pStyle w:val="TableContents"/>
              <w:spacing w:before="0" w:after="283"/>
              <w:jc w:val="right"/>
              <w:rPr/>
            </w:pPr>
            <w:r>
              <w:rPr/>
              <w:t>1,638</w:t>
            </w:r>
          </w:p>
        </w:tc>
        <w:tc>
          <w:tcPr>
            <w:tcW w:w="170" w:type="dxa"/>
            <w:tcBorders/>
            <w:shd w:fill="CCEEFF"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Trade and other payables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jc w:val="right"/>
              <w:rPr/>
            </w:pPr>
            <w:r>
              <w:rPr/>
              <w:t>28.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029" w:type="dxa"/>
            <w:tcBorders/>
            <w:shd w:fill="auto" w:val="clear"/>
            <w:vAlign w:val="center"/>
          </w:tcPr>
          <w:p>
            <w:pPr>
              <w:pStyle w:val="TableContents"/>
              <w:spacing w:before="0" w:after="283"/>
              <w:jc w:val="right"/>
              <w:rPr/>
            </w:pPr>
            <w:r>
              <w:rPr/>
              <w:t>9,238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23" w:type="dxa"/>
            <w:tcBorders/>
            <w:shd w:fill="auto" w:val="clear"/>
            <w:vAlign w:val="center"/>
          </w:tcPr>
          <w:p>
            <w:pPr>
              <w:pStyle w:val="TableContents"/>
              <w:spacing w:before="0" w:after="283"/>
              <w:jc w:val="right"/>
              <w:rPr/>
            </w:pPr>
            <w:r>
              <w:rPr/>
              <w:t>8,396</w:t>
            </w:r>
          </w:p>
        </w:tc>
        <w:tc>
          <w:tcPr>
            <w:tcW w:w="170"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Contract liabilities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27.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1029" w:type="dxa"/>
            <w:tcBorders/>
            <w:shd w:fill="CCEEFF" w:val="clear"/>
            <w:vAlign w:val="center"/>
          </w:tcPr>
          <w:p>
            <w:pPr>
              <w:pStyle w:val="TableContents"/>
              <w:spacing w:before="0" w:after="283"/>
              <w:jc w:val="right"/>
              <w:rPr/>
            </w:pPr>
            <w:r>
              <w:rPr/>
              <w:t>205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1023" w:type="dxa"/>
            <w:tcBorders/>
            <w:shd w:fill="CCEEFF" w:val="clear"/>
            <w:vAlign w:val="center"/>
          </w:tcPr>
          <w:p>
            <w:pPr>
              <w:pStyle w:val="TableContents"/>
              <w:spacing w:before="0" w:after="283"/>
              <w:jc w:val="right"/>
              <w:rPr/>
            </w:pPr>
            <w:r>
              <w:rPr/>
              <w:t>307</w:t>
            </w:r>
          </w:p>
        </w:tc>
        <w:tc>
          <w:tcPr>
            <w:tcW w:w="170" w:type="dxa"/>
            <w:tcBorders/>
            <w:shd w:fill="CCEEFF"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financial liabilities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jc w:val="right"/>
              <w:rPr/>
            </w:pPr>
            <w:r>
              <w:rPr/>
              <w:t>29.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029" w:type="dxa"/>
            <w:tcBorders/>
            <w:shd w:fill="auto" w:val="clear"/>
            <w:vAlign w:val="center"/>
          </w:tcPr>
          <w:p>
            <w:pPr>
              <w:pStyle w:val="TableContents"/>
              <w:spacing w:before="0" w:after="283"/>
              <w:jc w:val="right"/>
              <w:rPr/>
            </w:pPr>
            <w:r>
              <w:rPr/>
              <w:t>14,530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23" w:type="dxa"/>
            <w:tcBorders/>
            <w:shd w:fill="auto" w:val="clear"/>
            <w:vAlign w:val="center"/>
          </w:tcPr>
          <w:p>
            <w:pPr>
              <w:pStyle w:val="TableContents"/>
              <w:spacing w:before="0" w:after="283"/>
              <w:jc w:val="right"/>
              <w:rPr/>
            </w:pPr>
            <w:r>
              <w:rPr/>
              <w:t>37</w:t>
            </w:r>
          </w:p>
        </w:tc>
        <w:tc>
          <w:tcPr>
            <w:tcW w:w="170"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Other </w:t>
            </w:r>
          </w:p>
          <w:p>
            <w:pPr>
              <w:pStyle w:val="TableContents"/>
              <w:spacing w:before="0" w:after="0"/>
              <w:rPr>
                <w:rFonts w:ascii="Times New Roman" w:hAnsi="Times New Roman"/>
                <w:spacing w:val="0"/>
                <w:sz w:val="20"/>
              </w:rPr>
            </w:pPr>
            <w:r>
              <w:rPr>
                <w:rFonts w:ascii="Times New Roman" w:hAnsi="Times New Roman"/>
                <w:spacing w:val="0"/>
                <w:sz w:val="20"/>
              </w:rPr>
              <w:t>non-financial</w:t>
            </w:r>
          </w:p>
          <w:p>
            <w:pPr>
              <w:pStyle w:val="TableContents"/>
              <w:spacing w:before="0" w:after="0"/>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30.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1029" w:type="dxa"/>
            <w:tcBorders/>
            <w:shd w:fill="CCEEFF" w:val="clear"/>
            <w:vAlign w:val="center"/>
          </w:tcPr>
          <w:p>
            <w:pPr>
              <w:pStyle w:val="TableContents"/>
              <w:spacing w:before="0" w:after="283"/>
              <w:jc w:val="right"/>
              <w:rPr/>
            </w:pPr>
            <w:r>
              <w:rPr/>
              <w:t>16,658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1023" w:type="dxa"/>
            <w:tcBorders/>
            <w:shd w:fill="CCEEFF" w:val="clear"/>
            <w:vAlign w:val="center"/>
          </w:tcPr>
          <w:p>
            <w:pPr>
              <w:pStyle w:val="TableContents"/>
              <w:spacing w:before="0" w:after="283"/>
              <w:jc w:val="right"/>
              <w:rPr/>
            </w:pPr>
            <w:r>
              <w:rPr/>
              <w:t>2,323</w:t>
            </w:r>
          </w:p>
        </w:tc>
        <w:tc>
          <w:tcPr>
            <w:tcW w:w="170" w:type="dxa"/>
            <w:tcBorders/>
            <w:shd w:fill="CCEEFF"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2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0"/>
              <w:rPr>
                <w:bdr w:val="single" w:sz="2" w:space="1" w:color="000000"/>
              </w:rPr>
            </w:pPr>
            <w:r>
              <w:rPr>
                <w:bdr w:val="single" w:sz="2" w:space="1" w:color="000000"/>
              </w:rPr>
              <w:t> </w:t>
            </w:r>
          </w:p>
        </w:tc>
        <w:tc>
          <w:tcPr>
            <w:tcW w:w="1023"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 current liabilities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0"/>
              <w:rPr>
                <w:spacing w:val="0"/>
              </w:rPr>
            </w:pPr>
            <w:r>
              <w:rPr>
                <w:spacing w:val="0"/>
              </w:rPr>
              <w:t> </w:t>
            </w:r>
          </w:p>
        </w:tc>
        <w:tc>
          <w:tcPr>
            <w:tcW w:w="1029" w:type="dxa"/>
            <w:tcBorders/>
            <w:shd w:fill="auto" w:val="clear"/>
            <w:vAlign w:val="center"/>
          </w:tcPr>
          <w:p>
            <w:pPr>
              <w:pStyle w:val="TableContents"/>
              <w:spacing w:before="0" w:after="0"/>
              <w:jc w:val="right"/>
              <w:rPr>
                <w:b/>
                <w:spacing w:val="0"/>
              </w:rPr>
            </w:pPr>
            <w:r>
              <w:rPr>
                <w:b/>
                <w:spacing w:val="0"/>
              </w:rPr>
              <w:t>43,209</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0"/>
              <w:rPr>
                <w:spacing w:val="0"/>
              </w:rPr>
            </w:pPr>
            <w:r>
              <w:rPr>
                <w:spacing w:val="0"/>
              </w:rPr>
              <w:t> </w:t>
            </w:r>
          </w:p>
        </w:tc>
        <w:tc>
          <w:tcPr>
            <w:tcW w:w="1023" w:type="dxa"/>
            <w:tcBorders/>
            <w:shd w:fill="auto" w:val="clear"/>
            <w:vAlign w:val="center"/>
          </w:tcPr>
          <w:p>
            <w:pPr>
              <w:pStyle w:val="TableContents"/>
              <w:spacing w:before="0" w:after="0"/>
              <w:jc w:val="right"/>
              <w:rPr>
                <w:b/>
                <w:spacing w:val="0"/>
              </w:rPr>
            </w:pPr>
            <w:r>
              <w:rPr>
                <w:b/>
                <w:spacing w:val="0"/>
              </w:rPr>
              <w:t>13,724</w:t>
            </w:r>
          </w:p>
        </w:tc>
        <w:tc>
          <w:tcPr>
            <w:tcW w:w="170" w:type="dxa"/>
            <w:tcBorders/>
            <w:shd w:fill="auto" w:val="clear"/>
            <w:vAlign w:val="center"/>
          </w:tcPr>
          <w:p>
            <w:pPr>
              <w:pStyle w:val="TableContents"/>
              <w:spacing w:before="0" w:after="0"/>
              <w:rPr>
                <w:spacing w:val="0"/>
              </w:rPr>
            </w:pPr>
            <w:r>
              <w:rPr>
                <w:spacing w:val="0"/>
              </w:rPr>
              <w:t> </w:t>
            </w:r>
          </w:p>
        </w:tc>
      </w:tr>
      <w:tr>
        <w:trPr/>
        <w:tc>
          <w:tcPr>
            <w:tcW w:w="39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2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0"/>
              <w:rPr>
                <w:bdr w:val="single" w:sz="2" w:space="1" w:color="000000"/>
              </w:rPr>
            </w:pPr>
            <w:r>
              <w:rPr>
                <w:bdr w:val="single" w:sz="2" w:space="1" w:color="000000"/>
              </w:rPr>
              <w:t> </w:t>
            </w:r>
          </w:p>
        </w:tc>
        <w:tc>
          <w:tcPr>
            <w:tcW w:w="1023"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b/>
                <w:i/>
                <w:caps w:val="false"/>
                <w:smallCaps w:val="false"/>
                <w:spacing w:val="0"/>
                <w:sz w:val="20"/>
              </w:rPr>
            </w:pPr>
            <w:r>
              <w:rPr>
                <w:rFonts w:ascii="Times New Roman" w:hAnsi="Times New Roman"/>
                <w:b/>
                <w:i/>
                <w:caps w:val="false"/>
                <w:smallCaps w:val="false"/>
                <w:spacing w:val="0"/>
                <w:sz w:val="20"/>
              </w:rPr>
              <w:t>Total liabilities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0"/>
              <w:rPr>
                <w:spacing w:val="0"/>
              </w:rPr>
            </w:pPr>
            <w:r>
              <w:rPr>
                <w:spacing w:val="0"/>
              </w:rPr>
              <w:t> </w:t>
            </w:r>
          </w:p>
        </w:tc>
        <w:tc>
          <w:tcPr>
            <w:tcW w:w="1029" w:type="dxa"/>
            <w:tcBorders/>
            <w:shd w:fill="CCEEFF" w:val="clear"/>
            <w:vAlign w:val="center"/>
          </w:tcPr>
          <w:p>
            <w:pPr>
              <w:pStyle w:val="TableContents"/>
              <w:spacing w:before="0" w:after="0"/>
              <w:jc w:val="right"/>
              <w:rPr>
                <w:b/>
                <w:spacing w:val="0"/>
              </w:rPr>
            </w:pPr>
            <w:r>
              <w:rPr>
                <w:b/>
                <w:spacing w:val="0"/>
              </w:rPr>
              <w:t>52,528</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0"/>
              <w:rPr>
                <w:spacing w:val="0"/>
              </w:rPr>
            </w:pPr>
            <w:r>
              <w:rPr>
                <w:spacing w:val="0"/>
              </w:rPr>
              <w:t> </w:t>
            </w:r>
          </w:p>
        </w:tc>
        <w:tc>
          <w:tcPr>
            <w:tcW w:w="1023" w:type="dxa"/>
            <w:tcBorders/>
            <w:shd w:fill="CCEEFF" w:val="clear"/>
            <w:vAlign w:val="center"/>
          </w:tcPr>
          <w:p>
            <w:pPr>
              <w:pStyle w:val="TableContents"/>
              <w:spacing w:before="0" w:after="0"/>
              <w:jc w:val="right"/>
              <w:rPr>
                <w:b/>
                <w:spacing w:val="0"/>
              </w:rPr>
            </w:pPr>
            <w:r>
              <w:rPr>
                <w:b/>
                <w:spacing w:val="0"/>
              </w:rPr>
              <w:t>23,115</w:t>
            </w:r>
          </w:p>
        </w:tc>
        <w:tc>
          <w:tcPr>
            <w:tcW w:w="170" w:type="dxa"/>
            <w:tcBorders/>
            <w:shd w:fill="CCEEFF" w:val="clear"/>
            <w:vAlign w:val="center"/>
          </w:tcPr>
          <w:p>
            <w:pPr>
              <w:pStyle w:val="TableContents"/>
              <w:spacing w:before="0" w:after="0"/>
              <w:rPr>
                <w:spacing w:val="0"/>
              </w:rPr>
            </w:pPr>
            <w:r>
              <w:rPr>
                <w:spacing w:val="0"/>
              </w:rPr>
              <w:t> </w:t>
            </w:r>
          </w:p>
        </w:tc>
      </w:tr>
      <w:tr>
        <w:trPr/>
        <w:tc>
          <w:tcPr>
            <w:tcW w:w="39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2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0"/>
              <w:rPr>
                <w:bdr w:val="single" w:sz="2" w:space="1" w:color="000000"/>
              </w:rPr>
            </w:pPr>
            <w:r>
              <w:rPr>
                <w:bdr w:val="single" w:sz="2" w:space="1" w:color="000000"/>
              </w:rPr>
              <w:t> </w:t>
            </w:r>
          </w:p>
        </w:tc>
        <w:tc>
          <w:tcPr>
            <w:tcW w:w="1023"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 EQUITY AND LIABILITIES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0"/>
              <w:rPr>
                <w:spacing w:val="0"/>
              </w:rPr>
            </w:pPr>
            <w:r>
              <w:rPr>
                <w:spacing w:val="0"/>
              </w:rPr>
              <w:t> </w:t>
            </w:r>
          </w:p>
        </w:tc>
        <w:tc>
          <w:tcPr>
            <w:tcW w:w="1029" w:type="dxa"/>
            <w:tcBorders/>
            <w:shd w:fill="auto" w:val="clear"/>
            <w:vAlign w:val="center"/>
          </w:tcPr>
          <w:p>
            <w:pPr>
              <w:pStyle w:val="TableContents"/>
              <w:spacing w:before="0" w:after="0"/>
              <w:jc w:val="right"/>
              <w:rPr>
                <w:b/>
                <w:spacing w:val="0"/>
              </w:rPr>
            </w:pPr>
            <w:r>
              <w:rPr>
                <w:b/>
                <w:spacing w:val="0"/>
              </w:rPr>
              <w:t>80,321</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0"/>
              <w:rPr>
                <w:spacing w:val="0"/>
              </w:rPr>
            </w:pPr>
            <w:r>
              <w:rPr>
                <w:spacing w:val="0"/>
              </w:rPr>
              <w:t> </w:t>
            </w:r>
          </w:p>
        </w:tc>
        <w:tc>
          <w:tcPr>
            <w:tcW w:w="1023" w:type="dxa"/>
            <w:tcBorders/>
            <w:shd w:fill="auto" w:val="clear"/>
            <w:vAlign w:val="center"/>
          </w:tcPr>
          <w:p>
            <w:pPr>
              <w:pStyle w:val="TableContents"/>
              <w:spacing w:before="0" w:after="0"/>
              <w:jc w:val="right"/>
              <w:rPr>
                <w:b/>
                <w:spacing w:val="0"/>
              </w:rPr>
            </w:pPr>
            <w:r>
              <w:rPr>
                <w:b/>
                <w:spacing w:val="0"/>
              </w:rPr>
              <w:t>108,029</w:t>
            </w:r>
          </w:p>
        </w:tc>
        <w:tc>
          <w:tcPr>
            <w:tcW w:w="170" w:type="dxa"/>
            <w:tcBorders/>
            <w:shd w:fill="auto" w:val="clear"/>
            <w:vAlign w:val="center"/>
          </w:tcPr>
          <w:p>
            <w:pPr>
              <w:pStyle w:val="TableContents"/>
              <w:spacing w:before="0" w:after="0"/>
              <w:rPr>
                <w:spacing w:val="0"/>
              </w:rPr>
            </w:pPr>
            <w:r>
              <w:rPr>
                <w:spacing w:val="0"/>
              </w:rPr>
              <w:t> </w:t>
            </w:r>
          </w:p>
        </w:tc>
      </w:tr>
      <w:tr>
        <w:trPr/>
        <w:tc>
          <w:tcPr>
            <w:tcW w:w="39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2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0"/>
              <w:rPr>
                <w:bdr w:val="single" w:sz="2" w:space="1" w:color="000000"/>
              </w:rPr>
            </w:pPr>
            <w:r>
              <w:rPr>
                <w:bdr w:val="single" w:sz="2" w:space="1" w:color="000000"/>
              </w:rPr>
              <w:t> </w:t>
            </w:r>
          </w:p>
        </w:tc>
        <w:tc>
          <w:tcPr>
            <w:tcW w:w="1023"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The accompanying notes are an integral part of these consolidated financial statements.</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w:t>
      </w:r>
    </w:p>
    <w:p>
      <w:pPr>
        <w:pStyle w:val="TextBody"/>
        <w:spacing w:before="0" w:after="0"/>
        <w:jc w:val="center"/>
        <w:rPr>
          <w:rFonts w:ascii="Times New Roman" w:hAnsi="Times New Roman"/>
          <w:sz w:val="20"/>
          <w:highlight w:val="white"/>
        </w:rPr>
      </w:pPr>
      <w:r>
        <w:rPr>
          <w:rFonts w:ascii="Times New Roman" w:hAnsi="Times New Roman"/>
          <w:sz w:val="20"/>
          <w:highlight w:val="white"/>
        </w:rPr>
        <w:t>4</w:t>
      </w:r>
    </w:p>
    <w:p>
      <w:pPr>
        <w:pStyle w:val="HorizontalLine"/>
        <w:rPr/>
      </w:pPr>
      <w:r>
        <w:rPr/>
      </w:r>
    </w:p>
    <w:p>
      <w:pPr>
        <w:pStyle w:val="TextBody"/>
        <w:spacing w:before="0" w:after="0"/>
        <w:rPr/>
      </w:pPr>
      <w:hyperlink w:anchor="toc">
        <w:r>
          <w:rPr>
            <w:rStyle w:val="InternetLink"/>
            <w:highlight w:val="white"/>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rFonts w:ascii="Times New Roman" w:hAnsi="Times New Roman"/>
          <w:b/>
          <w:sz w:val="20"/>
        </w:rPr>
      </w:pPr>
      <w:r>
        <w:rPr>
          <w:rFonts w:ascii="Times New Roman" w:hAnsi="Times New Roman"/>
          <w:b/>
          <w:sz w:val="20"/>
        </w:rPr>
        <w:t xml:space="preserve">Consolidated statements of changes in equity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highlight w:val="white"/>
        </w:rPr>
      </w:pPr>
      <w:r>
        <w:rPr>
          <w:rFonts w:ascii="Times New Roman" w:hAnsi="Times New Roman"/>
          <w:b/>
          <w:sz w:val="20"/>
          <w:highlight w:val="white"/>
        </w:rPr>
        <w:t xml:space="preserve">for the years ended December 31, 2022, 2021 and 2020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755"/>
        <w:gridCol w:w="120"/>
        <w:gridCol w:w="64"/>
        <w:gridCol w:w="601"/>
        <w:gridCol w:w="60"/>
        <w:gridCol w:w="120"/>
        <w:gridCol w:w="60"/>
        <w:gridCol w:w="800"/>
        <w:gridCol w:w="155"/>
        <w:gridCol w:w="60"/>
        <w:gridCol w:w="119"/>
        <w:gridCol w:w="1266"/>
        <w:gridCol w:w="155"/>
        <w:gridCol w:w="60"/>
        <w:gridCol w:w="84"/>
        <w:gridCol w:w="1226"/>
        <w:gridCol w:w="155"/>
        <w:gridCol w:w="60"/>
        <w:gridCol w:w="126"/>
        <w:gridCol w:w="959"/>
        <w:gridCol w:w="155"/>
        <w:gridCol w:w="60"/>
        <w:gridCol w:w="60"/>
        <w:gridCol w:w="755"/>
        <w:gridCol w:w="170"/>
      </w:tblGrid>
      <w:tr>
        <w:trPr/>
        <w:tc>
          <w:tcPr>
            <w:tcW w:w="27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26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755" w:type="dxa"/>
            <w:tcBorders/>
            <w:shd w:fill="auto" w:val="clear"/>
            <w:vAlign w:val="center"/>
          </w:tcPr>
          <w:p>
            <w:pPr>
              <w:pStyle w:val="TableContents"/>
              <w:spacing w:before="0" w:after="0"/>
              <w:rPr>
                <w:bdr w:val="single" w:sz="8" w:space="1" w:color="000000"/>
              </w:rPr>
            </w:pPr>
            <w:r>
              <w:rPr>
                <w:bdr w:val="single" w:sz="8" w:space="1" w:color="000000"/>
              </w:rPr>
              <w:t xml:space="preserve">€ </w:t>
            </w:r>
            <w:r>
              <w:rPr>
                <w:rFonts w:ascii="Times New Roman" w:hAnsi="Times New Roman"/>
                <w:sz w:val="16"/>
                <w:bdr w:val="single" w:sz="8" w:space="1" w:color="000000"/>
              </w:rPr>
              <w:t>thousand</w:t>
            </w:r>
          </w:p>
        </w:tc>
        <w:tc>
          <w:tcPr>
            <w:tcW w:w="120" w:type="dxa"/>
            <w:tcBorders/>
            <w:shd w:fill="auto" w:val="clear"/>
            <w:vAlign w:val="center"/>
          </w:tcPr>
          <w:p>
            <w:pPr>
              <w:pStyle w:val="TableContents"/>
              <w:spacing w:before="0" w:after="283"/>
              <w:rPr/>
            </w:pPr>
            <w:r>
              <w:rPr/>
              <w:t>  </w:t>
            </w:r>
          </w:p>
        </w:tc>
        <w:tc>
          <w:tcPr>
            <w:tcW w:w="665" w:type="dxa"/>
            <w:gridSpan w:val="2"/>
            <w:tcBorders>
              <w:bottom w:val="single" w:sz="8" w:space="0" w:color="000000"/>
            </w:tcBorders>
            <w:shd w:fill="auto" w:val="clear"/>
            <w:tcMar>
              <w:bottom w:w="28" w:type="dxa"/>
            </w:tcMar>
            <w:vAlign w:val="center"/>
          </w:tcPr>
          <w:p>
            <w:pPr>
              <w:pStyle w:val="TableContents"/>
              <w:spacing w:before="0" w:after="0"/>
              <w:jc w:val="center"/>
              <w:rPr>
                <w:b/>
                <w:i/>
                <w:caps w:val="false"/>
                <w:smallCaps w:val="false"/>
                <w:spacing w:val="0"/>
              </w:rPr>
            </w:pPr>
            <w:r>
              <w:rPr>
                <w:b/>
                <w:i/>
                <w:caps w:val="false"/>
                <w:smallCaps w:val="false"/>
                <w:spacing w:val="0"/>
              </w:rPr>
              <w:t>Share</w:t>
              <w:br/>
              <w:t>capital</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0"/>
              <w:jc w:val="center"/>
              <w:rPr>
                <w:b/>
                <w:i/>
                <w:caps w:val="false"/>
                <w:smallCaps w:val="false"/>
                <w:spacing w:val="0"/>
              </w:rPr>
            </w:pPr>
            <w:r>
              <w:rPr>
                <w:b/>
                <w:i/>
                <w:caps w:val="false"/>
                <w:smallCaps w:val="false"/>
                <w:spacing w:val="0"/>
              </w:rPr>
              <w:t>Capital</w:t>
              <w:br/>
              <w:t>reserve</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85" w:type="dxa"/>
            <w:gridSpan w:val="2"/>
            <w:tcBorders/>
            <w:shd w:fill="auto" w:val="clear"/>
            <w:vAlign w:val="center"/>
          </w:tcPr>
          <w:p>
            <w:pPr>
              <w:pStyle w:val="TableContents"/>
              <w:spacing w:before="0" w:after="0"/>
              <w:jc w:val="center"/>
              <w:rPr>
                <w:b/>
                <w:i/>
                <w:caps w:val="false"/>
                <w:smallCaps w:val="false"/>
                <w:spacing w:val="0"/>
              </w:rPr>
            </w:pPr>
            <w:r>
              <w:rPr>
                <w:b/>
                <w:i/>
                <w:caps w:val="false"/>
                <w:smallCaps w:val="false"/>
                <w:spacing w:val="0"/>
              </w:rPr>
              <w:t>Prepaid share</w:t>
              <w:br/>
              <w:t>reserve</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center"/>
          </w:tcPr>
          <w:p>
            <w:pPr>
              <w:pStyle w:val="TableContents"/>
              <w:spacing w:before="0" w:after="0"/>
              <w:jc w:val="center"/>
              <w:rPr>
                <w:b/>
                <w:i/>
                <w:caps w:val="false"/>
                <w:smallCaps w:val="false"/>
                <w:spacing w:val="0"/>
              </w:rPr>
            </w:pPr>
            <w:r>
              <w:rPr>
                <w:b/>
                <w:i/>
                <w:caps w:val="false"/>
                <w:smallCaps w:val="false"/>
                <w:spacing w:val="0"/>
              </w:rPr>
              <w:t>Accumulated</w:t>
              <w:br/>
              <w:t>deficit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85" w:type="dxa"/>
            <w:gridSpan w:val="2"/>
            <w:tcBorders>
              <w:bottom w:val="single" w:sz="8" w:space="0" w:color="000000"/>
            </w:tcBorders>
            <w:shd w:fill="auto" w:val="clear"/>
            <w:tcMar>
              <w:bottom w:w="28" w:type="dxa"/>
            </w:tcMar>
            <w:vAlign w:val="center"/>
          </w:tcPr>
          <w:p>
            <w:pPr>
              <w:pStyle w:val="TableContents"/>
              <w:spacing w:before="0" w:after="0"/>
              <w:jc w:val="center"/>
              <w:rPr>
                <w:b/>
                <w:i/>
                <w:caps w:val="false"/>
                <w:smallCaps w:val="false"/>
                <w:spacing w:val="0"/>
              </w:rPr>
            </w:pPr>
            <w:r>
              <w:rPr>
                <w:b/>
                <w:i/>
                <w:caps w:val="false"/>
                <w:smallCaps w:val="false"/>
                <w:spacing w:val="0"/>
              </w:rPr>
              <w:t>Foreign</w:t>
              <w:br/>
              <w:t>currency</w:t>
              <w:br/>
              <w:t>translation</w:t>
              <w:br/>
              <w:t>differences</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center"/>
          </w:tcPr>
          <w:p>
            <w:pPr>
              <w:pStyle w:val="TableContents"/>
              <w:spacing w:before="0" w:after="0"/>
              <w:jc w:val="center"/>
              <w:rPr>
                <w:b/>
                <w:i/>
                <w:caps w:val="false"/>
                <w:smallCaps w:val="false"/>
                <w:spacing w:val="0"/>
              </w:rPr>
            </w:pPr>
            <w:r>
              <w:rPr>
                <w:b/>
                <w:i/>
                <w:caps w:val="false"/>
                <w:smallCaps w:val="false"/>
                <w:spacing w:val="0"/>
              </w:rPr>
              <w:t>Total</w:t>
            </w:r>
          </w:p>
        </w:tc>
        <w:tc>
          <w:tcPr>
            <w:tcW w:w="170" w:type="dxa"/>
            <w:tcBorders/>
            <w:shd w:fill="auto" w:val="clear"/>
            <w:vAlign w:val="center"/>
          </w:tcPr>
          <w:p>
            <w:pPr>
              <w:pStyle w:val="TableContents"/>
              <w:spacing w:before="0" w:after="283"/>
              <w:rPr/>
            </w:pPr>
            <w:r>
              <w:rPr/>
              <w:t> </w:t>
            </w:r>
          </w:p>
        </w:tc>
      </w:tr>
      <w:tr>
        <w:trPr/>
        <w:tc>
          <w:tcPr>
            <w:tcW w:w="275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Balance at January 1, 2020</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0"/>
              <w:rPr>
                <w:spacing w:val="0"/>
              </w:rPr>
            </w:pPr>
            <w:r>
              <w:rPr>
                <w:spacing w:val="0"/>
              </w:rPr>
              <w:t> </w:t>
            </w:r>
          </w:p>
        </w:tc>
        <w:tc>
          <w:tcPr>
            <w:tcW w:w="601" w:type="dxa"/>
            <w:tcBorders/>
            <w:shd w:fill="CCEEFF" w:val="clear"/>
            <w:vAlign w:val="center"/>
          </w:tcPr>
          <w:p>
            <w:pPr>
              <w:pStyle w:val="TableContents"/>
              <w:spacing w:before="0" w:after="0"/>
              <w:jc w:val="right"/>
              <w:rPr>
                <w:b/>
                <w:spacing w:val="0"/>
              </w:rPr>
            </w:pPr>
            <w:r>
              <w:rPr>
                <w:b/>
                <w:spacing w:val="0"/>
              </w:rPr>
              <w:t>2,904</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0"/>
              <w:jc w:val="right"/>
              <w:rPr>
                <w:b/>
                <w:spacing w:val="0"/>
              </w:rPr>
            </w:pPr>
            <w:r>
              <w:rPr>
                <w:b/>
                <w:spacing w:val="0"/>
              </w:rPr>
              <w:t>46,409</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0"/>
              <w:rPr>
                <w:spacing w:val="0"/>
              </w:rPr>
            </w:pPr>
            <w:r>
              <w:rPr>
                <w:spacing w:val="0"/>
              </w:rPr>
              <w:t> </w:t>
            </w:r>
          </w:p>
        </w:tc>
        <w:tc>
          <w:tcPr>
            <w:tcW w:w="1266" w:type="dxa"/>
            <w:tcBorders/>
            <w:shd w:fill="CCEEFF" w:val="clear"/>
            <w:vAlign w:val="center"/>
          </w:tcPr>
          <w:p>
            <w:pPr>
              <w:pStyle w:val="TableContents"/>
              <w:spacing w:before="0" w:after="0"/>
              <w:jc w:val="right"/>
              <w:rPr>
                <w:b/>
                <w:spacing w:val="0"/>
              </w:rPr>
            </w:pPr>
            <w:r>
              <w:rPr>
                <w:b/>
                <w:spacing w:val="0"/>
              </w:rPr>
              <w:t>0</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0"/>
              <w:rPr>
                <w:spacing w:val="0"/>
              </w:rPr>
            </w:pPr>
            <w:r>
              <w:rPr>
                <w:spacing w:val="0"/>
              </w:rPr>
              <w:t> </w:t>
            </w:r>
          </w:p>
        </w:tc>
        <w:tc>
          <w:tcPr>
            <w:tcW w:w="1226" w:type="dxa"/>
            <w:tcBorders/>
            <w:shd w:fill="CCEEFF" w:val="clear"/>
            <w:vAlign w:val="center"/>
          </w:tcPr>
          <w:p>
            <w:pPr>
              <w:pStyle w:val="TableContents"/>
              <w:spacing w:before="0" w:after="0"/>
              <w:jc w:val="right"/>
              <w:rPr>
                <w:b/>
                <w:spacing w:val="0"/>
              </w:rPr>
            </w:pPr>
            <w:r>
              <w:rPr>
                <w:b/>
                <w:spacing w:val="0"/>
              </w:rPr>
              <w:t>(27,520</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0"/>
              <w:rPr>
                <w:spacing w:val="0"/>
              </w:rPr>
            </w:pPr>
            <w:r>
              <w:rPr>
                <w:spacing w:val="0"/>
              </w:rPr>
              <w:t> </w:t>
            </w:r>
          </w:p>
        </w:tc>
        <w:tc>
          <w:tcPr>
            <w:tcW w:w="959" w:type="dxa"/>
            <w:tcBorders/>
            <w:shd w:fill="CCEEFF" w:val="clear"/>
            <w:vAlign w:val="center"/>
          </w:tcPr>
          <w:p>
            <w:pPr>
              <w:pStyle w:val="TableContents"/>
              <w:spacing w:before="0" w:after="0"/>
              <w:jc w:val="right"/>
              <w:rPr>
                <w:b/>
                <w:spacing w:val="0"/>
              </w:rPr>
            </w:pPr>
            <w:r>
              <w:rPr>
                <w:b/>
                <w:spacing w:val="0"/>
              </w:rPr>
              <w:t>(53</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755" w:type="dxa"/>
            <w:tcBorders/>
            <w:shd w:fill="CCEEFF" w:val="clear"/>
            <w:vAlign w:val="center"/>
          </w:tcPr>
          <w:p>
            <w:pPr>
              <w:pStyle w:val="TableContents"/>
              <w:spacing w:before="0" w:after="0"/>
              <w:jc w:val="right"/>
              <w:rPr>
                <w:b/>
                <w:spacing w:val="0"/>
              </w:rPr>
            </w:pPr>
            <w:r>
              <w:rPr>
                <w:b/>
                <w:spacing w:val="0"/>
              </w:rPr>
              <w:t>21,740</w:t>
            </w:r>
          </w:p>
        </w:tc>
        <w:tc>
          <w:tcPr>
            <w:tcW w:w="170" w:type="dxa"/>
            <w:tcBorders/>
            <w:shd w:fill="CCEEFF" w:val="clear"/>
            <w:vAlign w:val="center"/>
          </w:tcPr>
          <w:p>
            <w:pPr>
              <w:pStyle w:val="TableContents"/>
              <w:spacing w:before="0" w:after="0"/>
              <w:rPr>
                <w:spacing w:val="0"/>
              </w:rPr>
            </w:pPr>
            <w:r>
              <w:rPr>
                <w:spacing w:val="0"/>
              </w:rPr>
              <w:t> </w:t>
            </w:r>
          </w:p>
        </w:tc>
      </w:tr>
      <w:tr>
        <w:trPr/>
        <w:tc>
          <w:tcPr>
            <w:tcW w:w="27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601"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0"/>
              <w:rPr>
                <w:bdr w:val="single" w:sz="2" w:space="1" w:color="000000"/>
              </w:rPr>
            </w:pPr>
            <w:r>
              <w:rPr>
                <w:bdr w:val="single" w:sz="2" w:space="1" w:color="000000"/>
              </w:rPr>
              <w:t> </w:t>
            </w:r>
          </w:p>
        </w:tc>
        <w:tc>
          <w:tcPr>
            <w:tcW w:w="126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0"/>
              <w:rPr>
                <w:bdr w:val="single" w:sz="2" w:space="1" w:color="000000"/>
              </w:rPr>
            </w:pPr>
            <w:r>
              <w:rPr>
                <w:bdr w:val="single" w:sz="2" w:space="1" w:color="000000"/>
              </w:rPr>
              <w:t> </w:t>
            </w:r>
          </w:p>
        </w:tc>
        <w:tc>
          <w:tcPr>
            <w:tcW w:w="122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0"/>
              <w:rPr>
                <w:bdr w:val="single" w:sz="2" w:space="1" w:color="000000"/>
              </w:rPr>
            </w:pPr>
            <w:r>
              <w:rPr>
                <w:bdr w:val="single" w:sz="2" w:space="1" w:color="000000"/>
              </w:rPr>
              <w:t> </w:t>
            </w:r>
          </w:p>
        </w:tc>
        <w:tc>
          <w:tcPr>
            <w:tcW w:w="95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7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Issue of ordinary shares</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01" w:type="dxa"/>
            <w:tcBorders/>
            <w:shd w:fill="auto" w:val="clear"/>
            <w:vAlign w:val="center"/>
          </w:tcPr>
          <w:p>
            <w:pPr>
              <w:pStyle w:val="TableContents"/>
              <w:spacing w:before="0" w:after="283"/>
              <w:jc w:val="right"/>
              <w:rPr/>
            </w:pPr>
            <w:r>
              <w:rPr/>
              <w:t>1,091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64,052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1266" w:type="dxa"/>
            <w:tcBorders/>
            <w:shd w:fill="auto" w:val="clear"/>
            <w:vAlign w:val="center"/>
          </w:tcPr>
          <w:p>
            <w:pPr>
              <w:pStyle w:val="TableContents"/>
              <w:spacing w:before="0" w:after="283"/>
              <w:jc w:val="right"/>
              <w:rPr/>
            </w:pPr>
            <w:r>
              <w:rPr/>
              <w:t>5,500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226"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959"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70,643</w:t>
            </w:r>
          </w:p>
        </w:tc>
        <w:tc>
          <w:tcPr>
            <w:tcW w:w="170" w:type="dxa"/>
            <w:tcBorders/>
            <w:shd w:fill="auto" w:val="clear"/>
            <w:vAlign w:val="center"/>
          </w:tcPr>
          <w:p>
            <w:pPr>
              <w:pStyle w:val="TableContents"/>
              <w:spacing w:before="0" w:after="283"/>
              <w:rPr/>
            </w:pPr>
            <w:r>
              <w:rPr/>
              <w:t> </w:t>
            </w:r>
          </w:p>
        </w:tc>
      </w:tr>
      <w:tr>
        <w:trPr/>
        <w:tc>
          <w:tcPr>
            <w:tcW w:w="27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Share issue costs</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(3,397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126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122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959"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(3,397</w:t>
            </w:r>
          </w:p>
        </w:tc>
        <w:tc>
          <w:tcPr>
            <w:tcW w:w="170" w:type="dxa"/>
            <w:tcBorders/>
            <w:shd w:fill="CCEEFF" w:val="clear"/>
            <w:vAlign w:val="center"/>
          </w:tcPr>
          <w:p>
            <w:pPr>
              <w:pStyle w:val="TableContents"/>
              <w:spacing w:before="0" w:after="283"/>
              <w:rPr/>
            </w:pPr>
            <w:r>
              <w:rPr/>
              <w:t>) </w:t>
            </w:r>
          </w:p>
        </w:tc>
      </w:tr>
      <w:tr>
        <w:trPr/>
        <w:tc>
          <w:tcPr>
            <w:tcW w:w="27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Equity-settled share-based payments</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0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1,125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1266"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226"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959"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1,125</w:t>
            </w:r>
          </w:p>
        </w:tc>
        <w:tc>
          <w:tcPr>
            <w:tcW w:w="170" w:type="dxa"/>
            <w:tcBorders/>
            <w:shd w:fill="auto" w:val="clear"/>
            <w:vAlign w:val="center"/>
          </w:tcPr>
          <w:p>
            <w:pPr>
              <w:pStyle w:val="TableContents"/>
              <w:spacing w:before="0" w:after="283"/>
              <w:rPr/>
            </w:pPr>
            <w:r>
              <w:rPr/>
              <w:t> </w:t>
            </w:r>
          </w:p>
        </w:tc>
      </w:tr>
      <w:tr>
        <w:trPr/>
        <w:tc>
          <w:tcPr>
            <w:tcW w:w="27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Consolidated net profit/(loss)</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126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1226" w:type="dxa"/>
            <w:tcBorders/>
            <w:shd w:fill="CCEEFF" w:val="clear"/>
            <w:vAlign w:val="center"/>
          </w:tcPr>
          <w:p>
            <w:pPr>
              <w:pStyle w:val="TableContents"/>
              <w:spacing w:before="0" w:after="283"/>
              <w:jc w:val="right"/>
              <w:rPr/>
            </w:pPr>
            <w:r>
              <w:rPr/>
              <w:t>(19,770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959"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(19,770</w:t>
            </w:r>
          </w:p>
        </w:tc>
        <w:tc>
          <w:tcPr>
            <w:tcW w:w="170" w:type="dxa"/>
            <w:tcBorders/>
            <w:shd w:fill="CCEEFF" w:val="clear"/>
            <w:vAlign w:val="center"/>
          </w:tcPr>
          <w:p>
            <w:pPr>
              <w:pStyle w:val="TableContents"/>
              <w:spacing w:before="0" w:after="283"/>
              <w:rPr/>
            </w:pPr>
            <w:r>
              <w:rPr/>
              <w:t>) </w:t>
            </w:r>
          </w:p>
        </w:tc>
      </w:tr>
      <w:tr>
        <w:trPr/>
        <w:tc>
          <w:tcPr>
            <w:tcW w:w="27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comprehensive income/(loss)</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0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1266"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226"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959" w:type="dxa"/>
            <w:tcBorders/>
            <w:shd w:fill="auto" w:val="clear"/>
            <w:vAlign w:val="center"/>
          </w:tcPr>
          <w:p>
            <w:pPr>
              <w:pStyle w:val="TableContents"/>
              <w:spacing w:before="0" w:after="283"/>
              <w:jc w:val="right"/>
              <w:rPr/>
            </w:pPr>
            <w:r>
              <w:rPr/>
              <w:t>367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367</w:t>
            </w:r>
          </w:p>
        </w:tc>
        <w:tc>
          <w:tcPr>
            <w:tcW w:w="170" w:type="dxa"/>
            <w:tcBorders/>
            <w:shd w:fill="auto" w:val="clear"/>
            <w:vAlign w:val="center"/>
          </w:tcPr>
          <w:p>
            <w:pPr>
              <w:pStyle w:val="TableContents"/>
              <w:spacing w:before="0" w:after="283"/>
              <w:rPr/>
            </w:pPr>
            <w:r>
              <w:rPr/>
              <w:t> </w:t>
            </w:r>
          </w:p>
        </w:tc>
      </w:tr>
      <w:tr>
        <w:trPr/>
        <w:tc>
          <w:tcPr>
            <w:tcW w:w="27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601"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0"/>
              <w:rPr>
                <w:bdr w:val="single" w:sz="2" w:space="1" w:color="000000"/>
              </w:rPr>
            </w:pPr>
            <w:r>
              <w:rPr>
                <w:bdr w:val="single" w:sz="2" w:space="1" w:color="000000"/>
              </w:rPr>
              <w:t> </w:t>
            </w:r>
          </w:p>
        </w:tc>
        <w:tc>
          <w:tcPr>
            <w:tcW w:w="126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0"/>
              <w:rPr>
                <w:bdr w:val="single" w:sz="2" w:space="1" w:color="000000"/>
              </w:rPr>
            </w:pPr>
            <w:r>
              <w:rPr>
                <w:bdr w:val="single" w:sz="2" w:space="1" w:color="000000"/>
              </w:rPr>
              <w:t> </w:t>
            </w:r>
          </w:p>
        </w:tc>
        <w:tc>
          <w:tcPr>
            <w:tcW w:w="122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0"/>
              <w:rPr>
                <w:bdr w:val="single" w:sz="2" w:space="1" w:color="000000"/>
              </w:rPr>
            </w:pPr>
            <w:r>
              <w:rPr>
                <w:bdr w:val="single" w:sz="2" w:space="1" w:color="000000"/>
              </w:rPr>
              <w:t> </w:t>
            </w:r>
          </w:p>
        </w:tc>
        <w:tc>
          <w:tcPr>
            <w:tcW w:w="95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75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Balance at December 31, 2020</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0"/>
              <w:rPr>
                <w:spacing w:val="0"/>
              </w:rPr>
            </w:pPr>
            <w:r>
              <w:rPr>
                <w:spacing w:val="0"/>
              </w:rPr>
              <w:t> </w:t>
            </w:r>
          </w:p>
        </w:tc>
        <w:tc>
          <w:tcPr>
            <w:tcW w:w="601" w:type="dxa"/>
            <w:tcBorders/>
            <w:shd w:fill="CCEEFF" w:val="clear"/>
            <w:vAlign w:val="center"/>
          </w:tcPr>
          <w:p>
            <w:pPr>
              <w:pStyle w:val="TableContents"/>
              <w:spacing w:before="0" w:after="0"/>
              <w:jc w:val="right"/>
              <w:rPr>
                <w:b/>
                <w:spacing w:val="0"/>
              </w:rPr>
            </w:pPr>
            <w:r>
              <w:rPr>
                <w:b/>
                <w:spacing w:val="0"/>
              </w:rPr>
              <w:t>3,995</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0"/>
              <w:jc w:val="right"/>
              <w:rPr>
                <w:b/>
                <w:spacing w:val="0"/>
              </w:rPr>
            </w:pPr>
            <w:r>
              <w:rPr>
                <w:b/>
                <w:spacing w:val="0"/>
              </w:rPr>
              <w:t>108,189</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0"/>
              <w:rPr>
                <w:spacing w:val="0"/>
              </w:rPr>
            </w:pPr>
            <w:r>
              <w:rPr>
                <w:spacing w:val="0"/>
              </w:rPr>
              <w:t> </w:t>
            </w:r>
          </w:p>
        </w:tc>
        <w:tc>
          <w:tcPr>
            <w:tcW w:w="1266" w:type="dxa"/>
            <w:tcBorders/>
            <w:shd w:fill="CCEEFF" w:val="clear"/>
            <w:vAlign w:val="center"/>
          </w:tcPr>
          <w:p>
            <w:pPr>
              <w:pStyle w:val="TableContents"/>
              <w:spacing w:before="0" w:after="0"/>
              <w:jc w:val="right"/>
              <w:rPr>
                <w:b/>
                <w:spacing w:val="0"/>
              </w:rPr>
            </w:pPr>
            <w:r>
              <w:rPr>
                <w:b/>
                <w:spacing w:val="0"/>
              </w:rPr>
              <w:t>5,500</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0"/>
              <w:rPr>
                <w:spacing w:val="0"/>
              </w:rPr>
            </w:pPr>
            <w:r>
              <w:rPr>
                <w:spacing w:val="0"/>
              </w:rPr>
              <w:t> </w:t>
            </w:r>
          </w:p>
        </w:tc>
        <w:tc>
          <w:tcPr>
            <w:tcW w:w="1226" w:type="dxa"/>
            <w:tcBorders/>
            <w:shd w:fill="CCEEFF" w:val="clear"/>
            <w:vAlign w:val="center"/>
          </w:tcPr>
          <w:p>
            <w:pPr>
              <w:pStyle w:val="TableContents"/>
              <w:spacing w:before="0" w:after="0"/>
              <w:jc w:val="right"/>
              <w:rPr>
                <w:b/>
                <w:spacing w:val="0"/>
              </w:rPr>
            </w:pPr>
            <w:r>
              <w:rPr>
                <w:b/>
                <w:spacing w:val="0"/>
              </w:rPr>
              <w:t>(47,290</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0"/>
              <w:rPr>
                <w:spacing w:val="0"/>
              </w:rPr>
            </w:pPr>
            <w:r>
              <w:rPr>
                <w:spacing w:val="0"/>
              </w:rPr>
              <w:t> </w:t>
            </w:r>
          </w:p>
        </w:tc>
        <w:tc>
          <w:tcPr>
            <w:tcW w:w="959" w:type="dxa"/>
            <w:tcBorders/>
            <w:shd w:fill="CCEEFF" w:val="clear"/>
            <w:vAlign w:val="center"/>
          </w:tcPr>
          <w:p>
            <w:pPr>
              <w:pStyle w:val="TableContents"/>
              <w:spacing w:before="0" w:after="0"/>
              <w:jc w:val="right"/>
              <w:rPr>
                <w:b/>
                <w:spacing w:val="0"/>
              </w:rPr>
            </w:pPr>
            <w:r>
              <w:rPr>
                <w:b/>
                <w:spacing w:val="0"/>
              </w:rPr>
              <w:t>314</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755" w:type="dxa"/>
            <w:tcBorders/>
            <w:shd w:fill="CCEEFF" w:val="clear"/>
            <w:vAlign w:val="center"/>
          </w:tcPr>
          <w:p>
            <w:pPr>
              <w:pStyle w:val="TableContents"/>
              <w:spacing w:before="0" w:after="0"/>
              <w:jc w:val="right"/>
              <w:rPr>
                <w:b/>
                <w:spacing w:val="0"/>
              </w:rPr>
            </w:pPr>
            <w:r>
              <w:rPr>
                <w:b/>
                <w:spacing w:val="0"/>
              </w:rPr>
              <w:t>70,708</w:t>
            </w:r>
          </w:p>
        </w:tc>
        <w:tc>
          <w:tcPr>
            <w:tcW w:w="170" w:type="dxa"/>
            <w:tcBorders/>
            <w:shd w:fill="CCEEFF" w:val="clear"/>
            <w:vAlign w:val="center"/>
          </w:tcPr>
          <w:p>
            <w:pPr>
              <w:pStyle w:val="TableContents"/>
              <w:spacing w:before="0" w:after="0"/>
              <w:rPr>
                <w:spacing w:val="0"/>
              </w:rPr>
            </w:pPr>
            <w:r>
              <w:rPr>
                <w:spacing w:val="0"/>
              </w:rPr>
              <w:t> </w:t>
            </w:r>
          </w:p>
        </w:tc>
      </w:tr>
      <w:tr>
        <w:trPr/>
        <w:tc>
          <w:tcPr>
            <w:tcW w:w="27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601"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0"/>
              <w:rPr>
                <w:bdr w:val="single" w:sz="2" w:space="1" w:color="000000"/>
              </w:rPr>
            </w:pPr>
            <w:r>
              <w:rPr>
                <w:bdr w:val="single" w:sz="2" w:space="1" w:color="000000"/>
              </w:rPr>
              <w:t> </w:t>
            </w:r>
          </w:p>
        </w:tc>
        <w:tc>
          <w:tcPr>
            <w:tcW w:w="126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0"/>
              <w:rPr>
                <w:bdr w:val="single" w:sz="2" w:space="1" w:color="000000"/>
              </w:rPr>
            </w:pPr>
            <w:r>
              <w:rPr>
                <w:bdr w:val="single" w:sz="2" w:space="1" w:color="000000"/>
              </w:rPr>
              <w:t> </w:t>
            </w:r>
          </w:p>
        </w:tc>
        <w:tc>
          <w:tcPr>
            <w:tcW w:w="122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0"/>
              <w:rPr>
                <w:bdr w:val="single" w:sz="2" w:space="1" w:color="000000"/>
              </w:rPr>
            </w:pPr>
            <w:r>
              <w:rPr>
                <w:bdr w:val="single" w:sz="2" w:space="1" w:color="000000"/>
              </w:rPr>
              <w:t> </w:t>
            </w:r>
          </w:p>
        </w:tc>
        <w:tc>
          <w:tcPr>
            <w:tcW w:w="95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75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Balance at January 1, 2021</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spacing w:val="0"/>
              </w:rPr>
            </w:pPr>
            <w:r>
              <w:rPr>
                <w:spacing w:val="0"/>
              </w:rPr>
              <w:t> </w:t>
            </w:r>
          </w:p>
        </w:tc>
        <w:tc>
          <w:tcPr>
            <w:tcW w:w="601" w:type="dxa"/>
            <w:tcBorders/>
            <w:shd w:fill="auto" w:val="clear"/>
            <w:vAlign w:val="center"/>
          </w:tcPr>
          <w:p>
            <w:pPr>
              <w:pStyle w:val="TableContents"/>
              <w:spacing w:before="0" w:after="0"/>
              <w:jc w:val="right"/>
              <w:rPr>
                <w:b/>
                <w:spacing w:val="0"/>
              </w:rPr>
            </w:pPr>
            <w:r>
              <w:rPr>
                <w:b/>
                <w:spacing w:val="0"/>
              </w:rPr>
              <w:t>3,995</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0"/>
              <w:jc w:val="right"/>
              <w:rPr>
                <w:b/>
                <w:spacing w:val="0"/>
              </w:rPr>
            </w:pPr>
            <w:r>
              <w:rPr>
                <w:b/>
                <w:spacing w:val="0"/>
              </w:rPr>
              <w:t>108,189</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0"/>
              <w:rPr>
                <w:spacing w:val="0"/>
              </w:rPr>
            </w:pPr>
            <w:r>
              <w:rPr>
                <w:spacing w:val="0"/>
              </w:rPr>
              <w:t> </w:t>
            </w:r>
          </w:p>
        </w:tc>
        <w:tc>
          <w:tcPr>
            <w:tcW w:w="1266" w:type="dxa"/>
            <w:tcBorders/>
            <w:shd w:fill="auto" w:val="clear"/>
            <w:vAlign w:val="center"/>
          </w:tcPr>
          <w:p>
            <w:pPr>
              <w:pStyle w:val="TableContents"/>
              <w:spacing w:before="0" w:after="0"/>
              <w:jc w:val="right"/>
              <w:rPr>
                <w:b/>
                <w:spacing w:val="0"/>
              </w:rPr>
            </w:pPr>
            <w:r>
              <w:rPr>
                <w:b/>
                <w:spacing w:val="0"/>
              </w:rPr>
              <w:t>5,500</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0"/>
              <w:rPr>
                <w:spacing w:val="0"/>
              </w:rPr>
            </w:pPr>
            <w:r>
              <w:rPr>
                <w:spacing w:val="0"/>
              </w:rPr>
              <w:t> </w:t>
            </w:r>
          </w:p>
        </w:tc>
        <w:tc>
          <w:tcPr>
            <w:tcW w:w="1226" w:type="dxa"/>
            <w:tcBorders/>
            <w:shd w:fill="auto" w:val="clear"/>
            <w:vAlign w:val="center"/>
          </w:tcPr>
          <w:p>
            <w:pPr>
              <w:pStyle w:val="TableContents"/>
              <w:spacing w:before="0" w:after="0"/>
              <w:jc w:val="right"/>
              <w:rPr>
                <w:b/>
                <w:spacing w:val="0"/>
              </w:rPr>
            </w:pPr>
            <w:r>
              <w:rPr>
                <w:b/>
                <w:spacing w:val="0"/>
              </w:rPr>
              <w:t>(47,290</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0"/>
              <w:rPr>
                <w:spacing w:val="0"/>
              </w:rPr>
            </w:pPr>
            <w:r>
              <w:rPr>
                <w:spacing w:val="0"/>
              </w:rPr>
              <w:t> </w:t>
            </w:r>
          </w:p>
        </w:tc>
        <w:tc>
          <w:tcPr>
            <w:tcW w:w="959" w:type="dxa"/>
            <w:tcBorders/>
            <w:shd w:fill="auto" w:val="clear"/>
            <w:vAlign w:val="center"/>
          </w:tcPr>
          <w:p>
            <w:pPr>
              <w:pStyle w:val="TableContents"/>
              <w:spacing w:before="0" w:after="0"/>
              <w:jc w:val="right"/>
              <w:rPr>
                <w:b/>
                <w:spacing w:val="0"/>
              </w:rPr>
            </w:pPr>
            <w:r>
              <w:rPr>
                <w:b/>
                <w:spacing w:val="0"/>
              </w:rPr>
              <w:t>314</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0"/>
              <w:jc w:val="right"/>
              <w:rPr>
                <w:b/>
                <w:spacing w:val="0"/>
              </w:rPr>
            </w:pPr>
            <w:r>
              <w:rPr>
                <w:b/>
                <w:spacing w:val="0"/>
              </w:rPr>
              <w:t>70,708</w:t>
            </w:r>
          </w:p>
        </w:tc>
        <w:tc>
          <w:tcPr>
            <w:tcW w:w="170" w:type="dxa"/>
            <w:tcBorders/>
            <w:shd w:fill="auto" w:val="clear"/>
            <w:vAlign w:val="center"/>
          </w:tcPr>
          <w:p>
            <w:pPr>
              <w:pStyle w:val="TableContents"/>
              <w:spacing w:before="0" w:after="0"/>
              <w:rPr>
                <w:spacing w:val="0"/>
              </w:rPr>
            </w:pPr>
            <w:r>
              <w:rPr>
                <w:spacing w:val="0"/>
              </w:rPr>
              <w:t> </w:t>
            </w:r>
          </w:p>
        </w:tc>
      </w:tr>
      <w:tr>
        <w:trPr/>
        <w:tc>
          <w:tcPr>
            <w:tcW w:w="27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601"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0"/>
              <w:rPr>
                <w:bdr w:val="single" w:sz="2" w:space="1" w:color="000000"/>
              </w:rPr>
            </w:pPr>
            <w:r>
              <w:rPr>
                <w:bdr w:val="single" w:sz="2" w:space="1" w:color="000000"/>
              </w:rPr>
              <w:t> </w:t>
            </w:r>
          </w:p>
        </w:tc>
        <w:tc>
          <w:tcPr>
            <w:tcW w:w="126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0"/>
              <w:rPr>
                <w:bdr w:val="single" w:sz="2" w:space="1" w:color="000000"/>
              </w:rPr>
            </w:pPr>
            <w:r>
              <w:rPr>
                <w:bdr w:val="single" w:sz="2" w:space="1" w:color="000000"/>
              </w:rPr>
              <w:t> </w:t>
            </w:r>
          </w:p>
        </w:tc>
        <w:tc>
          <w:tcPr>
            <w:tcW w:w="122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0"/>
              <w:rPr>
                <w:bdr w:val="single" w:sz="2" w:space="1" w:color="000000"/>
              </w:rPr>
            </w:pPr>
            <w:r>
              <w:rPr>
                <w:bdr w:val="single" w:sz="2" w:space="1" w:color="000000"/>
              </w:rPr>
              <w:t> </w:t>
            </w:r>
          </w:p>
        </w:tc>
        <w:tc>
          <w:tcPr>
            <w:tcW w:w="95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7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Issue of ordinary shares</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jc w:val="right"/>
              <w:rPr/>
            </w:pPr>
            <w:r>
              <w:rPr/>
              <w:t>1,248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70,794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1266" w:type="dxa"/>
            <w:tcBorders/>
            <w:shd w:fill="CCEEFF" w:val="clear"/>
            <w:vAlign w:val="center"/>
          </w:tcPr>
          <w:p>
            <w:pPr>
              <w:pStyle w:val="TableContents"/>
              <w:spacing w:before="0" w:after="283"/>
              <w:jc w:val="right"/>
              <w:rPr/>
            </w:pPr>
            <w:r>
              <w:rPr/>
              <w:t>(5,500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122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959"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66,542</w:t>
            </w:r>
          </w:p>
        </w:tc>
        <w:tc>
          <w:tcPr>
            <w:tcW w:w="170" w:type="dxa"/>
            <w:tcBorders/>
            <w:shd w:fill="CCEEFF" w:val="clear"/>
            <w:vAlign w:val="center"/>
          </w:tcPr>
          <w:p>
            <w:pPr>
              <w:pStyle w:val="TableContents"/>
              <w:spacing w:before="0" w:after="283"/>
              <w:rPr/>
            </w:pPr>
            <w:r>
              <w:rPr/>
              <w:t> </w:t>
            </w:r>
          </w:p>
        </w:tc>
      </w:tr>
      <w:tr>
        <w:trPr/>
        <w:tc>
          <w:tcPr>
            <w:tcW w:w="27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Share issue costs</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0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(8,303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1266"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226"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959"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(8,303</w:t>
            </w:r>
          </w:p>
        </w:tc>
        <w:tc>
          <w:tcPr>
            <w:tcW w:w="170" w:type="dxa"/>
            <w:tcBorders/>
            <w:shd w:fill="auto" w:val="clear"/>
            <w:vAlign w:val="center"/>
          </w:tcPr>
          <w:p>
            <w:pPr>
              <w:pStyle w:val="TableContents"/>
              <w:spacing w:before="0" w:after="283"/>
              <w:rPr/>
            </w:pPr>
            <w:r>
              <w:rPr/>
              <w:t>) </w:t>
            </w:r>
          </w:p>
        </w:tc>
      </w:tr>
      <w:tr>
        <w:trPr/>
        <w:tc>
          <w:tcPr>
            <w:tcW w:w="27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Equity-settled share-based payments</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1,942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126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122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959"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1,942</w:t>
            </w:r>
          </w:p>
        </w:tc>
        <w:tc>
          <w:tcPr>
            <w:tcW w:w="170" w:type="dxa"/>
            <w:tcBorders/>
            <w:shd w:fill="CCEEFF" w:val="clear"/>
            <w:vAlign w:val="center"/>
          </w:tcPr>
          <w:p>
            <w:pPr>
              <w:pStyle w:val="TableContents"/>
              <w:spacing w:before="0" w:after="283"/>
              <w:rPr/>
            </w:pPr>
            <w:r>
              <w:rPr/>
              <w:t> </w:t>
            </w:r>
          </w:p>
        </w:tc>
      </w:tr>
      <w:tr>
        <w:trPr/>
        <w:tc>
          <w:tcPr>
            <w:tcW w:w="27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Consolidated net profit/(loss)</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0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1266"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226" w:type="dxa"/>
            <w:tcBorders/>
            <w:shd w:fill="auto" w:val="clear"/>
            <w:vAlign w:val="center"/>
          </w:tcPr>
          <w:p>
            <w:pPr>
              <w:pStyle w:val="TableContents"/>
              <w:spacing w:before="0" w:after="283"/>
              <w:jc w:val="right"/>
              <w:rPr/>
            </w:pPr>
            <w:r>
              <w:rPr/>
              <w:t>(45,477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959"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(45,477</w:t>
            </w:r>
          </w:p>
        </w:tc>
        <w:tc>
          <w:tcPr>
            <w:tcW w:w="170" w:type="dxa"/>
            <w:tcBorders/>
            <w:shd w:fill="auto" w:val="clear"/>
            <w:vAlign w:val="center"/>
          </w:tcPr>
          <w:p>
            <w:pPr>
              <w:pStyle w:val="TableContents"/>
              <w:spacing w:before="0" w:after="283"/>
              <w:rPr/>
            </w:pPr>
            <w:r>
              <w:rPr/>
              <w:t>) </w:t>
            </w:r>
          </w:p>
        </w:tc>
      </w:tr>
      <w:tr>
        <w:trPr/>
        <w:tc>
          <w:tcPr>
            <w:tcW w:w="27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 comprehensive income/(loss)</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126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122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959" w:type="dxa"/>
            <w:tcBorders/>
            <w:shd w:fill="CCEEFF" w:val="clear"/>
            <w:vAlign w:val="center"/>
          </w:tcPr>
          <w:p>
            <w:pPr>
              <w:pStyle w:val="TableContents"/>
              <w:spacing w:before="0" w:after="283"/>
              <w:jc w:val="right"/>
              <w:rPr/>
            </w:pPr>
            <w:r>
              <w:rPr/>
              <w:t>(498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(498</w:t>
            </w:r>
          </w:p>
        </w:tc>
        <w:tc>
          <w:tcPr>
            <w:tcW w:w="170" w:type="dxa"/>
            <w:tcBorders/>
            <w:shd w:fill="CCEEFF" w:val="clear"/>
            <w:vAlign w:val="center"/>
          </w:tcPr>
          <w:p>
            <w:pPr>
              <w:pStyle w:val="TableContents"/>
              <w:spacing w:before="0" w:after="283"/>
              <w:rPr/>
            </w:pPr>
            <w:r>
              <w:rPr/>
              <w:t>) </w:t>
            </w:r>
          </w:p>
        </w:tc>
      </w:tr>
      <w:tr>
        <w:trPr/>
        <w:tc>
          <w:tcPr>
            <w:tcW w:w="27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601"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0"/>
              <w:rPr>
                <w:bdr w:val="single" w:sz="2" w:space="1" w:color="000000"/>
              </w:rPr>
            </w:pPr>
            <w:r>
              <w:rPr>
                <w:bdr w:val="single" w:sz="2" w:space="1" w:color="000000"/>
              </w:rPr>
              <w:t> </w:t>
            </w:r>
          </w:p>
        </w:tc>
        <w:tc>
          <w:tcPr>
            <w:tcW w:w="126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0"/>
              <w:rPr>
                <w:bdr w:val="single" w:sz="2" w:space="1" w:color="000000"/>
              </w:rPr>
            </w:pPr>
            <w:r>
              <w:rPr>
                <w:bdr w:val="single" w:sz="2" w:space="1" w:color="000000"/>
              </w:rPr>
              <w:t> </w:t>
            </w:r>
          </w:p>
        </w:tc>
        <w:tc>
          <w:tcPr>
            <w:tcW w:w="122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0"/>
              <w:rPr>
                <w:bdr w:val="single" w:sz="2" w:space="1" w:color="000000"/>
              </w:rPr>
            </w:pPr>
            <w:r>
              <w:rPr>
                <w:bdr w:val="single" w:sz="2" w:space="1" w:color="000000"/>
              </w:rPr>
              <w:t> </w:t>
            </w:r>
          </w:p>
        </w:tc>
        <w:tc>
          <w:tcPr>
            <w:tcW w:w="95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75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Balance at December 31, 2021</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spacing w:val="0"/>
              </w:rPr>
            </w:pPr>
            <w:r>
              <w:rPr>
                <w:spacing w:val="0"/>
              </w:rPr>
              <w:t> </w:t>
            </w:r>
          </w:p>
        </w:tc>
        <w:tc>
          <w:tcPr>
            <w:tcW w:w="601" w:type="dxa"/>
            <w:tcBorders/>
            <w:shd w:fill="auto" w:val="clear"/>
            <w:vAlign w:val="center"/>
          </w:tcPr>
          <w:p>
            <w:pPr>
              <w:pStyle w:val="TableContents"/>
              <w:spacing w:before="0" w:after="0"/>
              <w:jc w:val="right"/>
              <w:rPr>
                <w:b/>
                <w:spacing w:val="0"/>
              </w:rPr>
            </w:pPr>
            <w:r>
              <w:rPr>
                <w:b/>
                <w:spacing w:val="0"/>
              </w:rPr>
              <w:t>5,243</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0"/>
              <w:jc w:val="right"/>
              <w:rPr>
                <w:b/>
                <w:spacing w:val="0"/>
              </w:rPr>
            </w:pPr>
            <w:r>
              <w:rPr>
                <w:b/>
                <w:spacing w:val="0"/>
              </w:rPr>
              <w:t>172,622</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0"/>
              <w:rPr>
                <w:spacing w:val="0"/>
              </w:rPr>
            </w:pPr>
            <w:r>
              <w:rPr>
                <w:spacing w:val="0"/>
              </w:rPr>
              <w:t> </w:t>
            </w:r>
          </w:p>
        </w:tc>
        <w:tc>
          <w:tcPr>
            <w:tcW w:w="1266" w:type="dxa"/>
            <w:tcBorders/>
            <w:shd w:fill="auto" w:val="clear"/>
            <w:vAlign w:val="center"/>
          </w:tcPr>
          <w:p>
            <w:pPr>
              <w:pStyle w:val="TableContents"/>
              <w:spacing w:before="0" w:after="0"/>
              <w:jc w:val="right"/>
              <w:rPr>
                <w:b/>
                <w:spacing w:val="0"/>
              </w:rPr>
            </w:pPr>
            <w:r>
              <w:rPr>
                <w:b/>
                <w:spacing w:val="0"/>
              </w:rPr>
              <w:t>0</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0"/>
              <w:rPr>
                <w:spacing w:val="0"/>
              </w:rPr>
            </w:pPr>
            <w:r>
              <w:rPr>
                <w:spacing w:val="0"/>
              </w:rPr>
              <w:t> </w:t>
            </w:r>
          </w:p>
        </w:tc>
        <w:tc>
          <w:tcPr>
            <w:tcW w:w="1226" w:type="dxa"/>
            <w:tcBorders/>
            <w:shd w:fill="auto" w:val="clear"/>
            <w:vAlign w:val="center"/>
          </w:tcPr>
          <w:p>
            <w:pPr>
              <w:pStyle w:val="TableContents"/>
              <w:spacing w:before="0" w:after="0"/>
              <w:jc w:val="right"/>
              <w:rPr>
                <w:b/>
                <w:spacing w:val="0"/>
              </w:rPr>
            </w:pPr>
            <w:r>
              <w:rPr>
                <w:b/>
                <w:spacing w:val="0"/>
              </w:rPr>
              <w:t>(92,767</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0"/>
              <w:rPr>
                <w:spacing w:val="0"/>
              </w:rPr>
            </w:pPr>
            <w:r>
              <w:rPr>
                <w:spacing w:val="0"/>
              </w:rPr>
              <w:t> </w:t>
            </w:r>
          </w:p>
        </w:tc>
        <w:tc>
          <w:tcPr>
            <w:tcW w:w="959" w:type="dxa"/>
            <w:tcBorders/>
            <w:shd w:fill="auto" w:val="clear"/>
            <w:vAlign w:val="center"/>
          </w:tcPr>
          <w:p>
            <w:pPr>
              <w:pStyle w:val="TableContents"/>
              <w:spacing w:before="0" w:after="0"/>
              <w:jc w:val="right"/>
              <w:rPr>
                <w:b/>
                <w:spacing w:val="0"/>
              </w:rPr>
            </w:pPr>
            <w:r>
              <w:rPr>
                <w:b/>
                <w:spacing w:val="0"/>
              </w:rPr>
              <w:t>(184</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0"/>
              <w:jc w:val="right"/>
              <w:rPr>
                <w:b/>
                <w:spacing w:val="0"/>
              </w:rPr>
            </w:pPr>
            <w:r>
              <w:rPr>
                <w:b/>
                <w:spacing w:val="0"/>
              </w:rPr>
              <w:t>84,914</w:t>
            </w:r>
          </w:p>
        </w:tc>
        <w:tc>
          <w:tcPr>
            <w:tcW w:w="170" w:type="dxa"/>
            <w:tcBorders/>
            <w:shd w:fill="auto" w:val="clear"/>
            <w:vAlign w:val="center"/>
          </w:tcPr>
          <w:p>
            <w:pPr>
              <w:pStyle w:val="TableContents"/>
              <w:spacing w:before="0" w:after="0"/>
              <w:rPr>
                <w:spacing w:val="0"/>
              </w:rPr>
            </w:pPr>
            <w:r>
              <w:rPr>
                <w:spacing w:val="0"/>
              </w:rPr>
              <w:t> </w:t>
            </w:r>
          </w:p>
        </w:tc>
      </w:tr>
      <w:tr>
        <w:trPr/>
        <w:tc>
          <w:tcPr>
            <w:tcW w:w="27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601"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0"/>
              <w:rPr>
                <w:bdr w:val="single" w:sz="2" w:space="1" w:color="000000"/>
              </w:rPr>
            </w:pPr>
            <w:r>
              <w:rPr>
                <w:bdr w:val="single" w:sz="2" w:space="1" w:color="000000"/>
              </w:rPr>
              <w:t> </w:t>
            </w:r>
          </w:p>
        </w:tc>
        <w:tc>
          <w:tcPr>
            <w:tcW w:w="126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0"/>
              <w:rPr>
                <w:bdr w:val="single" w:sz="2" w:space="1" w:color="000000"/>
              </w:rPr>
            </w:pPr>
            <w:r>
              <w:rPr>
                <w:bdr w:val="single" w:sz="2" w:space="1" w:color="000000"/>
              </w:rPr>
              <w:t> </w:t>
            </w:r>
          </w:p>
        </w:tc>
        <w:tc>
          <w:tcPr>
            <w:tcW w:w="122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0"/>
              <w:rPr>
                <w:bdr w:val="single" w:sz="2" w:space="1" w:color="000000"/>
              </w:rPr>
            </w:pPr>
            <w:r>
              <w:rPr>
                <w:bdr w:val="single" w:sz="2" w:space="1" w:color="000000"/>
              </w:rPr>
              <w:t> </w:t>
            </w:r>
          </w:p>
        </w:tc>
        <w:tc>
          <w:tcPr>
            <w:tcW w:w="95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75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Balance at January 1, 2022</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0"/>
              <w:rPr>
                <w:spacing w:val="0"/>
              </w:rPr>
            </w:pPr>
            <w:r>
              <w:rPr>
                <w:spacing w:val="0"/>
              </w:rPr>
              <w:t> </w:t>
            </w:r>
          </w:p>
        </w:tc>
        <w:tc>
          <w:tcPr>
            <w:tcW w:w="601" w:type="dxa"/>
            <w:tcBorders/>
            <w:shd w:fill="CCEEFF" w:val="clear"/>
            <w:vAlign w:val="center"/>
          </w:tcPr>
          <w:p>
            <w:pPr>
              <w:pStyle w:val="TableContents"/>
              <w:spacing w:before="0" w:after="0"/>
              <w:jc w:val="right"/>
              <w:rPr>
                <w:b/>
                <w:spacing w:val="0"/>
              </w:rPr>
            </w:pPr>
            <w:r>
              <w:rPr>
                <w:b/>
                <w:spacing w:val="0"/>
              </w:rPr>
              <w:t>5,243</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0"/>
              <w:jc w:val="right"/>
              <w:rPr>
                <w:b/>
                <w:spacing w:val="0"/>
              </w:rPr>
            </w:pPr>
            <w:r>
              <w:rPr>
                <w:b/>
                <w:spacing w:val="0"/>
              </w:rPr>
              <w:t>172,622</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0"/>
              <w:rPr>
                <w:spacing w:val="0"/>
              </w:rPr>
            </w:pPr>
            <w:r>
              <w:rPr>
                <w:spacing w:val="0"/>
              </w:rPr>
              <w:t> </w:t>
            </w:r>
          </w:p>
        </w:tc>
        <w:tc>
          <w:tcPr>
            <w:tcW w:w="1266" w:type="dxa"/>
            <w:tcBorders/>
            <w:shd w:fill="CCEEFF" w:val="clear"/>
            <w:vAlign w:val="center"/>
          </w:tcPr>
          <w:p>
            <w:pPr>
              <w:pStyle w:val="TableContents"/>
              <w:spacing w:before="0" w:after="0"/>
              <w:jc w:val="right"/>
              <w:rPr>
                <w:b/>
                <w:spacing w:val="0"/>
              </w:rPr>
            </w:pPr>
            <w:r>
              <w:rPr>
                <w:b/>
                <w:spacing w:val="0"/>
              </w:rPr>
              <w:t>0</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0"/>
              <w:rPr>
                <w:spacing w:val="0"/>
              </w:rPr>
            </w:pPr>
            <w:r>
              <w:rPr>
                <w:spacing w:val="0"/>
              </w:rPr>
              <w:t> </w:t>
            </w:r>
          </w:p>
        </w:tc>
        <w:tc>
          <w:tcPr>
            <w:tcW w:w="1226" w:type="dxa"/>
            <w:tcBorders/>
            <w:shd w:fill="CCEEFF" w:val="clear"/>
            <w:vAlign w:val="center"/>
          </w:tcPr>
          <w:p>
            <w:pPr>
              <w:pStyle w:val="TableContents"/>
              <w:spacing w:before="0" w:after="0"/>
              <w:jc w:val="right"/>
              <w:rPr>
                <w:b/>
                <w:spacing w:val="0"/>
              </w:rPr>
            </w:pPr>
            <w:r>
              <w:rPr>
                <w:b/>
                <w:spacing w:val="0"/>
              </w:rPr>
              <w:t>(92,767</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0"/>
              <w:rPr>
                <w:spacing w:val="0"/>
              </w:rPr>
            </w:pPr>
            <w:r>
              <w:rPr>
                <w:spacing w:val="0"/>
              </w:rPr>
              <w:t> </w:t>
            </w:r>
          </w:p>
        </w:tc>
        <w:tc>
          <w:tcPr>
            <w:tcW w:w="959" w:type="dxa"/>
            <w:tcBorders/>
            <w:shd w:fill="CCEEFF" w:val="clear"/>
            <w:vAlign w:val="center"/>
          </w:tcPr>
          <w:p>
            <w:pPr>
              <w:pStyle w:val="TableContents"/>
              <w:spacing w:before="0" w:after="0"/>
              <w:jc w:val="right"/>
              <w:rPr>
                <w:b/>
                <w:spacing w:val="0"/>
              </w:rPr>
            </w:pPr>
            <w:r>
              <w:rPr>
                <w:b/>
                <w:spacing w:val="0"/>
              </w:rPr>
              <w:t>(184</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755" w:type="dxa"/>
            <w:tcBorders/>
            <w:shd w:fill="CCEEFF" w:val="clear"/>
            <w:vAlign w:val="center"/>
          </w:tcPr>
          <w:p>
            <w:pPr>
              <w:pStyle w:val="TableContents"/>
              <w:spacing w:before="0" w:after="0"/>
              <w:jc w:val="right"/>
              <w:rPr>
                <w:b/>
                <w:spacing w:val="0"/>
              </w:rPr>
            </w:pPr>
            <w:r>
              <w:rPr>
                <w:b/>
                <w:spacing w:val="0"/>
              </w:rPr>
              <w:t>84,914</w:t>
            </w:r>
          </w:p>
        </w:tc>
        <w:tc>
          <w:tcPr>
            <w:tcW w:w="170" w:type="dxa"/>
            <w:tcBorders/>
            <w:shd w:fill="CCEEFF" w:val="clear"/>
            <w:vAlign w:val="center"/>
          </w:tcPr>
          <w:p>
            <w:pPr>
              <w:pStyle w:val="TableContents"/>
              <w:spacing w:before="0" w:after="0"/>
              <w:rPr>
                <w:spacing w:val="0"/>
              </w:rPr>
            </w:pPr>
            <w:r>
              <w:rPr>
                <w:spacing w:val="0"/>
              </w:rPr>
              <w:t> </w:t>
            </w:r>
          </w:p>
        </w:tc>
      </w:tr>
      <w:tr>
        <w:trPr/>
        <w:tc>
          <w:tcPr>
            <w:tcW w:w="27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601"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0"/>
              <w:rPr>
                <w:bdr w:val="single" w:sz="2" w:space="1" w:color="000000"/>
              </w:rPr>
            </w:pPr>
            <w:r>
              <w:rPr>
                <w:bdr w:val="single" w:sz="2" w:space="1" w:color="000000"/>
              </w:rPr>
              <w:t> </w:t>
            </w:r>
          </w:p>
        </w:tc>
        <w:tc>
          <w:tcPr>
            <w:tcW w:w="126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0"/>
              <w:rPr>
                <w:bdr w:val="single" w:sz="2" w:space="1" w:color="000000"/>
              </w:rPr>
            </w:pPr>
            <w:r>
              <w:rPr>
                <w:bdr w:val="single" w:sz="2" w:space="1" w:color="000000"/>
              </w:rPr>
              <w:t> </w:t>
            </w:r>
          </w:p>
        </w:tc>
        <w:tc>
          <w:tcPr>
            <w:tcW w:w="122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0"/>
              <w:rPr>
                <w:bdr w:val="single" w:sz="2" w:space="1" w:color="000000"/>
              </w:rPr>
            </w:pPr>
            <w:r>
              <w:rPr>
                <w:bdr w:val="single" w:sz="2" w:space="1" w:color="000000"/>
              </w:rPr>
              <w:t> </w:t>
            </w:r>
          </w:p>
        </w:tc>
        <w:tc>
          <w:tcPr>
            <w:tcW w:w="95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7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Issue of ordinary shares</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01" w:type="dxa"/>
            <w:tcBorders/>
            <w:shd w:fill="auto" w:val="clear"/>
            <w:vAlign w:val="center"/>
          </w:tcPr>
          <w:p>
            <w:pPr>
              <w:pStyle w:val="TableContents"/>
              <w:spacing w:before="0" w:after="283"/>
              <w:jc w:val="right"/>
              <w:rPr/>
            </w:pPr>
            <w:r>
              <w:rPr/>
              <w:t>425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10,776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1266"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226"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959"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11,201</w:t>
            </w:r>
          </w:p>
        </w:tc>
        <w:tc>
          <w:tcPr>
            <w:tcW w:w="170" w:type="dxa"/>
            <w:tcBorders/>
            <w:shd w:fill="auto" w:val="clear"/>
            <w:vAlign w:val="center"/>
          </w:tcPr>
          <w:p>
            <w:pPr>
              <w:pStyle w:val="TableContents"/>
              <w:spacing w:before="0" w:after="283"/>
              <w:rPr/>
            </w:pPr>
            <w:r>
              <w:rPr/>
              <w:t> </w:t>
            </w:r>
          </w:p>
        </w:tc>
      </w:tr>
      <w:tr>
        <w:trPr/>
        <w:tc>
          <w:tcPr>
            <w:tcW w:w="27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Share issue costs</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(262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126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122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959"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(262</w:t>
            </w:r>
          </w:p>
        </w:tc>
        <w:tc>
          <w:tcPr>
            <w:tcW w:w="170" w:type="dxa"/>
            <w:tcBorders/>
            <w:shd w:fill="CCEEFF" w:val="clear"/>
            <w:vAlign w:val="center"/>
          </w:tcPr>
          <w:p>
            <w:pPr>
              <w:pStyle w:val="TableContents"/>
              <w:spacing w:before="0" w:after="283"/>
              <w:rPr/>
            </w:pPr>
            <w:r>
              <w:rPr/>
              <w:t>) </w:t>
            </w:r>
          </w:p>
        </w:tc>
      </w:tr>
      <w:tr>
        <w:trPr/>
        <w:tc>
          <w:tcPr>
            <w:tcW w:w="27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Equity-settled share-based payments</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0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6,133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1266"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226"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959"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6,133</w:t>
            </w:r>
          </w:p>
        </w:tc>
        <w:tc>
          <w:tcPr>
            <w:tcW w:w="170" w:type="dxa"/>
            <w:tcBorders/>
            <w:shd w:fill="auto" w:val="clear"/>
            <w:vAlign w:val="center"/>
          </w:tcPr>
          <w:p>
            <w:pPr>
              <w:pStyle w:val="TableContents"/>
              <w:spacing w:before="0" w:after="283"/>
              <w:rPr/>
            </w:pPr>
            <w:r>
              <w:rPr/>
              <w:t> </w:t>
            </w:r>
          </w:p>
        </w:tc>
      </w:tr>
      <w:tr>
        <w:trPr/>
        <w:tc>
          <w:tcPr>
            <w:tcW w:w="27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Consolidated net profit/(loss)</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126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1226" w:type="dxa"/>
            <w:tcBorders/>
            <w:shd w:fill="CCEEFF" w:val="clear"/>
            <w:vAlign w:val="center"/>
          </w:tcPr>
          <w:p>
            <w:pPr>
              <w:pStyle w:val="TableContents"/>
              <w:spacing w:before="0" w:after="283"/>
              <w:jc w:val="right"/>
              <w:rPr/>
            </w:pPr>
            <w:r>
              <w:rPr/>
              <w:t>(73,782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959"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(73,782</w:t>
            </w:r>
          </w:p>
        </w:tc>
        <w:tc>
          <w:tcPr>
            <w:tcW w:w="170" w:type="dxa"/>
            <w:tcBorders/>
            <w:shd w:fill="CCEEFF" w:val="clear"/>
            <w:vAlign w:val="center"/>
          </w:tcPr>
          <w:p>
            <w:pPr>
              <w:pStyle w:val="TableContents"/>
              <w:spacing w:before="0" w:after="283"/>
              <w:rPr/>
            </w:pPr>
            <w:r>
              <w:rPr/>
              <w:t>) </w:t>
            </w:r>
          </w:p>
        </w:tc>
      </w:tr>
      <w:tr>
        <w:trPr/>
        <w:tc>
          <w:tcPr>
            <w:tcW w:w="27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comprehensive income/(loss)</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60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1266"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226"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959" w:type="dxa"/>
            <w:tcBorders/>
            <w:shd w:fill="auto" w:val="clear"/>
            <w:vAlign w:val="center"/>
          </w:tcPr>
          <w:p>
            <w:pPr>
              <w:pStyle w:val="TableContents"/>
              <w:spacing w:before="0" w:after="283"/>
              <w:jc w:val="right"/>
              <w:rPr/>
            </w:pPr>
            <w:r>
              <w:rPr/>
              <w:t>(411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(411</w:t>
            </w:r>
          </w:p>
        </w:tc>
        <w:tc>
          <w:tcPr>
            <w:tcW w:w="170" w:type="dxa"/>
            <w:tcBorders/>
            <w:shd w:fill="auto" w:val="clear"/>
            <w:vAlign w:val="center"/>
          </w:tcPr>
          <w:p>
            <w:pPr>
              <w:pStyle w:val="TableContents"/>
              <w:spacing w:before="0" w:after="283"/>
              <w:rPr/>
            </w:pPr>
            <w:r>
              <w:rPr/>
              <w:t>) </w:t>
            </w:r>
          </w:p>
        </w:tc>
      </w:tr>
      <w:tr>
        <w:trPr/>
        <w:tc>
          <w:tcPr>
            <w:tcW w:w="27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601"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0"/>
              <w:rPr>
                <w:bdr w:val="single" w:sz="2" w:space="1" w:color="000000"/>
              </w:rPr>
            </w:pPr>
            <w:r>
              <w:rPr>
                <w:bdr w:val="single" w:sz="2" w:space="1" w:color="000000"/>
              </w:rPr>
              <w:t> </w:t>
            </w:r>
          </w:p>
        </w:tc>
        <w:tc>
          <w:tcPr>
            <w:tcW w:w="126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0"/>
              <w:rPr>
                <w:bdr w:val="single" w:sz="2" w:space="1" w:color="000000"/>
              </w:rPr>
            </w:pPr>
            <w:r>
              <w:rPr>
                <w:bdr w:val="single" w:sz="2" w:space="1" w:color="000000"/>
              </w:rPr>
              <w:t> </w:t>
            </w:r>
          </w:p>
        </w:tc>
        <w:tc>
          <w:tcPr>
            <w:tcW w:w="122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0"/>
              <w:rPr>
                <w:bdr w:val="single" w:sz="2" w:space="1" w:color="000000"/>
              </w:rPr>
            </w:pPr>
            <w:r>
              <w:rPr>
                <w:bdr w:val="single" w:sz="2" w:space="1" w:color="000000"/>
              </w:rPr>
              <w:t> </w:t>
            </w:r>
          </w:p>
        </w:tc>
        <w:tc>
          <w:tcPr>
            <w:tcW w:w="95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75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Balance at December 31, 2022</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0"/>
              <w:rPr>
                <w:spacing w:val="0"/>
              </w:rPr>
            </w:pPr>
            <w:r>
              <w:rPr>
                <w:spacing w:val="0"/>
              </w:rPr>
              <w:t> </w:t>
            </w:r>
          </w:p>
        </w:tc>
        <w:tc>
          <w:tcPr>
            <w:tcW w:w="601" w:type="dxa"/>
            <w:tcBorders/>
            <w:shd w:fill="CCEEFF" w:val="clear"/>
            <w:vAlign w:val="center"/>
          </w:tcPr>
          <w:p>
            <w:pPr>
              <w:pStyle w:val="TableContents"/>
              <w:spacing w:before="0" w:after="0"/>
              <w:jc w:val="right"/>
              <w:rPr>
                <w:b/>
                <w:spacing w:val="0"/>
              </w:rPr>
            </w:pPr>
            <w:r>
              <w:rPr>
                <w:b/>
                <w:spacing w:val="0"/>
              </w:rPr>
              <w:t>5,668</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800" w:type="dxa"/>
            <w:tcBorders/>
            <w:shd w:fill="CCEEFF" w:val="clear"/>
            <w:vAlign w:val="center"/>
          </w:tcPr>
          <w:p>
            <w:pPr>
              <w:pStyle w:val="TableContents"/>
              <w:spacing w:before="0" w:after="0"/>
              <w:jc w:val="right"/>
              <w:rPr>
                <w:b/>
                <w:spacing w:val="0"/>
              </w:rPr>
            </w:pPr>
            <w:r>
              <w:rPr>
                <w:b/>
                <w:spacing w:val="0"/>
              </w:rPr>
              <w:t>189,269</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0"/>
              <w:rPr>
                <w:spacing w:val="0"/>
              </w:rPr>
            </w:pPr>
            <w:r>
              <w:rPr>
                <w:spacing w:val="0"/>
              </w:rPr>
              <w:t> </w:t>
            </w:r>
          </w:p>
        </w:tc>
        <w:tc>
          <w:tcPr>
            <w:tcW w:w="1266" w:type="dxa"/>
            <w:tcBorders/>
            <w:shd w:fill="CCEEFF" w:val="clear"/>
            <w:vAlign w:val="center"/>
          </w:tcPr>
          <w:p>
            <w:pPr>
              <w:pStyle w:val="TableContents"/>
              <w:spacing w:before="0" w:after="0"/>
              <w:jc w:val="right"/>
              <w:rPr>
                <w:b/>
                <w:spacing w:val="0"/>
              </w:rPr>
            </w:pPr>
            <w:r>
              <w:rPr>
                <w:b/>
                <w:spacing w:val="0"/>
              </w:rPr>
              <w:t>0</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0"/>
              <w:rPr>
                <w:spacing w:val="0"/>
              </w:rPr>
            </w:pPr>
            <w:r>
              <w:rPr>
                <w:spacing w:val="0"/>
              </w:rPr>
              <w:t> </w:t>
            </w:r>
          </w:p>
        </w:tc>
        <w:tc>
          <w:tcPr>
            <w:tcW w:w="1226" w:type="dxa"/>
            <w:tcBorders/>
            <w:shd w:fill="CCEEFF" w:val="clear"/>
            <w:vAlign w:val="center"/>
          </w:tcPr>
          <w:p>
            <w:pPr>
              <w:pStyle w:val="TableContents"/>
              <w:spacing w:before="0" w:after="0"/>
              <w:jc w:val="right"/>
              <w:rPr>
                <w:b/>
                <w:spacing w:val="0"/>
              </w:rPr>
            </w:pPr>
            <w:r>
              <w:rPr>
                <w:b/>
                <w:spacing w:val="0"/>
              </w:rPr>
              <w:t>(166,549</w:t>
            </w:r>
          </w:p>
        </w:tc>
        <w:tc>
          <w:tcPr>
            <w:tcW w:w="155" w:type="dxa"/>
            <w:tcBorders/>
            <w:shd w:fill="CCEEFF" w:val="clear"/>
            <w:vAlign w:val="center"/>
          </w:tcPr>
          <w:p>
            <w:pPr>
              <w:pStyle w:val="TableContents"/>
              <w:spacing w:before="0" w:after="0"/>
              <w:rPr/>
            </w:pPr>
            <w:r>
              <w:rPr/>
              <w:t>)</w:t>
            </w:r>
          </w:p>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0"/>
              <w:rPr>
                <w:spacing w:val="0"/>
              </w:rPr>
            </w:pPr>
            <w:r>
              <w:rPr>
                <w:spacing w:val="0"/>
              </w:rPr>
              <w:t> </w:t>
            </w:r>
          </w:p>
        </w:tc>
        <w:tc>
          <w:tcPr>
            <w:tcW w:w="959" w:type="dxa"/>
            <w:tcBorders/>
            <w:shd w:fill="CCEEFF" w:val="clear"/>
            <w:vAlign w:val="center"/>
          </w:tcPr>
          <w:p>
            <w:pPr>
              <w:pStyle w:val="TableContents"/>
              <w:spacing w:before="0" w:after="0"/>
              <w:jc w:val="right"/>
              <w:rPr>
                <w:b/>
                <w:spacing w:val="0"/>
              </w:rPr>
            </w:pPr>
            <w:r>
              <w:rPr>
                <w:b/>
                <w:spacing w:val="0"/>
              </w:rPr>
              <w:t>(595</w:t>
            </w:r>
          </w:p>
        </w:tc>
        <w:tc>
          <w:tcPr>
            <w:tcW w:w="155" w:type="dxa"/>
            <w:tcBorders/>
            <w:shd w:fill="CCEEFF" w:val="clear"/>
            <w:vAlign w:val="center"/>
          </w:tcPr>
          <w:p>
            <w:pPr>
              <w:pStyle w:val="TableContents"/>
              <w:spacing w:before="0" w:after="0"/>
              <w:rPr/>
            </w:pPr>
            <w:r>
              <w:rPr/>
              <w:t>)</w:t>
            </w:r>
          </w:p>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755" w:type="dxa"/>
            <w:tcBorders/>
            <w:shd w:fill="CCEEFF" w:val="clear"/>
            <w:vAlign w:val="center"/>
          </w:tcPr>
          <w:p>
            <w:pPr>
              <w:pStyle w:val="TableContents"/>
              <w:spacing w:before="0" w:after="0"/>
              <w:jc w:val="right"/>
              <w:rPr>
                <w:b/>
                <w:spacing w:val="0"/>
              </w:rPr>
            </w:pPr>
            <w:r>
              <w:rPr>
                <w:b/>
                <w:spacing w:val="0"/>
              </w:rPr>
              <w:t>27,793</w:t>
            </w:r>
          </w:p>
        </w:tc>
        <w:tc>
          <w:tcPr>
            <w:tcW w:w="170" w:type="dxa"/>
            <w:tcBorders/>
            <w:shd w:fill="CCEEFF" w:val="clear"/>
            <w:vAlign w:val="center"/>
          </w:tcPr>
          <w:p>
            <w:pPr>
              <w:pStyle w:val="TableContents"/>
              <w:spacing w:before="0" w:after="0"/>
              <w:rPr>
                <w:spacing w:val="0"/>
              </w:rPr>
            </w:pPr>
            <w:r>
              <w:rPr>
                <w:spacing w:val="0"/>
              </w:rPr>
              <w:t> </w:t>
            </w:r>
          </w:p>
        </w:tc>
      </w:tr>
      <w:tr>
        <w:trPr/>
        <w:tc>
          <w:tcPr>
            <w:tcW w:w="27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0"/>
              <w:rPr>
                <w:bdr w:val="single" w:sz="2" w:space="1" w:color="000000"/>
              </w:rPr>
            </w:pPr>
            <w:r>
              <w:rPr>
                <w:bdr w:val="single" w:sz="2" w:space="1" w:color="000000"/>
              </w:rPr>
              <w:t> </w:t>
            </w:r>
          </w:p>
        </w:tc>
        <w:tc>
          <w:tcPr>
            <w:tcW w:w="601"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0"/>
              <w:rPr>
                <w:bdr w:val="single" w:sz="2" w:space="1" w:color="000000"/>
              </w:rPr>
            </w:pPr>
            <w:r>
              <w:rPr>
                <w:bdr w:val="single" w:sz="2" w:space="1" w:color="000000"/>
              </w:rPr>
              <w:t> </w:t>
            </w:r>
          </w:p>
        </w:tc>
        <w:tc>
          <w:tcPr>
            <w:tcW w:w="126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0"/>
              <w:rPr>
                <w:bdr w:val="single" w:sz="2" w:space="1" w:color="000000"/>
              </w:rPr>
            </w:pPr>
            <w:r>
              <w:rPr>
                <w:bdr w:val="single" w:sz="2" w:space="1" w:color="000000"/>
              </w:rPr>
              <w:t> </w:t>
            </w:r>
          </w:p>
        </w:tc>
        <w:tc>
          <w:tcPr>
            <w:tcW w:w="122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0"/>
              <w:rPr>
                <w:bdr w:val="single" w:sz="2" w:space="1" w:color="000000"/>
              </w:rPr>
            </w:pPr>
            <w:r>
              <w:rPr>
                <w:bdr w:val="single" w:sz="2" w:space="1" w:color="000000"/>
              </w:rPr>
              <w:t> </w:t>
            </w:r>
          </w:p>
        </w:tc>
        <w:tc>
          <w:tcPr>
            <w:tcW w:w="959"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accompanying notes are an integral part of these consolidated financial statements.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5</w:t>
      </w:r>
    </w:p>
    <w:p>
      <w:pPr>
        <w:pStyle w:val="HorizontalLine"/>
        <w:rPr/>
      </w:pPr>
      <w:r>
        <w:rPr/>
      </w:r>
    </w:p>
    <w:p>
      <w:pPr>
        <w:pStyle w:val="TextBody"/>
        <w:spacing w:before="0" w:after="0"/>
        <w:rPr/>
      </w:pPr>
      <w:hyperlink w:anchor="toc">
        <w:r>
          <w:rPr>
            <w:rStyle w:val="InternetLink"/>
            <w:highlight w:val="white"/>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rFonts w:ascii="Times New Roman" w:hAnsi="Times New Roman"/>
          <w:b/>
          <w:sz w:val="20"/>
        </w:rPr>
      </w:pPr>
      <w:r>
        <w:rPr>
          <w:rFonts w:ascii="Times New Roman" w:hAnsi="Times New Roman"/>
          <w:b/>
          <w:sz w:val="20"/>
        </w:rPr>
        <w:t>Consolidated statements of cash flows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 w:hAnsi="Times New Roman"/>
          <w:b/>
          <w:sz w:val="20"/>
          <w:highlight w:val="white"/>
        </w:rPr>
      </w:pPr>
      <w:r>
        <w:rPr>
          <w:rFonts w:ascii="Times New Roman" w:hAnsi="Times New Roman"/>
          <w:b/>
          <w:sz w:val="20"/>
          <w:highlight w:val="white"/>
        </w:rPr>
        <w:t>for the years ended December 31, 2022, 2021 and 2020</w:t>
      </w:r>
    </w:p>
    <w:p>
      <w:pPr>
        <w:pStyle w:val="TextBody"/>
        <w:spacing w:before="0" w:after="0"/>
        <w:jc w:val="left"/>
        <w:rPr>
          <w:highlight w:val="white"/>
        </w:rPr>
      </w:pPr>
      <w:r>
        <w:rPr>
          <w:highlight w:val="white"/>
        </w:rPr>
        <w:t> </w:t>
      </w:r>
    </w:p>
    <w:tbl>
      <w:tblPr>
        <w:tblW w:w="9475" w:type="dxa"/>
        <w:jc w:val="left"/>
        <w:tblInd w:w="0" w:type="dxa"/>
        <w:tblCellMar>
          <w:top w:w="0" w:type="dxa"/>
          <w:left w:w="0" w:type="dxa"/>
          <w:bottom w:w="0" w:type="dxa"/>
          <w:right w:w="0" w:type="dxa"/>
        </w:tblCellMar>
      </w:tblPr>
      <w:tblGrid>
        <w:gridCol w:w="5630"/>
        <w:gridCol w:w="120"/>
        <w:gridCol w:w="93"/>
        <w:gridCol w:w="407"/>
        <w:gridCol w:w="60"/>
        <w:gridCol w:w="120"/>
        <w:gridCol w:w="60"/>
        <w:gridCol w:w="755"/>
        <w:gridCol w:w="155"/>
        <w:gridCol w:w="60"/>
        <w:gridCol w:w="60"/>
        <w:gridCol w:w="755"/>
        <w:gridCol w:w="155"/>
        <w:gridCol w:w="60"/>
        <w:gridCol w:w="60"/>
        <w:gridCol w:w="755"/>
        <w:gridCol w:w="170"/>
      </w:tblGrid>
      <w:tr>
        <w:trPr/>
        <w:tc>
          <w:tcPr>
            <w:tcW w:w="56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630" w:type="dxa"/>
            <w:tcBorders/>
            <w:shd w:fill="auto" w:val="clear"/>
            <w:vAlign w:val="center"/>
          </w:tcPr>
          <w:p>
            <w:pPr>
              <w:pStyle w:val="TableContents"/>
              <w:spacing w:before="0" w:after="0"/>
              <w:rPr>
                <w:bdr w:val="single" w:sz="8" w:space="1" w:color="000000"/>
              </w:rPr>
            </w:pPr>
            <w:r>
              <w:rPr>
                <w:bdr w:val="single" w:sz="8" w:space="1" w:color="000000"/>
              </w:rPr>
              <w:t xml:space="preserve">€ </w:t>
            </w:r>
            <w:r>
              <w:rPr>
                <w:rFonts w:ascii="Times New Roman" w:hAnsi="Times New Roman"/>
                <w:sz w:val="16"/>
                <w:bdr w:val="single" w:sz="8" w:space="1" w:color="000000"/>
              </w:rPr>
              <w:t>thousand</w:t>
            </w:r>
          </w:p>
        </w:tc>
        <w:tc>
          <w:tcPr>
            <w:tcW w:w="120" w:type="dxa"/>
            <w:tcBorders/>
            <w:shd w:fill="auto" w:val="clear"/>
            <w:vAlign w:val="center"/>
          </w:tcPr>
          <w:p>
            <w:pPr>
              <w:pStyle w:val="TableContents"/>
              <w:spacing w:before="0" w:after="283"/>
              <w:rPr/>
            </w:pPr>
            <w:r>
              <w:rPr/>
              <w:t>  </w:t>
            </w:r>
          </w:p>
        </w:tc>
        <w:tc>
          <w:tcPr>
            <w:tcW w:w="50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Note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170" w:type="dxa"/>
            <w:tcBorders/>
            <w:shd w:fill="auto" w:val="clear"/>
            <w:vAlign w:val="center"/>
          </w:tcPr>
          <w:p>
            <w:pPr>
              <w:pStyle w:val="TableContents"/>
              <w:spacing w:before="0" w:after="283"/>
              <w:rPr/>
            </w:pPr>
            <w:r>
              <w:rPr/>
              <w:t> </w:t>
            </w:r>
          </w:p>
        </w:tc>
      </w:tr>
      <w:tr>
        <w:trPr/>
        <w:tc>
          <w:tcPr>
            <w:tcW w:w="563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Cash flows from operating activities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56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Consolidated net profit/(loss)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0"/>
              <w:jc w:val="right"/>
              <w:rPr>
                <w:b/>
                <w:spacing w:val="0"/>
              </w:rPr>
            </w:pPr>
            <w:r>
              <w:rPr>
                <w:b/>
                <w:spacing w:val="0"/>
              </w:rPr>
              <w:t>(73,782</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0"/>
              <w:jc w:val="right"/>
              <w:rPr>
                <w:b/>
                <w:spacing w:val="0"/>
              </w:rPr>
            </w:pPr>
            <w:r>
              <w:rPr>
                <w:b/>
                <w:spacing w:val="0"/>
              </w:rPr>
              <w:t>(45,477</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0"/>
              <w:jc w:val="right"/>
              <w:rPr>
                <w:b/>
                <w:spacing w:val="0"/>
              </w:rPr>
            </w:pPr>
            <w:r>
              <w:rPr>
                <w:b/>
                <w:spacing w:val="0"/>
              </w:rPr>
              <w:t>(19,770</w:t>
            </w:r>
          </w:p>
        </w:tc>
        <w:tc>
          <w:tcPr>
            <w:tcW w:w="170" w:type="dxa"/>
            <w:tcBorders/>
            <w:shd w:fill="auto" w:val="clear"/>
            <w:vAlign w:val="center"/>
          </w:tcPr>
          <w:p>
            <w:pPr>
              <w:pStyle w:val="TableContents"/>
              <w:spacing w:before="0" w:after="0"/>
              <w:rPr>
                <w:b/>
                <w:spacing w:val="0"/>
              </w:rPr>
            </w:pPr>
            <w:r>
              <w:rPr>
                <w:b/>
                <w:spacing w:val="0"/>
              </w:rPr>
              <w:t>) </w:t>
            </w:r>
          </w:p>
        </w:tc>
      </w:tr>
      <w:tr>
        <w:trPr/>
        <w:tc>
          <w:tcPr>
            <w:tcW w:w="56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Adjustments for:</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56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Income tax expense</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jc w:val="right"/>
              <w:rPr/>
            </w:pPr>
            <w:r>
              <w:rPr/>
              <w:t>15.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(24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1,791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0</w:t>
            </w:r>
          </w:p>
        </w:tc>
        <w:tc>
          <w:tcPr>
            <w:tcW w:w="170" w:type="dxa"/>
            <w:tcBorders/>
            <w:shd w:fill="auto" w:val="clear"/>
            <w:vAlign w:val="center"/>
          </w:tcPr>
          <w:p>
            <w:pPr>
              <w:pStyle w:val="TableContents"/>
              <w:spacing w:before="0" w:after="283"/>
              <w:rPr/>
            </w:pPr>
            <w:r>
              <w:rPr/>
              <w:t> </w:t>
            </w:r>
          </w:p>
        </w:tc>
      </w:tr>
      <w:tr>
        <w:trPr/>
        <w:tc>
          <w:tcPr>
            <w:tcW w:w="56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Depreciation, amortization and impairment</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10.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7,989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4,518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1,840</w:t>
            </w:r>
          </w:p>
        </w:tc>
        <w:tc>
          <w:tcPr>
            <w:tcW w:w="170" w:type="dxa"/>
            <w:tcBorders/>
            <w:shd w:fill="CCEEFF" w:val="clear"/>
            <w:vAlign w:val="center"/>
          </w:tcPr>
          <w:p>
            <w:pPr>
              <w:pStyle w:val="TableContents"/>
              <w:spacing w:before="0" w:after="283"/>
              <w:rPr/>
            </w:pPr>
            <w:r>
              <w:rPr/>
              <w:t> </w:t>
            </w:r>
          </w:p>
        </w:tc>
      </w:tr>
      <w:tr>
        <w:trPr/>
        <w:tc>
          <w:tcPr>
            <w:tcW w:w="56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Loss from disposals of </w:t>
            </w:r>
          </w:p>
          <w:p>
            <w:pPr>
              <w:pStyle w:val="TableContents"/>
              <w:spacing w:before="0" w:after="0"/>
              <w:rPr>
                <w:rFonts w:ascii="Times New Roman" w:hAnsi="Times New Roman"/>
                <w:spacing w:val="0"/>
                <w:sz w:val="20"/>
              </w:rPr>
            </w:pPr>
            <w:r>
              <w:rPr>
                <w:rFonts w:ascii="Times New Roman" w:hAnsi="Times New Roman"/>
                <w:spacing w:val="0"/>
                <w:sz w:val="20"/>
              </w:rPr>
              <w:t>non-current</w:t>
            </w:r>
          </w:p>
          <w:p>
            <w:pPr>
              <w:pStyle w:val="TableContents"/>
              <w:spacing w:before="0" w:after="0"/>
              <w:rPr>
                <w:rFonts w:ascii="Times New Roman" w:hAnsi="Times New Roman"/>
                <w:sz w:val="20"/>
              </w:rPr>
            </w:pPr>
            <w:r>
              <w:rPr>
                <w:rFonts w:ascii="Times New Roman" w:hAnsi="Times New Roman"/>
                <w:sz w:val="20"/>
              </w:rPr>
              <w:t>assets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109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20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51</w:t>
            </w:r>
          </w:p>
        </w:tc>
        <w:tc>
          <w:tcPr>
            <w:tcW w:w="170" w:type="dxa"/>
            <w:tcBorders/>
            <w:shd w:fill="auto" w:val="clear"/>
            <w:vAlign w:val="center"/>
          </w:tcPr>
          <w:p>
            <w:pPr>
              <w:pStyle w:val="TableContents"/>
              <w:spacing w:before="0" w:after="283"/>
              <w:rPr/>
            </w:pPr>
            <w:r>
              <w:rPr/>
              <w:t> </w:t>
            </w:r>
          </w:p>
        </w:tc>
      </w:tr>
      <w:tr>
        <w:trPr/>
        <w:tc>
          <w:tcPr>
            <w:tcW w:w="56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Interest and similar (income) and expenses, net</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14.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2,545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2,148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(18</w:t>
            </w:r>
          </w:p>
        </w:tc>
        <w:tc>
          <w:tcPr>
            <w:tcW w:w="170" w:type="dxa"/>
            <w:tcBorders/>
            <w:shd w:fill="CCEEFF" w:val="clear"/>
            <w:vAlign w:val="center"/>
          </w:tcPr>
          <w:p>
            <w:pPr>
              <w:pStyle w:val="TableContents"/>
              <w:spacing w:before="0" w:after="283"/>
              <w:rPr/>
            </w:pPr>
            <w:r>
              <w:rPr/>
              <w:t>) </w:t>
            </w:r>
          </w:p>
        </w:tc>
      </w:tr>
      <w:tr>
        <w:trPr/>
        <w:tc>
          <w:tcPr>
            <w:tcW w:w="56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Equity-settled share-based payment</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jc w:val="right"/>
              <w:rPr/>
            </w:pPr>
            <w:r>
              <w:rPr/>
              <w:t>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6,133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1,942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1,125</w:t>
            </w:r>
          </w:p>
        </w:tc>
        <w:tc>
          <w:tcPr>
            <w:tcW w:w="170" w:type="dxa"/>
            <w:tcBorders/>
            <w:shd w:fill="auto" w:val="clear"/>
            <w:vAlign w:val="center"/>
          </w:tcPr>
          <w:p>
            <w:pPr>
              <w:pStyle w:val="TableContents"/>
              <w:spacing w:before="0" w:after="283"/>
              <w:rPr/>
            </w:pPr>
            <w:r>
              <w:rPr/>
              <w:t> </w:t>
            </w:r>
          </w:p>
        </w:tc>
      </w:tr>
      <w:tr>
        <w:trPr/>
        <w:tc>
          <w:tcPr>
            <w:tcW w:w="56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Share of profit of equity-accounted investees, net of tax</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45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0</w:t>
            </w:r>
          </w:p>
        </w:tc>
        <w:tc>
          <w:tcPr>
            <w:tcW w:w="170" w:type="dxa"/>
            <w:tcBorders/>
            <w:shd w:fill="CCEEFF" w:val="clear"/>
            <w:vAlign w:val="center"/>
          </w:tcPr>
          <w:p>
            <w:pPr>
              <w:pStyle w:val="TableContents"/>
              <w:spacing w:before="0" w:after="283"/>
              <w:rPr/>
            </w:pPr>
            <w:r>
              <w:rPr/>
              <w:t> </w:t>
            </w:r>
          </w:p>
        </w:tc>
      </w:tr>
      <w:tr>
        <w:trPr/>
        <w:tc>
          <w:tcPr>
            <w:tcW w:w="56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foreign exchange (gain) / loss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jc w:val="right"/>
              <w:rPr/>
            </w:pPr>
            <w:r>
              <w:rPr/>
              <w:t>14.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(2,574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(826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531</w:t>
            </w:r>
          </w:p>
        </w:tc>
        <w:tc>
          <w:tcPr>
            <w:tcW w:w="170" w:type="dxa"/>
            <w:tcBorders/>
            <w:shd w:fill="auto" w:val="clear"/>
            <w:vAlign w:val="center"/>
          </w:tcPr>
          <w:p>
            <w:pPr>
              <w:pStyle w:val="TableContents"/>
              <w:spacing w:before="0" w:after="283"/>
              <w:rPr/>
            </w:pPr>
            <w:r>
              <w:rPr/>
              <w:t> </w:t>
            </w:r>
          </w:p>
        </w:tc>
      </w:tr>
      <w:tr>
        <w:trPr/>
        <w:tc>
          <w:tcPr>
            <w:tcW w:w="56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Changes in:</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56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Inventories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jc w:val="right"/>
              <w:rPr/>
            </w:pPr>
            <w:r>
              <w:rPr/>
              <w:t>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(4,958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(3,167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(4,032</w:t>
            </w:r>
          </w:p>
        </w:tc>
        <w:tc>
          <w:tcPr>
            <w:tcW w:w="170" w:type="dxa"/>
            <w:tcBorders/>
            <w:shd w:fill="auto" w:val="clear"/>
            <w:vAlign w:val="center"/>
          </w:tcPr>
          <w:p>
            <w:pPr>
              <w:pStyle w:val="TableContents"/>
              <w:spacing w:before="0" w:after="283"/>
              <w:rPr/>
            </w:pPr>
            <w:r>
              <w:rPr/>
              <w:t>) </w:t>
            </w:r>
          </w:p>
        </w:tc>
      </w:tr>
      <w:tr>
        <w:trPr/>
        <w:tc>
          <w:tcPr>
            <w:tcW w:w="56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Trade receivables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(1,120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572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(589</w:t>
            </w:r>
          </w:p>
        </w:tc>
        <w:tc>
          <w:tcPr>
            <w:tcW w:w="170" w:type="dxa"/>
            <w:tcBorders/>
            <w:shd w:fill="CCEEFF" w:val="clear"/>
            <w:vAlign w:val="center"/>
          </w:tcPr>
          <w:p>
            <w:pPr>
              <w:pStyle w:val="TableContents"/>
              <w:spacing w:before="0" w:after="283"/>
              <w:rPr/>
            </w:pPr>
            <w:r>
              <w:rPr/>
              <w:t>) </w:t>
            </w:r>
          </w:p>
        </w:tc>
      </w:tr>
      <w:tr>
        <w:trPr/>
        <w:tc>
          <w:tcPr>
            <w:tcW w:w="56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Other financial and </w:t>
            </w:r>
          </w:p>
          <w:p>
            <w:pPr>
              <w:pStyle w:val="TableContents"/>
              <w:spacing w:before="0" w:after="0"/>
              <w:rPr>
                <w:rFonts w:ascii="Times New Roman" w:hAnsi="Times New Roman"/>
                <w:spacing w:val="0"/>
                <w:sz w:val="20"/>
              </w:rPr>
            </w:pPr>
            <w:r>
              <w:rPr>
                <w:rFonts w:ascii="Times New Roman" w:hAnsi="Times New Roman"/>
                <w:spacing w:val="0"/>
                <w:sz w:val="20"/>
              </w:rPr>
              <w:t>non-financial</w:t>
            </w:r>
          </w:p>
          <w:p>
            <w:pPr>
              <w:pStyle w:val="TableContents"/>
              <w:spacing w:before="0" w:after="0"/>
              <w:rPr>
                <w:rFonts w:ascii="Times New Roman" w:hAnsi="Times New Roman"/>
                <w:sz w:val="20"/>
              </w:rPr>
            </w:pPr>
            <w:r>
              <w:rPr>
                <w:rFonts w:ascii="Times New Roman" w:hAnsi="Times New Roman"/>
                <w:sz w:val="20"/>
              </w:rPr>
              <w:t>assets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jc w:val="right"/>
              <w:rPr/>
            </w:pPr>
            <w:r>
              <w:rPr/>
              <w:t>23.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(87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(4,209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(600</w:t>
            </w:r>
          </w:p>
        </w:tc>
        <w:tc>
          <w:tcPr>
            <w:tcW w:w="170" w:type="dxa"/>
            <w:tcBorders/>
            <w:shd w:fill="auto" w:val="clear"/>
            <w:vAlign w:val="center"/>
          </w:tcPr>
          <w:p>
            <w:pPr>
              <w:pStyle w:val="TableContents"/>
              <w:spacing w:before="0" w:after="283"/>
              <w:rPr/>
            </w:pPr>
            <w:r>
              <w:rPr/>
              <w:t>) </w:t>
            </w:r>
          </w:p>
        </w:tc>
      </w:tr>
      <w:tr>
        <w:trPr/>
        <w:tc>
          <w:tcPr>
            <w:tcW w:w="56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Provisions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26.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(296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683</w:t>
            </w:r>
          </w:p>
        </w:tc>
        <w:tc>
          <w:tcPr>
            <w:tcW w:w="170" w:type="dxa"/>
            <w:tcBorders/>
            <w:shd w:fill="CCEEFF" w:val="clear"/>
            <w:vAlign w:val="center"/>
          </w:tcPr>
          <w:p>
            <w:pPr>
              <w:pStyle w:val="TableContents"/>
              <w:spacing w:before="0" w:after="283"/>
              <w:rPr/>
            </w:pPr>
            <w:r>
              <w:rPr/>
              <w:t> </w:t>
            </w:r>
          </w:p>
        </w:tc>
      </w:tr>
      <w:tr>
        <w:trPr/>
        <w:tc>
          <w:tcPr>
            <w:tcW w:w="56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Trade and other payables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jc w:val="right"/>
              <w:rPr/>
            </w:pPr>
            <w:r>
              <w:rPr/>
              <w:t>28.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2,235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2,320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2,422</w:t>
            </w:r>
          </w:p>
        </w:tc>
        <w:tc>
          <w:tcPr>
            <w:tcW w:w="170" w:type="dxa"/>
            <w:tcBorders/>
            <w:shd w:fill="auto" w:val="clear"/>
            <w:vAlign w:val="center"/>
          </w:tcPr>
          <w:p>
            <w:pPr>
              <w:pStyle w:val="TableContents"/>
              <w:spacing w:before="0" w:after="283"/>
              <w:rPr/>
            </w:pPr>
            <w:r>
              <w:rPr/>
              <w:t> </w:t>
            </w:r>
          </w:p>
        </w:tc>
      </w:tr>
      <w:tr>
        <w:trPr/>
        <w:tc>
          <w:tcPr>
            <w:tcW w:w="56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Contract liabilities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27.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(144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(1,013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1,209</w:t>
            </w:r>
          </w:p>
        </w:tc>
        <w:tc>
          <w:tcPr>
            <w:tcW w:w="170" w:type="dxa"/>
            <w:tcBorders/>
            <w:shd w:fill="CCEEFF" w:val="clear"/>
            <w:vAlign w:val="center"/>
          </w:tcPr>
          <w:p>
            <w:pPr>
              <w:pStyle w:val="TableContents"/>
              <w:spacing w:before="0" w:after="283"/>
              <w:rPr/>
            </w:pPr>
            <w:r>
              <w:rPr/>
              <w:t> </w:t>
            </w:r>
          </w:p>
        </w:tc>
      </w:tr>
      <w:tr>
        <w:trPr/>
        <w:tc>
          <w:tcPr>
            <w:tcW w:w="56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financial liabilities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jc w:val="right"/>
              <w:rPr/>
            </w:pPr>
            <w:r>
              <w:rPr/>
              <w:t>29.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(22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0"/>
              <w:jc w:val="right"/>
              <w:rPr>
                <w:spacing w:val="0"/>
              </w:rPr>
            </w:pPr>
            <w:r>
              <w:rPr>
                <w:spacing w:val="0"/>
              </w:rPr>
              <w:t>0</w:t>
            </w:r>
          </w:p>
        </w:tc>
        <w:tc>
          <w:tcPr>
            <w:tcW w:w="170" w:type="dxa"/>
            <w:tcBorders/>
            <w:shd w:fill="auto" w:val="clear"/>
            <w:vAlign w:val="center"/>
          </w:tcPr>
          <w:p>
            <w:pPr>
              <w:pStyle w:val="TableContents"/>
              <w:spacing w:before="0" w:after="0"/>
              <w:rPr>
                <w:spacing w:val="0"/>
              </w:rPr>
            </w:pPr>
            <w:r>
              <w:rPr>
                <w:spacing w:val="0"/>
              </w:rPr>
              <w:t> </w:t>
            </w:r>
          </w:p>
        </w:tc>
      </w:tr>
      <w:tr>
        <w:trPr/>
        <w:tc>
          <w:tcPr>
            <w:tcW w:w="56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Other </w:t>
            </w:r>
          </w:p>
          <w:p>
            <w:pPr>
              <w:pStyle w:val="TableContents"/>
              <w:spacing w:before="0" w:after="0"/>
              <w:rPr>
                <w:rFonts w:ascii="Times New Roman" w:hAnsi="Times New Roman"/>
                <w:spacing w:val="0"/>
                <w:sz w:val="20"/>
              </w:rPr>
            </w:pPr>
            <w:r>
              <w:rPr>
                <w:rFonts w:ascii="Times New Roman" w:hAnsi="Times New Roman"/>
                <w:spacing w:val="0"/>
                <w:sz w:val="20"/>
              </w:rPr>
              <w:t>non-financial</w:t>
            </w:r>
          </w:p>
          <w:p>
            <w:pPr>
              <w:pStyle w:val="TableContents"/>
              <w:spacing w:before="0" w:after="0"/>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30.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13,737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1,941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213</w:t>
            </w:r>
          </w:p>
        </w:tc>
        <w:tc>
          <w:tcPr>
            <w:tcW w:w="170" w:type="dxa"/>
            <w:tcBorders/>
            <w:shd w:fill="CCEEFF" w:val="clear"/>
            <w:vAlign w:val="center"/>
          </w:tcPr>
          <w:p>
            <w:pPr>
              <w:pStyle w:val="TableContents"/>
              <w:spacing w:before="0" w:after="283"/>
              <w:rPr/>
            </w:pPr>
            <w:r>
              <w:rPr/>
              <w:t> </w:t>
            </w:r>
          </w:p>
        </w:tc>
      </w:tr>
      <w:tr>
        <w:trPr/>
        <w:tc>
          <w:tcPr>
            <w:tcW w:w="56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63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Net cash from operating activities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0"/>
              <w:jc w:val="right"/>
              <w:rPr>
                <w:b/>
                <w:spacing w:val="0"/>
              </w:rPr>
            </w:pPr>
            <w:r>
              <w:rPr>
                <w:b/>
                <w:spacing w:val="0"/>
              </w:rPr>
              <w:t>(50,215</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0"/>
              <w:jc w:val="right"/>
              <w:rPr>
                <w:b/>
                <w:spacing w:val="0"/>
              </w:rPr>
            </w:pPr>
            <w:r>
              <w:rPr>
                <w:b/>
                <w:spacing w:val="0"/>
              </w:rPr>
              <w:t>(39,426</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0"/>
              <w:jc w:val="right"/>
              <w:rPr>
                <w:b/>
                <w:spacing w:val="0"/>
              </w:rPr>
            </w:pPr>
            <w:r>
              <w:rPr>
                <w:b/>
                <w:spacing w:val="0"/>
              </w:rPr>
              <w:t>(16,935</w:t>
            </w:r>
          </w:p>
        </w:tc>
        <w:tc>
          <w:tcPr>
            <w:tcW w:w="170" w:type="dxa"/>
            <w:tcBorders/>
            <w:shd w:fill="auto" w:val="clear"/>
            <w:vAlign w:val="center"/>
          </w:tcPr>
          <w:p>
            <w:pPr>
              <w:pStyle w:val="TableContents"/>
              <w:spacing w:before="0" w:after="0"/>
              <w:rPr>
                <w:b/>
                <w:spacing w:val="0"/>
              </w:rPr>
            </w:pPr>
            <w:r>
              <w:rPr>
                <w:b/>
                <w:spacing w:val="0"/>
              </w:rPr>
              <w:t>) </w:t>
            </w:r>
          </w:p>
        </w:tc>
      </w:tr>
      <w:tr>
        <w:trPr/>
        <w:tc>
          <w:tcPr>
            <w:tcW w:w="56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63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Cash flows from investing activities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56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Acquisition of intangible assets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jc w:val="right"/>
              <w:rPr/>
            </w:pPr>
            <w:r>
              <w:rPr/>
              <w:t>17.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(1,120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(3,346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(8,286</w:t>
            </w:r>
          </w:p>
        </w:tc>
        <w:tc>
          <w:tcPr>
            <w:tcW w:w="170" w:type="dxa"/>
            <w:tcBorders/>
            <w:shd w:fill="auto" w:val="clear"/>
            <w:vAlign w:val="center"/>
          </w:tcPr>
          <w:p>
            <w:pPr>
              <w:pStyle w:val="TableContents"/>
              <w:spacing w:before="0" w:after="283"/>
              <w:rPr/>
            </w:pPr>
            <w:r>
              <w:rPr/>
              <w:t>) </w:t>
            </w:r>
          </w:p>
        </w:tc>
      </w:tr>
      <w:tr>
        <w:trPr/>
        <w:tc>
          <w:tcPr>
            <w:tcW w:w="56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Acquisition of property, plant and equipment</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18.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(10,179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(7,612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(6,724</w:t>
            </w:r>
          </w:p>
        </w:tc>
        <w:tc>
          <w:tcPr>
            <w:tcW w:w="170" w:type="dxa"/>
            <w:tcBorders/>
            <w:shd w:fill="CCEEFF" w:val="clear"/>
            <w:vAlign w:val="center"/>
          </w:tcPr>
          <w:p>
            <w:pPr>
              <w:pStyle w:val="TableContents"/>
              <w:spacing w:before="0" w:after="283"/>
              <w:rPr/>
            </w:pPr>
            <w:r>
              <w:rPr/>
              <w:t>) </w:t>
            </w:r>
          </w:p>
        </w:tc>
      </w:tr>
      <w:tr>
        <w:trPr/>
        <w:tc>
          <w:tcPr>
            <w:tcW w:w="56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Interest income received</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83</w:t>
            </w:r>
          </w:p>
        </w:tc>
        <w:tc>
          <w:tcPr>
            <w:tcW w:w="170" w:type="dxa"/>
            <w:tcBorders/>
            <w:shd w:fill="auto" w:val="clear"/>
            <w:vAlign w:val="center"/>
          </w:tcPr>
          <w:p>
            <w:pPr>
              <w:pStyle w:val="TableContents"/>
              <w:spacing w:before="0" w:after="283"/>
              <w:rPr/>
            </w:pPr>
            <w:r>
              <w:rPr/>
              <w:t> </w:t>
            </w:r>
          </w:p>
        </w:tc>
      </w:tr>
      <w:tr>
        <w:trPr/>
        <w:tc>
          <w:tcPr>
            <w:tcW w:w="56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Acquisition of equity-accounted investees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(400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0</w:t>
            </w:r>
          </w:p>
        </w:tc>
        <w:tc>
          <w:tcPr>
            <w:tcW w:w="170" w:type="dxa"/>
            <w:tcBorders/>
            <w:shd w:fill="CCEEFF" w:val="clear"/>
            <w:vAlign w:val="center"/>
          </w:tcPr>
          <w:p>
            <w:pPr>
              <w:pStyle w:val="TableContents"/>
              <w:spacing w:before="0" w:after="283"/>
              <w:rPr/>
            </w:pPr>
            <w:r>
              <w:rPr/>
              <w:t> </w:t>
            </w:r>
          </w:p>
        </w:tc>
      </w:tr>
      <w:tr>
        <w:trPr/>
        <w:tc>
          <w:tcPr>
            <w:tcW w:w="56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63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Net cash used in investing activities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0"/>
              <w:jc w:val="right"/>
              <w:rPr>
                <w:b/>
                <w:spacing w:val="0"/>
              </w:rPr>
            </w:pPr>
            <w:r>
              <w:rPr>
                <w:b/>
                <w:spacing w:val="0"/>
              </w:rPr>
              <w:t>(11,699</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0"/>
              <w:jc w:val="right"/>
              <w:rPr>
                <w:b/>
                <w:spacing w:val="0"/>
              </w:rPr>
            </w:pPr>
            <w:r>
              <w:rPr>
                <w:b/>
                <w:spacing w:val="0"/>
              </w:rPr>
              <w:t>(10,958</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0"/>
              <w:jc w:val="right"/>
              <w:rPr>
                <w:b/>
                <w:spacing w:val="0"/>
              </w:rPr>
            </w:pPr>
            <w:r>
              <w:rPr>
                <w:b/>
                <w:spacing w:val="0"/>
              </w:rPr>
              <w:t>(14,927</w:t>
            </w:r>
          </w:p>
        </w:tc>
        <w:tc>
          <w:tcPr>
            <w:tcW w:w="170" w:type="dxa"/>
            <w:tcBorders/>
            <w:shd w:fill="auto" w:val="clear"/>
            <w:vAlign w:val="center"/>
          </w:tcPr>
          <w:p>
            <w:pPr>
              <w:pStyle w:val="TableContents"/>
              <w:spacing w:before="0" w:after="0"/>
              <w:rPr>
                <w:b/>
                <w:spacing w:val="0"/>
              </w:rPr>
            </w:pPr>
            <w:r>
              <w:rPr>
                <w:b/>
                <w:spacing w:val="0"/>
              </w:rPr>
              <w:t>) </w:t>
            </w:r>
          </w:p>
        </w:tc>
      </w:tr>
      <w:tr>
        <w:trPr/>
        <w:tc>
          <w:tcPr>
            <w:tcW w:w="56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63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Cash flows from financing activities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56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Proceeds from issue of share capital</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jc w:val="right"/>
              <w:rPr/>
            </w:pPr>
            <w:r>
              <w:rPr/>
              <w:t>25.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11,201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66,542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65,143</w:t>
            </w:r>
          </w:p>
        </w:tc>
        <w:tc>
          <w:tcPr>
            <w:tcW w:w="170" w:type="dxa"/>
            <w:tcBorders/>
            <w:shd w:fill="auto" w:val="clear"/>
            <w:vAlign w:val="center"/>
          </w:tcPr>
          <w:p>
            <w:pPr>
              <w:pStyle w:val="TableContents"/>
              <w:spacing w:before="0" w:after="283"/>
              <w:rPr/>
            </w:pPr>
            <w:r>
              <w:rPr/>
              <w:t> </w:t>
            </w:r>
          </w:p>
        </w:tc>
      </w:tr>
      <w:tr>
        <w:trPr/>
        <w:tc>
          <w:tcPr>
            <w:tcW w:w="56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Share issue costs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25.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(262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(8,303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(3,397</w:t>
            </w:r>
          </w:p>
        </w:tc>
        <w:tc>
          <w:tcPr>
            <w:tcW w:w="170" w:type="dxa"/>
            <w:tcBorders/>
            <w:shd w:fill="CCEEFF" w:val="clear"/>
            <w:vAlign w:val="center"/>
          </w:tcPr>
          <w:p>
            <w:pPr>
              <w:pStyle w:val="TableContents"/>
              <w:spacing w:before="0" w:after="283"/>
              <w:rPr/>
            </w:pPr>
            <w:r>
              <w:rPr/>
              <w:t>)</w:t>
            </w:r>
          </w:p>
        </w:tc>
      </w:tr>
      <w:tr>
        <w:trPr/>
        <w:tc>
          <w:tcPr>
            <w:tcW w:w="56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Proceeds from issue of convertible notes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5,000</w:t>
            </w:r>
          </w:p>
        </w:tc>
        <w:tc>
          <w:tcPr>
            <w:tcW w:w="170" w:type="dxa"/>
            <w:tcBorders/>
            <w:shd w:fill="auto" w:val="clear"/>
            <w:vAlign w:val="center"/>
          </w:tcPr>
          <w:p>
            <w:pPr>
              <w:pStyle w:val="TableContents"/>
              <w:spacing w:before="0" w:after="283"/>
              <w:rPr/>
            </w:pPr>
            <w:r>
              <w:rPr/>
              <w:t> </w:t>
            </w:r>
          </w:p>
        </w:tc>
      </w:tr>
      <w:tr>
        <w:trPr/>
        <w:tc>
          <w:tcPr>
            <w:tcW w:w="56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Proceeds from loans and borrowings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31.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13,529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7,500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2,500</w:t>
            </w:r>
          </w:p>
        </w:tc>
        <w:tc>
          <w:tcPr>
            <w:tcW w:w="170" w:type="dxa"/>
            <w:tcBorders/>
            <w:shd w:fill="CCEEFF" w:val="clear"/>
            <w:vAlign w:val="center"/>
          </w:tcPr>
          <w:p>
            <w:pPr>
              <w:pStyle w:val="TableContents"/>
              <w:spacing w:before="0" w:after="283"/>
              <w:rPr/>
            </w:pPr>
            <w:r>
              <w:rPr/>
              <w:t> </w:t>
            </w:r>
          </w:p>
        </w:tc>
      </w:tr>
      <w:tr>
        <w:trPr/>
        <w:tc>
          <w:tcPr>
            <w:tcW w:w="56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Transaction costs related to loans and borrowings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jc w:val="right"/>
              <w:rPr/>
            </w:pPr>
            <w:r>
              <w:rPr/>
              <w:t>31.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(450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(450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(188</w:t>
            </w:r>
          </w:p>
        </w:tc>
        <w:tc>
          <w:tcPr>
            <w:tcW w:w="170" w:type="dxa"/>
            <w:tcBorders/>
            <w:shd w:fill="auto" w:val="clear"/>
            <w:vAlign w:val="center"/>
          </w:tcPr>
          <w:p>
            <w:pPr>
              <w:pStyle w:val="TableContents"/>
              <w:spacing w:before="0" w:after="283"/>
              <w:rPr/>
            </w:pPr>
            <w:r>
              <w:rPr/>
              <w:t>)</w:t>
            </w:r>
          </w:p>
        </w:tc>
      </w:tr>
      <w:tr>
        <w:trPr/>
        <w:tc>
          <w:tcPr>
            <w:tcW w:w="56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Repayments of loans and borrowings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31.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(96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(7,500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(2,500</w:t>
            </w:r>
          </w:p>
        </w:tc>
        <w:tc>
          <w:tcPr>
            <w:tcW w:w="170" w:type="dxa"/>
            <w:tcBorders/>
            <w:shd w:fill="CCEEFF" w:val="clear"/>
            <w:vAlign w:val="center"/>
          </w:tcPr>
          <w:p>
            <w:pPr>
              <w:pStyle w:val="TableContents"/>
              <w:spacing w:before="0" w:after="283"/>
              <w:rPr/>
            </w:pPr>
            <w:r>
              <w:rPr/>
              <w:t>) </w:t>
            </w:r>
          </w:p>
        </w:tc>
      </w:tr>
      <w:tr>
        <w:trPr/>
        <w:tc>
          <w:tcPr>
            <w:tcW w:w="56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Payments of lease liabilities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jc w:val="right"/>
              <w:rPr/>
            </w:pPr>
            <w:r>
              <w:rPr/>
              <w:t>31.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(1,713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(1,056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(675</w:t>
            </w:r>
          </w:p>
        </w:tc>
        <w:tc>
          <w:tcPr>
            <w:tcW w:w="170" w:type="dxa"/>
            <w:tcBorders/>
            <w:shd w:fill="auto" w:val="clear"/>
            <w:vAlign w:val="center"/>
          </w:tcPr>
          <w:p>
            <w:pPr>
              <w:pStyle w:val="TableContents"/>
              <w:spacing w:before="0" w:after="283"/>
              <w:rPr/>
            </w:pPr>
            <w:r>
              <w:rPr/>
              <w:t>) </w:t>
            </w:r>
          </w:p>
        </w:tc>
      </w:tr>
      <w:tr>
        <w:trPr/>
        <w:tc>
          <w:tcPr>
            <w:tcW w:w="56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Interest expenses paid</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jc w:val="right"/>
              <w:rPr/>
            </w:pPr>
            <w:r>
              <w:rPr/>
              <w:t>14.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(241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(1,931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(368</w:t>
            </w:r>
          </w:p>
        </w:tc>
        <w:tc>
          <w:tcPr>
            <w:tcW w:w="170" w:type="dxa"/>
            <w:tcBorders/>
            <w:shd w:fill="CCEEFF" w:val="clear"/>
            <w:vAlign w:val="center"/>
          </w:tcPr>
          <w:p>
            <w:pPr>
              <w:pStyle w:val="TableContents"/>
              <w:spacing w:before="0" w:after="283"/>
              <w:rPr/>
            </w:pPr>
            <w:r>
              <w:rPr/>
              <w:t>) </w:t>
            </w:r>
          </w:p>
        </w:tc>
      </w:tr>
      <w:tr>
        <w:trPr/>
        <w:tc>
          <w:tcPr>
            <w:tcW w:w="56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Proceeds from other financial assets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742</w:t>
            </w:r>
          </w:p>
        </w:tc>
        <w:tc>
          <w:tcPr>
            <w:tcW w:w="170" w:type="dxa"/>
            <w:tcBorders/>
            <w:shd w:fill="auto" w:val="clear"/>
            <w:vAlign w:val="center"/>
          </w:tcPr>
          <w:p>
            <w:pPr>
              <w:pStyle w:val="TableContents"/>
              <w:spacing w:before="0" w:after="283"/>
              <w:rPr/>
            </w:pPr>
            <w:r>
              <w:rPr/>
              <w:t> </w:t>
            </w:r>
          </w:p>
        </w:tc>
      </w:tr>
      <w:tr>
        <w:trPr/>
        <w:tc>
          <w:tcPr>
            <w:tcW w:w="56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63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Net cash from financing activities</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755" w:type="dxa"/>
            <w:tcBorders/>
            <w:shd w:fill="CCEEFF" w:val="clear"/>
            <w:vAlign w:val="center"/>
          </w:tcPr>
          <w:p>
            <w:pPr>
              <w:pStyle w:val="TableContents"/>
              <w:spacing w:before="0" w:after="0"/>
              <w:jc w:val="right"/>
              <w:rPr>
                <w:b/>
                <w:spacing w:val="0"/>
              </w:rPr>
            </w:pPr>
            <w:r>
              <w:rPr>
                <w:b/>
                <w:spacing w:val="0"/>
              </w:rPr>
              <w:t>21,968</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755" w:type="dxa"/>
            <w:tcBorders/>
            <w:shd w:fill="CCEEFF" w:val="clear"/>
            <w:vAlign w:val="center"/>
          </w:tcPr>
          <w:p>
            <w:pPr>
              <w:pStyle w:val="TableContents"/>
              <w:spacing w:before="0" w:after="0"/>
              <w:jc w:val="right"/>
              <w:rPr>
                <w:b/>
                <w:spacing w:val="0"/>
              </w:rPr>
            </w:pPr>
            <w:r>
              <w:rPr>
                <w:b/>
                <w:spacing w:val="0"/>
              </w:rPr>
              <w:t>54,802</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755" w:type="dxa"/>
            <w:tcBorders/>
            <w:shd w:fill="CCEEFF" w:val="clear"/>
            <w:vAlign w:val="center"/>
          </w:tcPr>
          <w:p>
            <w:pPr>
              <w:pStyle w:val="TableContents"/>
              <w:spacing w:before="0" w:after="0"/>
              <w:jc w:val="right"/>
              <w:rPr>
                <w:b/>
                <w:spacing w:val="0"/>
              </w:rPr>
            </w:pPr>
            <w:r>
              <w:rPr>
                <w:b/>
                <w:spacing w:val="0"/>
              </w:rPr>
              <w:t>66,257</w:t>
            </w:r>
          </w:p>
        </w:tc>
        <w:tc>
          <w:tcPr>
            <w:tcW w:w="170" w:type="dxa"/>
            <w:tcBorders/>
            <w:shd w:fill="CCEEFF" w:val="clear"/>
            <w:vAlign w:val="center"/>
          </w:tcPr>
          <w:p>
            <w:pPr>
              <w:pStyle w:val="TableContents"/>
              <w:spacing w:before="0" w:after="0"/>
              <w:rPr>
                <w:spacing w:val="0"/>
              </w:rPr>
            </w:pPr>
            <w:r>
              <w:rPr>
                <w:spacing w:val="0"/>
              </w:rPr>
              <w:t> </w:t>
            </w:r>
          </w:p>
        </w:tc>
      </w:tr>
      <w:tr>
        <w:trPr/>
        <w:tc>
          <w:tcPr>
            <w:tcW w:w="56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63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Net increase/decrease in cash and cash equivalents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0"/>
              <w:rPr>
                <w:spacing w:val="0"/>
              </w:rPr>
            </w:pPr>
            <w:r>
              <w:rPr>
                <w:spacing w:val="0"/>
              </w:rPr>
              <w:t> </w:t>
            </w:r>
          </w:p>
        </w:tc>
        <w:tc>
          <w:tcPr>
            <w:tcW w:w="407" w:type="dxa"/>
            <w:tcBorders/>
            <w:shd w:fill="auto" w:val="clear"/>
            <w:vAlign w:val="center"/>
          </w:tcPr>
          <w:p>
            <w:pPr>
              <w:pStyle w:val="TableContents"/>
              <w:spacing w:before="0" w:after="0"/>
              <w:jc w:val="right"/>
              <w:rPr>
                <w:b/>
                <w:spacing w:val="0"/>
              </w:rPr>
            </w:pPr>
            <w:r>
              <w:rPr>
                <w:b/>
                <w:spacing w:val="0"/>
              </w:rPr>
              <w:t>24.</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0"/>
              <w:jc w:val="right"/>
              <w:rPr>
                <w:b/>
                <w:spacing w:val="0"/>
              </w:rPr>
            </w:pPr>
            <w:r>
              <w:rPr>
                <w:b/>
                <w:spacing w:val="0"/>
              </w:rPr>
              <w:t>(39,946</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0"/>
              <w:jc w:val="right"/>
              <w:rPr>
                <w:b/>
                <w:spacing w:val="0"/>
              </w:rPr>
            </w:pPr>
            <w:r>
              <w:rPr>
                <w:b/>
                <w:spacing w:val="0"/>
              </w:rPr>
              <w:t>4,418</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0"/>
              <w:jc w:val="right"/>
              <w:rPr>
                <w:b/>
                <w:spacing w:val="0"/>
              </w:rPr>
            </w:pPr>
            <w:r>
              <w:rPr>
                <w:b/>
                <w:spacing w:val="0"/>
              </w:rPr>
              <w:t>34,395</w:t>
            </w:r>
          </w:p>
        </w:tc>
        <w:tc>
          <w:tcPr>
            <w:tcW w:w="170" w:type="dxa"/>
            <w:tcBorders/>
            <w:shd w:fill="auto" w:val="clear"/>
            <w:vAlign w:val="center"/>
          </w:tcPr>
          <w:p>
            <w:pPr>
              <w:pStyle w:val="TableContents"/>
              <w:spacing w:before="0" w:after="0"/>
              <w:rPr>
                <w:spacing w:val="0"/>
              </w:rPr>
            </w:pPr>
            <w:r>
              <w:rPr>
                <w:spacing w:val="0"/>
              </w:rPr>
              <w:t> </w:t>
            </w:r>
          </w:p>
        </w:tc>
      </w:tr>
      <w:tr>
        <w:trPr/>
        <w:tc>
          <w:tcPr>
            <w:tcW w:w="56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6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and cash equivalents at January 1</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40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48,143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43,198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8,914</w:t>
            </w:r>
          </w:p>
        </w:tc>
        <w:tc>
          <w:tcPr>
            <w:tcW w:w="170" w:type="dxa"/>
            <w:tcBorders/>
            <w:shd w:fill="CCEEFF" w:val="clear"/>
            <w:vAlign w:val="center"/>
          </w:tcPr>
          <w:p>
            <w:pPr>
              <w:pStyle w:val="TableContents"/>
              <w:spacing w:before="0" w:after="283"/>
              <w:rPr/>
            </w:pPr>
            <w:r>
              <w:rPr/>
              <w:t> </w:t>
            </w:r>
          </w:p>
        </w:tc>
      </w:tr>
      <w:tr>
        <w:trPr/>
        <w:tc>
          <w:tcPr>
            <w:tcW w:w="56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Effects of movements in exchange rates on cash and cash equivalents</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2,041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527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(111</w:t>
            </w:r>
          </w:p>
        </w:tc>
        <w:tc>
          <w:tcPr>
            <w:tcW w:w="170" w:type="dxa"/>
            <w:tcBorders/>
            <w:shd w:fill="auto" w:val="clear"/>
            <w:vAlign w:val="center"/>
          </w:tcPr>
          <w:p>
            <w:pPr>
              <w:pStyle w:val="TableContents"/>
              <w:spacing w:before="0" w:after="283"/>
              <w:rPr/>
            </w:pPr>
            <w:r>
              <w:rPr/>
              <w:t>) </w:t>
            </w:r>
          </w:p>
        </w:tc>
      </w:tr>
      <w:tr>
        <w:trPr/>
        <w:tc>
          <w:tcPr>
            <w:tcW w:w="56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63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Cash and cash equivalents at December 31</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0"/>
              <w:rPr>
                <w:spacing w:val="0"/>
              </w:rPr>
            </w:pPr>
            <w:r>
              <w:rPr>
                <w:spacing w:val="0"/>
              </w:rPr>
              <w:t> </w:t>
            </w:r>
          </w:p>
        </w:tc>
        <w:tc>
          <w:tcPr>
            <w:tcW w:w="407" w:type="dxa"/>
            <w:tcBorders/>
            <w:shd w:fill="CCEEFF" w:val="clear"/>
            <w:vAlign w:val="center"/>
          </w:tcPr>
          <w:p>
            <w:pPr>
              <w:pStyle w:val="TableContents"/>
              <w:spacing w:before="0" w:after="0"/>
              <w:jc w:val="right"/>
              <w:rPr>
                <w:b/>
                <w:spacing w:val="0"/>
              </w:rPr>
            </w:pPr>
            <w:r>
              <w:rPr>
                <w:b/>
                <w:spacing w:val="0"/>
              </w:rPr>
              <w:t>24.</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755" w:type="dxa"/>
            <w:tcBorders/>
            <w:shd w:fill="CCEEFF" w:val="clear"/>
            <w:vAlign w:val="center"/>
          </w:tcPr>
          <w:p>
            <w:pPr>
              <w:pStyle w:val="TableContents"/>
              <w:spacing w:before="0" w:after="0"/>
              <w:jc w:val="right"/>
              <w:rPr>
                <w:b/>
                <w:spacing w:val="0"/>
              </w:rPr>
            </w:pPr>
            <w:r>
              <w:rPr>
                <w:b/>
                <w:spacing w:val="0"/>
              </w:rPr>
              <w:t>10,238</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755" w:type="dxa"/>
            <w:tcBorders/>
            <w:shd w:fill="CCEEFF" w:val="clear"/>
            <w:vAlign w:val="center"/>
          </w:tcPr>
          <w:p>
            <w:pPr>
              <w:pStyle w:val="TableContents"/>
              <w:spacing w:before="0" w:after="0"/>
              <w:jc w:val="right"/>
              <w:rPr>
                <w:b/>
                <w:spacing w:val="0"/>
              </w:rPr>
            </w:pPr>
            <w:r>
              <w:rPr>
                <w:b/>
                <w:spacing w:val="0"/>
              </w:rPr>
              <w:t>48,143</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755" w:type="dxa"/>
            <w:tcBorders/>
            <w:shd w:fill="CCEEFF" w:val="clear"/>
            <w:vAlign w:val="center"/>
          </w:tcPr>
          <w:p>
            <w:pPr>
              <w:pStyle w:val="TableContents"/>
              <w:spacing w:before="0" w:after="0"/>
              <w:jc w:val="right"/>
              <w:rPr>
                <w:b/>
                <w:spacing w:val="0"/>
              </w:rPr>
            </w:pPr>
            <w:r>
              <w:rPr>
                <w:b/>
                <w:spacing w:val="0"/>
              </w:rPr>
              <w:t>43,198</w:t>
            </w:r>
          </w:p>
        </w:tc>
        <w:tc>
          <w:tcPr>
            <w:tcW w:w="170" w:type="dxa"/>
            <w:tcBorders/>
            <w:shd w:fill="CCEEFF" w:val="clear"/>
            <w:vAlign w:val="center"/>
          </w:tcPr>
          <w:p>
            <w:pPr>
              <w:pStyle w:val="TableContents"/>
              <w:spacing w:before="0" w:after="0"/>
              <w:rPr>
                <w:spacing w:val="0"/>
              </w:rPr>
            </w:pPr>
            <w:r>
              <w:rPr>
                <w:spacing w:val="0"/>
              </w:rPr>
              <w:t> </w:t>
            </w:r>
          </w:p>
        </w:tc>
      </w:tr>
      <w:tr>
        <w:trPr/>
        <w:tc>
          <w:tcPr>
            <w:tcW w:w="56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accompanying notes are an integral part of these consolidated financial statements.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6</w:t>
      </w:r>
    </w:p>
    <w:p>
      <w:pPr>
        <w:pStyle w:val="HorizontalLine"/>
        <w:rPr/>
      </w:pPr>
      <w:r>
        <w:rPr/>
      </w:r>
    </w:p>
    <w:p>
      <w:pPr>
        <w:pStyle w:val="TextBody"/>
        <w:spacing w:before="0" w:after="0"/>
        <w:rPr/>
      </w:pPr>
      <w:hyperlink w:anchor="toc">
        <w:r>
          <w:rPr>
            <w:rStyle w:val="InternetLink"/>
            <w:highlight w:val="white"/>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z w:val="20"/>
        </w:rPr>
      </w:pPr>
      <w:r>
        <w:rPr>
          <w:rFonts w:ascii="Times New Roman" w:hAnsi="Times New Roman"/>
          <w:b/>
          <w:sz w:val="20"/>
        </w:rPr>
        <w:t xml:space="preserve">Mynaric AG, Gilching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center"/>
        <w:rPr>
          <w:rFonts w:ascii="Times New Roman" w:hAnsi="Times New Roman"/>
          <w:b/>
          <w:sz w:val="20"/>
          <w:highlight w:val="white"/>
        </w:rPr>
      </w:pPr>
      <w:r>
        <w:rPr>
          <w:rFonts w:ascii="Times New Roman" w:hAnsi="Times New Roman"/>
          <w:b/>
          <w:sz w:val="20"/>
          <w:highlight w:val="white"/>
        </w:rPr>
        <w:t xml:space="preserve">NOTES TO THE CONSOLIDATED FINANCIAL STATEMENTS </w:t>
      </w:r>
    </w:p>
    <w:p>
      <w:pPr>
        <w:pStyle w:val="TextBody"/>
        <w:spacing w:before="0" w:after="0"/>
        <w:jc w:val="left"/>
        <w:rPr>
          <w:highlight w:val="white"/>
        </w:rPr>
      </w:pPr>
      <w:r>
        <w:rPr>
          <w:highlight w:val="white"/>
        </w:rPr>
        <w:t> </w:t>
      </w:r>
    </w:p>
    <w:tbl>
      <w:tblPr>
        <w:tblW w:w="2065" w:type="dxa"/>
        <w:jc w:val="left"/>
        <w:tblInd w:w="0" w:type="dxa"/>
        <w:tblCellMar>
          <w:top w:w="0" w:type="dxa"/>
          <w:left w:w="0" w:type="dxa"/>
          <w:bottom w:w="0" w:type="dxa"/>
          <w:right w:w="0" w:type="dxa"/>
        </w:tblCellMar>
      </w:tblPr>
      <w:tblGrid>
        <w:gridCol w:w="215"/>
        <w:gridCol w:w="1850"/>
      </w:tblGrid>
      <w:tr>
        <w:trPr/>
        <w:tc>
          <w:tcPr>
            <w:tcW w:w="215" w:type="dxa"/>
            <w:tcBorders/>
            <w:shd w:fill="auto" w:val="clear"/>
            <w:vAlign w:val="center"/>
          </w:tcPr>
          <w:p>
            <w:pPr>
              <w:pStyle w:val="TableContents"/>
              <w:spacing w:before="0" w:after="0"/>
              <w:jc w:val="left"/>
              <w:rPr>
                <w:b/>
                <w:spacing w:val="0"/>
              </w:rPr>
            </w:pPr>
            <w:r>
              <w:rPr>
                <w:b/>
                <w:spacing w:val="0"/>
              </w:rPr>
              <w:t>1.</w:t>
            </w:r>
          </w:p>
        </w:tc>
        <w:tc>
          <w:tcPr>
            <w:tcW w:w="185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General Information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Mynaric AG registered in Commercial Register at Munich Local Court (Reg. No. HRB 232763), has its registered office at Dornierstraße 19 in 82205 Gilching, Germany, and together with its consolidated subsidiaries is referred to herein as the “Company” or “Group”. The objective of the Company is the development, manufacture and sale of laser communication network equipment, software, systems, and solutions, particularly for aerospace applications and related products. The Company engages primarily in the manufacturing and sale of products and projects, and in the provision of services related to laser technology, particularly for applications in aerospace, and satellite services. </w:t>
      </w:r>
    </w:p>
    <w:p>
      <w:pPr>
        <w:pStyle w:val="TextBody"/>
        <w:spacing w:before="0" w:after="0"/>
        <w:jc w:val="left"/>
        <w:rPr>
          <w:highlight w:val="white"/>
        </w:rPr>
      </w:pPr>
      <w:r>
        <w:rPr>
          <w:highlight w:val="white"/>
        </w:rPr>
        <w:t> </w:t>
      </w:r>
    </w:p>
    <w:tbl>
      <w:tblPr>
        <w:tblW w:w="1960" w:type="dxa"/>
        <w:jc w:val="left"/>
        <w:tblInd w:w="0" w:type="dxa"/>
        <w:tblCellMar>
          <w:top w:w="0" w:type="dxa"/>
          <w:left w:w="0" w:type="dxa"/>
          <w:bottom w:w="0" w:type="dxa"/>
          <w:right w:w="0" w:type="dxa"/>
        </w:tblCellMar>
      </w:tblPr>
      <w:tblGrid>
        <w:gridCol w:w="215"/>
        <w:gridCol w:w="1745"/>
      </w:tblGrid>
      <w:tr>
        <w:trPr/>
        <w:tc>
          <w:tcPr>
            <w:tcW w:w="215" w:type="dxa"/>
            <w:tcBorders/>
            <w:shd w:fill="auto" w:val="clear"/>
            <w:vAlign w:val="center"/>
          </w:tcPr>
          <w:p>
            <w:pPr>
              <w:pStyle w:val="TableContents"/>
              <w:spacing w:before="0" w:after="0"/>
              <w:jc w:val="left"/>
              <w:rPr>
                <w:b/>
                <w:spacing w:val="0"/>
              </w:rPr>
            </w:pPr>
            <w:r>
              <w:rPr>
                <w:b/>
                <w:spacing w:val="0"/>
              </w:rPr>
              <w:t>2.</w:t>
            </w:r>
          </w:p>
        </w:tc>
        <w:tc>
          <w:tcPr>
            <w:tcW w:w="174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Basis of Accounting </w:t>
            </w:r>
          </w:p>
        </w:tc>
      </w:tr>
    </w:tbl>
    <w:p>
      <w:pPr>
        <w:pStyle w:val="TextBody"/>
        <w:spacing w:before="12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 xml:space="preserve">The Company’s consolidated financial statements are prepared in accordance with International Financial Reporting Standards (“IFRS”) as issued by the International Accounting Standards Board (IASB) taking into account the recommendations of the International Financial Reporting Standards Interpretations Committee (“IFRIC”). These consolidated financial statements have been authorized for issue by the Company’s supervisory board on April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30</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 xml:space="preserve">, 2023.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consolidated financial statements are presented in euro (€). Rounding differences may result in differences in amounts and percentages.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consolidated statements of profit and loss were prepared using the nature of expense method.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In accordance with IAS 1 (Presentation of Financial Statements), a distinction is made in the statement of financial position between </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and current assets and liabilities. Assets, provisions, and liabilities are classified as current if they are realizable or due within a period of one year.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consolidated financial statements were prepared on a going concern basis; however, management has identified material uncertainties that may cast significant doubt on the Group’s ability to continue as a going concern.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For the year ended December 31, 2022, the Company recognized a net loss of €73.8 million. The Company’s net current assets as of December 31, 2022, were </w:t>
      </w:r>
    </w:p>
    <w:p>
      <w:pPr>
        <w:pStyle w:val="TextBody"/>
        <w:spacing w:before="240" w:after="0"/>
        <w:jc w:val="both"/>
        <w:rPr>
          <w:spacing w:val="0"/>
          <w:highlight w:val="white"/>
        </w:rPr>
      </w:pPr>
      <w:r>
        <w:rPr>
          <w:spacing w:val="0"/>
          <w:highlight w:val="white"/>
        </w:rPr>
        <w:t>€</w:t>
      </w:r>
      <w:r>
        <w:rPr>
          <w:rFonts w:ascii="Times New Roman" w:hAnsi="Times New Roman"/>
          <w:spacing w:val="0"/>
          <w:sz w:val="20"/>
          <w:highlight w:val="white"/>
        </w:rPr>
        <w:t>-12.8 million.</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As of the date of the authorization of these consolidated financial statements the Group has €51.8 million in cash and cash equivalents.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Management has planned for significant increases in revenue and cash flows in fiscal years 2023 and 2024 as it ramps up its commercial production of CONDOR and HAWK terminals. While a significant portion of the revenue planned for fiscal 2023 is contractually committed, significant amounts of the revenue planned for fiscal 2024 are not contractually committed and are based on management’s expectations regarding the outcome of major public project tenders and negotiations with potential or existing customers. Management is actively pursuing multiple commercial opportunities to sell its CONDOR and HAWK terminals to a strongly expanding customer base. To realize these planned increases in revenue, the Group will need to make additional investments in property, plant and equipment and development and refinement of its products which will require additional sources of liquidity and financing. </w:t>
      </w:r>
    </w:p>
    <w:p>
      <w:pPr>
        <w:pStyle w:val="TextBody"/>
        <w:spacing w:before="24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 xml:space="preserve">On April 25, 2023, the Group entered into debt and equity agreements with different investment companies. From those agreements the Group obtained additional debt </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in the amount $75.0 million </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and equity financing in the amount of</w:t>
      </w:r>
    </w:p>
    <w:p>
      <w:pPr>
        <w:pStyle w:val="TextBody"/>
        <w:spacing w:before="240" w:after="0"/>
        <w:jc w:val="both"/>
        <w:rPr>
          <w:highlight w:val="white"/>
        </w:rPr>
      </w:pPr>
      <w:r>
        <w:rPr>
          <w:highlight w:val="white"/>
        </w:rPr>
        <w:t>€</w:t>
      </w:r>
      <w:r>
        <w:rPr>
          <w:rFonts w:ascii="Times New Roman" w:hAnsi="Times New Roman"/>
          <w:sz w:val="20"/>
          <w:highlight w:val="white"/>
        </w:rPr>
        <w:t xml:space="preserve">12.4 million. For further details refer to Note 37 (“Events after the reporting date”).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Based on the Group’s liquidity position on April </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30</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 2023, and management’s forecast of sources and uses of cash and cash equivalents, management believes that it has sufficient liquidity to finance its operations over at least the next twelve months from the date of authorization of these consolidated financial statements. However, there can be no assurance that the revenues and the corresponding customer payments will be generated in the amount as expected or at the time needed. A shortfall of revenues and of the corresponding customer payments compared to the budget could require additional external financing to meet its current operational planning. In such a situation, if the Group should be unable to obtain such additional financing or take other timely actions in response to such circumstances, for example significantly curtailing its current operational budget in 2024, it may be unable to continue as a going concern.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7</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both"/>
        <w:rPr>
          <w:rFonts w:ascii="Times New Roman" w:hAnsi="Times New Roman"/>
          <w:sz w:val="20"/>
          <w:highlight w:val="white"/>
        </w:rPr>
      </w:pPr>
      <w:r>
        <w:rPr>
          <w:rFonts w:ascii="Times New Roman" w:hAnsi="Times New Roman"/>
          <w:sz w:val="20"/>
          <w:highlight w:val="white"/>
        </w:rPr>
        <w:t xml:space="preserve">As a result, these events and conditions indicate that a material uncertainty exists that may cast significant doubt on the Group’s ability to continue as a going concern and, therefore, the Group may be unable to realize its assets and discharge its liabilities in the normal course of business.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These consolidated financial statements have been prepared on a going concern basis and do not include any adjustments to the carrying amounts and classification of assets, liabilities and reported expenses that may otherwise be required if the going concern basis was not appropriate. </w:t>
      </w:r>
    </w:p>
    <w:p>
      <w:pPr>
        <w:pStyle w:val="TextBody"/>
        <w:spacing w:before="0" w:after="0"/>
        <w:jc w:val="left"/>
        <w:rPr>
          <w:highlight w:val="white"/>
        </w:rPr>
      </w:pPr>
      <w:r>
        <w:rPr>
          <w:highlight w:val="white"/>
        </w:rPr>
        <w:t> </w:t>
      </w:r>
    </w:p>
    <w:tbl>
      <w:tblPr>
        <w:tblW w:w="4255" w:type="dxa"/>
        <w:jc w:val="left"/>
        <w:tblInd w:w="0" w:type="dxa"/>
        <w:tblCellMar>
          <w:top w:w="0" w:type="dxa"/>
          <w:left w:w="0" w:type="dxa"/>
          <w:bottom w:w="0" w:type="dxa"/>
          <w:right w:w="0" w:type="dxa"/>
        </w:tblCellMar>
      </w:tblPr>
      <w:tblGrid>
        <w:gridCol w:w="215"/>
        <w:gridCol w:w="4040"/>
      </w:tblGrid>
      <w:tr>
        <w:trPr/>
        <w:tc>
          <w:tcPr>
            <w:tcW w:w="215" w:type="dxa"/>
            <w:tcBorders/>
            <w:shd w:fill="auto" w:val="clear"/>
            <w:vAlign w:val="center"/>
          </w:tcPr>
          <w:p>
            <w:pPr>
              <w:pStyle w:val="TableContents"/>
              <w:spacing w:before="0" w:after="0"/>
              <w:jc w:val="both"/>
              <w:rPr>
                <w:b/>
                <w:spacing w:val="0"/>
              </w:rPr>
            </w:pPr>
            <w:r>
              <w:rPr>
                <w:b/>
                <w:spacing w:val="0"/>
              </w:rPr>
              <w:t>3.</w:t>
            </w:r>
          </w:p>
        </w:tc>
        <w:tc>
          <w:tcPr>
            <w:tcW w:w="4040"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Basis of Consolidation and Accounting Policies </w:t>
            </w:r>
          </w:p>
        </w:tc>
      </w:tr>
    </w:tbl>
    <w:p>
      <w:pPr>
        <w:pStyle w:val="TextBody"/>
        <w:spacing w:before="0" w:after="0"/>
        <w:jc w:val="left"/>
        <w:rPr>
          <w:highlight w:val="white"/>
        </w:rPr>
      </w:pPr>
      <w:r>
        <w:rPr>
          <w:highlight w:val="white"/>
        </w:rPr>
        <w:t> </w:t>
      </w:r>
    </w:p>
    <w:tbl>
      <w:tblPr>
        <w:tblW w:w="2365" w:type="dxa"/>
        <w:jc w:val="left"/>
        <w:tblInd w:w="0" w:type="dxa"/>
        <w:tblCellMar>
          <w:top w:w="0" w:type="dxa"/>
          <w:left w:w="0" w:type="dxa"/>
          <w:bottom w:w="0" w:type="dxa"/>
          <w:right w:w="0" w:type="dxa"/>
        </w:tblCellMar>
      </w:tblPr>
      <w:tblGrid>
        <w:gridCol w:w="395"/>
        <w:gridCol w:w="1970"/>
      </w:tblGrid>
      <w:tr>
        <w:trPr/>
        <w:tc>
          <w:tcPr>
            <w:tcW w:w="395" w:type="dxa"/>
            <w:tcBorders/>
            <w:shd w:fill="auto" w:val="clear"/>
            <w:vAlign w:val="center"/>
          </w:tcPr>
          <w:p>
            <w:pPr>
              <w:pStyle w:val="TableContents"/>
              <w:spacing w:before="0" w:after="0"/>
              <w:jc w:val="both"/>
              <w:rPr>
                <w:b/>
                <w:spacing w:val="0"/>
              </w:rPr>
            </w:pPr>
            <w:r>
              <w:rPr>
                <w:b/>
                <w:spacing w:val="0"/>
              </w:rPr>
              <w:t>3.1.</w:t>
            </w:r>
          </w:p>
        </w:tc>
        <w:tc>
          <w:tcPr>
            <w:tcW w:w="1970"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Basis of Consolidation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consolidated financial statements include the financial statements of Mynaric AG and its subsidiaries as of December 31, 2022, and 2021 and for years ended December 31, 2022, 2021 and 2020, and were prepared using accounting policies applied consistently. Subsidiaries are the entities directly or indirectly controlled by Mynaric AG. An entity is controlled when the Company is exposed to, or has rights to, variable returns from its involvement with the entity and has the ability to affect those returns through its power over the entity. The financial statements of subsidiaries are included in the consolidated financial statements from the date on which control commences until the date on which control ceases.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Any intragroup balances, income and expenses, unrealized gains and losses, and dividends from intragroup transactions are eliminated.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Set out below is the list of consolidated subsidiaries: </w:t>
      </w:r>
    </w:p>
    <w:p>
      <w:pPr>
        <w:pStyle w:val="TextBody"/>
        <w:spacing w:before="0" w:after="0"/>
        <w:jc w:val="left"/>
        <w:rPr>
          <w:highlight w:val="white"/>
        </w:rPr>
      </w:pPr>
      <w:r>
        <w:rPr>
          <w:highlight w:val="white"/>
        </w:rPr>
        <w:t> </w:t>
      </w:r>
    </w:p>
    <w:tbl>
      <w:tblPr>
        <w:tblW w:w="8310" w:type="dxa"/>
        <w:jc w:val="left"/>
        <w:tblInd w:w="0" w:type="dxa"/>
        <w:tblCellMar>
          <w:top w:w="0" w:type="dxa"/>
          <w:left w:w="0" w:type="dxa"/>
          <w:bottom w:w="0" w:type="dxa"/>
          <w:right w:w="0" w:type="dxa"/>
        </w:tblCellMar>
      </w:tblPr>
      <w:tblGrid>
        <w:gridCol w:w="4400"/>
        <w:gridCol w:w="120"/>
        <w:gridCol w:w="171"/>
        <w:gridCol w:w="1604"/>
        <w:gridCol w:w="60"/>
        <w:gridCol w:w="120"/>
        <w:gridCol w:w="60"/>
        <w:gridCol w:w="1700"/>
        <w:gridCol w:w="75"/>
      </w:tblGrid>
      <w:tr>
        <w:trPr/>
        <w:tc>
          <w:tcPr>
            <w:tcW w:w="44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6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400" w:type="dxa"/>
            <w:tcBorders/>
            <w:shd w:fill="auto" w:val="clear"/>
            <w:vAlign w:val="center"/>
          </w:tcPr>
          <w:p>
            <w:pPr>
              <w:pStyle w:val="TableContents"/>
              <w:spacing w:before="0" w:after="283"/>
              <w:rPr/>
            </w:pPr>
            <w:r>
              <w:rPr/>
              <w:t>Company name</w:t>
            </w:r>
          </w:p>
        </w:tc>
        <w:tc>
          <w:tcPr>
            <w:tcW w:w="120" w:type="dxa"/>
            <w:tcBorders/>
            <w:shd w:fill="auto" w:val="clear"/>
            <w:vAlign w:val="center"/>
          </w:tcPr>
          <w:p>
            <w:pPr>
              <w:pStyle w:val="TableContents"/>
              <w:spacing w:before="0" w:after="283"/>
              <w:rPr/>
            </w:pPr>
            <w:r>
              <w:rPr/>
              <w:t>  </w:t>
            </w:r>
          </w:p>
        </w:tc>
        <w:tc>
          <w:tcPr>
            <w:tcW w:w="1775" w:type="dxa"/>
            <w:gridSpan w:val="2"/>
            <w:tcBorders/>
            <w:shd w:fill="auto" w:val="clear"/>
            <w:vAlign w:val="center"/>
          </w:tcPr>
          <w:p>
            <w:pPr>
              <w:pStyle w:val="TableContents"/>
              <w:spacing w:before="0" w:after="283"/>
              <w:jc w:val="center"/>
              <w:rPr/>
            </w:pPr>
            <w:r>
              <w:rPr/>
              <w:t>Shareholding in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60" w:type="dxa"/>
            <w:gridSpan w:val="2"/>
            <w:tcBorders/>
            <w:shd w:fill="auto" w:val="clear"/>
            <w:vAlign w:val="center"/>
          </w:tcPr>
          <w:p>
            <w:pPr>
              <w:pStyle w:val="TableContents"/>
              <w:spacing w:before="0" w:after="283"/>
              <w:jc w:val="center"/>
              <w:rPr/>
            </w:pPr>
            <w:r>
              <w:rPr/>
              <w:t>Consolidation</w:t>
            </w:r>
          </w:p>
        </w:tc>
        <w:tc>
          <w:tcPr>
            <w:tcW w:w="75" w:type="dxa"/>
            <w:tcBorders/>
            <w:shd w:fill="auto" w:val="clear"/>
            <w:vAlign w:val="center"/>
          </w:tcPr>
          <w:p>
            <w:pPr>
              <w:pStyle w:val="TableContents"/>
              <w:spacing w:before="0" w:after="283"/>
              <w:rPr/>
            </w:pPr>
            <w:r>
              <w:rPr/>
              <w:t> </w:t>
            </w:r>
          </w:p>
        </w:tc>
      </w:tr>
      <w:tr>
        <w:trPr/>
        <w:tc>
          <w:tcPr>
            <w:tcW w:w="44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Mynaric Lasercom GmbH, Gilching</w:t>
            </w:r>
          </w:p>
        </w:tc>
        <w:tc>
          <w:tcPr>
            <w:tcW w:w="120" w:type="dxa"/>
            <w:tcBorders/>
            <w:shd w:fill="CCEEFF" w:val="clear"/>
            <w:vAlign w:val="center"/>
          </w:tcPr>
          <w:p>
            <w:pPr>
              <w:pStyle w:val="TableContents"/>
              <w:spacing w:before="0" w:after="283"/>
              <w:rPr/>
            </w:pPr>
            <w:r>
              <w:rPr/>
              <w:t>  </w:t>
            </w:r>
          </w:p>
        </w:tc>
        <w:tc>
          <w:tcPr>
            <w:tcW w:w="171" w:type="dxa"/>
            <w:tcBorders/>
            <w:shd w:fill="CCEEFF" w:val="clear"/>
            <w:vAlign w:val="center"/>
          </w:tcPr>
          <w:p>
            <w:pPr>
              <w:pStyle w:val="TableContents"/>
              <w:spacing w:before="0" w:after="283"/>
              <w:rPr/>
            </w:pPr>
            <w:r>
              <w:rPr/>
              <w:t> </w:t>
            </w:r>
          </w:p>
        </w:tc>
        <w:tc>
          <w:tcPr>
            <w:tcW w:w="1604" w:type="dxa"/>
            <w:tcBorders/>
            <w:shd w:fill="CCEEFF" w:val="clear"/>
            <w:vAlign w:val="center"/>
          </w:tcPr>
          <w:p>
            <w:pPr>
              <w:pStyle w:val="TableContents"/>
              <w:spacing w:before="0" w:after="283"/>
              <w:jc w:val="right"/>
              <w:rPr/>
            </w:pPr>
            <w:r>
              <w:rPr/>
              <w:t>100.0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0" w:type="dxa"/>
            <w:tcBorders/>
            <w:shd w:fill="CCEEFF" w:val="clear"/>
            <w:vAlign w:val="center"/>
          </w:tcPr>
          <w:p>
            <w:pPr>
              <w:pStyle w:val="TableContents"/>
              <w:spacing w:before="0" w:after="283"/>
              <w:jc w:val="right"/>
              <w:rPr/>
            </w:pPr>
            <w:r>
              <w:rPr/>
              <w:t>fully consolidated</w:t>
            </w:r>
          </w:p>
        </w:tc>
        <w:tc>
          <w:tcPr>
            <w:tcW w:w="75" w:type="dxa"/>
            <w:tcBorders/>
            <w:shd w:fill="CCEEFF" w:val="clear"/>
            <w:vAlign w:val="center"/>
          </w:tcPr>
          <w:p>
            <w:pPr>
              <w:pStyle w:val="TableContents"/>
              <w:spacing w:before="0" w:after="283"/>
              <w:rPr/>
            </w:pPr>
            <w:r>
              <w:rPr/>
              <w:t> </w:t>
            </w:r>
          </w:p>
        </w:tc>
      </w:tr>
      <w:tr>
        <w:trPr/>
        <w:tc>
          <w:tcPr>
            <w:tcW w:w="44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Mynaric Systems GmbH, Gilching</w:t>
            </w:r>
          </w:p>
        </w:tc>
        <w:tc>
          <w:tcPr>
            <w:tcW w:w="120" w:type="dxa"/>
            <w:tcBorders/>
            <w:shd w:fill="auto" w:val="clear"/>
            <w:vAlign w:val="center"/>
          </w:tcPr>
          <w:p>
            <w:pPr>
              <w:pStyle w:val="TableContents"/>
              <w:spacing w:before="0" w:after="283"/>
              <w:rPr/>
            </w:pPr>
            <w:r>
              <w:rPr/>
              <w:t>  </w:t>
            </w:r>
          </w:p>
        </w:tc>
        <w:tc>
          <w:tcPr>
            <w:tcW w:w="171" w:type="dxa"/>
            <w:tcBorders/>
            <w:shd w:fill="auto" w:val="clear"/>
            <w:vAlign w:val="center"/>
          </w:tcPr>
          <w:p>
            <w:pPr>
              <w:pStyle w:val="TableContents"/>
              <w:spacing w:before="0" w:after="283"/>
              <w:rPr/>
            </w:pPr>
            <w:r>
              <w:rPr/>
              <w:t> </w:t>
            </w:r>
          </w:p>
        </w:tc>
        <w:tc>
          <w:tcPr>
            <w:tcW w:w="1604" w:type="dxa"/>
            <w:tcBorders/>
            <w:shd w:fill="auto" w:val="clear"/>
            <w:vAlign w:val="center"/>
          </w:tcPr>
          <w:p>
            <w:pPr>
              <w:pStyle w:val="TableContents"/>
              <w:spacing w:before="0" w:after="283"/>
              <w:jc w:val="right"/>
              <w:rPr/>
            </w:pPr>
            <w:r>
              <w:rPr/>
              <w:t>100.0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jc w:val="right"/>
              <w:rPr/>
            </w:pPr>
            <w:r>
              <w:rPr/>
              <w:t>fully consolidated</w:t>
            </w:r>
          </w:p>
        </w:tc>
        <w:tc>
          <w:tcPr>
            <w:tcW w:w="75" w:type="dxa"/>
            <w:tcBorders/>
            <w:shd w:fill="auto" w:val="clear"/>
            <w:vAlign w:val="center"/>
          </w:tcPr>
          <w:p>
            <w:pPr>
              <w:pStyle w:val="TableContents"/>
              <w:spacing w:before="0" w:after="283"/>
              <w:rPr/>
            </w:pPr>
            <w:r>
              <w:rPr/>
              <w:t> </w:t>
            </w:r>
          </w:p>
        </w:tc>
      </w:tr>
      <w:tr>
        <w:trPr/>
        <w:tc>
          <w:tcPr>
            <w:tcW w:w="44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Mynaric USA, Inc., Los Angeles, USA</w:t>
            </w:r>
          </w:p>
        </w:tc>
        <w:tc>
          <w:tcPr>
            <w:tcW w:w="120" w:type="dxa"/>
            <w:tcBorders/>
            <w:shd w:fill="CCEEFF" w:val="clear"/>
            <w:vAlign w:val="center"/>
          </w:tcPr>
          <w:p>
            <w:pPr>
              <w:pStyle w:val="TableContents"/>
              <w:spacing w:before="0" w:after="283"/>
              <w:rPr/>
            </w:pPr>
            <w:r>
              <w:rPr/>
              <w:t>  </w:t>
            </w:r>
          </w:p>
        </w:tc>
        <w:tc>
          <w:tcPr>
            <w:tcW w:w="171" w:type="dxa"/>
            <w:tcBorders/>
            <w:shd w:fill="CCEEFF" w:val="clear"/>
            <w:vAlign w:val="center"/>
          </w:tcPr>
          <w:p>
            <w:pPr>
              <w:pStyle w:val="TableContents"/>
              <w:spacing w:before="0" w:after="283"/>
              <w:rPr/>
            </w:pPr>
            <w:r>
              <w:rPr/>
              <w:t> </w:t>
            </w:r>
          </w:p>
        </w:tc>
        <w:tc>
          <w:tcPr>
            <w:tcW w:w="1604" w:type="dxa"/>
            <w:tcBorders/>
            <w:shd w:fill="CCEEFF" w:val="clear"/>
            <w:vAlign w:val="center"/>
          </w:tcPr>
          <w:p>
            <w:pPr>
              <w:pStyle w:val="TableContents"/>
              <w:spacing w:before="0" w:after="283"/>
              <w:jc w:val="right"/>
              <w:rPr/>
            </w:pPr>
            <w:r>
              <w:rPr/>
              <w:t>100.0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0" w:type="dxa"/>
            <w:tcBorders/>
            <w:shd w:fill="CCEEFF" w:val="clear"/>
            <w:vAlign w:val="center"/>
          </w:tcPr>
          <w:p>
            <w:pPr>
              <w:pStyle w:val="TableContents"/>
              <w:spacing w:before="0" w:after="283"/>
              <w:jc w:val="right"/>
              <w:rPr/>
            </w:pPr>
            <w:r>
              <w:rPr/>
              <w:t>fully consolidated</w:t>
            </w:r>
          </w:p>
        </w:tc>
        <w:tc>
          <w:tcPr>
            <w:tcW w:w="75" w:type="dxa"/>
            <w:tcBorders/>
            <w:shd w:fill="CCEEFF" w:val="clear"/>
            <w:vAlign w:val="center"/>
          </w:tcPr>
          <w:p>
            <w:pPr>
              <w:pStyle w:val="TableContents"/>
              <w:spacing w:before="0" w:after="283"/>
              <w:rPr/>
            </w:pPr>
            <w:r>
              <w:rPr/>
              <w:t> </w:t>
            </w:r>
          </w:p>
        </w:tc>
      </w:tr>
      <w:tr>
        <w:trPr/>
        <w:tc>
          <w:tcPr>
            <w:tcW w:w="44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Mynaric Government Solutions, Inc., Arlingtion, USA</w:t>
            </w:r>
          </w:p>
          <w:p>
            <w:pPr>
              <w:pStyle w:val="TableContents"/>
              <w:spacing w:before="0" w:after="0"/>
              <w:rPr>
                <w:rFonts w:ascii="Times New Roman" w:hAnsi="Times New Roman"/>
                <w:sz w:val="12"/>
              </w:rPr>
            </w:pPr>
            <w:r>
              <w:rPr>
                <w:rFonts w:ascii="Times New Roman" w:hAnsi="Times New Roman"/>
                <w:sz w:val="12"/>
              </w:rPr>
              <w:t>1</w:t>
            </w:r>
          </w:p>
        </w:tc>
        <w:tc>
          <w:tcPr>
            <w:tcW w:w="120" w:type="dxa"/>
            <w:tcBorders/>
            <w:shd w:fill="auto" w:val="clear"/>
            <w:vAlign w:val="center"/>
          </w:tcPr>
          <w:p>
            <w:pPr>
              <w:pStyle w:val="TableContents"/>
              <w:spacing w:before="0" w:after="283"/>
              <w:rPr/>
            </w:pPr>
            <w:r>
              <w:rPr/>
              <w:t>  </w:t>
            </w:r>
          </w:p>
        </w:tc>
        <w:tc>
          <w:tcPr>
            <w:tcW w:w="171" w:type="dxa"/>
            <w:tcBorders/>
            <w:shd w:fill="auto" w:val="clear"/>
            <w:vAlign w:val="center"/>
          </w:tcPr>
          <w:p>
            <w:pPr>
              <w:pStyle w:val="TableContents"/>
              <w:spacing w:before="0" w:after="283"/>
              <w:rPr/>
            </w:pPr>
            <w:r>
              <w:rPr/>
              <w:t> </w:t>
            </w:r>
          </w:p>
        </w:tc>
        <w:tc>
          <w:tcPr>
            <w:tcW w:w="1604" w:type="dxa"/>
            <w:tcBorders/>
            <w:shd w:fill="auto" w:val="clear"/>
            <w:vAlign w:val="center"/>
          </w:tcPr>
          <w:p>
            <w:pPr>
              <w:pStyle w:val="TableContents"/>
              <w:spacing w:before="0" w:after="283"/>
              <w:jc w:val="right"/>
              <w:rPr/>
            </w:pPr>
            <w:r>
              <w:rPr/>
              <w:t>100.0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jc w:val="right"/>
              <w:rPr/>
            </w:pPr>
            <w:r>
              <w:rPr/>
              <w:t>fully consolidated</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5965" w:type="dxa"/>
        <w:jc w:val="left"/>
        <w:tblInd w:w="0" w:type="dxa"/>
        <w:tblCellMar>
          <w:top w:w="0" w:type="dxa"/>
          <w:left w:w="0" w:type="dxa"/>
          <w:bottom w:w="0" w:type="dxa"/>
          <w:right w:w="0" w:type="dxa"/>
        </w:tblCellMar>
      </w:tblPr>
      <w:tblGrid>
        <w:gridCol w:w="95"/>
        <w:gridCol w:w="5870"/>
      </w:tblGrid>
      <w:tr>
        <w:trPr/>
        <w:tc>
          <w:tcPr>
            <w:tcW w:w="95" w:type="dxa"/>
            <w:tcBorders/>
            <w:shd w:fill="auto" w:val="clear"/>
            <w:vAlign w:val="center"/>
          </w:tcPr>
          <w:p>
            <w:pPr>
              <w:pStyle w:val="TableContents"/>
              <w:spacing w:before="0" w:after="0"/>
              <w:jc w:val="both"/>
              <w:rPr>
                <w:sz w:val="12"/>
              </w:rPr>
            </w:pPr>
            <w:r>
              <w:rPr>
                <w:sz w:val="12"/>
              </w:rPr>
              <w:t>1</w:t>
            </w:r>
          </w:p>
          <w:p>
            <w:pPr>
              <w:pStyle w:val="TableContents"/>
              <w:spacing w:before="0" w:after="0"/>
              <w:jc w:val="both"/>
              <w:rPr/>
            </w:pPr>
            <w:r>
              <w:rPr/>
              <w:t> </w:t>
            </w:r>
          </w:p>
        </w:tc>
        <w:tc>
          <w:tcPr>
            <w:tcW w:w="587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Mynaric Government Solutions, Inc. was established on April 28, 2022. </w:t>
            </w:r>
          </w:p>
        </w:tc>
      </w:tr>
    </w:tbl>
    <w:p>
      <w:pPr>
        <w:pStyle w:val="TextBody"/>
        <w:spacing w:before="0" w:after="0"/>
        <w:jc w:val="left"/>
        <w:rPr>
          <w:highlight w:val="white"/>
        </w:rPr>
      </w:pPr>
      <w:r>
        <w:rPr>
          <w:highlight w:val="white"/>
        </w:rPr>
        <w:t> </w:t>
      </w:r>
    </w:p>
    <w:tbl>
      <w:tblPr>
        <w:tblW w:w="2140" w:type="dxa"/>
        <w:jc w:val="left"/>
        <w:tblInd w:w="0" w:type="dxa"/>
        <w:tblCellMar>
          <w:top w:w="0" w:type="dxa"/>
          <w:left w:w="0" w:type="dxa"/>
          <w:bottom w:w="0" w:type="dxa"/>
          <w:right w:w="0" w:type="dxa"/>
        </w:tblCellMar>
      </w:tblPr>
      <w:tblGrid>
        <w:gridCol w:w="395"/>
        <w:gridCol w:w="1745"/>
      </w:tblGrid>
      <w:tr>
        <w:trPr/>
        <w:tc>
          <w:tcPr>
            <w:tcW w:w="395" w:type="dxa"/>
            <w:tcBorders/>
            <w:shd w:fill="auto" w:val="clear"/>
            <w:vAlign w:val="center"/>
          </w:tcPr>
          <w:p>
            <w:pPr>
              <w:pStyle w:val="TableContents"/>
              <w:spacing w:before="0" w:after="0"/>
              <w:jc w:val="left"/>
              <w:rPr>
                <w:b/>
                <w:spacing w:val="0"/>
              </w:rPr>
            </w:pPr>
            <w:r>
              <w:rPr>
                <w:b/>
                <w:spacing w:val="0"/>
              </w:rPr>
              <w:t>3.2.</w:t>
            </w:r>
          </w:p>
        </w:tc>
        <w:tc>
          <w:tcPr>
            <w:tcW w:w="174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Accounting Policies </w:t>
            </w:r>
          </w:p>
        </w:tc>
      </w:tr>
    </w:tbl>
    <w:p>
      <w:pPr>
        <w:pStyle w:val="TextBody"/>
        <w:spacing w:before="0" w:after="0"/>
        <w:jc w:val="left"/>
        <w:rPr>
          <w:highlight w:val="white"/>
        </w:rPr>
      </w:pPr>
      <w:r>
        <w:rPr>
          <w:highlight w:val="white"/>
        </w:rPr>
        <w:t> </w:t>
      </w:r>
    </w:p>
    <w:tbl>
      <w:tblPr>
        <w:tblW w:w="6625" w:type="dxa"/>
        <w:jc w:val="left"/>
        <w:tblInd w:w="0" w:type="dxa"/>
        <w:tblCellMar>
          <w:top w:w="0" w:type="dxa"/>
          <w:left w:w="0" w:type="dxa"/>
          <w:bottom w:w="0" w:type="dxa"/>
          <w:right w:w="0" w:type="dxa"/>
        </w:tblCellMar>
      </w:tblPr>
      <w:tblGrid>
        <w:gridCol w:w="75"/>
        <w:gridCol w:w="215"/>
        <w:gridCol w:w="6335"/>
      </w:tblGrid>
      <w:tr>
        <w:trPr/>
        <w:tc>
          <w:tcPr>
            <w:tcW w:w="75"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jc w:val="left"/>
              <w:rPr>
                <w:b/>
                <w:spacing w:val="0"/>
              </w:rPr>
            </w:pPr>
            <w:r>
              <w:rPr>
                <w:b/>
                <w:spacing w:val="0"/>
              </w:rPr>
              <w:t>a)</w:t>
            </w:r>
          </w:p>
        </w:tc>
        <w:tc>
          <w:tcPr>
            <w:tcW w:w="633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Transactions in Foreign Currency and Translation into Foreign Currency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consolidated financial statements are prepared in euro, the functional currency of the Mynaric AG. The functional currency of each entity is determined by the primary economic environment in which these entities independently operate with respect to financial, economic and organizational considerations, and in which they predominantly generate and expend cash. The functional currency of each subsidiary corresponds to its respective local currency. Foreign currency transactions are remeasured into the respective functional currency of the respective entity at the exchange rates at the date such transactions occur.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Monetary assets and liabilities denominated in foreign currencies are translated into the functional currency at the exchange rate at the reporting date. Any resulting exchange rate differences are recorded in profit or loss. </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Non-monetary</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assets and liabilities in foreign currency are carried at historical exchange rates. To determine the exchange rate applied for initial recognition of the associated asset, expense or income when derecognizing a </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non-monetary</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asset or liability arising from prepaid considerations, the date of the transaction is the date of initial recognition of the </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non-monetary</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asset or liability.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assets and liabilities of entities with a functional currency other than the Euro, are translated into Euro at the exchange rates at the reporting date. The income and expenses of such companies are translated into Euro at the average exchange rates of the reporting period. Currency translation differences are recognized in other comprehensive income and presented as a reserve for exchange rate differences in equity. </w:t>
      </w:r>
    </w:p>
    <w:p>
      <w:pPr>
        <w:pStyle w:val="TextBody"/>
        <w:spacing w:before="0" w:after="0"/>
        <w:jc w:val="left"/>
        <w:rPr>
          <w:highlight w:val="white"/>
        </w:rPr>
      </w:pPr>
      <w:r>
        <w:rPr>
          <w:highlight w:val="white"/>
        </w:rPr>
        <w:t> </w:t>
      </w:r>
    </w:p>
    <w:tbl>
      <w:tblPr>
        <w:tblW w:w="2170" w:type="dxa"/>
        <w:jc w:val="left"/>
        <w:tblInd w:w="0" w:type="dxa"/>
        <w:tblCellMar>
          <w:top w:w="0" w:type="dxa"/>
          <w:left w:w="0" w:type="dxa"/>
          <w:bottom w:w="0" w:type="dxa"/>
          <w:right w:w="0" w:type="dxa"/>
        </w:tblCellMar>
      </w:tblPr>
      <w:tblGrid>
        <w:gridCol w:w="75"/>
        <w:gridCol w:w="230"/>
        <w:gridCol w:w="186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0"/>
              <w:jc w:val="left"/>
              <w:rPr>
                <w:b/>
                <w:spacing w:val="0"/>
              </w:rPr>
            </w:pPr>
            <w:r>
              <w:rPr>
                <w:b/>
                <w:spacing w:val="0"/>
              </w:rPr>
              <w:t>b)</w:t>
            </w:r>
          </w:p>
        </w:tc>
        <w:tc>
          <w:tcPr>
            <w:tcW w:w="186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Revenue Recognition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In accordance with IFRS 15 (Revenue from Contracts with Customers), revenue is recognized when control over distinct goods or services are transferred to a customer, i.e., when the customer has the ability to direct the use of, and obtains substantially all of the remaining benefits from, the transferred goods or services. A prerequisite for this is that an arrangement exists with enforceable rights and obligations and that, among other things, it is probable that the entity will collect the consideration, considering the customer’s credit standing.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8</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both"/>
        <w:rPr>
          <w:rFonts w:ascii="Times New Roman" w:hAnsi="Times New Roman"/>
          <w:sz w:val="20"/>
          <w:highlight w:val="white"/>
        </w:rPr>
      </w:pPr>
      <w:r>
        <w:rPr>
          <w:rFonts w:ascii="Times New Roman" w:hAnsi="Times New Roman"/>
          <w:sz w:val="20"/>
          <w:highlight w:val="white"/>
        </w:rPr>
        <w:t xml:space="preserve">Revenue is generally recognized with a customer at the level of the individual contract unless the prerequisites for combining contracts are met. The rules set out in IFRS 15 are applied consistently to similarly structured contracts and under similar circumstances. The Group generated revenue from the sale of goods and provision of services. In addition, revenue is recognized when the underlying contract is terminated due to customer default in accordance with IFRS 15.15 b).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If a contract involves multiple distinct goods or services, the transaction price is allocated across the performance obligations based on the relative stand-alone selling prices. If stand-alone selling prices are not directly observable, they are estimated using the amounts that depicts the amount of consideration to which the Company expects to be entitled in the exchange for the goods or services promised to the customer. For each performance obligation, revenue is recognized either at a point in time or over time.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Revenue recognition over time is required if the customer simultaneously receives and consumes the benefits provided by the Company’s performance, the Company creates or enhances an asset that is controlled by the customer, or the Company creates an asset without an alternative use to the Company and simultaneously has an enforceable right to payment for performance completed.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Company generates revenue from: </w:t>
      </w:r>
    </w:p>
    <w:p>
      <w:pPr>
        <w:pStyle w:val="TextBody"/>
        <w:spacing w:before="0" w:after="0"/>
        <w:jc w:val="left"/>
        <w:rPr>
          <w:highlight w:val="white"/>
        </w:rPr>
      </w:pPr>
      <w:r>
        <w:rPr>
          <w:highlight w:val="white"/>
        </w:rPr>
        <w:t> </w:t>
      </w:r>
    </w:p>
    <w:tbl>
      <w:tblPr>
        <w:tblW w:w="3685" w:type="dxa"/>
        <w:jc w:val="left"/>
        <w:tblInd w:w="0" w:type="dxa"/>
        <w:tblCellMar>
          <w:top w:w="0" w:type="dxa"/>
          <w:left w:w="0" w:type="dxa"/>
          <w:bottom w:w="0" w:type="dxa"/>
          <w:right w:w="0" w:type="dxa"/>
        </w:tblCellMar>
      </w:tblPr>
      <w:tblGrid>
        <w:gridCol w:w="75"/>
        <w:gridCol w:w="110"/>
        <w:gridCol w:w="60"/>
        <w:gridCol w:w="34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44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sale of laser communication terminals </w:t>
            </w:r>
          </w:p>
        </w:tc>
      </w:tr>
    </w:tbl>
    <w:p>
      <w:pPr>
        <w:pStyle w:val="TextBody"/>
        <w:spacing w:before="0" w:after="0"/>
        <w:jc w:val="left"/>
        <w:rPr>
          <w:highlight w:val="white"/>
        </w:rPr>
      </w:pPr>
      <w:r>
        <w:rPr>
          <w:highlight w:val="white"/>
        </w:rPr>
        <w:t> </w:t>
      </w:r>
    </w:p>
    <w:tbl>
      <w:tblPr>
        <w:tblW w:w="5320" w:type="dxa"/>
        <w:jc w:val="left"/>
        <w:tblInd w:w="0" w:type="dxa"/>
        <w:tblCellMar>
          <w:top w:w="0" w:type="dxa"/>
          <w:left w:w="0" w:type="dxa"/>
          <w:bottom w:w="0" w:type="dxa"/>
          <w:right w:w="0" w:type="dxa"/>
        </w:tblCellMar>
      </w:tblPr>
      <w:tblGrid>
        <w:gridCol w:w="75"/>
        <w:gridCol w:w="110"/>
        <w:gridCol w:w="60"/>
        <w:gridCol w:w="50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7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the provision of services (training, support and other services)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following table provides information about the nature and timing of the satisfaction of performance obligations in contracts with customers, including significant payment terms, and the related revenue recognition policies.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1224"/>
        <w:gridCol w:w="120"/>
        <w:gridCol w:w="5903"/>
        <w:gridCol w:w="120"/>
        <w:gridCol w:w="2838"/>
      </w:tblGrid>
      <w:tr>
        <w:trPr/>
        <w:tc>
          <w:tcPr>
            <w:tcW w:w="122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90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838" w:type="dxa"/>
            <w:tcBorders/>
            <w:shd w:fill="auto" w:val="clear"/>
            <w:vAlign w:val="center"/>
          </w:tcPr>
          <w:p>
            <w:pPr>
              <w:pStyle w:val="TableContents"/>
              <w:spacing w:before="0" w:after="283"/>
              <w:rPr>
                <w:sz w:val="4"/>
                <w:szCs w:val="4"/>
              </w:rPr>
            </w:pPr>
            <w:r>
              <w:rPr>
                <w:sz w:val="4"/>
                <w:szCs w:val="4"/>
              </w:rPr>
            </w:r>
          </w:p>
        </w:tc>
      </w:tr>
      <w:tr>
        <w:trPr/>
        <w:tc>
          <w:tcPr>
            <w:tcW w:w="1224"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Type of</w:t>
              <w:br/>
              <w:t>product/service</w:t>
            </w:r>
          </w:p>
        </w:tc>
        <w:tc>
          <w:tcPr>
            <w:tcW w:w="120" w:type="dxa"/>
            <w:tcBorders/>
            <w:shd w:fill="auto" w:val="clear"/>
            <w:vAlign w:val="center"/>
          </w:tcPr>
          <w:p>
            <w:pPr>
              <w:pStyle w:val="TableContents"/>
              <w:spacing w:before="0" w:after="283"/>
              <w:rPr/>
            </w:pPr>
            <w:r>
              <w:rPr/>
              <w:t>  </w:t>
            </w:r>
          </w:p>
        </w:tc>
        <w:tc>
          <w:tcPr>
            <w:tcW w:w="5903"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Nature and timing of satisfaction of performance</w:t>
              <w:br/>
              <w:t>obligation including significant payment terms</w:t>
            </w:r>
          </w:p>
        </w:tc>
        <w:tc>
          <w:tcPr>
            <w:tcW w:w="120" w:type="dxa"/>
            <w:tcBorders/>
            <w:shd w:fill="auto" w:val="clear"/>
            <w:vAlign w:val="center"/>
          </w:tcPr>
          <w:p>
            <w:pPr>
              <w:pStyle w:val="TableContents"/>
              <w:spacing w:before="0" w:after="283"/>
              <w:rPr/>
            </w:pPr>
            <w:r>
              <w:rPr/>
              <w:t>  </w:t>
            </w:r>
          </w:p>
        </w:tc>
        <w:tc>
          <w:tcPr>
            <w:tcW w:w="2838"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Revenue recognition policies</w:t>
            </w:r>
          </w:p>
        </w:tc>
      </w:tr>
      <w:tr>
        <w:trPr/>
        <w:tc>
          <w:tcPr>
            <w:tcW w:w="1224" w:type="dxa"/>
            <w:tcBorders/>
            <w:shd w:fill="auto" w:val="clear"/>
            <w:vAlign w:val="center"/>
          </w:tcPr>
          <w:p>
            <w:pPr>
              <w:pStyle w:val="TableContents"/>
              <w:spacing w:before="0" w:after="283"/>
              <w:rPr/>
            </w:pPr>
            <w:r>
              <w:rPr/>
              <w:t>Sale of products</w:t>
            </w:r>
          </w:p>
        </w:tc>
        <w:tc>
          <w:tcPr>
            <w:tcW w:w="120" w:type="dxa"/>
            <w:tcBorders/>
            <w:shd w:fill="auto" w:val="clear"/>
            <w:vAlign w:val="center"/>
          </w:tcPr>
          <w:p>
            <w:pPr>
              <w:pStyle w:val="TableContents"/>
              <w:spacing w:before="0" w:after="283"/>
              <w:rPr/>
            </w:pPr>
            <w:r>
              <w:rPr/>
              <w:t>  </w:t>
            </w:r>
          </w:p>
        </w:tc>
        <w:tc>
          <w:tcPr>
            <w:tcW w:w="5903" w:type="dxa"/>
            <w:tcBorders/>
            <w:shd w:fill="auto" w:val="clear"/>
            <w:vAlign w:val="center"/>
          </w:tcPr>
          <w:p>
            <w:pPr>
              <w:pStyle w:val="TableContents"/>
              <w:spacing w:before="0" w:after="283"/>
              <w:jc w:val="both"/>
              <w:rPr/>
            </w:pPr>
            <w:r>
              <w:rPr/>
              <w:t>Customers obtain control of the laser terminals when the goods are delivered and accepted by the customer. Invoices are generated at that point in time. Invoices are usually payable within 10 to 60 days.</w:t>
            </w:r>
          </w:p>
        </w:tc>
        <w:tc>
          <w:tcPr>
            <w:tcW w:w="120" w:type="dxa"/>
            <w:tcBorders/>
            <w:shd w:fill="auto" w:val="clear"/>
            <w:vAlign w:val="center"/>
          </w:tcPr>
          <w:p>
            <w:pPr>
              <w:pStyle w:val="TableContents"/>
              <w:spacing w:before="0" w:after="283"/>
              <w:rPr/>
            </w:pPr>
            <w:r>
              <w:rPr/>
              <w:t>  </w:t>
            </w:r>
          </w:p>
        </w:tc>
        <w:tc>
          <w:tcPr>
            <w:tcW w:w="2838"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Revenue is recognized at point in time when the customer obtains control over the good. Generally, this happens, when the good is delivered at the place agreed in the customer agreement.</w:t>
            </w:r>
          </w:p>
          <w:p>
            <w:pPr>
              <w:pStyle w:val="TableContents"/>
              <w:spacing w:before="0" w:after="20"/>
              <w:jc w:val="both"/>
              <w:rPr>
                <w:rFonts w:ascii="Times New Roman" w:hAnsi="Times New Roman"/>
                <w:sz w:val="20"/>
              </w:rPr>
            </w:pPr>
            <w:r>
              <w:rPr>
                <w:rFonts w:ascii="Times New Roman" w:hAnsi="Times New Roman"/>
                <w:sz w:val="20"/>
              </w:rPr>
              <w:t>Advances received are presented as contract liabilities.</w:t>
            </w:r>
          </w:p>
        </w:tc>
      </w:tr>
      <w:tr>
        <w:trPr/>
        <w:tc>
          <w:tcPr>
            <w:tcW w:w="1224" w:type="dxa"/>
            <w:tcBorders/>
            <w:shd w:fill="auto" w:val="clear"/>
            <w:vAlign w:val="center"/>
          </w:tcPr>
          <w:p>
            <w:pPr>
              <w:pStyle w:val="TableContents"/>
              <w:spacing w:before="0" w:after="283"/>
              <w:rPr/>
            </w:pPr>
            <w:r>
              <w:rPr/>
              <w:t> </w:t>
            </w:r>
          </w:p>
        </w:tc>
        <w:tc>
          <w:tcPr>
            <w:tcW w:w="6023" w:type="dxa"/>
            <w:gridSpan w:val="2"/>
            <w:tcBorders/>
            <w:shd w:fill="auto" w:val="clear"/>
            <w:vAlign w:val="center"/>
          </w:tcPr>
          <w:p>
            <w:pPr>
              <w:pStyle w:val="TableContents"/>
              <w:spacing w:before="0" w:after="283"/>
              <w:rPr/>
            </w:pPr>
            <w:r>
              <w:rPr/>
              <w:t> </w:t>
            </w:r>
          </w:p>
        </w:tc>
        <w:tc>
          <w:tcPr>
            <w:tcW w:w="2958" w:type="dxa"/>
            <w:gridSpan w:val="2"/>
            <w:tcBorders/>
            <w:shd w:fill="auto" w:val="clear"/>
            <w:vAlign w:val="center"/>
          </w:tcPr>
          <w:p>
            <w:pPr>
              <w:pStyle w:val="TableContents"/>
              <w:spacing w:before="0" w:after="283"/>
              <w:rPr/>
            </w:pPr>
            <w:r>
              <w:rPr/>
              <w:t> </w:t>
            </w:r>
          </w:p>
        </w:tc>
      </w:tr>
      <w:tr>
        <w:trPr/>
        <w:tc>
          <w:tcPr>
            <w:tcW w:w="1224" w:type="dxa"/>
            <w:tcBorders/>
            <w:shd w:fill="auto" w:val="clear"/>
            <w:vAlign w:val="center"/>
          </w:tcPr>
          <w:p>
            <w:pPr>
              <w:pStyle w:val="TableContents"/>
              <w:spacing w:before="0" w:after="283"/>
              <w:jc w:val="both"/>
              <w:rPr/>
            </w:pPr>
            <w:r>
              <w:rPr/>
              <w:t>Training, support and other services</w:t>
            </w:r>
          </w:p>
        </w:tc>
        <w:tc>
          <w:tcPr>
            <w:tcW w:w="120" w:type="dxa"/>
            <w:tcBorders/>
            <w:shd w:fill="auto" w:val="clear"/>
            <w:vAlign w:val="center"/>
          </w:tcPr>
          <w:p>
            <w:pPr>
              <w:pStyle w:val="TableContents"/>
              <w:spacing w:before="0" w:after="283"/>
              <w:rPr/>
            </w:pPr>
            <w:r>
              <w:rPr/>
              <w:t>  </w:t>
            </w:r>
          </w:p>
        </w:tc>
        <w:tc>
          <w:tcPr>
            <w:tcW w:w="5903" w:type="dxa"/>
            <w:tcBorders/>
            <w:shd w:fill="auto" w:val="clear"/>
            <w:vAlign w:val="center"/>
          </w:tcPr>
          <w:p>
            <w:pPr>
              <w:pStyle w:val="TableContents"/>
              <w:spacing w:before="0" w:after="283"/>
              <w:jc w:val="both"/>
              <w:rPr/>
            </w:pPr>
            <w:r>
              <w:rPr/>
              <w:t>The Company provides training, support and other services to its customers. The customer simultaneously receives and consumes the benefits provided by the entity’s performance as the entity performs. Invoices for these services are either issued based on the agreed payment plan of the respective contract or after the completion of the services. Invoices are usually payable within 30 days.</w:t>
            </w:r>
          </w:p>
        </w:tc>
        <w:tc>
          <w:tcPr>
            <w:tcW w:w="120" w:type="dxa"/>
            <w:tcBorders/>
            <w:shd w:fill="auto" w:val="clear"/>
            <w:vAlign w:val="center"/>
          </w:tcPr>
          <w:p>
            <w:pPr>
              <w:pStyle w:val="TableContents"/>
              <w:spacing w:before="0" w:after="283"/>
              <w:rPr/>
            </w:pPr>
            <w:r>
              <w:rPr/>
              <w:t>  </w:t>
            </w:r>
          </w:p>
        </w:tc>
        <w:tc>
          <w:tcPr>
            <w:tcW w:w="2838"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Revenue is recognized over time based on the </w:t>
            </w:r>
          </w:p>
          <w:p>
            <w:pPr>
              <w:pStyle w:val="TableContents"/>
              <w:spacing w:before="0" w:after="0"/>
              <w:jc w:val="both"/>
              <w:rPr>
                <w:rFonts w:ascii="Times New Roman" w:hAnsi="Times New Roman"/>
                <w:spacing w:val="0"/>
                <w:sz w:val="20"/>
              </w:rPr>
            </w:pPr>
            <w:r>
              <w:rPr>
                <w:rFonts w:ascii="Times New Roman" w:hAnsi="Times New Roman"/>
                <w:spacing w:val="0"/>
                <w:sz w:val="20"/>
              </w:rPr>
              <w:t>cost-to-cost</w:t>
            </w:r>
          </w:p>
          <w:p>
            <w:pPr>
              <w:pStyle w:val="TableContents"/>
              <w:spacing w:before="0" w:after="0"/>
              <w:jc w:val="both"/>
              <w:rPr>
                <w:rFonts w:ascii="Times New Roman" w:hAnsi="Times New Roman"/>
                <w:sz w:val="20"/>
              </w:rPr>
            </w:pPr>
            <w:r>
              <w:rPr>
                <w:rFonts w:ascii="Times New Roman" w:hAnsi="Times New Roman"/>
                <w:sz w:val="20"/>
              </w:rPr>
              <w:t>method unless they are not relevant for satisfaction of performance obligation.</w:t>
            </w:r>
          </w:p>
          <w:p>
            <w:pPr>
              <w:pStyle w:val="TableContents"/>
              <w:spacing w:before="0" w:after="20"/>
              <w:jc w:val="both"/>
              <w:rPr>
                <w:rFonts w:ascii="Times New Roman" w:hAnsi="Times New Roman"/>
                <w:sz w:val="20"/>
              </w:rPr>
            </w:pPr>
            <w:r>
              <w:rPr>
                <w:rFonts w:ascii="Times New Roman" w:hAnsi="Times New Roman"/>
                <w:sz w:val="20"/>
              </w:rPr>
              <w:t>Advances received are included in contract liabilities.</w:t>
            </w:r>
          </w:p>
        </w:tc>
      </w:tr>
    </w:tbl>
    <w:p>
      <w:pPr>
        <w:pStyle w:val="TextBody"/>
        <w:spacing w:before="0" w:after="0"/>
        <w:jc w:val="left"/>
        <w:rPr>
          <w:highlight w:val="white"/>
        </w:rPr>
      </w:pPr>
      <w:r>
        <w:rPr>
          <w:highlight w:val="white"/>
        </w:rPr>
        <w:t> </w:t>
      </w:r>
    </w:p>
    <w:tbl>
      <w:tblPr>
        <w:tblW w:w="2050" w:type="dxa"/>
        <w:jc w:val="left"/>
        <w:tblInd w:w="0" w:type="dxa"/>
        <w:tblCellMar>
          <w:top w:w="0" w:type="dxa"/>
          <w:left w:w="0" w:type="dxa"/>
          <w:bottom w:w="0" w:type="dxa"/>
          <w:right w:w="0" w:type="dxa"/>
        </w:tblCellMar>
      </w:tblPr>
      <w:tblGrid>
        <w:gridCol w:w="75"/>
        <w:gridCol w:w="200"/>
        <w:gridCol w:w="177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0"/>
              <w:jc w:val="left"/>
              <w:rPr>
                <w:b/>
                <w:spacing w:val="0"/>
              </w:rPr>
            </w:pPr>
            <w:r>
              <w:rPr>
                <w:b/>
                <w:spacing w:val="0"/>
              </w:rPr>
              <w:t>c)</w:t>
            </w:r>
          </w:p>
        </w:tc>
        <w:tc>
          <w:tcPr>
            <w:tcW w:w="177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Government Grants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Company has received various government grants related to innovation projects encouraged by governmental authorities which generally reimburse a specified amount or proportion of the costs related to such projects. These grants are received or receivable in exchange for past and / or future compliance with conditions specified plan or program under which they were given the respective governmental authority, and, accordingly, they are accounted for as government grants under IAS 20. Government grants related to capitalized assets are recognized on the date on which the conditions for receipt of the grant are met and are deducted from the carrying amount of the respective assets.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Government grants related to expenses incurred by the Group are recognized in profit or loss as other operating income on a systematic basis in the periods in which the expenses are recognized, unless the conditions for receiving the grant are met after the related expenses have been recognized. In this case, the grant is recognized when it becomes receivable.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9</w:t>
      </w:r>
    </w:p>
    <w:p>
      <w:pPr>
        <w:pStyle w:val="HorizontalLine"/>
        <w:rPr/>
      </w:pPr>
      <w:r>
        <w:rPr/>
      </w:r>
    </w:p>
    <w:p>
      <w:pPr>
        <w:pStyle w:val="TextBody"/>
        <w:spacing w:before="0" w:after="0"/>
        <w:rPr/>
      </w:pPr>
      <w:hyperlink w:anchor="toc">
        <w:r>
          <w:rPr>
            <w:rStyle w:val="InternetLink"/>
            <w:highlight w:val="white"/>
          </w:rPr>
          <w:t>Table of Contents</w:t>
        </w:r>
      </w:hyperlink>
    </w:p>
    <w:tbl>
      <w:tblPr>
        <w:tblW w:w="1765" w:type="dxa"/>
        <w:jc w:val="left"/>
        <w:tblInd w:w="0" w:type="dxa"/>
        <w:tblCellMar>
          <w:top w:w="0" w:type="dxa"/>
          <w:left w:w="0" w:type="dxa"/>
          <w:bottom w:w="0" w:type="dxa"/>
          <w:right w:w="0" w:type="dxa"/>
        </w:tblCellMar>
      </w:tblPr>
      <w:tblGrid>
        <w:gridCol w:w="75"/>
        <w:gridCol w:w="230"/>
        <w:gridCol w:w="1460"/>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0"/>
              <w:jc w:val="left"/>
              <w:rPr>
                <w:b/>
                <w:spacing w:val="0"/>
              </w:rPr>
            </w:pPr>
            <w:r>
              <w:rPr>
                <w:b/>
                <w:spacing w:val="0"/>
              </w:rPr>
              <w:t>d)</w:t>
            </w:r>
          </w:p>
        </w:tc>
        <w:tc>
          <w:tcPr>
            <w:tcW w:w="146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Financial Result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financial result includes the net income/expense from other financial expenses arising from liabilities and the result from remeasurement of foreign currency transactions in their respective functional currencies. Interest expenses are recognized in profit or loss, using the effective interest method.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Borrowing costs are expensed directly when incurred unless they are directly attributable to the acquisition, construction, or production of a qualifying asset and therefore form part of the cost of that asset. </w:t>
      </w:r>
    </w:p>
    <w:p>
      <w:pPr>
        <w:pStyle w:val="TextBody"/>
        <w:spacing w:before="0" w:after="0"/>
        <w:jc w:val="left"/>
        <w:rPr>
          <w:highlight w:val="white"/>
        </w:rPr>
      </w:pPr>
      <w:r>
        <w:rPr>
          <w:highlight w:val="white"/>
        </w:rPr>
        <w:t> </w:t>
      </w:r>
    </w:p>
    <w:tbl>
      <w:tblPr>
        <w:tblW w:w="1780" w:type="dxa"/>
        <w:jc w:val="left"/>
        <w:tblInd w:w="0" w:type="dxa"/>
        <w:tblCellMar>
          <w:top w:w="0" w:type="dxa"/>
          <w:left w:w="0" w:type="dxa"/>
          <w:bottom w:w="0" w:type="dxa"/>
          <w:right w:w="0" w:type="dxa"/>
        </w:tblCellMar>
      </w:tblPr>
      <w:tblGrid>
        <w:gridCol w:w="75"/>
        <w:gridCol w:w="200"/>
        <w:gridCol w:w="150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0"/>
              <w:jc w:val="left"/>
              <w:rPr>
                <w:b/>
                <w:spacing w:val="0"/>
              </w:rPr>
            </w:pPr>
            <w:r>
              <w:rPr>
                <w:b/>
                <w:spacing w:val="0"/>
              </w:rPr>
              <w:t>e)</w:t>
            </w:r>
          </w:p>
        </w:tc>
        <w:tc>
          <w:tcPr>
            <w:tcW w:w="150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Intangible Assets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Intangible assets are measured at cost upon initial recognition. In subsequent periods, intangible assets are recognized at cost less any accumulated amortization and any accumulated impairment losses. Intangible assets with finite useful lives are amortized on a straight-line basis. The estimated (remaining) useful lives as well as the amortization method are subject to annual reviews. If necessary, adjustments due to changes of the expected useful life or of the amortization method are accounted for prospectively as changes in accounting estimates. Intangible assets with indefinite useful lives or intangible assets not yet available for use are not amortized; however, they are tested for impairment annually and whenever there is an indication that the intangible asset may be impaired based on the individual asset or on the level of the related cash-generating unit.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Intangible assets include purchased software and licenses as well as capitalized development expenses. Purchased software and licenses are amortized on a straight-line basis over their expected useful life of three to five years.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In accordance with IAS 38 (Intangible Assets), expenses incurred during the research and development phase must be accounted for separately. Research is defined as original and planned investigation undertaken with the prospect of gaining new scientific or technical knowledge and understanding. Such costs are expensed in the period incurred. Development is defined as the technical and commercial implementation of research findings.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In accordance with IAS 38, development costs must be capitalized if the criteria set out in IAS 38.57 are fulfilled. The Company starts to capitalize costs when management board approval is obtained. The approval is only provided when it is ensured that adequate technical, financial and other resources are available to complete the project and that the Company intends to complete and use the intangible asset. Furthermore, prior to approval, the development project leader provides the management board with an overview of the future economic benefits based on external market studies and internal analysis, as well as the documentation of technical feasibility. The Company has an R&amp;D controlling system in place which enables management to determine expenditures attributable to specific technologies during their development.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Company capitalizes costs for the development of a technology until the time that development of such technology is completed. The capitalized development costs are amortized on a straight-line basis over the economic useful life of 15 years based on the expected useful life of such technology. Amortization of capitalized development costs commences upon completion of the development project (technology). Amortization expense resulting from capitalized development costs is reported in the statement of profit or loss under depreciation and amortization. </w:t>
      </w:r>
    </w:p>
    <w:p>
      <w:pPr>
        <w:pStyle w:val="TextBody"/>
        <w:spacing w:before="0" w:after="0"/>
        <w:jc w:val="left"/>
        <w:rPr>
          <w:highlight w:val="white"/>
        </w:rPr>
      </w:pPr>
      <w:r>
        <w:rPr>
          <w:highlight w:val="white"/>
        </w:rPr>
        <w:t> </w:t>
      </w:r>
    </w:p>
    <w:tbl>
      <w:tblPr>
        <w:tblW w:w="2965" w:type="dxa"/>
        <w:jc w:val="left"/>
        <w:tblInd w:w="0" w:type="dxa"/>
        <w:tblCellMar>
          <w:top w:w="0" w:type="dxa"/>
          <w:left w:w="0" w:type="dxa"/>
          <w:bottom w:w="0" w:type="dxa"/>
          <w:right w:w="0" w:type="dxa"/>
        </w:tblCellMar>
      </w:tblPr>
      <w:tblGrid>
        <w:gridCol w:w="75"/>
        <w:gridCol w:w="170"/>
        <w:gridCol w:w="272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jc w:val="left"/>
              <w:rPr>
                <w:b/>
                <w:spacing w:val="0"/>
              </w:rPr>
            </w:pPr>
            <w:r>
              <w:rPr>
                <w:b/>
                <w:spacing w:val="0"/>
              </w:rPr>
              <w:t>f)</w:t>
            </w:r>
          </w:p>
        </w:tc>
        <w:tc>
          <w:tcPr>
            <w:tcW w:w="272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Property, Plant and Equipment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Property, plant, and equipment are recognized at cost, and also includes capitalized borrowing costs, less any accumulated depreciation and impairment losses, if any. Depreciation is recognized on a straight-line basis. The depreciation period is based on the expected useful life of each respective asset. The underlying useful life is three years for computer hardware, and ranges between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three</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and 14 years for machinery, furniture, fixtures, and office equipment, as well as leasehold improvements.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useful lives, residual values, and depreciation methods for property, plant, and equipment are reviewed periodically and adjusted prospectively, if necessary, to ensure that the depreciation method and depreciation period reflect the expected economic benefit of the assets. </w:t>
      </w:r>
    </w:p>
    <w:p>
      <w:pPr>
        <w:pStyle w:val="TextBody"/>
        <w:spacing w:before="0" w:after="0"/>
        <w:jc w:val="left"/>
        <w:rPr>
          <w:highlight w:val="white"/>
        </w:rPr>
      </w:pPr>
      <w:r>
        <w:rPr>
          <w:highlight w:val="white"/>
        </w:rPr>
        <w:t> </w:t>
      </w:r>
    </w:p>
    <w:tbl>
      <w:tblPr>
        <w:tblW w:w="3580" w:type="dxa"/>
        <w:jc w:val="left"/>
        <w:tblInd w:w="0" w:type="dxa"/>
        <w:tblCellMar>
          <w:top w:w="0" w:type="dxa"/>
          <w:left w:w="0" w:type="dxa"/>
          <w:bottom w:w="0" w:type="dxa"/>
          <w:right w:w="0" w:type="dxa"/>
        </w:tblCellMar>
      </w:tblPr>
      <w:tblGrid>
        <w:gridCol w:w="75"/>
        <w:gridCol w:w="215"/>
        <w:gridCol w:w="3290"/>
      </w:tblGrid>
      <w:tr>
        <w:trPr/>
        <w:tc>
          <w:tcPr>
            <w:tcW w:w="75"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jc w:val="left"/>
              <w:rPr>
                <w:b/>
                <w:spacing w:val="0"/>
              </w:rPr>
            </w:pPr>
            <w:r>
              <w:rPr>
                <w:b/>
                <w:spacing w:val="0"/>
              </w:rPr>
              <w:t>g)</w:t>
            </w:r>
          </w:p>
        </w:tc>
        <w:tc>
          <w:tcPr>
            <w:tcW w:w="329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Interests in equity-accounted investees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Group’s interests in equity-accounted investees comprise interests in associates and a joint venture.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10</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both"/>
        <w:rPr>
          <w:rFonts w:ascii="Times New Roman" w:hAnsi="Times New Roman"/>
          <w:sz w:val="20"/>
          <w:highlight w:val="white"/>
        </w:rPr>
      </w:pPr>
      <w:r>
        <w:rPr>
          <w:rFonts w:ascii="Times New Roman" w:hAnsi="Times New Roman"/>
          <w:sz w:val="20"/>
          <w:highlight w:val="white"/>
        </w:rPr>
        <w:t xml:space="preserve">Associates are those entities in which the Group has significant influence, but not control or joint control, over the financial and operating policies. A joint venture is an arrangement in which the Group has joint control, whereby the Group has rights to the net assets of the arrangement, rather than rights to its assets and obligations for its liabilities. </w:t>
      </w:r>
    </w:p>
    <w:p>
      <w:pPr>
        <w:pStyle w:val="TextBody"/>
        <w:spacing w:before="240" w:after="0"/>
        <w:jc w:val="both"/>
        <w:rPr>
          <w:rFonts w:ascii="Times New Roman" w:hAnsi="Times New Roman"/>
          <w:sz w:val="20"/>
          <w:highlight w:val="white"/>
        </w:rPr>
      </w:pPr>
      <w:r>
        <w:rPr>
          <w:rFonts w:ascii="Times New Roman" w:hAnsi="Times New Roman"/>
          <w:sz w:val="20"/>
          <w:highlight w:val="white"/>
        </w:rPr>
        <w:t>Interests in associates and the joint venture are accounted for using the equity method. They are initially recognized at cost. Subsequent to initial recognition, the consolidated financial statements include the Group’s share of the profit or loss and OCI of equity-accounted investees, until the date on which significant influence or joint control ceases.</w:t>
      </w:r>
    </w:p>
    <w:p>
      <w:pPr>
        <w:pStyle w:val="TextBody"/>
        <w:spacing w:before="0" w:after="0"/>
        <w:ind w:left="0" w:right="0" w:hanging="0"/>
        <w:jc w:val="left"/>
        <w:rPr>
          <w:sz w:val="36"/>
        </w:rPr>
      </w:pPr>
      <w:r>
        <w:rPr>
          <w:sz w:val="36"/>
        </w:rPr>
      </w:r>
    </w:p>
    <w:tbl>
      <w:tblPr>
        <w:tblW w:w="1615" w:type="dxa"/>
        <w:jc w:val="left"/>
        <w:tblInd w:w="0" w:type="dxa"/>
        <w:tblCellMar>
          <w:top w:w="0" w:type="dxa"/>
          <w:left w:w="0" w:type="dxa"/>
          <w:bottom w:w="0" w:type="dxa"/>
          <w:right w:w="0" w:type="dxa"/>
        </w:tblCellMar>
      </w:tblPr>
      <w:tblGrid>
        <w:gridCol w:w="75"/>
        <w:gridCol w:w="230"/>
        <w:gridCol w:w="1310"/>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0"/>
              <w:jc w:val="left"/>
              <w:rPr>
                <w:b/>
                <w:spacing w:val="0"/>
              </w:rPr>
            </w:pPr>
            <w:r>
              <w:rPr>
                <w:b/>
                <w:spacing w:val="0"/>
              </w:rPr>
              <w:t>h)</w:t>
            </w:r>
          </w:p>
        </w:tc>
        <w:tc>
          <w:tcPr>
            <w:tcW w:w="1310"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Impairment of </w:t>
            </w:r>
          </w:p>
          <w:p>
            <w:pPr>
              <w:pStyle w:val="TableContents"/>
              <w:spacing w:before="0" w:after="0"/>
              <w:jc w:val="both"/>
              <w:rPr>
                <w:rFonts w:ascii="Times New Roman" w:hAnsi="Times New Roman"/>
                <w:b/>
                <w:spacing w:val="0"/>
                <w:sz w:val="20"/>
              </w:rPr>
            </w:pPr>
            <w:r>
              <w:rPr>
                <w:rFonts w:ascii="Times New Roman" w:hAnsi="Times New Roman"/>
                <w:b/>
                <w:spacing w:val="0"/>
                <w:sz w:val="20"/>
              </w:rPr>
              <w:t>Non-current</w:t>
            </w:r>
          </w:p>
          <w:p>
            <w:pPr>
              <w:pStyle w:val="TableContents"/>
              <w:spacing w:before="0" w:after="0"/>
              <w:jc w:val="both"/>
              <w:rPr>
                <w:rFonts w:ascii="Times New Roman" w:hAnsi="Times New Roman"/>
                <w:b/>
                <w:spacing w:val="0"/>
                <w:sz w:val="20"/>
              </w:rPr>
            </w:pPr>
            <w:r>
              <w:rPr>
                <w:rFonts w:ascii="Times New Roman" w:hAnsi="Times New Roman"/>
                <w:b/>
                <w:spacing w:val="0"/>
                <w:sz w:val="20"/>
              </w:rPr>
              <w:t>Non-financial</w:t>
            </w:r>
          </w:p>
          <w:p>
            <w:pPr>
              <w:pStyle w:val="TableContents"/>
              <w:spacing w:before="0" w:after="0"/>
              <w:jc w:val="both"/>
              <w:rPr>
                <w:rFonts w:ascii="Times New Roman" w:hAnsi="Times New Roman"/>
                <w:b/>
                <w:sz w:val="20"/>
              </w:rPr>
            </w:pPr>
            <w:r>
              <w:rPr>
                <w:rFonts w:ascii="Times New Roman" w:hAnsi="Times New Roman"/>
                <w:b/>
                <w:sz w:val="20"/>
              </w:rPr>
              <w:t xml:space="preserve">Assets </w:t>
            </w:r>
          </w:p>
        </w:tc>
      </w:tr>
    </w:tbl>
    <w:p>
      <w:pPr>
        <w:pStyle w:val="TextBody"/>
        <w:spacing w:before="120" w:after="0"/>
        <w:ind w:left="0" w:right="0" w:hanging="0"/>
        <w:jc w:val="both"/>
        <w:rPr>
          <w:rFonts w:ascii="Times New Roman" w:hAnsi="Times New Roman"/>
          <w:sz w:val="20"/>
          <w:highlight w:val="white"/>
        </w:rPr>
      </w:pPr>
      <w:r>
        <w:rPr>
          <w:rFonts w:ascii="Times New Roman" w:hAnsi="Times New Roman"/>
          <w:sz w:val="20"/>
          <w:highlight w:val="white"/>
        </w:rPr>
        <w:t xml:space="preserve">As of each reporting date, management reviews whether any indication exists that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non-financial</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assets may be subject to impairment losses or reversals of impairment losses. If such indications exist, management estimates the recoverable amount of the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non-financial</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asset. The recoverable amount is determined for each individual asset unless the asset does not generate cash inflows that are largely independent of those from other assets or groups of assets (cash-generating units). </w:t>
      </w:r>
    </w:p>
    <w:p>
      <w:pPr>
        <w:pStyle w:val="TextBody"/>
        <w:spacing w:before="240" w:after="0"/>
        <w:ind w:left="0" w:right="0" w:hanging="0"/>
        <w:jc w:val="both"/>
        <w:rPr>
          <w:rFonts w:ascii="Times New Roman" w:hAnsi="Times New Roman"/>
          <w:sz w:val="20"/>
          <w:highlight w:val="white"/>
        </w:rPr>
      </w:pPr>
      <w:r>
        <w:rPr>
          <w:rFonts w:ascii="Times New Roman" w:hAnsi="Times New Roman"/>
          <w:sz w:val="20"/>
          <w:highlight w:val="white"/>
        </w:rPr>
        <w:t xml:space="preserve">Intangible assets not yet available for use are tested for impairment at least once per year. </w:t>
      </w:r>
    </w:p>
    <w:p>
      <w:pPr>
        <w:pStyle w:val="TextBody"/>
        <w:spacing w:before="240" w:after="0"/>
        <w:ind w:left="0" w:right="0" w:hanging="0"/>
        <w:jc w:val="both"/>
        <w:rPr>
          <w:rFonts w:ascii="Times New Roman" w:hAnsi="Times New Roman"/>
          <w:sz w:val="20"/>
          <w:highlight w:val="white"/>
        </w:rPr>
      </w:pPr>
      <w:r>
        <w:rPr>
          <w:rFonts w:ascii="Times New Roman" w:hAnsi="Times New Roman"/>
          <w:sz w:val="20"/>
          <w:highlight w:val="white"/>
        </w:rPr>
        <w:t xml:space="preserve">If the carrying amount of an asset or a cash-generating unit exceeds its recoverable amount, an impairment loss is recognized in the amount of the difference. The recoverable amount is the higher of fair value less costs of disposal (FVLCOD) and value in use. </w:t>
      </w:r>
    </w:p>
    <w:p>
      <w:pPr>
        <w:pStyle w:val="TextBody"/>
        <w:spacing w:before="240" w:after="0"/>
        <w:ind w:left="0" w:right="0" w:hanging="0"/>
        <w:jc w:val="both"/>
        <w:rPr>
          <w:rFonts w:ascii="Times New Roman" w:hAnsi="Times New Roman"/>
          <w:sz w:val="20"/>
          <w:highlight w:val="white"/>
        </w:rPr>
      </w:pPr>
      <w:r>
        <w:rPr>
          <w:rFonts w:ascii="Times New Roman" w:hAnsi="Times New Roman"/>
          <w:sz w:val="20"/>
          <w:highlight w:val="white"/>
        </w:rPr>
        <w:t xml:space="preserve">The FVLCOD and the value in use is based on the estimated future cash flows of the cash-generating unit, discounted to their present value using a risk-adjusted </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pre-tax</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interest rate. The future cash flows are determined based on the long-term planning approved by the management as applicable as of the date when the impairment test is conducted. </w:t>
      </w:r>
    </w:p>
    <w:p>
      <w:pPr>
        <w:pStyle w:val="TextBody"/>
        <w:spacing w:before="24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As of each reporting date, the Company reviews whether an impairment loss recognized in previous periods no longer exists or may have decreased. In these cases, the Company recognizes a partial or full reversal of the impairment loss, with the carrying amount being increased to the recoverable amount. The increased carrying amount, however, may not exceed the carrying amount that would have been determined (net of amortization or depreciation) had no impairment loss been recognized for the asset in prior years. </w:t>
      </w:r>
    </w:p>
    <w:p>
      <w:pPr>
        <w:pStyle w:val="TextBody"/>
        <w:spacing w:before="240" w:after="0"/>
        <w:jc w:val="both"/>
        <w:rPr>
          <w:rFonts w:ascii="Times New Roman" w:hAnsi="Times New Roman"/>
          <w:sz w:val="20"/>
        </w:rPr>
      </w:pPr>
      <w:r>
        <w:rPr>
          <w:rFonts w:ascii="Times New Roman" w:hAnsi="Times New Roman"/>
          <w:sz w:val="20"/>
        </w:rPr>
      </w:r>
    </w:p>
    <w:p>
      <w:pPr>
        <w:pStyle w:val="TextBody"/>
        <w:spacing w:before="0" w:after="0"/>
        <w:ind w:left="0" w:right="0" w:hanging="0"/>
        <w:jc w:val="left"/>
        <w:rPr>
          <w:sz w:val="36"/>
        </w:rPr>
      </w:pPr>
      <w:r>
        <w:rPr>
          <w:sz w:val="36"/>
        </w:rPr>
      </w:r>
    </w:p>
    <w:tbl>
      <w:tblPr>
        <w:tblW w:w="1225" w:type="dxa"/>
        <w:jc w:val="left"/>
        <w:tblInd w:w="0" w:type="dxa"/>
        <w:tblCellMar>
          <w:top w:w="0" w:type="dxa"/>
          <w:left w:w="0" w:type="dxa"/>
          <w:bottom w:w="0" w:type="dxa"/>
          <w:right w:w="0" w:type="dxa"/>
        </w:tblCellMar>
      </w:tblPr>
      <w:tblGrid>
        <w:gridCol w:w="75"/>
        <w:gridCol w:w="155"/>
        <w:gridCol w:w="995"/>
      </w:tblGrid>
      <w:tr>
        <w:trPr/>
        <w:tc>
          <w:tcPr>
            <w:tcW w:w="75" w:type="dxa"/>
            <w:tcBorders/>
            <w:shd w:fill="auto" w:val="clear"/>
            <w:vAlign w:val="center"/>
          </w:tcPr>
          <w:p>
            <w:pPr>
              <w:pStyle w:val="TableContents"/>
              <w:spacing w:before="0" w:after="0"/>
              <w:rPr>
                <w:spacing w:val="0"/>
              </w:rPr>
            </w:pPr>
            <w:r>
              <w:rPr>
                <w:spacing w:val="0"/>
              </w:rPr>
              <w:t> </w:t>
            </w:r>
          </w:p>
        </w:tc>
        <w:tc>
          <w:tcPr>
            <w:tcW w:w="155" w:type="dxa"/>
            <w:tcBorders/>
            <w:shd w:fill="auto" w:val="clear"/>
            <w:vAlign w:val="center"/>
          </w:tcPr>
          <w:p>
            <w:pPr>
              <w:pStyle w:val="TableContents"/>
              <w:spacing w:before="0" w:after="0"/>
              <w:jc w:val="left"/>
              <w:rPr>
                <w:b/>
                <w:spacing w:val="0"/>
              </w:rPr>
            </w:pPr>
            <w:r>
              <w:rPr>
                <w:b/>
                <w:spacing w:val="0"/>
              </w:rPr>
              <w:t>i)</w:t>
            </w:r>
          </w:p>
        </w:tc>
        <w:tc>
          <w:tcPr>
            <w:tcW w:w="995" w:type="dxa"/>
            <w:tcBorders/>
            <w:shd w:fill="auto" w:val="clear"/>
            <w:vAlign w:val="center"/>
          </w:tcPr>
          <w:p>
            <w:pPr>
              <w:pStyle w:val="TableContents"/>
              <w:spacing w:before="0" w:after="0"/>
              <w:jc w:val="both"/>
              <w:rPr>
                <w:rFonts w:ascii="Times New Roman" w:hAnsi="Times New Roman"/>
                <w:b/>
                <w:spacing w:val="0"/>
                <w:sz w:val="20"/>
              </w:rPr>
            </w:pPr>
            <w:r>
              <w:rPr>
                <w:rFonts w:ascii="Times New Roman" w:hAnsi="Times New Roman"/>
                <w:b/>
                <w:spacing w:val="0"/>
                <w:sz w:val="20"/>
              </w:rPr>
              <w:t>Inventories</w:t>
            </w:r>
          </w:p>
        </w:tc>
      </w:tr>
    </w:tbl>
    <w:p>
      <w:pPr>
        <w:pStyle w:val="TextBody"/>
        <w:spacing w:before="12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Inventories are recognized at the lower of cost or net realizable value. The cost (including costs of purchase and manufacturing costs) is determined based on the moving average price of the item.</w:t>
      </w:r>
    </w:p>
    <w:p>
      <w:pPr>
        <w:pStyle w:val="TextBody"/>
        <w:spacing w:before="24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 xml:space="preserve">Apart from directly attributable unit costs, production costs include appropriate portions of production overheads based on normal operating capacity. The net realizable value is the estimated selling price in the ordinary course of business, less the estimated costs of completion and selling expenses. </w:t>
      </w:r>
    </w:p>
    <w:p>
      <w:pPr>
        <w:pStyle w:val="TextBody"/>
        <w:spacing w:before="24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 xml:space="preserve">Write-downs to the lower net realizable values primarily consider inventory risks resulting from turnover period and reduced recoverability. Write-downs are reversed if the reasons that resulted in the impairment of inventories no longer exist. </w:t>
      </w:r>
    </w:p>
    <w:p>
      <w:pPr>
        <w:pStyle w:val="TextBody"/>
        <w:spacing w:before="0" w:after="0"/>
        <w:ind w:left="0" w:right="0" w:hanging="0"/>
        <w:jc w:val="left"/>
        <w:rPr>
          <w:sz w:val="36"/>
        </w:rPr>
      </w:pPr>
      <w:r>
        <w:rPr>
          <w:sz w:val="36"/>
        </w:rPr>
      </w:r>
    </w:p>
    <w:tbl>
      <w:tblPr>
        <w:tblW w:w="2035" w:type="dxa"/>
        <w:jc w:val="left"/>
        <w:tblInd w:w="0" w:type="dxa"/>
        <w:tblCellMar>
          <w:top w:w="0" w:type="dxa"/>
          <w:left w:w="0" w:type="dxa"/>
          <w:bottom w:w="0" w:type="dxa"/>
          <w:right w:w="0" w:type="dxa"/>
        </w:tblCellMar>
      </w:tblPr>
      <w:tblGrid>
        <w:gridCol w:w="75"/>
        <w:gridCol w:w="170"/>
        <w:gridCol w:w="1790"/>
      </w:tblGrid>
      <w:tr>
        <w:trPr/>
        <w:tc>
          <w:tcPr>
            <w:tcW w:w="75" w:type="dxa"/>
            <w:tcBorders/>
            <w:shd w:fill="auto" w:val="clear"/>
            <w:vAlign w:val="center"/>
          </w:tcPr>
          <w:p>
            <w:pPr>
              <w:pStyle w:val="TableContents"/>
              <w:spacing w:before="0" w:after="0"/>
              <w:rPr/>
            </w:pPr>
            <w:r>
              <w:rPr/>
              <w:t> </w:t>
            </w:r>
          </w:p>
        </w:tc>
        <w:tc>
          <w:tcPr>
            <w:tcW w:w="170" w:type="dxa"/>
            <w:tcBorders/>
            <w:shd w:fill="auto" w:val="clear"/>
            <w:vAlign w:val="center"/>
          </w:tcPr>
          <w:p>
            <w:pPr>
              <w:pStyle w:val="TableContents"/>
              <w:spacing w:before="0" w:after="0"/>
              <w:jc w:val="left"/>
              <w:rPr>
                <w:b/>
                <w:spacing w:val="0"/>
              </w:rPr>
            </w:pPr>
            <w:r>
              <w:rPr>
                <w:b/>
                <w:spacing w:val="0"/>
              </w:rPr>
              <w:t>j)</w:t>
            </w:r>
          </w:p>
        </w:tc>
        <w:tc>
          <w:tcPr>
            <w:tcW w:w="179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Financial Instruments</w:t>
            </w:r>
          </w:p>
          <w:p>
            <w:pPr>
              <w:pStyle w:val="TableContents"/>
              <w:spacing w:before="0" w:after="0"/>
              <w:jc w:val="left"/>
              <w:rPr>
                <w:spacing w:val="0"/>
              </w:rPr>
            </w:pPr>
            <w:r>
              <w:rPr>
                <w:spacing w:val="0"/>
              </w:rPr>
            </w:r>
          </w:p>
        </w:tc>
      </w:tr>
    </w:tbl>
    <w:p>
      <w:pPr>
        <w:pStyle w:val="TextBody"/>
        <w:spacing w:before="120" w:after="0"/>
        <w:ind w:left="0" w:right="0" w:hanging="0"/>
        <w:jc w:val="both"/>
        <w:rPr>
          <w:rFonts w:ascii="Times New Roman" w:hAnsi="Times New Roman"/>
          <w:sz w:val="20"/>
          <w:highlight w:val="white"/>
        </w:rPr>
      </w:pPr>
      <w:r>
        <w:rPr>
          <w:rFonts w:ascii="Times New Roman" w:hAnsi="Times New Roman"/>
          <w:sz w:val="20"/>
          <w:highlight w:val="white"/>
        </w:rPr>
        <w:t xml:space="preserve">A financial instrument is any contract that gives rise to a financial asset of one entity and a financial liability or equity instrument of another entity. This includes both primary financial instruments (such as trade receivables and payables as well as other receivables and payables) and derivative financial instruments such as foreign exchange contracts. </w:t>
      </w:r>
    </w:p>
    <w:p>
      <w:pPr>
        <w:pStyle w:val="TextBody"/>
        <w:spacing w:before="240" w:after="0"/>
        <w:ind w:left="0" w:right="0" w:hanging="0"/>
        <w:jc w:val="both"/>
        <w:rPr>
          <w:rFonts w:ascii="Times New Roman" w:hAnsi="Times New Roman"/>
          <w:sz w:val="20"/>
          <w:highlight w:val="white"/>
        </w:rPr>
      </w:pPr>
      <w:r>
        <w:rPr>
          <w:rFonts w:ascii="Times New Roman" w:hAnsi="Times New Roman"/>
          <w:sz w:val="20"/>
          <w:highlight w:val="white"/>
        </w:rPr>
        <w:t xml:space="preserve">Trade receivables are initially recognized when they are originated. All other financial assets and financial liabilities are initially recognized when the Group becomes a party to the contractual provisions of the instrument. </w:t>
      </w:r>
    </w:p>
    <w:p>
      <w:pPr>
        <w:pStyle w:val="TextBody"/>
        <w:spacing w:before="240" w:after="0"/>
        <w:ind w:left="0" w:right="0" w:hanging="0"/>
        <w:jc w:val="both"/>
        <w:rPr>
          <w:rFonts w:ascii="Times New Roman" w:hAnsi="Times New Roman"/>
          <w:sz w:val="20"/>
          <w:highlight w:val="white"/>
        </w:rPr>
      </w:pPr>
      <w:r>
        <w:rPr>
          <w:rFonts w:ascii="Times New Roman" w:hAnsi="Times New Roman"/>
          <w:sz w:val="20"/>
          <w:highlight w:val="white"/>
        </w:rPr>
        <w:t xml:space="preserve">A financial asset (unless it is a trade receivable without a significant financing component) or financial liability is initially measured at fair value plus or minus, for an item not at Fair value through profit or loss (“FVTPL”), transaction costs that are directly attributable to its acquisition or issue. A trade receivable without a significant financing component is initially measured at the transaction price. </w:t>
      </w:r>
    </w:p>
    <w:p>
      <w:pPr>
        <w:pStyle w:val="TextBody"/>
        <w:spacing w:before="0" w:after="0"/>
        <w:ind w:left="0" w:right="0" w:hanging="0"/>
        <w:jc w:val="left"/>
        <w:rPr>
          <w:highlight w:val="white"/>
        </w:rPr>
      </w:pPr>
      <w:r>
        <w:rPr>
          <w:highlight w:val="white"/>
        </w:rPr>
        <w:t> </w:t>
      </w:r>
    </w:p>
    <w:p>
      <w:pPr>
        <w:pStyle w:val="TextBody"/>
        <w:spacing w:before="0" w:after="0"/>
        <w:ind w:left="0" w:right="0" w:hanging="0"/>
        <w:jc w:val="center"/>
        <w:rPr>
          <w:rFonts w:ascii="Times New Roman" w:hAnsi="Times New Roman"/>
          <w:sz w:val="20"/>
          <w:highlight w:val="white"/>
        </w:rPr>
      </w:pPr>
      <w:r>
        <w:rPr>
          <w:rFonts w:ascii="Times New Roman" w:hAnsi="Times New Roman"/>
          <w:sz w:val="20"/>
          <w:highlight w:val="white"/>
        </w:rPr>
        <w:t>F-1</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1</w:t>
      </w:r>
    </w:p>
    <w:p>
      <w:pPr>
        <w:pStyle w:val="HorizontalLine"/>
        <w:rPr/>
      </w:pPr>
      <w:r>
        <w:rPr/>
      </w:r>
    </w:p>
    <w:p>
      <w:pPr>
        <w:pStyle w:val="TextBody"/>
        <w:spacing w:before="0" w:after="0"/>
        <w:rPr/>
      </w:pPr>
      <w:hyperlink w:anchor="toc">
        <w:r>
          <w:rPr>
            <w:rStyle w:val="InternetLink"/>
            <w:highlight w:val="white"/>
          </w:rPr>
          <w:t>Table of Contents</w:t>
        </w:r>
      </w:hyperlink>
    </w:p>
    <w:tbl>
      <w:tblPr>
        <w:tblW w:w="1855" w:type="dxa"/>
        <w:jc w:val="left"/>
        <w:tblInd w:w="0" w:type="dxa"/>
        <w:tblCellMar>
          <w:top w:w="0" w:type="dxa"/>
          <w:left w:w="0" w:type="dxa"/>
          <w:bottom w:w="0" w:type="dxa"/>
          <w:right w:w="0" w:type="dxa"/>
        </w:tblCellMar>
      </w:tblPr>
      <w:tblGrid>
        <w:gridCol w:w="75"/>
        <w:gridCol w:w="170"/>
        <w:gridCol w:w="161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jc w:val="left"/>
              <w:rPr>
                <w:b/>
                <w:spacing w:val="0"/>
              </w:rPr>
            </w:pPr>
            <w:r>
              <w:rPr>
                <w:b/>
                <w:spacing w:val="0"/>
              </w:rPr>
              <w:t>j)</w:t>
            </w:r>
          </w:p>
        </w:tc>
        <w:tc>
          <w:tcPr>
            <w:tcW w:w="161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i) Financial Assets </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On initial recognition, a financial asset is classified as measured at: </w:t>
      </w:r>
    </w:p>
    <w:p>
      <w:pPr>
        <w:pStyle w:val="TextBody"/>
        <w:spacing w:before="0" w:after="0"/>
        <w:jc w:val="left"/>
        <w:rPr>
          <w:highlight w:val="white"/>
        </w:rPr>
      </w:pPr>
      <w:r>
        <w:rPr>
          <w:highlight w:val="white"/>
        </w:rPr>
        <w:t> </w:t>
      </w:r>
    </w:p>
    <w:tbl>
      <w:tblPr>
        <w:tblW w:w="1960" w:type="dxa"/>
        <w:jc w:val="left"/>
        <w:tblInd w:w="0" w:type="dxa"/>
        <w:tblCellMar>
          <w:top w:w="0" w:type="dxa"/>
          <w:left w:w="0" w:type="dxa"/>
          <w:bottom w:w="0" w:type="dxa"/>
          <w:right w:w="0" w:type="dxa"/>
        </w:tblCellMar>
      </w:tblPr>
      <w:tblGrid>
        <w:gridCol w:w="75"/>
        <w:gridCol w:w="110"/>
        <w:gridCol w:w="60"/>
        <w:gridCol w:w="17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7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AC – amortised cost </w:t>
            </w:r>
          </w:p>
        </w:tc>
      </w:tr>
    </w:tbl>
    <w:p>
      <w:pPr>
        <w:pStyle w:val="TextBody"/>
        <w:spacing w:before="0" w:after="0"/>
        <w:jc w:val="left"/>
        <w:rPr>
          <w:highlight w:val="white"/>
        </w:rPr>
      </w:pPr>
      <w:r>
        <w:rPr>
          <w:highlight w:val="white"/>
        </w:rPr>
        <w:t> </w:t>
      </w:r>
    </w:p>
    <w:tbl>
      <w:tblPr>
        <w:tblW w:w="4255" w:type="dxa"/>
        <w:jc w:val="left"/>
        <w:tblInd w:w="0" w:type="dxa"/>
        <w:tblCellMar>
          <w:top w:w="0" w:type="dxa"/>
          <w:left w:w="0" w:type="dxa"/>
          <w:bottom w:w="0" w:type="dxa"/>
          <w:right w:w="0" w:type="dxa"/>
        </w:tblCellMar>
      </w:tblPr>
      <w:tblGrid>
        <w:gridCol w:w="75"/>
        <w:gridCol w:w="110"/>
        <w:gridCol w:w="60"/>
        <w:gridCol w:w="40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0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FVOCI – debt investment and equity investment </w:t>
            </w:r>
          </w:p>
        </w:tc>
      </w:tr>
    </w:tbl>
    <w:p>
      <w:pPr>
        <w:pStyle w:val="TextBody"/>
        <w:spacing w:before="0" w:after="0"/>
        <w:jc w:val="left"/>
        <w:rPr>
          <w:highlight w:val="white"/>
        </w:rPr>
      </w:pPr>
      <w:r>
        <w:rPr>
          <w:highlight w:val="white"/>
        </w:rPr>
        <w:t> </w:t>
      </w:r>
    </w:p>
    <w:tbl>
      <w:tblPr>
        <w:tblW w:w="3670" w:type="dxa"/>
        <w:jc w:val="left"/>
        <w:tblInd w:w="0" w:type="dxa"/>
        <w:tblCellMar>
          <w:top w:w="0" w:type="dxa"/>
          <w:left w:w="0" w:type="dxa"/>
          <w:bottom w:w="0" w:type="dxa"/>
          <w:right w:w="0" w:type="dxa"/>
        </w:tblCellMar>
      </w:tblPr>
      <w:tblGrid>
        <w:gridCol w:w="75"/>
        <w:gridCol w:w="110"/>
        <w:gridCol w:w="60"/>
        <w:gridCol w:w="34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4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FVTPL – Fair value through profit or loss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Currently, no financial assets are classified as FVOCI. The classification is made on initial recognition and the financial assets are not reclassified subsequent to their initial recognition unless the Group changes its business model for managing financial assets, in which case all affected financial assets are reclassified on the first day of the first reporting period following the change in the business model.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Financial assets are derecognized when the contractual rights to the cash flows from the financial asset expire or have been transferred and the Company has transferred substantially all the risks and rewards of ownership.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Financial assets held to collect contractual cash flows and whose contractual cash flows solely represent payment of principal and interest are measured at amortized cost. Interest income from these financial assets is reported under financial income applying the effective interest method. Gains or losses from derecognition are directly recorded in the consolidated statement of comprehensive income and, together with foreign exchange gains and losses, recorded under the result from foreign currency translation. Trade receivables, cash, and other financial assets are classified as measured at amortized costs. </w:t>
      </w:r>
    </w:p>
    <w:p>
      <w:pPr>
        <w:pStyle w:val="TextBody"/>
        <w:spacing w:before="360" w:after="0"/>
        <w:jc w:val="left"/>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Derivative Financial Instruments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Embedded derivatives are separated from the host contract and accounted for separately if the host contract is not a financial asset and certain criteria are met.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Derivatives are initially measured at fair value. Subsequent to initial recognition, derivatives are measured at fair value, and changes therein are generally recognized in profit or loss. </w:t>
      </w:r>
    </w:p>
    <w:p>
      <w:pPr>
        <w:pStyle w:val="TextBody"/>
        <w:spacing w:before="360" w:after="0"/>
        <w:jc w:val="left"/>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Impairment of Financial Assets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Company holds the following instruments as financial assets that are subject to the credit loss model in accordance with IFRS 9: </w:t>
      </w:r>
    </w:p>
    <w:p>
      <w:pPr>
        <w:pStyle w:val="TextBody"/>
        <w:spacing w:before="0" w:after="0"/>
        <w:jc w:val="left"/>
        <w:rPr>
          <w:highlight w:val="white"/>
        </w:rPr>
      </w:pPr>
      <w:r>
        <w:rPr>
          <w:highlight w:val="white"/>
        </w:rPr>
        <w:t> </w:t>
      </w:r>
    </w:p>
    <w:tbl>
      <w:tblPr>
        <w:tblW w:w="1750" w:type="dxa"/>
        <w:jc w:val="left"/>
        <w:tblInd w:w="0" w:type="dxa"/>
        <w:tblCellMar>
          <w:top w:w="0" w:type="dxa"/>
          <w:left w:w="0" w:type="dxa"/>
          <w:bottom w:w="0" w:type="dxa"/>
          <w:right w:w="0" w:type="dxa"/>
        </w:tblCellMar>
      </w:tblPr>
      <w:tblGrid>
        <w:gridCol w:w="75"/>
        <w:gridCol w:w="110"/>
        <w:gridCol w:w="60"/>
        <w:gridCol w:w="15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5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Trade receivables </w:t>
            </w:r>
          </w:p>
        </w:tc>
      </w:tr>
    </w:tbl>
    <w:p>
      <w:pPr>
        <w:pStyle w:val="TextBody"/>
        <w:spacing w:before="0" w:after="0"/>
        <w:jc w:val="left"/>
        <w:rPr>
          <w:highlight w:val="white"/>
        </w:rPr>
      </w:pPr>
      <w:r>
        <w:rPr>
          <w:highlight w:val="white"/>
        </w:rPr>
        <w:t> </w:t>
      </w:r>
    </w:p>
    <w:tbl>
      <w:tblPr>
        <w:tblW w:w="2050" w:type="dxa"/>
        <w:jc w:val="left"/>
        <w:tblInd w:w="0" w:type="dxa"/>
        <w:tblCellMar>
          <w:top w:w="0" w:type="dxa"/>
          <w:left w:w="0" w:type="dxa"/>
          <w:bottom w:w="0" w:type="dxa"/>
          <w:right w:w="0" w:type="dxa"/>
        </w:tblCellMar>
      </w:tblPr>
      <w:tblGrid>
        <w:gridCol w:w="75"/>
        <w:gridCol w:w="110"/>
        <w:gridCol w:w="60"/>
        <w:gridCol w:w="18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8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Other financial assets </w:t>
            </w:r>
          </w:p>
        </w:tc>
      </w:tr>
    </w:tbl>
    <w:p>
      <w:pPr>
        <w:pStyle w:val="TextBody"/>
        <w:spacing w:before="0" w:after="0"/>
        <w:jc w:val="left"/>
        <w:rPr>
          <w:highlight w:val="white"/>
        </w:rPr>
      </w:pPr>
      <w:r>
        <w:rPr>
          <w:highlight w:val="white"/>
        </w:rPr>
        <w:t> </w:t>
      </w:r>
    </w:p>
    <w:tbl>
      <w:tblPr>
        <w:tblW w:w="2470" w:type="dxa"/>
        <w:jc w:val="left"/>
        <w:tblInd w:w="0" w:type="dxa"/>
        <w:tblCellMar>
          <w:top w:w="0" w:type="dxa"/>
          <w:left w:w="0" w:type="dxa"/>
          <w:bottom w:w="0" w:type="dxa"/>
          <w:right w:w="0" w:type="dxa"/>
        </w:tblCellMar>
      </w:tblPr>
      <w:tblGrid>
        <w:gridCol w:w="75"/>
        <w:gridCol w:w="110"/>
        <w:gridCol w:w="60"/>
        <w:gridCol w:w="22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Cash and cash equivalents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Company also recognizes loss allowances for expected credit losses (“ECL”) on lease receivables, which are disclosed as part of trade and other receivables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general impairment methodology follows a three-stage approach based on the change in credit quality of financial assets since initial recognition (general approach). At initial recognition, debt instruments are assumed to have a low credit risk, for which a loss allowance for </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12-months</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ECL is recognized (Stage 1). When there has been a significant increase in credit risk, the loss allowance is measured using lifetime ECL (Stage 2). A significant increase in credit risk is presumed if a debtor is more than 30 days past due in making a contractual payment. If there is objective evidence of impairment (Stage 3), the Company also accounts for lifetime ECL and recognizes an impairment. Mynaric considers that there is objective evidence of impairment if any of the following indicators are present: significant financial difficulties of the debtor, probability that the debtor will enter bankruptcy or financial reorganization or default or delinquency in payments.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Company applies this general approach for cash and cash equivalents as well as other assets. These assets are considered to have a low credit risk when the issuer has a strong capacity to meet its contractual cash flow obligations in the near term. Cash and cash equivalents are only placed at banks with credit ratings of investment grade or higher. Rental deposits are trust assets that, in case of a default of the counterparty, are separated from insolvency estate and are paid back primarily. Considering that, the impairment for these assets is not material.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For trade and other receivables, Mynaric applies the simplified approach under which lifetime ECL is recognized without monitoring the change in customers’ credit risk.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F-1</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2</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both"/>
        <w:rPr>
          <w:rFonts w:ascii="Times New Roman" w:hAnsi="Times New Roman"/>
          <w:sz w:val="20"/>
          <w:highlight w:val="white"/>
        </w:rPr>
      </w:pPr>
      <w:r>
        <w:rPr>
          <w:rFonts w:ascii="Times New Roman" w:hAnsi="Times New Roman"/>
          <w:sz w:val="20"/>
          <w:highlight w:val="white"/>
        </w:rPr>
        <w:t xml:space="preserve">Impairment losses, including reversals of impairment losses or impairment gains, are presented as other income, net in the consolidated statement of profit and comprehensive income.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ECLs are a probability-weighted estimate of credit losses. Credit losses are measured as the present value of all cash shortfalls (i.e., the difference between the cash flows due to the entity in accordance with the contract and the cash flows that the Group expects to receive). ECLs are discounted at the effective interest rate of the financial asset. </w:t>
      </w:r>
    </w:p>
    <w:p>
      <w:pPr>
        <w:pStyle w:val="TextBody"/>
        <w:spacing w:before="0" w:after="0"/>
        <w:ind w:left="0" w:right="0" w:hanging="0"/>
        <w:jc w:val="left"/>
        <w:rPr>
          <w:spacing w:val="0"/>
          <w:highlight w:val="white"/>
        </w:rPr>
      </w:pPr>
      <w:r>
        <w:rPr>
          <w:spacing w:val="0"/>
          <w:highlight w:val="white"/>
        </w:rPr>
        <w:t> </w:t>
      </w:r>
    </w:p>
    <w:tbl>
      <w:tblPr>
        <w:tblW w:w="2275" w:type="dxa"/>
        <w:jc w:val="left"/>
        <w:tblInd w:w="0" w:type="dxa"/>
        <w:tblCellMar>
          <w:top w:w="0" w:type="dxa"/>
          <w:left w:w="0" w:type="dxa"/>
          <w:bottom w:w="0" w:type="dxa"/>
          <w:right w:w="0" w:type="dxa"/>
        </w:tblCellMar>
      </w:tblPr>
      <w:tblGrid>
        <w:gridCol w:w="75"/>
        <w:gridCol w:w="170"/>
        <w:gridCol w:w="2030"/>
      </w:tblGrid>
      <w:tr>
        <w:trPr/>
        <w:tc>
          <w:tcPr>
            <w:tcW w:w="75" w:type="dxa"/>
            <w:tcBorders/>
            <w:shd w:fill="auto" w:val="clear"/>
            <w:vAlign w:val="center"/>
          </w:tcPr>
          <w:p>
            <w:pPr>
              <w:pStyle w:val="TableContents"/>
              <w:spacing w:before="0" w:after="0"/>
              <w:rPr>
                <w:spacing w:val="0"/>
              </w:rPr>
            </w:pPr>
            <w:r>
              <w:rPr>
                <w:spacing w:val="0"/>
              </w:rPr>
              <w:t> </w:t>
            </w:r>
          </w:p>
        </w:tc>
        <w:tc>
          <w:tcPr>
            <w:tcW w:w="170" w:type="dxa"/>
            <w:tcBorders/>
            <w:shd w:fill="auto" w:val="clear"/>
            <w:vAlign w:val="center"/>
          </w:tcPr>
          <w:p>
            <w:pPr>
              <w:pStyle w:val="TableContents"/>
              <w:spacing w:before="0" w:after="0"/>
              <w:jc w:val="left"/>
              <w:rPr>
                <w:b/>
                <w:spacing w:val="0"/>
              </w:rPr>
            </w:pPr>
            <w:r>
              <w:rPr>
                <w:b/>
                <w:spacing w:val="0"/>
              </w:rPr>
              <w:t>j)</w:t>
            </w:r>
          </w:p>
        </w:tc>
        <w:tc>
          <w:tcPr>
            <w:tcW w:w="2030" w:type="dxa"/>
            <w:tcBorders/>
            <w:shd w:fill="auto" w:val="clear"/>
            <w:vAlign w:val="center"/>
          </w:tcPr>
          <w:p>
            <w:pPr>
              <w:pStyle w:val="TableContents"/>
              <w:spacing w:before="0" w:after="0"/>
              <w:jc w:val="both"/>
              <w:rPr>
                <w:rFonts w:ascii="Times New Roman" w:hAnsi="Times New Roman"/>
                <w:b/>
                <w:spacing w:val="0"/>
                <w:sz w:val="20"/>
              </w:rPr>
            </w:pPr>
            <w:r>
              <w:rPr>
                <w:rFonts w:ascii="Times New Roman" w:hAnsi="Times New Roman"/>
                <w:b/>
                <w:spacing w:val="0"/>
                <w:sz w:val="20"/>
              </w:rPr>
              <w:t xml:space="preserve">ii) Financial Liabilities </w:t>
            </w:r>
          </w:p>
        </w:tc>
      </w:tr>
    </w:tbl>
    <w:p>
      <w:pPr>
        <w:pStyle w:val="TextBody"/>
        <w:spacing w:before="120" w:after="0"/>
        <w:ind w:left="0" w:right="0" w:hanging="0"/>
        <w:jc w:val="both"/>
        <w:rPr>
          <w:rFonts w:ascii="Times New Roman" w:hAnsi="Times New Roman"/>
          <w:sz w:val="20"/>
          <w:highlight w:val="white"/>
        </w:rPr>
      </w:pPr>
      <w:r>
        <w:rPr>
          <w:rFonts w:ascii="Times New Roman" w:hAnsi="Times New Roman"/>
          <w:sz w:val="20"/>
          <w:highlight w:val="white"/>
        </w:rPr>
        <w:t xml:space="preserve">Financial liabilities are measured at fair value upon initial recognition, less any directly attributable transaction costs in the case of loans and liabilities.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Company’s financial liabilities comprise trade and other payables as well as liabilities to banks, including overdraft credits.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subsequent measurement of financial liabilities depends on their classification, as described below: </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Financial liabilities measured at fair value through profit or loss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Financial liabilities measured at fair value through profit or loss comprise financial liabilities held for trading as well as other financial liabilities classified upon initial recognition as measured at fair value through profit or loss.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A financial liability is classified as held for trading if it is acquired for the purpose of repurchasing it in the near term.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This category also comprises any concluded derivative financial instruments that are not designated as hedging instruments as part of hedging relationships in accordance with IFRS 9. Embedded derivatives that are separated from the host contract are also classified as held for trading, except for derivatives that have been designated as hedging instruments and are determined to be effective as such.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Gains or losses on financial liabilities held for trading are recognized in profit or loss.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classification of financial liabilities as measured at fair value through profit or loss is made upon initial recognition if the criteria pursuant to IFRS 9 are met. The Company does not have any financial liabilities that are measured at fair value through profit or loss. </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Financial liabilities measured at amortized cost (“FLAC”)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This category comprises trade payables, other liabilities, and loans. Subsequent to initial recognition, interest-bearing loans are measured at amortized cost using the effective interest method. Gains and losses are recognized in profit or loss when the liabilities are derecognized, and otherwise through the amortization process based on the effective interest method.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Financial liabilities are derecognized when the contractual obligations are discharged, canceled, or expire. Financial liabilities are classified as </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liabilities unless settlement of the financial liabilities is due within 12 months after the end of the reporting period, in which case they are classified as current. </w:t>
      </w:r>
    </w:p>
    <w:p>
      <w:pPr>
        <w:pStyle w:val="TextBody"/>
        <w:spacing w:before="24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 xml:space="preserve">Financial assets and financial liabilities are offset and the net amount presented in the statement of financial position when, and only when, the Group currently has a legally enforceable right to set off the amounts and it intends either to settle them on a net basis or to realize the asset and settle the liability simultaneously. </w:t>
      </w:r>
    </w:p>
    <w:p>
      <w:pPr>
        <w:pStyle w:val="TextBody"/>
        <w:spacing w:before="0" w:after="0"/>
        <w:ind w:left="0" w:right="0" w:hanging="0"/>
        <w:jc w:val="left"/>
        <w:rPr>
          <w:sz w:val="36"/>
        </w:rPr>
      </w:pPr>
      <w:r>
        <w:rPr>
          <w:sz w:val="36"/>
        </w:rPr>
      </w:r>
    </w:p>
    <w:tbl>
      <w:tblPr>
        <w:tblW w:w="850" w:type="dxa"/>
        <w:jc w:val="left"/>
        <w:tblInd w:w="0" w:type="dxa"/>
        <w:tblCellMar>
          <w:top w:w="0" w:type="dxa"/>
          <w:left w:w="0" w:type="dxa"/>
          <w:bottom w:w="0" w:type="dxa"/>
          <w:right w:w="0" w:type="dxa"/>
        </w:tblCellMar>
      </w:tblPr>
      <w:tblGrid>
        <w:gridCol w:w="75"/>
        <w:gridCol w:w="230"/>
        <w:gridCol w:w="545"/>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0"/>
              <w:jc w:val="both"/>
              <w:rPr>
                <w:b/>
                <w:spacing w:val="0"/>
              </w:rPr>
            </w:pPr>
            <w:r>
              <w:rPr>
                <w:b/>
                <w:spacing w:val="0"/>
              </w:rPr>
              <w:t>k)</w:t>
            </w:r>
          </w:p>
        </w:tc>
        <w:tc>
          <w:tcPr>
            <w:tcW w:w="545"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Taxes</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Income taxes are comprised of current and deferred taxes. Current and deferred taxes are recognized in profit or loss to the extent that they do not relate to items recorded in equity or other comprehensive income.</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Current taxes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expected income tax liabilities or receivables arising as a result of the taxable profit in each applicable tax jurisdiction, taking into account applicable tax rules and regulations, are recognized as current taxes. The tax rates applicable as of the reporting date are used for measurement. All necessary adjustments to tax liabilities or tax assets from prior periods are also considered.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F-1</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3</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ind w:left="0" w:right="0" w:hanging="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Deferred taxes </w:t>
      </w:r>
    </w:p>
    <w:p>
      <w:pPr>
        <w:pStyle w:val="TextBody"/>
        <w:spacing w:before="120" w:after="0"/>
        <w:ind w:left="0" w:right="0" w:hanging="0"/>
        <w:jc w:val="both"/>
        <w:rPr>
          <w:rFonts w:ascii="Times New Roman" w:hAnsi="Times New Roman"/>
          <w:sz w:val="20"/>
          <w:highlight w:val="white"/>
        </w:rPr>
      </w:pPr>
      <w:r>
        <w:rPr>
          <w:rFonts w:ascii="Times New Roman" w:hAnsi="Times New Roman"/>
          <w:sz w:val="20"/>
          <w:highlight w:val="white"/>
        </w:rPr>
        <w:t xml:space="preserve">In accordance with IAS 12, temporary differences between the tax base of assets and liabilities on the one hand and their carrying amount under IFRS, on the other hand, result in the recognition of deferred taxes. Deferred tax assets on deductible temporary differences are recognized to the extent that it is probable that future taxable profits will be available against which the temporary differences can be utilized. The same applies to deferred tax assets on tax loss carryforwards. No deferred taxes have been recorded for temporary differences associated with investments in subsidiaries as the Group can determine the timing of the reversal of such temporary differences and it is probable that the temporary difference will not reverse in the foreseeable future. </w:t>
      </w:r>
    </w:p>
    <w:p>
      <w:pPr>
        <w:pStyle w:val="TextBody"/>
        <w:spacing w:before="240" w:after="0"/>
        <w:ind w:left="0" w:right="0" w:hanging="0"/>
        <w:jc w:val="both"/>
        <w:rPr>
          <w:rFonts w:ascii="Times New Roman" w:hAnsi="Times New Roman"/>
          <w:sz w:val="20"/>
          <w:highlight w:val="white"/>
        </w:rPr>
      </w:pPr>
      <w:r>
        <w:rPr>
          <w:rFonts w:ascii="Times New Roman" w:hAnsi="Times New Roman"/>
          <w:sz w:val="20"/>
          <w:highlight w:val="white"/>
        </w:rPr>
        <w:t xml:space="preserve">Current and deferred income taxes for 2022 were determined using the applicable tax rates. The Company applies a tax rate of 27.725% to calculate deferred taxes for Mynaric AG and its German subsidiaries. This combined income tax rate comprises 15% corporation tax plus 5.5% solidarity surcharge thereon as well as 11.9% trade tax. </w:t>
      </w:r>
    </w:p>
    <w:p>
      <w:pPr>
        <w:pStyle w:val="TextBody"/>
        <w:spacing w:before="240" w:after="0"/>
        <w:ind w:left="0" w:right="0" w:hanging="0"/>
        <w:jc w:val="both"/>
        <w:rPr>
          <w:rFonts w:ascii="Times New Roman" w:hAnsi="Times New Roman"/>
          <w:sz w:val="20"/>
          <w:highlight w:val="white"/>
        </w:rPr>
      </w:pPr>
      <w:r>
        <w:rPr>
          <w:rFonts w:ascii="Times New Roman" w:hAnsi="Times New Roman"/>
          <w:sz w:val="20"/>
          <w:highlight w:val="white"/>
        </w:rPr>
        <w:t xml:space="preserve">Deferred tax assets and liabilities are offset if the deferred taxes refer to income taxes levied by the same taxation authority and if the current taxes are offset against each other. </w:t>
      </w:r>
    </w:p>
    <w:p>
      <w:pPr>
        <w:pStyle w:val="TextBody"/>
        <w:spacing w:before="24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 xml:space="preserve">Changes in deferred tax assets and liabilities are generally recognized through profit and loss, except for changes recognized in other comprehensive income or directly in equity. </w:t>
      </w:r>
    </w:p>
    <w:p>
      <w:pPr>
        <w:pStyle w:val="TextBody"/>
        <w:spacing w:before="0" w:after="0"/>
        <w:ind w:left="0" w:right="0" w:hanging="0"/>
        <w:jc w:val="left"/>
        <w:rPr>
          <w:spacing w:val="0"/>
          <w:highlight w:val="white"/>
        </w:rPr>
      </w:pPr>
      <w:r>
        <w:rPr>
          <w:spacing w:val="0"/>
          <w:highlight w:val="white"/>
        </w:rPr>
        <w:t> </w:t>
      </w:r>
    </w:p>
    <w:tbl>
      <w:tblPr>
        <w:tblW w:w="1705" w:type="dxa"/>
        <w:jc w:val="left"/>
        <w:tblInd w:w="0" w:type="dxa"/>
        <w:tblCellMar>
          <w:top w:w="0" w:type="dxa"/>
          <w:left w:w="0" w:type="dxa"/>
          <w:bottom w:w="0" w:type="dxa"/>
          <w:right w:w="0" w:type="dxa"/>
        </w:tblCellMar>
      </w:tblPr>
      <w:tblGrid>
        <w:gridCol w:w="75"/>
        <w:gridCol w:w="155"/>
        <w:gridCol w:w="1475"/>
      </w:tblGrid>
      <w:tr>
        <w:trPr/>
        <w:tc>
          <w:tcPr>
            <w:tcW w:w="75" w:type="dxa"/>
            <w:tcBorders/>
            <w:shd w:fill="auto" w:val="clear"/>
            <w:vAlign w:val="center"/>
          </w:tcPr>
          <w:p>
            <w:pPr>
              <w:pStyle w:val="TableContents"/>
              <w:spacing w:before="0" w:after="283"/>
              <w:jc w:val="both"/>
              <w:rPr/>
            </w:pPr>
            <w:r>
              <w:rPr/>
              <w:t> </w:t>
            </w:r>
          </w:p>
        </w:tc>
        <w:tc>
          <w:tcPr>
            <w:tcW w:w="155" w:type="dxa"/>
            <w:tcBorders/>
            <w:shd w:fill="auto" w:val="clear"/>
            <w:vAlign w:val="center"/>
          </w:tcPr>
          <w:p>
            <w:pPr>
              <w:pStyle w:val="TableContents"/>
              <w:spacing w:before="0" w:after="0"/>
              <w:jc w:val="both"/>
              <w:rPr>
                <w:b/>
                <w:spacing w:val="0"/>
              </w:rPr>
            </w:pPr>
            <w:r>
              <w:rPr>
                <w:b/>
                <w:spacing w:val="0"/>
              </w:rPr>
              <w:t>l)</w:t>
            </w:r>
          </w:p>
        </w:tc>
        <w:tc>
          <w:tcPr>
            <w:tcW w:w="1475"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Share issue costs </w:t>
            </w:r>
          </w:p>
        </w:tc>
      </w:tr>
    </w:tbl>
    <w:p>
      <w:pPr>
        <w:pStyle w:val="TextBody"/>
        <w:spacing w:before="12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Incremental costs directly attributable to the issue of ordinary shares are recognized as a deduction from the capital reserve. </w:t>
      </w:r>
    </w:p>
    <w:p>
      <w:pPr>
        <w:pStyle w:val="TextBody"/>
        <w:spacing w:before="0" w:after="0"/>
        <w:ind w:left="0" w:right="0" w:hanging="0"/>
        <w:jc w:val="left"/>
        <w:rPr>
          <w:spacing w:val="0"/>
          <w:highlight w:val="white"/>
        </w:rPr>
      </w:pPr>
      <w:r>
        <w:rPr>
          <w:spacing w:val="0"/>
          <w:highlight w:val="white"/>
        </w:rPr>
        <w:t> </w:t>
      </w:r>
    </w:p>
    <w:tbl>
      <w:tblPr>
        <w:tblW w:w="3445" w:type="dxa"/>
        <w:jc w:val="left"/>
        <w:tblInd w:w="0" w:type="dxa"/>
        <w:tblCellMar>
          <w:top w:w="0" w:type="dxa"/>
          <w:left w:w="0" w:type="dxa"/>
          <w:bottom w:w="0" w:type="dxa"/>
          <w:right w:w="0" w:type="dxa"/>
        </w:tblCellMar>
      </w:tblPr>
      <w:tblGrid>
        <w:gridCol w:w="75"/>
        <w:gridCol w:w="290"/>
        <w:gridCol w:w="3080"/>
      </w:tblGrid>
      <w:tr>
        <w:trPr/>
        <w:tc>
          <w:tcPr>
            <w:tcW w:w="75" w:type="dxa"/>
            <w:tcBorders/>
            <w:shd w:fill="auto" w:val="clear"/>
            <w:vAlign w:val="center"/>
          </w:tcPr>
          <w:p>
            <w:pPr>
              <w:pStyle w:val="TableContents"/>
              <w:spacing w:before="0" w:after="283"/>
              <w:jc w:val="both"/>
              <w:rPr/>
            </w:pPr>
            <w:r>
              <w:rPr/>
              <w:t> </w:t>
            </w:r>
          </w:p>
        </w:tc>
        <w:tc>
          <w:tcPr>
            <w:tcW w:w="290" w:type="dxa"/>
            <w:tcBorders/>
            <w:shd w:fill="auto" w:val="clear"/>
            <w:vAlign w:val="center"/>
          </w:tcPr>
          <w:p>
            <w:pPr>
              <w:pStyle w:val="TableContents"/>
              <w:spacing w:before="0" w:after="0"/>
              <w:jc w:val="both"/>
              <w:rPr>
                <w:b/>
                <w:spacing w:val="0"/>
              </w:rPr>
            </w:pPr>
            <w:r>
              <w:rPr>
                <w:b/>
                <w:spacing w:val="0"/>
              </w:rPr>
              <w:t>m)</w:t>
            </w:r>
          </w:p>
        </w:tc>
        <w:tc>
          <w:tcPr>
            <w:tcW w:w="3080"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Equity-settled share-based payment </w:t>
            </w:r>
          </w:p>
        </w:tc>
      </w:tr>
    </w:tbl>
    <w:p>
      <w:pPr>
        <w:pStyle w:val="TextBody"/>
        <w:spacing w:before="12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The grant-date fair value of equity-settled share-based payment arrangements granted to employees is generally recognized as an expense, with a corresponding increase in equity, over the vesting period of the awards. The amount recognized as an expense is adjusted to reflect the number of awards for which the related service and non-market performance conditions are expected to be met, such that the amount ultimately recognized is based on the number of awards that meet the related service and non-market performance conditions at the vesting date. For equity-settled share-based payments awards with non-vesting conditions, the grant-date fair value of the equity-settled share-based payment is measured to reflect such conditions and there is no true-up for differences between expected and actual outcomes. </w:t>
      </w:r>
    </w:p>
    <w:p>
      <w:pPr>
        <w:pStyle w:val="TextBody"/>
        <w:spacing w:before="0" w:after="0"/>
        <w:ind w:left="0" w:right="0" w:hanging="0"/>
        <w:jc w:val="left"/>
        <w:rPr>
          <w:spacing w:val="0"/>
          <w:highlight w:val="white"/>
        </w:rPr>
      </w:pPr>
      <w:r>
        <w:rPr>
          <w:spacing w:val="0"/>
          <w:highlight w:val="white"/>
        </w:rPr>
        <w:t> </w:t>
      </w:r>
    </w:p>
    <w:tbl>
      <w:tblPr>
        <w:tblW w:w="1240" w:type="dxa"/>
        <w:jc w:val="left"/>
        <w:tblInd w:w="0" w:type="dxa"/>
        <w:tblCellMar>
          <w:top w:w="0" w:type="dxa"/>
          <w:left w:w="0" w:type="dxa"/>
          <w:bottom w:w="0" w:type="dxa"/>
          <w:right w:w="0" w:type="dxa"/>
        </w:tblCellMar>
      </w:tblPr>
      <w:tblGrid>
        <w:gridCol w:w="75"/>
        <w:gridCol w:w="230"/>
        <w:gridCol w:w="935"/>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0"/>
              <w:jc w:val="both"/>
              <w:rPr>
                <w:b/>
                <w:spacing w:val="0"/>
              </w:rPr>
            </w:pPr>
            <w:r>
              <w:rPr>
                <w:b/>
                <w:spacing w:val="0"/>
              </w:rPr>
              <w:t>n)</w:t>
            </w:r>
          </w:p>
        </w:tc>
        <w:tc>
          <w:tcPr>
            <w:tcW w:w="935"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Provisions</w:t>
            </w:r>
          </w:p>
        </w:tc>
      </w:tr>
    </w:tbl>
    <w:p>
      <w:pPr>
        <w:pStyle w:val="TextBody"/>
        <w:spacing w:before="12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 xml:space="preserve">Provisions are recognized when either a legal or constructive obligation to a third party as a result of a past event exists as of the reporting date, it is probable that an outflow of economic resources will be required to settle the obligation, and a reliable estimate of the amount of this obligation can be made. If the Company expects at least a partial reimbursement for a recognized provision (e.g., in the case of an insurance policy), the reimbursement is recognized as a separate asset when such reimbursement is virtually certain. The expense arising from the recognition of the provision is presented in the statement of profit or loss net of reimbursement. If the obligations fall due after more than one year and payment can be reliably estimated in terms of both amount and timing, the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 xml:space="preserve">portion of the obligation is measured at the respective present value in case the corresponding time value of money is material. The present value to be recognized is determined based on market interest rates that reflect the risk and the time period until the obligation is settled. </w:t>
      </w:r>
    </w:p>
    <w:p>
      <w:pPr>
        <w:pStyle w:val="TextBody"/>
        <w:spacing w:before="240" w:after="0"/>
        <w:ind w:left="0" w:right="0" w:hanging="0"/>
        <w:jc w:val="both"/>
        <w:rPr>
          <w:rFonts w:ascii="Times New Roman" w:hAnsi="Times New Roman"/>
          <w:sz w:val="20"/>
          <w:highlight w:val="white"/>
        </w:rPr>
      </w:pPr>
      <w:r>
        <w:rPr>
          <w:rFonts w:ascii="Times New Roman" w:hAnsi="Times New Roman"/>
          <w:sz w:val="20"/>
          <w:highlight w:val="white"/>
        </w:rPr>
        <w:t xml:space="preserve">For long-term provisions with an interest portion the increase in the amount of a provision reflecting the time value of money is recognized as interest expense in the financial result. </w:t>
      </w:r>
    </w:p>
    <w:p>
      <w:pPr>
        <w:pStyle w:val="TextBody"/>
        <w:spacing w:before="240" w:after="0"/>
        <w:ind w:left="0" w:right="0" w:hanging="0"/>
        <w:jc w:val="both"/>
        <w:rPr>
          <w:rFonts w:ascii="Times New Roman" w:hAnsi="Times New Roman"/>
          <w:sz w:val="20"/>
          <w:highlight w:val="white"/>
        </w:rPr>
      </w:pPr>
      <w:r>
        <w:rPr>
          <w:rFonts w:ascii="Times New Roman" w:hAnsi="Times New Roman"/>
          <w:sz w:val="20"/>
          <w:highlight w:val="white"/>
        </w:rPr>
        <w:t xml:space="preserve">Provisions are reviewed as of each reporting date and adjusted to the current best estimate. </w:t>
      </w:r>
    </w:p>
    <w:p>
      <w:pPr>
        <w:pStyle w:val="TextBody"/>
        <w:spacing w:before="0" w:after="0"/>
        <w:ind w:left="0" w:right="0" w:hanging="0"/>
        <w:jc w:val="left"/>
        <w:rPr>
          <w:spacing w:val="0"/>
          <w:highlight w:val="white"/>
        </w:rPr>
      </w:pPr>
      <w:r>
        <w:rPr>
          <w:spacing w:val="0"/>
          <w:highlight w:val="white"/>
        </w:rPr>
        <w:t> </w:t>
      </w:r>
    </w:p>
    <w:tbl>
      <w:tblPr>
        <w:tblW w:w="3205" w:type="dxa"/>
        <w:jc w:val="left"/>
        <w:tblInd w:w="0" w:type="dxa"/>
        <w:tblCellMar>
          <w:top w:w="0" w:type="dxa"/>
          <w:left w:w="0" w:type="dxa"/>
          <w:bottom w:w="0" w:type="dxa"/>
          <w:right w:w="0" w:type="dxa"/>
        </w:tblCellMar>
      </w:tblPr>
      <w:tblGrid>
        <w:gridCol w:w="75"/>
        <w:gridCol w:w="215"/>
        <w:gridCol w:w="2915"/>
      </w:tblGrid>
      <w:tr>
        <w:trPr/>
        <w:tc>
          <w:tcPr>
            <w:tcW w:w="75" w:type="dxa"/>
            <w:tcBorders/>
            <w:shd w:fill="auto" w:val="clear"/>
            <w:vAlign w:val="center"/>
          </w:tcPr>
          <w:p>
            <w:pPr>
              <w:pStyle w:val="TableContents"/>
              <w:spacing w:before="0" w:after="283"/>
              <w:jc w:val="both"/>
              <w:rPr/>
            </w:pPr>
            <w:r>
              <w:rPr/>
              <w:t> </w:t>
            </w:r>
          </w:p>
        </w:tc>
        <w:tc>
          <w:tcPr>
            <w:tcW w:w="215" w:type="dxa"/>
            <w:tcBorders/>
            <w:shd w:fill="auto" w:val="clear"/>
            <w:vAlign w:val="center"/>
          </w:tcPr>
          <w:p>
            <w:pPr>
              <w:pStyle w:val="TableContents"/>
              <w:spacing w:before="0" w:after="0"/>
              <w:jc w:val="both"/>
              <w:rPr>
                <w:b/>
                <w:spacing w:val="0"/>
              </w:rPr>
            </w:pPr>
            <w:r>
              <w:rPr>
                <w:b/>
                <w:spacing w:val="0"/>
              </w:rPr>
              <w:t>o)</w:t>
            </w:r>
          </w:p>
        </w:tc>
        <w:tc>
          <w:tcPr>
            <w:tcW w:w="2915"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Provisions for Onerous Contracts </w:t>
            </w:r>
          </w:p>
        </w:tc>
      </w:tr>
    </w:tbl>
    <w:p>
      <w:pPr>
        <w:pStyle w:val="TextBody"/>
        <w:spacing w:before="120" w:after="0"/>
        <w:ind w:left="0" w:right="0" w:hanging="0"/>
        <w:jc w:val="both"/>
        <w:rPr>
          <w:rFonts w:ascii="Times New Roman" w:hAnsi="Times New Roman"/>
          <w:sz w:val="20"/>
          <w:highlight w:val="white"/>
        </w:rPr>
      </w:pPr>
      <w:r>
        <w:rPr>
          <w:rFonts w:ascii="Times New Roman" w:hAnsi="Times New Roman"/>
          <w:sz w:val="20"/>
          <w:highlight w:val="white"/>
        </w:rPr>
        <w:t xml:space="preserve">Present obligations arising in connection with onerous contracts are recognized as provisions. The existence of an onerous contract is presumed when the Group is party to a contract that is expected to be settled by incur-ring costs that exceed the economic benefits available under the contract. </w:t>
      </w:r>
    </w:p>
    <w:p>
      <w:pPr>
        <w:pStyle w:val="TextBody"/>
        <w:spacing w:before="0" w:after="0"/>
        <w:ind w:left="0" w:right="0" w:hanging="0"/>
        <w:jc w:val="left"/>
        <w:rPr>
          <w:highlight w:val="white"/>
        </w:rPr>
      </w:pPr>
      <w:r>
        <w:rPr>
          <w:highlight w:val="white"/>
        </w:rPr>
        <w:t> </w:t>
      </w:r>
    </w:p>
    <w:p>
      <w:pPr>
        <w:pStyle w:val="TextBody"/>
        <w:spacing w:before="0" w:after="0"/>
        <w:ind w:left="0" w:right="0" w:hanging="0"/>
        <w:jc w:val="center"/>
        <w:rPr>
          <w:rFonts w:ascii="Times New Roman" w:hAnsi="Times New Roman"/>
          <w:sz w:val="20"/>
          <w:highlight w:val="white"/>
        </w:rPr>
      </w:pPr>
      <w:r>
        <w:rPr>
          <w:rFonts w:ascii="Times New Roman" w:hAnsi="Times New Roman"/>
          <w:sz w:val="20"/>
          <w:highlight w:val="white"/>
        </w:rPr>
        <w:t>F-1</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4</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both"/>
        <w:rPr>
          <w:rFonts w:ascii="Times New Roman" w:hAnsi="Times New Roman"/>
          <w:sz w:val="20"/>
          <w:highlight w:val="white"/>
        </w:rPr>
      </w:pPr>
      <w:r>
        <w:rPr>
          <w:rFonts w:ascii="Times New Roman" w:hAnsi="Times New Roman"/>
          <w:sz w:val="20"/>
          <w:highlight w:val="white"/>
        </w:rPr>
        <w:t>A provision for onerous contracts is measured at the present value of the lower of the expected cost of terminating the contract and the expected net cost of continuing with the contract, which is determined based on the full cost necessary to fulfil the obligation under the contract. Before a provision is established, the Group recognizes any impairment loss on the assets associated with that contract.</w:t>
      </w:r>
    </w:p>
    <w:p>
      <w:pPr>
        <w:pStyle w:val="TextBody"/>
        <w:spacing w:before="0" w:after="0"/>
        <w:ind w:left="0" w:right="0" w:hanging="0"/>
        <w:jc w:val="left"/>
        <w:rPr>
          <w:spacing w:val="0"/>
          <w:highlight w:val="white"/>
        </w:rPr>
      </w:pPr>
      <w:r>
        <w:rPr>
          <w:spacing w:val="0"/>
          <w:highlight w:val="white"/>
        </w:rPr>
        <w:t> </w:t>
      </w:r>
    </w:p>
    <w:tbl>
      <w:tblPr>
        <w:tblW w:w="910" w:type="dxa"/>
        <w:jc w:val="left"/>
        <w:tblInd w:w="0" w:type="dxa"/>
        <w:tblCellMar>
          <w:top w:w="0" w:type="dxa"/>
          <w:left w:w="0" w:type="dxa"/>
          <w:bottom w:w="0" w:type="dxa"/>
          <w:right w:w="0" w:type="dxa"/>
        </w:tblCellMar>
      </w:tblPr>
      <w:tblGrid>
        <w:gridCol w:w="75"/>
        <w:gridCol w:w="230"/>
        <w:gridCol w:w="605"/>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0"/>
              <w:jc w:val="both"/>
              <w:rPr>
                <w:b/>
                <w:spacing w:val="0"/>
              </w:rPr>
            </w:pPr>
            <w:r>
              <w:rPr>
                <w:b/>
                <w:spacing w:val="0"/>
              </w:rPr>
              <w:t>p)</w:t>
            </w:r>
          </w:p>
        </w:tc>
        <w:tc>
          <w:tcPr>
            <w:tcW w:w="605"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Leases</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At contract inception, the Company assesses whether the contract is or contains a lease. This is the case if the contract conveys the right to control the use of an identified asset for a period of time in exchange for consideration. </w:t>
      </w:r>
    </w:p>
    <w:p>
      <w:pPr>
        <w:pStyle w:val="TextBody"/>
        <w:spacing w:before="0" w:after="0"/>
        <w:ind w:left="0" w:right="0" w:hanging="0"/>
        <w:jc w:val="left"/>
        <w:rPr>
          <w:spacing w:val="0"/>
          <w:highlight w:val="white"/>
        </w:rPr>
      </w:pPr>
      <w:r>
        <w:rPr>
          <w:spacing w:val="0"/>
          <w:highlight w:val="white"/>
        </w:rPr>
        <w:t> </w:t>
      </w:r>
    </w:p>
    <w:tbl>
      <w:tblPr>
        <w:tblW w:w="2500" w:type="dxa"/>
        <w:jc w:val="left"/>
        <w:tblInd w:w="0" w:type="dxa"/>
        <w:tblCellMar>
          <w:top w:w="0" w:type="dxa"/>
          <w:left w:w="0" w:type="dxa"/>
          <w:bottom w:w="0" w:type="dxa"/>
          <w:right w:w="0" w:type="dxa"/>
        </w:tblCellMar>
      </w:tblPr>
      <w:tblGrid>
        <w:gridCol w:w="75"/>
        <w:gridCol w:w="230"/>
        <w:gridCol w:w="2195"/>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0"/>
              <w:jc w:val="both"/>
              <w:rPr>
                <w:b/>
                <w:spacing w:val="0"/>
              </w:rPr>
            </w:pPr>
            <w:r>
              <w:rPr>
                <w:b/>
                <w:spacing w:val="0"/>
              </w:rPr>
              <w:t>p)</w:t>
            </w:r>
          </w:p>
        </w:tc>
        <w:tc>
          <w:tcPr>
            <w:tcW w:w="2195"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i) The Company as lessee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Company presents all leases on the face of the statement of financial position with the exception of short-term leases and leases for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low-value</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assets. It recognizes liabilities for lease payments to be made and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right-of-use</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assets for the right to use the underlying asset. </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Right-of-use</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assets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Company recognizes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right-of-use</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assets as of the commencement date (i.e., the date on which the underlying leased asset is available for use).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Right-of-use</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assets are measured at cost less accumulated depreciation and accumulated impairment losses, if any, and adjusted for any remeasurement of the lease liabilities. The cost of the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right-of-use</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assets correspond to the associated lease liabilities, plus any restoration costs, less any initial direct costs as well as the lease payments made at or before the commencement date, less any lease incentives received.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Right-of-use</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assets are depreciated on a straight-line basis over the shorter of the lease term and expected useful life of the leased asset,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as</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follows: </w:t>
      </w:r>
    </w:p>
    <w:p>
      <w:pPr>
        <w:pStyle w:val="TextBody"/>
        <w:spacing w:before="0" w:after="0"/>
        <w:jc w:val="both"/>
        <w:rPr>
          <w:highlight w:val="white"/>
        </w:rPr>
      </w:pPr>
      <w:r>
        <w:rPr>
          <w:highlight w:val="white"/>
        </w:rPr>
        <w:t> </w:t>
      </w:r>
    </w:p>
    <w:tbl>
      <w:tblPr>
        <w:tblW w:w="2440" w:type="dxa"/>
        <w:jc w:val="left"/>
        <w:tblInd w:w="0" w:type="dxa"/>
        <w:tblCellMar>
          <w:top w:w="0" w:type="dxa"/>
          <w:left w:w="0" w:type="dxa"/>
          <w:bottom w:w="0" w:type="dxa"/>
          <w:right w:w="0" w:type="dxa"/>
        </w:tblCellMar>
      </w:tblPr>
      <w:tblGrid>
        <w:gridCol w:w="75"/>
        <w:gridCol w:w="110"/>
        <w:gridCol w:w="60"/>
        <w:gridCol w:w="21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1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Real estate – 3 to 10 years </w:t>
            </w:r>
          </w:p>
        </w:tc>
      </w:tr>
    </w:tbl>
    <w:p>
      <w:pPr>
        <w:pStyle w:val="TextBody"/>
        <w:spacing w:before="0" w:after="0"/>
        <w:jc w:val="left"/>
        <w:rPr>
          <w:highlight w:val="white"/>
        </w:rPr>
      </w:pPr>
      <w:r>
        <w:rPr>
          <w:highlight w:val="white"/>
        </w:rPr>
        <w:t> </w:t>
      </w:r>
    </w:p>
    <w:tbl>
      <w:tblPr>
        <w:tblW w:w="2425" w:type="dxa"/>
        <w:jc w:val="left"/>
        <w:tblInd w:w="0" w:type="dxa"/>
        <w:tblCellMar>
          <w:top w:w="0" w:type="dxa"/>
          <w:left w:w="0" w:type="dxa"/>
          <w:bottom w:w="0" w:type="dxa"/>
          <w:right w:w="0" w:type="dxa"/>
        </w:tblCellMar>
      </w:tblPr>
      <w:tblGrid>
        <w:gridCol w:w="75"/>
        <w:gridCol w:w="110"/>
        <w:gridCol w:w="60"/>
        <w:gridCol w:w="21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1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Other leases – 3 to 5 years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If the group is certain to exercise a purchase option, the </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right-of-use</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asset is depreciated over the underlying asset’s useful life, as follows: </w:t>
      </w:r>
    </w:p>
    <w:p>
      <w:pPr>
        <w:pStyle w:val="TextBody"/>
        <w:spacing w:before="0" w:after="0"/>
        <w:jc w:val="left"/>
        <w:rPr>
          <w:highlight w:val="white"/>
        </w:rPr>
      </w:pPr>
      <w:r>
        <w:rPr>
          <w:highlight w:val="white"/>
        </w:rPr>
        <w:t> </w:t>
      </w:r>
    </w:p>
    <w:tbl>
      <w:tblPr>
        <w:tblW w:w="2635" w:type="dxa"/>
        <w:jc w:val="left"/>
        <w:tblInd w:w="0" w:type="dxa"/>
        <w:tblCellMar>
          <w:top w:w="0" w:type="dxa"/>
          <w:left w:w="0" w:type="dxa"/>
          <w:bottom w:w="0" w:type="dxa"/>
          <w:right w:w="0" w:type="dxa"/>
        </w:tblCellMar>
      </w:tblPr>
      <w:tblGrid>
        <w:gridCol w:w="75"/>
        <w:gridCol w:w="110"/>
        <w:gridCol w:w="60"/>
        <w:gridCol w:w="23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3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Other leases – 10 to 15 years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If ownership of the leased asset is transferred to the Company at the end of the lease term or the exercise of a purchase option is considered in the determination of the cost, depreciation is determined based on the expected useful life of the leased asset. In addition, </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right-of-use</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assets are subject to impairment testing in the same manner as property, plant and equipment described in note 3.2 h). </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Lease liabilities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On the commencement date, the Company recognizes the lease liability at the present value of the lease payments to be made over the lease term. The lease payments comprise fixed payments (including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in-substance</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fixed payments), less any lease incentives receivable, variable lease payments that depend on an index or a rate, and amounts expected to be payable by the lessee under residual value guarantees. Lease payments also include the exercise price of a purchase option if the lessee is reasonably certain to exercise that option, as well as payments of penalties for terminating the lease, if the lease term reflects the lessee exercising an option to terminate the lease. Variable lease payments that do not depend on an index or rate are expensed in the period in which the event or condition triggering such payment occurs. The Company determines the lease term based on the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non-cancelable</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period of a lease and any periods covered by an option to extend the lease if the lessee is reasonably certain to exercise such option.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Company uses the interest rate implicit in the lease, if known to the Company, for the calculation of the present value of the lease payments. In the case of leases for which this interest rate is unknown, the Company applies its incremental borrowing rate as of the commencement date. The incremental borrowing rate is the rate of interest that the Company would have to pay to borrow over a similar term, and with a similar security, the funds necessary to obtain an asset of a similar value to the </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right-of-use</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asset in a similar economic environment. After the commencement date, the lease payment is split into a principal and interest portion with the liability being reduced for the principal portion and the interest is recorded in the consolidated statement of profit and loss and other comprehensive income. In addition, the carrying amount of the lease liabilities is remeasured to reflect any modifications to the lease, changes in the lease term, changes in the lease payments (e.g., changes of future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F-1</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5</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both"/>
        <w:rPr>
          <w:rFonts w:ascii="Times New Roman" w:hAnsi="Times New Roman"/>
          <w:sz w:val="20"/>
          <w:highlight w:val="white"/>
        </w:rPr>
      </w:pPr>
      <w:r>
        <w:rPr>
          <w:rFonts w:ascii="Times New Roman" w:hAnsi="Times New Roman"/>
          <w:sz w:val="20"/>
          <w:highlight w:val="white"/>
        </w:rPr>
        <w:t xml:space="preserve">lease payments following a change in the index or rate used to determine these payments), or changes in the assessment of an option to purchase the underlying asset. </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Short-term leases and leases for </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low-value</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assets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Company applies the practical expedient for its short-term leases for real estate and other operating equipment (i.e., leases with a term of not more than 12 months from the commencement date and that do not include a purchase option). With respect to leases for office equipment deemed as being of low value, the Company also applies the exemption provided for leases for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low-value</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assets. Lease payments for short-term leases and for leases for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low-value</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assets are recognized as an expense on a straight-line basis over the lease term. </w:t>
      </w:r>
    </w:p>
    <w:p>
      <w:pPr>
        <w:pStyle w:val="TextBody"/>
        <w:spacing w:before="0" w:after="0"/>
        <w:jc w:val="both"/>
        <w:rPr>
          <w:highlight w:val="white"/>
        </w:rPr>
      </w:pPr>
      <w:r>
        <w:rPr>
          <w:highlight w:val="white"/>
        </w:rPr>
        <w:t> </w:t>
      </w:r>
    </w:p>
    <w:tbl>
      <w:tblPr>
        <w:tblW w:w="2725" w:type="dxa"/>
        <w:jc w:val="left"/>
        <w:tblInd w:w="0" w:type="dxa"/>
        <w:tblCellMar>
          <w:top w:w="0" w:type="dxa"/>
          <w:left w:w="0" w:type="dxa"/>
          <w:bottom w:w="0" w:type="dxa"/>
          <w:right w:w="0" w:type="dxa"/>
        </w:tblCellMar>
      </w:tblPr>
      <w:tblGrid>
        <w:gridCol w:w="75"/>
        <w:gridCol w:w="230"/>
        <w:gridCol w:w="2420"/>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0"/>
              <w:jc w:val="both"/>
              <w:rPr>
                <w:b/>
                <w:spacing w:val="0"/>
              </w:rPr>
            </w:pPr>
            <w:r>
              <w:rPr>
                <w:b/>
                <w:spacing w:val="0"/>
              </w:rPr>
              <w:t>p)</w:t>
            </w:r>
          </w:p>
        </w:tc>
        <w:tc>
          <w:tcPr>
            <w:tcW w:w="2420"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ii) The Company as a lessor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At inception or on modification of a contract with customer that contains a lease component, the Company allocates the consideration in the contract to each lease component based on their relative standalone prices.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Company recognizes payments received related to lease under operating leases as income on a straight-line basis over the lease term as part of other operating income. </w:t>
      </w:r>
    </w:p>
    <w:p>
      <w:pPr>
        <w:pStyle w:val="TextBody"/>
        <w:spacing w:before="0" w:after="0"/>
        <w:jc w:val="both"/>
        <w:rPr>
          <w:highlight w:val="white"/>
        </w:rPr>
      </w:pPr>
      <w:r>
        <w:rPr>
          <w:highlight w:val="white"/>
        </w:rPr>
        <w:t> </w:t>
      </w:r>
    </w:p>
    <w:tbl>
      <w:tblPr>
        <w:tblW w:w="3070" w:type="dxa"/>
        <w:jc w:val="left"/>
        <w:tblInd w:w="0" w:type="dxa"/>
        <w:tblCellMar>
          <w:top w:w="0" w:type="dxa"/>
          <w:left w:w="0" w:type="dxa"/>
          <w:bottom w:w="0" w:type="dxa"/>
          <w:right w:w="0" w:type="dxa"/>
        </w:tblCellMar>
      </w:tblPr>
      <w:tblGrid>
        <w:gridCol w:w="395"/>
        <w:gridCol w:w="2675"/>
      </w:tblGrid>
      <w:tr>
        <w:trPr/>
        <w:tc>
          <w:tcPr>
            <w:tcW w:w="395" w:type="dxa"/>
            <w:tcBorders/>
            <w:shd w:fill="auto" w:val="clear"/>
            <w:vAlign w:val="center"/>
          </w:tcPr>
          <w:p>
            <w:pPr>
              <w:pStyle w:val="TableContents"/>
              <w:spacing w:before="0" w:after="0"/>
              <w:jc w:val="both"/>
              <w:rPr>
                <w:b/>
                <w:spacing w:val="0"/>
              </w:rPr>
            </w:pPr>
            <w:r>
              <w:rPr>
                <w:b/>
                <w:spacing w:val="0"/>
              </w:rPr>
              <w:t>3.3.</w:t>
            </w:r>
          </w:p>
        </w:tc>
        <w:tc>
          <w:tcPr>
            <w:tcW w:w="2675"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Changes in accounting policies </w:t>
            </w:r>
          </w:p>
        </w:tc>
      </w:tr>
    </w:tbl>
    <w:p>
      <w:pPr>
        <w:pStyle w:val="TextBody"/>
        <w:spacing w:before="0" w:after="0"/>
        <w:jc w:val="both"/>
        <w:rPr>
          <w:highlight w:val="white"/>
        </w:rPr>
      </w:pPr>
      <w:r>
        <w:rPr>
          <w:highlight w:val="white"/>
        </w:rPr>
        <w:t> </w:t>
      </w:r>
    </w:p>
    <w:tbl>
      <w:tblPr>
        <w:tblW w:w="5635" w:type="dxa"/>
        <w:jc w:val="left"/>
        <w:tblInd w:w="0" w:type="dxa"/>
        <w:tblCellMar>
          <w:top w:w="0" w:type="dxa"/>
          <w:left w:w="0" w:type="dxa"/>
          <w:bottom w:w="0" w:type="dxa"/>
          <w:right w:w="0" w:type="dxa"/>
        </w:tblCellMar>
      </w:tblPr>
      <w:tblGrid>
        <w:gridCol w:w="75"/>
        <w:gridCol w:w="215"/>
        <w:gridCol w:w="5345"/>
      </w:tblGrid>
      <w:tr>
        <w:trPr/>
        <w:tc>
          <w:tcPr>
            <w:tcW w:w="75" w:type="dxa"/>
            <w:tcBorders/>
            <w:shd w:fill="auto" w:val="clear"/>
            <w:vAlign w:val="center"/>
          </w:tcPr>
          <w:p>
            <w:pPr>
              <w:pStyle w:val="TableContents"/>
              <w:spacing w:before="0" w:after="283"/>
              <w:jc w:val="both"/>
              <w:rPr/>
            </w:pPr>
            <w:r>
              <w:rPr/>
              <w:t> </w:t>
            </w:r>
          </w:p>
        </w:tc>
        <w:tc>
          <w:tcPr>
            <w:tcW w:w="215" w:type="dxa"/>
            <w:tcBorders/>
            <w:shd w:fill="auto" w:val="clear"/>
            <w:vAlign w:val="center"/>
          </w:tcPr>
          <w:p>
            <w:pPr>
              <w:pStyle w:val="TableContents"/>
              <w:spacing w:before="0" w:after="0"/>
              <w:jc w:val="both"/>
              <w:rPr>
                <w:b/>
                <w:spacing w:val="0"/>
              </w:rPr>
            </w:pPr>
            <w:r>
              <w:rPr>
                <w:b/>
                <w:spacing w:val="0"/>
              </w:rPr>
              <w:t>a)</w:t>
            </w:r>
          </w:p>
        </w:tc>
        <w:tc>
          <w:tcPr>
            <w:tcW w:w="5345"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Newly issued financial reporting standards and interpretations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International Accounting Standards Board (IASB) and the IFRS Interpretation Committee (IC) amended the following standards and interpretations that must be applied for the fiscal year 2022 from January 1, 2022: </w:t>
      </w:r>
    </w:p>
    <w:p>
      <w:pPr>
        <w:pStyle w:val="TextBody"/>
        <w:spacing w:before="0" w:after="0"/>
        <w:jc w:val="both"/>
        <w:rPr>
          <w:highlight w:val="white"/>
        </w:rPr>
      </w:pPr>
      <w:r>
        <w:rPr>
          <w:highlight w:val="white"/>
        </w:rPr>
        <w:t> </w:t>
      </w:r>
    </w:p>
    <w:tbl>
      <w:tblPr>
        <w:tblW w:w="7345" w:type="dxa"/>
        <w:jc w:val="left"/>
        <w:tblInd w:w="0" w:type="dxa"/>
        <w:tblCellMar>
          <w:top w:w="0" w:type="dxa"/>
          <w:left w:w="0" w:type="dxa"/>
          <w:bottom w:w="0" w:type="dxa"/>
          <w:right w:w="0" w:type="dxa"/>
        </w:tblCellMar>
      </w:tblPr>
      <w:tblGrid>
        <w:gridCol w:w="75"/>
        <w:gridCol w:w="110"/>
        <w:gridCol w:w="60"/>
        <w:gridCol w:w="7100"/>
      </w:tblGrid>
      <w:tr>
        <w:trPr/>
        <w:tc>
          <w:tcPr>
            <w:tcW w:w="75" w:type="dxa"/>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283"/>
              <w:jc w:val="both"/>
              <w:rPr/>
            </w:pPr>
            <w:r>
              <w:rPr/>
              <w:t>•</w:t>
            </w:r>
          </w:p>
        </w:tc>
        <w:tc>
          <w:tcPr>
            <w:tcW w:w="60" w:type="dxa"/>
            <w:tcBorders/>
            <w:shd w:fill="auto" w:val="clear"/>
            <w:vAlign w:val="center"/>
          </w:tcPr>
          <w:p>
            <w:pPr>
              <w:pStyle w:val="TableContents"/>
              <w:spacing w:before="0" w:after="283"/>
              <w:jc w:val="both"/>
              <w:rPr/>
            </w:pPr>
            <w:r>
              <w:rPr/>
              <w:t> </w:t>
            </w:r>
          </w:p>
        </w:tc>
        <w:tc>
          <w:tcPr>
            <w:tcW w:w="710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Property, Plant and Equipment: Proceeds before intended use – Amendments to IAS 16 </w:t>
            </w:r>
          </w:p>
        </w:tc>
      </w:tr>
    </w:tbl>
    <w:p>
      <w:pPr>
        <w:pStyle w:val="TextBody"/>
        <w:spacing w:before="0" w:after="0"/>
        <w:jc w:val="both"/>
        <w:rPr>
          <w:highlight w:val="white"/>
        </w:rPr>
      </w:pPr>
      <w:r>
        <w:rPr>
          <w:highlight w:val="white"/>
        </w:rPr>
        <w:t> </w:t>
      </w:r>
    </w:p>
    <w:tbl>
      <w:tblPr>
        <w:tblW w:w="5650" w:type="dxa"/>
        <w:jc w:val="left"/>
        <w:tblInd w:w="0" w:type="dxa"/>
        <w:tblCellMar>
          <w:top w:w="0" w:type="dxa"/>
          <w:left w:w="0" w:type="dxa"/>
          <w:bottom w:w="0" w:type="dxa"/>
          <w:right w:w="0" w:type="dxa"/>
        </w:tblCellMar>
      </w:tblPr>
      <w:tblGrid>
        <w:gridCol w:w="75"/>
        <w:gridCol w:w="110"/>
        <w:gridCol w:w="60"/>
        <w:gridCol w:w="5405"/>
      </w:tblGrid>
      <w:tr>
        <w:trPr/>
        <w:tc>
          <w:tcPr>
            <w:tcW w:w="75" w:type="dxa"/>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283"/>
              <w:jc w:val="both"/>
              <w:rPr/>
            </w:pPr>
            <w:r>
              <w:rPr/>
              <w:t>•</w:t>
            </w:r>
          </w:p>
        </w:tc>
        <w:tc>
          <w:tcPr>
            <w:tcW w:w="60" w:type="dxa"/>
            <w:tcBorders/>
            <w:shd w:fill="auto" w:val="clear"/>
            <w:vAlign w:val="center"/>
          </w:tcPr>
          <w:p>
            <w:pPr>
              <w:pStyle w:val="TableContents"/>
              <w:spacing w:before="0" w:after="283"/>
              <w:jc w:val="both"/>
              <w:rPr/>
            </w:pPr>
            <w:r>
              <w:rPr/>
              <w:t> </w:t>
            </w:r>
          </w:p>
        </w:tc>
        <w:tc>
          <w:tcPr>
            <w:tcW w:w="540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Reference to the Conceptual Framework – Amendments to IFRS 3 </w:t>
            </w:r>
          </w:p>
        </w:tc>
      </w:tr>
    </w:tbl>
    <w:p>
      <w:pPr>
        <w:pStyle w:val="TextBody"/>
        <w:spacing w:before="0" w:after="0"/>
        <w:jc w:val="both"/>
        <w:rPr>
          <w:highlight w:val="white"/>
        </w:rPr>
      </w:pPr>
      <w:r>
        <w:rPr>
          <w:highlight w:val="white"/>
        </w:rPr>
        <w:t> </w:t>
      </w:r>
    </w:p>
    <w:tbl>
      <w:tblPr>
        <w:tblW w:w="6235" w:type="dxa"/>
        <w:jc w:val="left"/>
        <w:tblInd w:w="0" w:type="dxa"/>
        <w:tblCellMar>
          <w:top w:w="0" w:type="dxa"/>
          <w:left w:w="0" w:type="dxa"/>
          <w:bottom w:w="0" w:type="dxa"/>
          <w:right w:w="0" w:type="dxa"/>
        </w:tblCellMar>
      </w:tblPr>
      <w:tblGrid>
        <w:gridCol w:w="75"/>
        <w:gridCol w:w="110"/>
        <w:gridCol w:w="60"/>
        <w:gridCol w:w="5990"/>
      </w:tblGrid>
      <w:tr>
        <w:trPr/>
        <w:tc>
          <w:tcPr>
            <w:tcW w:w="75" w:type="dxa"/>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283"/>
              <w:jc w:val="both"/>
              <w:rPr/>
            </w:pPr>
            <w:r>
              <w:rPr/>
              <w:t>•</w:t>
            </w:r>
          </w:p>
        </w:tc>
        <w:tc>
          <w:tcPr>
            <w:tcW w:w="60" w:type="dxa"/>
            <w:tcBorders/>
            <w:shd w:fill="auto" w:val="clear"/>
            <w:vAlign w:val="center"/>
          </w:tcPr>
          <w:p>
            <w:pPr>
              <w:pStyle w:val="TableContents"/>
              <w:spacing w:before="0" w:after="283"/>
              <w:jc w:val="both"/>
              <w:rPr/>
            </w:pPr>
            <w:r>
              <w:rPr/>
              <w:t> </w:t>
            </w:r>
          </w:p>
        </w:tc>
        <w:tc>
          <w:tcPr>
            <w:tcW w:w="599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Onerous Contracts – Cost of Fulfilling a Contract Amendments to IAS 37 </w:t>
            </w:r>
          </w:p>
        </w:tc>
      </w:tr>
    </w:tbl>
    <w:p>
      <w:pPr>
        <w:pStyle w:val="TextBody"/>
        <w:spacing w:before="0" w:after="0"/>
        <w:jc w:val="both"/>
        <w:rPr>
          <w:highlight w:val="white"/>
        </w:rPr>
      </w:pPr>
      <w:r>
        <w:rPr>
          <w:highlight w:val="white"/>
        </w:rPr>
        <w:t> </w:t>
      </w:r>
    </w:p>
    <w:tbl>
      <w:tblPr>
        <w:tblW w:w="7465" w:type="dxa"/>
        <w:jc w:val="left"/>
        <w:tblInd w:w="0" w:type="dxa"/>
        <w:tblCellMar>
          <w:top w:w="0" w:type="dxa"/>
          <w:left w:w="0" w:type="dxa"/>
          <w:bottom w:w="0" w:type="dxa"/>
          <w:right w:w="0" w:type="dxa"/>
        </w:tblCellMar>
      </w:tblPr>
      <w:tblGrid>
        <w:gridCol w:w="75"/>
        <w:gridCol w:w="110"/>
        <w:gridCol w:w="60"/>
        <w:gridCol w:w="7220"/>
      </w:tblGrid>
      <w:tr>
        <w:trPr/>
        <w:tc>
          <w:tcPr>
            <w:tcW w:w="75" w:type="dxa"/>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283"/>
              <w:jc w:val="both"/>
              <w:rPr/>
            </w:pPr>
            <w:r>
              <w:rPr/>
              <w:t>•</w:t>
            </w:r>
          </w:p>
        </w:tc>
        <w:tc>
          <w:tcPr>
            <w:tcW w:w="60" w:type="dxa"/>
            <w:tcBorders/>
            <w:shd w:fill="auto" w:val="clear"/>
            <w:vAlign w:val="center"/>
          </w:tcPr>
          <w:p>
            <w:pPr>
              <w:pStyle w:val="TableContents"/>
              <w:spacing w:before="0" w:after="283"/>
              <w:jc w:val="both"/>
              <w:rPr/>
            </w:pPr>
            <w:r>
              <w:rPr/>
              <w:t> </w:t>
            </w:r>
          </w:p>
        </w:tc>
        <w:tc>
          <w:tcPr>
            <w:tcW w:w="722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Annual Improvements to IFRS Standards 2018 – 2020 (IFRS 9, IFRS 16, IFRS 1, IAS 41) </w:t>
            </w:r>
          </w:p>
        </w:tc>
      </w:tr>
    </w:tbl>
    <w:p>
      <w:pPr>
        <w:pStyle w:val="TextBody"/>
        <w:spacing w:before="24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 xml:space="preserve">The Group has adopted all the foregoing amendments in 2022, none of which had a significant impact on the consolidated financial statements. </w:t>
      </w:r>
    </w:p>
    <w:p>
      <w:pPr>
        <w:pStyle w:val="TextBody"/>
        <w:spacing w:before="0" w:after="0"/>
        <w:ind w:left="0" w:right="0" w:hanging="0"/>
        <w:jc w:val="left"/>
        <w:rPr>
          <w:spacing w:val="0"/>
          <w:highlight w:val="white"/>
        </w:rPr>
      </w:pPr>
      <w:r>
        <w:rPr>
          <w:spacing w:val="0"/>
          <w:highlight w:val="white"/>
        </w:rPr>
        <w:t> </w:t>
      </w:r>
    </w:p>
    <w:tbl>
      <w:tblPr>
        <w:tblW w:w="6130" w:type="dxa"/>
        <w:jc w:val="left"/>
        <w:tblInd w:w="0" w:type="dxa"/>
        <w:tblCellMar>
          <w:top w:w="0" w:type="dxa"/>
          <w:left w:w="0" w:type="dxa"/>
          <w:bottom w:w="0" w:type="dxa"/>
          <w:right w:w="0" w:type="dxa"/>
        </w:tblCellMar>
      </w:tblPr>
      <w:tblGrid>
        <w:gridCol w:w="75"/>
        <w:gridCol w:w="230"/>
        <w:gridCol w:w="5825"/>
      </w:tblGrid>
      <w:tr>
        <w:trPr/>
        <w:tc>
          <w:tcPr>
            <w:tcW w:w="75" w:type="dxa"/>
            <w:tcBorders/>
            <w:shd w:fill="auto" w:val="clear"/>
            <w:vAlign w:val="center"/>
          </w:tcPr>
          <w:p>
            <w:pPr>
              <w:pStyle w:val="TableContents"/>
              <w:spacing w:before="0" w:after="0"/>
              <w:rPr>
                <w:spacing w:val="0"/>
              </w:rPr>
            </w:pPr>
            <w:r>
              <w:rPr>
                <w:spacing w:val="0"/>
              </w:rPr>
              <w:t> </w:t>
            </w:r>
          </w:p>
        </w:tc>
        <w:tc>
          <w:tcPr>
            <w:tcW w:w="230" w:type="dxa"/>
            <w:tcBorders/>
            <w:shd w:fill="auto" w:val="clear"/>
            <w:vAlign w:val="center"/>
          </w:tcPr>
          <w:p>
            <w:pPr>
              <w:pStyle w:val="TableContents"/>
              <w:spacing w:before="0" w:after="0"/>
              <w:jc w:val="left"/>
              <w:rPr>
                <w:b/>
                <w:spacing w:val="0"/>
              </w:rPr>
            </w:pPr>
            <w:r>
              <w:rPr>
                <w:b/>
                <w:spacing w:val="0"/>
              </w:rPr>
              <w:t>b)</w:t>
            </w:r>
          </w:p>
        </w:tc>
        <w:tc>
          <w:tcPr>
            <w:tcW w:w="5825" w:type="dxa"/>
            <w:tcBorders/>
            <w:shd w:fill="auto" w:val="clear"/>
            <w:vAlign w:val="center"/>
          </w:tcPr>
          <w:p>
            <w:pPr>
              <w:pStyle w:val="TableContents"/>
              <w:spacing w:before="0" w:after="0"/>
              <w:jc w:val="both"/>
              <w:rPr>
                <w:rFonts w:ascii="Times New Roman" w:hAnsi="Times New Roman"/>
                <w:b/>
                <w:spacing w:val="0"/>
                <w:sz w:val="20"/>
              </w:rPr>
            </w:pPr>
            <w:r>
              <w:rPr>
                <w:rFonts w:ascii="Times New Roman" w:hAnsi="Times New Roman"/>
                <w:b/>
                <w:spacing w:val="0"/>
                <w:sz w:val="20"/>
              </w:rPr>
              <w:t xml:space="preserve">Newly issued financial reporting rules that have not yet been applied </w:t>
            </w:r>
          </w:p>
        </w:tc>
      </w:tr>
    </w:tbl>
    <w:p>
      <w:pPr>
        <w:pStyle w:val="TextBody"/>
        <w:spacing w:before="12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The IASB has issued standards, interpretations, and amendments to existing standards whose application is not yet required, or which must be applied only in subsequent reporting periods, respectively, and which have not been applied early by the Company.</w:t>
      </w:r>
    </w:p>
    <w:p>
      <w:pPr>
        <w:pStyle w:val="TextBody"/>
        <w:spacing w:before="0" w:after="0"/>
        <w:ind w:left="0" w:right="0" w:hanging="0"/>
        <w:jc w:val="left"/>
        <w:rPr>
          <w:spacing w:val="0"/>
          <w:highlight w:val="white"/>
        </w:rPr>
      </w:pPr>
      <w:r>
        <w:rPr>
          <w:spacing w:val="0"/>
          <w:highlight w:val="white"/>
        </w:rPr>
        <w:t> </w:t>
      </w:r>
    </w:p>
    <w:tbl>
      <w:tblPr>
        <w:tblW w:w="10205" w:type="dxa"/>
        <w:jc w:val="left"/>
        <w:tblInd w:w="0" w:type="dxa"/>
        <w:tblCellMar>
          <w:top w:w="0" w:type="dxa"/>
          <w:left w:w="0" w:type="dxa"/>
          <w:bottom w:w="0" w:type="dxa"/>
          <w:right w:w="0" w:type="dxa"/>
        </w:tblCellMar>
      </w:tblPr>
      <w:tblGrid>
        <w:gridCol w:w="8190"/>
        <w:gridCol w:w="120"/>
        <w:gridCol w:w="240"/>
        <w:gridCol w:w="1580"/>
        <w:gridCol w:w="75"/>
      </w:tblGrid>
      <w:tr>
        <w:trPr/>
        <w:tc>
          <w:tcPr>
            <w:tcW w:w="81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5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81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20" w:type="dxa"/>
            <w:gridSpan w:val="2"/>
            <w:tcBorders/>
            <w:shd w:fill="auto" w:val="clear"/>
            <w:vAlign w:val="center"/>
          </w:tcPr>
          <w:p>
            <w:pPr>
              <w:pStyle w:val="TableContents"/>
              <w:spacing w:before="0" w:after="283"/>
              <w:jc w:val="center"/>
              <w:rPr/>
            </w:pPr>
            <w:r>
              <w:rPr/>
              <w:t>Date of application</w:t>
            </w:r>
          </w:p>
        </w:tc>
        <w:tc>
          <w:tcPr>
            <w:tcW w:w="75" w:type="dxa"/>
            <w:tcBorders/>
            <w:shd w:fill="auto" w:val="clear"/>
            <w:vAlign w:val="center"/>
          </w:tcPr>
          <w:p>
            <w:pPr>
              <w:pStyle w:val="TableContents"/>
              <w:spacing w:before="0" w:after="283"/>
              <w:rPr/>
            </w:pPr>
            <w:r>
              <w:rPr/>
              <w:t> </w:t>
            </w:r>
          </w:p>
        </w:tc>
      </w:tr>
      <w:tr>
        <w:trPr/>
        <w:tc>
          <w:tcPr>
            <w:tcW w:w="81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IFRS 17 Insurance Contracts</w:t>
            </w:r>
          </w:p>
        </w:tc>
        <w:tc>
          <w:tcPr>
            <w:tcW w:w="12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pPr>
            <w:r>
              <w:rPr/>
              <w:t> </w:t>
            </w:r>
          </w:p>
        </w:tc>
        <w:tc>
          <w:tcPr>
            <w:tcW w:w="1580" w:type="dxa"/>
            <w:tcBorders/>
            <w:shd w:fill="CCEEFF" w:val="clear"/>
            <w:vAlign w:val="center"/>
          </w:tcPr>
          <w:p>
            <w:pPr>
              <w:pStyle w:val="TableContents"/>
              <w:spacing w:before="0" w:after="283"/>
              <w:jc w:val="right"/>
              <w:rPr/>
            </w:pPr>
            <w:r>
              <w:rPr/>
              <w:t>Jan. 1, 2023</w:t>
            </w:r>
          </w:p>
        </w:tc>
        <w:tc>
          <w:tcPr>
            <w:tcW w:w="75" w:type="dxa"/>
            <w:tcBorders/>
            <w:shd w:fill="CCEEFF" w:val="clear"/>
            <w:vAlign w:val="center"/>
          </w:tcPr>
          <w:p>
            <w:pPr>
              <w:pStyle w:val="TableContents"/>
              <w:spacing w:before="0" w:after="283"/>
              <w:rPr/>
            </w:pPr>
            <w:r>
              <w:rPr/>
              <w:t> </w:t>
            </w:r>
          </w:p>
        </w:tc>
      </w:tr>
      <w:tr>
        <w:trPr/>
        <w:tc>
          <w:tcPr>
            <w:tcW w:w="81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Classification of Liabilities as Current or </w:t>
            </w:r>
          </w:p>
          <w:p>
            <w:pPr>
              <w:pStyle w:val="TableContents"/>
              <w:spacing w:before="0" w:after="0"/>
              <w:rPr>
                <w:rFonts w:ascii="Times New Roman" w:hAnsi="Times New Roman"/>
                <w:spacing w:val="0"/>
                <w:sz w:val="20"/>
              </w:rPr>
            </w:pPr>
            <w:r>
              <w:rPr>
                <w:rFonts w:ascii="Times New Roman" w:hAnsi="Times New Roman"/>
                <w:spacing w:val="0"/>
                <w:sz w:val="20"/>
              </w:rPr>
              <w:t>Non-current</w:t>
            </w:r>
          </w:p>
          <w:p>
            <w:pPr>
              <w:pStyle w:val="TableContents"/>
              <w:spacing w:before="0" w:after="0"/>
              <w:rPr/>
            </w:pPr>
            <w:r>
              <w:rPr/>
              <w:t xml:space="preserve">– </w:t>
            </w:r>
            <w:r>
              <w:rPr>
                <w:rFonts w:ascii="Times New Roman" w:hAnsi="Times New Roman"/>
                <w:sz w:val="20"/>
              </w:rPr>
              <w:t>Amendments to IAS 1</w:t>
            </w:r>
          </w:p>
        </w:tc>
        <w:tc>
          <w:tcPr>
            <w:tcW w:w="12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580" w:type="dxa"/>
            <w:tcBorders/>
            <w:shd w:fill="auto" w:val="clear"/>
            <w:vAlign w:val="center"/>
          </w:tcPr>
          <w:p>
            <w:pPr>
              <w:pStyle w:val="TableContents"/>
              <w:spacing w:before="0" w:after="283"/>
              <w:jc w:val="right"/>
              <w:rPr/>
            </w:pPr>
            <w:r>
              <w:rPr/>
              <w:t>Jan. 1, 2024</w:t>
            </w:r>
          </w:p>
        </w:tc>
        <w:tc>
          <w:tcPr>
            <w:tcW w:w="75" w:type="dxa"/>
            <w:tcBorders/>
            <w:shd w:fill="auto" w:val="clear"/>
            <w:vAlign w:val="center"/>
          </w:tcPr>
          <w:p>
            <w:pPr>
              <w:pStyle w:val="TableContents"/>
              <w:spacing w:before="0" w:after="283"/>
              <w:rPr/>
            </w:pPr>
            <w:r>
              <w:rPr/>
              <w:t> </w:t>
            </w:r>
          </w:p>
        </w:tc>
      </w:tr>
      <w:tr>
        <w:trPr/>
        <w:tc>
          <w:tcPr>
            <w:tcW w:w="81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Disclosure of Accounting Policies – Amendments to IAS 1 and IFRS Practice Statement 2</w:t>
            </w:r>
          </w:p>
        </w:tc>
        <w:tc>
          <w:tcPr>
            <w:tcW w:w="12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pPr>
            <w:r>
              <w:rPr/>
              <w:t> </w:t>
            </w:r>
          </w:p>
        </w:tc>
        <w:tc>
          <w:tcPr>
            <w:tcW w:w="1580" w:type="dxa"/>
            <w:tcBorders/>
            <w:shd w:fill="CCEEFF" w:val="clear"/>
            <w:vAlign w:val="center"/>
          </w:tcPr>
          <w:p>
            <w:pPr>
              <w:pStyle w:val="TableContents"/>
              <w:spacing w:before="0" w:after="283"/>
              <w:jc w:val="right"/>
              <w:rPr/>
            </w:pPr>
            <w:r>
              <w:rPr/>
              <w:t>Jan. 1, 2023</w:t>
            </w:r>
          </w:p>
        </w:tc>
        <w:tc>
          <w:tcPr>
            <w:tcW w:w="75" w:type="dxa"/>
            <w:tcBorders/>
            <w:shd w:fill="CCEEFF" w:val="clear"/>
            <w:vAlign w:val="center"/>
          </w:tcPr>
          <w:p>
            <w:pPr>
              <w:pStyle w:val="TableContents"/>
              <w:spacing w:before="0" w:after="283"/>
              <w:rPr/>
            </w:pPr>
            <w:r>
              <w:rPr/>
              <w:t> </w:t>
            </w:r>
          </w:p>
        </w:tc>
      </w:tr>
      <w:tr>
        <w:trPr/>
        <w:tc>
          <w:tcPr>
            <w:tcW w:w="81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Definition of Accounting Estimates – Amendments to IAS 8</w:t>
            </w:r>
          </w:p>
        </w:tc>
        <w:tc>
          <w:tcPr>
            <w:tcW w:w="12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580" w:type="dxa"/>
            <w:tcBorders/>
            <w:shd w:fill="auto" w:val="clear"/>
            <w:vAlign w:val="center"/>
          </w:tcPr>
          <w:p>
            <w:pPr>
              <w:pStyle w:val="TableContents"/>
              <w:spacing w:before="0" w:after="283"/>
              <w:jc w:val="right"/>
              <w:rPr/>
            </w:pPr>
            <w:r>
              <w:rPr/>
              <w:t>Jan. 1, 2023</w:t>
            </w:r>
          </w:p>
        </w:tc>
        <w:tc>
          <w:tcPr>
            <w:tcW w:w="75" w:type="dxa"/>
            <w:tcBorders/>
            <w:shd w:fill="auto" w:val="clear"/>
            <w:vAlign w:val="center"/>
          </w:tcPr>
          <w:p>
            <w:pPr>
              <w:pStyle w:val="TableContents"/>
              <w:spacing w:before="0" w:after="283"/>
              <w:rPr/>
            </w:pPr>
            <w:r>
              <w:rPr/>
              <w:t> </w:t>
            </w:r>
          </w:p>
        </w:tc>
      </w:tr>
      <w:tr>
        <w:trPr/>
        <w:tc>
          <w:tcPr>
            <w:tcW w:w="81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Initial Application of IFRS 17 and IFRS 9 – Comparative Information (Amendment to IFRS 17)</w:t>
            </w:r>
          </w:p>
        </w:tc>
        <w:tc>
          <w:tcPr>
            <w:tcW w:w="12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pPr>
            <w:r>
              <w:rPr/>
              <w:t> </w:t>
            </w:r>
          </w:p>
        </w:tc>
        <w:tc>
          <w:tcPr>
            <w:tcW w:w="1580" w:type="dxa"/>
            <w:tcBorders/>
            <w:shd w:fill="CCEEFF" w:val="clear"/>
            <w:vAlign w:val="center"/>
          </w:tcPr>
          <w:p>
            <w:pPr>
              <w:pStyle w:val="TableContents"/>
              <w:spacing w:before="0" w:after="283"/>
              <w:jc w:val="right"/>
              <w:rPr/>
            </w:pPr>
            <w:r>
              <w:rPr/>
              <w:t>Jan. 1, 2023</w:t>
            </w:r>
          </w:p>
        </w:tc>
        <w:tc>
          <w:tcPr>
            <w:tcW w:w="75" w:type="dxa"/>
            <w:tcBorders/>
            <w:shd w:fill="CCEEFF" w:val="clear"/>
            <w:vAlign w:val="center"/>
          </w:tcPr>
          <w:p>
            <w:pPr>
              <w:pStyle w:val="TableContents"/>
              <w:spacing w:before="0" w:after="283"/>
              <w:rPr/>
            </w:pPr>
            <w:r>
              <w:rPr/>
              <w:t> </w:t>
            </w:r>
          </w:p>
        </w:tc>
      </w:tr>
      <w:tr>
        <w:trPr/>
        <w:tc>
          <w:tcPr>
            <w:tcW w:w="81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Deferred Tax related to Assets and Liabilities arising from a Single Transaction – Amendments to IAS 12</w:t>
            </w:r>
          </w:p>
        </w:tc>
        <w:tc>
          <w:tcPr>
            <w:tcW w:w="12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580" w:type="dxa"/>
            <w:tcBorders/>
            <w:shd w:fill="auto" w:val="clear"/>
            <w:vAlign w:val="center"/>
          </w:tcPr>
          <w:p>
            <w:pPr>
              <w:pStyle w:val="TableContents"/>
              <w:spacing w:before="0" w:after="283"/>
              <w:jc w:val="right"/>
              <w:rPr/>
            </w:pPr>
            <w:r>
              <w:rPr/>
              <w:t>Jan. 1, 2023</w:t>
            </w:r>
          </w:p>
        </w:tc>
        <w:tc>
          <w:tcPr>
            <w:tcW w:w="75" w:type="dxa"/>
            <w:tcBorders/>
            <w:shd w:fill="auto" w:val="clear"/>
            <w:vAlign w:val="center"/>
          </w:tcPr>
          <w:p>
            <w:pPr>
              <w:pStyle w:val="TableContents"/>
              <w:spacing w:before="0" w:after="283"/>
              <w:rPr/>
            </w:pPr>
            <w:r>
              <w:rPr/>
              <w:t>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The Company is currently analyzing the effects of the new or revised financial reporting standards listed above but does not expect any material effects resulting from application of the revised standards to the Company.</w:t>
      </w:r>
    </w:p>
    <w:p>
      <w:pPr>
        <w:pStyle w:val="TextBody"/>
        <w:spacing w:before="0" w:after="0"/>
        <w:ind w:left="0" w:right="0" w:hanging="0"/>
        <w:jc w:val="left"/>
        <w:rPr>
          <w:sz w:val="36"/>
        </w:rPr>
      </w:pPr>
      <w:r>
        <w:rPr>
          <w:sz w:val="36"/>
        </w:rPr>
      </w:r>
    </w:p>
    <w:tbl>
      <w:tblPr>
        <w:tblW w:w="4270" w:type="dxa"/>
        <w:jc w:val="left"/>
        <w:tblInd w:w="0" w:type="dxa"/>
        <w:tblCellMar>
          <w:top w:w="0" w:type="dxa"/>
          <w:left w:w="0" w:type="dxa"/>
          <w:bottom w:w="0" w:type="dxa"/>
          <w:right w:w="0" w:type="dxa"/>
        </w:tblCellMar>
      </w:tblPr>
      <w:tblGrid>
        <w:gridCol w:w="215"/>
        <w:gridCol w:w="4055"/>
      </w:tblGrid>
      <w:tr>
        <w:trPr/>
        <w:tc>
          <w:tcPr>
            <w:tcW w:w="215" w:type="dxa"/>
            <w:tcBorders/>
            <w:shd w:fill="auto" w:val="clear"/>
            <w:vAlign w:val="center"/>
          </w:tcPr>
          <w:p>
            <w:pPr>
              <w:pStyle w:val="TableContents"/>
              <w:spacing w:before="0" w:after="0"/>
              <w:jc w:val="both"/>
              <w:rPr>
                <w:b/>
                <w:spacing w:val="0"/>
              </w:rPr>
            </w:pPr>
            <w:r>
              <w:rPr>
                <w:b/>
                <w:spacing w:val="0"/>
              </w:rPr>
              <w:t>4.</w:t>
            </w:r>
          </w:p>
        </w:tc>
        <w:tc>
          <w:tcPr>
            <w:tcW w:w="4055"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Material judgments, estimates and assumptions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preparation of the consolidated financial statements requires the Management Board to make judgments, estimates and assumptions that affect the application of accounting policies and the amounts reported for assets, liabilities, income, and expenses. The most significant of these are described below.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F-1</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6</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both"/>
        <w:rPr>
          <w:rFonts w:ascii="Times New Roman" w:hAnsi="Times New Roman"/>
          <w:sz w:val="20"/>
          <w:highlight w:val="white"/>
        </w:rPr>
      </w:pPr>
      <w:r>
        <w:rPr>
          <w:rFonts w:ascii="Times New Roman" w:hAnsi="Times New Roman"/>
          <w:sz w:val="20"/>
          <w:highlight w:val="white"/>
        </w:rPr>
        <w:t xml:space="preserve">Actual results may differ from these estimates.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Estimates and underlying assumptions are continuously reviewed. Revisions of estimates are accounted for on a prospective basis. </w:t>
      </w:r>
    </w:p>
    <w:p>
      <w:pPr>
        <w:pStyle w:val="TextBody"/>
        <w:spacing w:before="0" w:after="0"/>
        <w:jc w:val="both"/>
        <w:rPr>
          <w:highlight w:val="white"/>
        </w:rPr>
      </w:pPr>
      <w:r>
        <w:rPr>
          <w:highlight w:val="white"/>
        </w:rPr>
        <w:t> </w:t>
      </w:r>
    </w:p>
    <w:tbl>
      <w:tblPr>
        <w:tblW w:w="2545" w:type="dxa"/>
        <w:jc w:val="left"/>
        <w:tblInd w:w="0" w:type="dxa"/>
        <w:tblCellMar>
          <w:top w:w="0" w:type="dxa"/>
          <w:left w:w="0" w:type="dxa"/>
          <w:bottom w:w="0" w:type="dxa"/>
          <w:right w:w="0" w:type="dxa"/>
        </w:tblCellMar>
      </w:tblPr>
      <w:tblGrid>
        <w:gridCol w:w="395"/>
        <w:gridCol w:w="2150"/>
      </w:tblGrid>
      <w:tr>
        <w:trPr/>
        <w:tc>
          <w:tcPr>
            <w:tcW w:w="395" w:type="dxa"/>
            <w:tcBorders/>
            <w:shd w:fill="auto" w:val="clear"/>
            <w:vAlign w:val="center"/>
          </w:tcPr>
          <w:p>
            <w:pPr>
              <w:pStyle w:val="TableContents"/>
              <w:spacing w:before="0" w:after="0"/>
              <w:jc w:val="both"/>
              <w:rPr>
                <w:b/>
                <w:spacing w:val="0"/>
              </w:rPr>
            </w:pPr>
            <w:r>
              <w:rPr>
                <w:b/>
                <w:spacing w:val="0"/>
              </w:rPr>
              <w:t>4.1.</w:t>
            </w:r>
          </w:p>
        </w:tc>
        <w:tc>
          <w:tcPr>
            <w:tcW w:w="2150"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Management Judgments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Information on management judgments made in the application of accounting policies that most significantly affect the amounts recognized in the financial statements are set out in the following disclosures: </w:t>
      </w:r>
    </w:p>
    <w:p>
      <w:pPr>
        <w:pStyle w:val="TextBody"/>
        <w:spacing w:before="0" w:after="0"/>
        <w:jc w:val="both"/>
        <w:rPr>
          <w:highlight w:val="white"/>
        </w:rPr>
      </w:pPr>
      <w:r>
        <w:rPr>
          <w:highlight w:val="white"/>
        </w:rPr>
        <w:t> </w:t>
      </w:r>
    </w:p>
    <w:tbl>
      <w:tblPr>
        <w:tblW w:w="940" w:type="dxa"/>
        <w:jc w:val="left"/>
        <w:tblInd w:w="0" w:type="dxa"/>
        <w:tblCellMar>
          <w:top w:w="0" w:type="dxa"/>
          <w:left w:w="0" w:type="dxa"/>
          <w:bottom w:w="0" w:type="dxa"/>
          <w:right w:w="0" w:type="dxa"/>
        </w:tblCellMar>
      </w:tblPr>
      <w:tblGrid>
        <w:gridCol w:w="75"/>
        <w:gridCol w:w="215"/>
        <w:gridCol w:w="650"/>
      </w:tblGrid>
      <w:tr>
        <w:trPr/>
        <w:tc>
          <w:tcPr>
            <w:tcW w:w="75" w:type="dxa"/>
            <w:tcBorders/>
            <w:shd w:fill="auto" w:val="clear"/>
            <w:vAlign w:val="center"/>
          </w:tcPr>
          <w:p>
            <w:pPr>
              <w:pStyle w:val="TableContents"/>
              <w:spacing w:before="0" w:after="283"/>
              <w:jc w:val="both"/>
              <w:rPr/>
            </w:pPr>
            <w:r>
              <w:rPr/>
              <w:t> </w:t>
            </w:r>
          </w:p>
        </w:tc>
        <w:tc>
          <w:tcPr>
            <w:tcW w:w="215" w:type="dxa"/>
            <w:tcBorders/>
            <w:shd w:fill="auto" w:val="clear"/>
            <w:vAlign w:val="center"/>
          </w:tcPr>
          <w:p>
            <w:pPr>
              <w:pStyle w:val="TableContents"/>
              <w:spacing w:before="0" w:after="0"/>
              <w:jc w:val="both"/>
              <w:rPr>
                <w:b/>
                <w:spacing w:val="0"/>
              </w:rPr>
            </w:pPr>
            <w:r>
              <w:rPr>
                <w:b/>
                <w:spacing w:val="0"/>
              </w:rPr>
              <w:t>a)</w:t>
            </w:r>
          </w:p>
        </w:tc>
        <w:tc>
          <w:tcPr>
            <w:tcW w:w="650"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Leases </w:t>
            </w:r>
          </w:p>
        </w:tc>
      </w:tr>
    </w:tbl>
    <w:p>
      <w:pPr>
        <w:pStyle w:val="TextBody"/>
        <w:spacing w:before="12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 xml:space="preserve">The Company determines the lease term based on the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non-cancelable</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 xml:space="preserve">period, together with both periods covered by an option to extend the lease if the lessee is reasonably certain to exercise that option. The Company has entered into several leases that include extension options and makes judgments when assessing whether it is reasonably certain that the option to extend or terminate the lease will or will not be exercised. All relevant factors representing an economic incentive to exercise the extension option are taken into consideration. No extension options have been included in the lease term of significant facilities being leased given the current management’s expectation of the Company’s future use. Had lease extension options been included, the amount of right of use assets and lease liabilities recorded on the statement of financial position would have been significantly higher. </w:t>
      </w:r>
    </w:p>
    <w:p>
      <w:pPr>
        <w:pStyle w:val="TextBody"/>
        <w:spacing w:before="24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 xml:space="preserve">Please refer to Note 19. </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Right-of-use</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 xml:space="preserve">Assets for details on the potential future lease payments for periods after the exercise date of the extension options that are not taken into consideration in the lease term. </w:t>
      </w:r>
    </w:p>
    <w:p>
      <w:pPr>
        <w:pStyle w:val="TextBody"/>
        <w:spacing w:before="0" w:after="0"/>
        <w:ind w:left="0" w:right="0" w:hanging="0"/>
        <w:jc w:val="both"/>
        <w:rPr>
          <w:spacing w:val="0"/>
          <w:highlight w:val="white"/>
        </w:rPr>
      </w:pPr>
      <w:r>
        <w:rPr>
          <w:spacing w:val="0"/>
          <w:highlight w:val="white"/>
        </w:rPr>
        <w:t> </w:t>
      </w:r>
    </w:p>
    <w:tbl>
      <w:tblPr>
        <w:tblW w:w="4345" w:type="dxa"/>
        <w:jc w:val="left"/>
        <w:tblInd w:w="0" w:type="dxa"/>
        <w:tblCellMar>
          <w:top w:w="0" w:type="dxa"/>
          <w:left w:w="0" w:type="dxa"/>
          <w:bottom w:w="0" w:type="dxa"/>
          <w:right w:w="0" w:type="dxa"/>
        </w:tblCellMar>
      </w:tblPr>
      <w:tblGrid>
        <w:gridCol w:w="75"/>
        <w:gridCol w:w="230"/>
        <w:gridCol w:w="4040"/>
      </w:tblGrid>
      <w:tr>
        <w:trPr/>
        <w:tc>
          <w:tcPr>
            <w:tcW w:w="75" w:type="dxa"/>
            <w:tcBorders/>
            <w:shd w:fill="auto" w:val="clear"/>
            <w:vAlign w:val="center"/>
          </w:tcPr>
          <w:p>
            <w:pPr>
              <w:pStyle w:val="TableContents"/>
              <w:spacing w:before="0" w:after="0"/>
              <w:jc w:val="both"/>
              <w:rPr>
                <w:spacing w:val="0"/>
              </w:rPr>
            </w:pPr>
            <w:r>
              <w:rPr>
                <w:spacing w:val="0"/>
              </w:rPr>
              <w:t> </w:t>
            </w:r>
          </w:p>
        </w:tc>
        <w:tc>
          <w:tcPr>
            <w:tcW w:w="230" w:type="dxa"/>
            <w:tcBorders/>
            <w:shd w:fill="auto" w:val="clear"/>
            <w:vAlign w:val="center"/>
          </w:tcPr>
          <w:p>
            <w:pPr>
              <w:pStyle w:val="TableContents"/>
              <w:spacing w:before="0" w:after="0"/>
              <w:jc w:val="both"/>
              <w:rPr>
                <w:b/>
                <w:spacing w:val="0"/>
              </w:rPr>
            </w:pPr>
            <w:r>
              <w:rPr>
                <w:b/>
                <w:spacing w:val="0"/>
              </w:rPr>
              <w:t>b)</w:t>
            </w:r>
          </w:p>
        </w:tc>
        <w:tc>
          <w:tcPr>
            <w:tcW w:w="4040" w:type="dxa"/>
            <w:tcBorders/>
            <w:shd w:fill="auto" w:val="clear"/>
            <w:vAlign w:val="center"/>
          </w:tcPr>
          <w:p>
            <w:pPr>
              <w:pStyle w:val="TableContents"/>
              <w:spacing w:before="0" w:after="0"/>
              <w:jc w:val="both"/>
              <w:rPr>
                <w:rFonts w:ascii="Times New Roman" w:hAnsi="Times New Roman"/>
                <w:b/>
                <w:spacing w:val="0"/>
                <w:sz w:val="20"/>
              </w:rPr>
            </w:pPr>
            <w:r>
              <w:rPr>
                <w:rFonts w:ascii="Times New Roman" w:hAnsi="Times New Roman"/>
                <w:b/>
                <w:spacing w:val="0"/>
                <w:sz w:val="20"/>
              </w:rPr>
              <w:t xml:space="preserve">Litigation risks and governmental proceedings </w:t>
            </w:r>
          </w:p>
        </w:tc>
      </w:tr>
    </w:tbl>
    <w:p>
      <w:pPr>
        <w:pStyle w:val="TextBody"/>
        <w:spacing w:before="12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 xml:space="preserve">Legal proceedings and government investigations often involve complex legal issues and are subject to substantial uncertainties. Accordingly, management exercises material judgment in determining the litigation risks, based on the assessment from internal and external lawyers. </w:t>
      </w:r>
    </w:p>
    <w:p>
      <w:pPr>
        <w:pStyle w:val="TextBody"/>
        <w:spacing w:before="0" w:after="0"/>
        <w:ind w:left="0" w:right="0" w:hanging="0"/>
        <w:jc w:val="both"/>
        <w:rPr>
          <w:spacing w:val="0"/>
          <w:highlight w:val="white"/>
        </w:rPr>
      </w:pPr>
      <w:r>
        <w:rPr>
          <w:spacing w:val="0"/>
          <w:highlight w:val="white"/>
        </w:rPr>
        <w:t> </w:t>
      </w:r>
    </w:p>
    <w:tbl>
      <w:tblPr>
        <w:tblW w:w="2095" w:type="dxa"/>
        <w:jc w:val="left"/>
        <w:tblInd w:w="0" w:type="dxa"/>
        <w:tblCellMar>
          <w:top w:w="0" w:type="dxa"/>
          <w:left w:w="0" w:type="dxa"/>
          <w:bottom w:w="0" w:type="dxa"/>
          <w:right w:w="0" w:type="dxa"/>
        </w:tblCellMar>
      </w:tblPr>
      <w:tblGrid>
        <w:gridCol w:w="75"/>
        <w:gridCol w:w="200"/>
        <w:gridCol w:w="1820"/>
      </w:tblGrid>
      <w:tr>
        <w:trPr/>
        <w:tc>
          <w:tcPr>
            <w:tcW w:w="75" w:type="dxa"/>
            <w:tcBorders/>
            <w:shd w:fill="auto" w:val="clear"/>
            <w:vAlign w:val="center"/>
          </w:tcPr>
          <w:p>
            <w:pPr>
              <w:pStyle w:val="TableContents"/>
              <w:spacing w:before="0" w:after="0"/>
              <w:jc w:val="both"/>
              <w:rPr>
                <w:spacing w:val="0"/>
              </w:rPr>
            </w:pPr>
            <w:r>
              <w:rPr>
                <w:spacing w:val="0"/>
              </w:rPr>
              <w:t> </w:t>
            </w:r>
          </w:p>
        </w:tc>
        <w:tc>
          <w:tcPr>
            <w:tcW w:w="200" w:type="dxa"/>
            <w:tcBorders/>
            <w:shd w:fill="auto" w:val="clear"/>
            <w:vAlign w:val="center"/>
          </w:tcPr>
          <w:p>
            <w:pPr>
              <w:pStyle w:val="TableContents"/>
              <w:spacing w:before="0" w:after="0"/>
              <w:jc w:val="both"/>
              <w:rPr>
                <w:b/>
                <w:spacing w:val="0"/>
              </w:rPr>
            </w:pPr>
            <w:r>
              <w:rPr>
                <w:b/>
                <w:spacing w:val="0"/>
              </w:rPr>
              <w:t>c)</w:t>
            </w:r>
          </w:p>
        </w:tc>
        <w:tc>
          <w:tcPr>
            <w:tcW w:w="1820" w:type="dxa"/>
            <w:tcBorders/>
            <w:shd w:fill="auto" w:val="clear"/>
            <w:vAlign w:val="center"/>
          </w:tcPr>
          <w:p>
            <w:pPr>
              <w:pStyle w:val="TableContents"/>
              <w:spacing w:before="0" w:after="0"/>
              <w:jc w:val="both"/>
              <w:rPr>
                <w:rFonts w:ascii="Times New Roman" w:hAnsi="Times New Roman"/>
                <w:b/>
                <w:spacing w:val="0"/>
                <w:sz w:val="20"/>
              </w:rPr>
            </w:pPr>
            <w:r>
              <w:rPr>
                <w:rFonts w:ascii="Times New Roman" w:hAnsi="Times New Roman"/>
                <w:b/>
                <w:spacing w:val="0"/>
                <w:sz w:val="20"/>
              </w:rPr>
              <w:t xml:space="preserve">Revenue recognition </w:t>
            </w:r>
          </w:p>
        </w:tc>
      </w:tr>
    </w:tbl>
    <w:p>
      <w:pPr>
        <w:pStyle w:val="TextBody"/>
        <w:spacing w:before="12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 xml:space="preserve">The Group has recognized revenue according to IFRS 15.15 b) for prepayments, which related to contracts terminated for default. These payments are assessed as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non-refundable.</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However, there is a risk that the payments might need to be refunded.</w:t>
      </w:r>
    </w:p>
    <w:p>
      <w:pPr>
        <w:pStyle w:val="TextBody"/>
        <w:spacing w:before="0" w:after="0"/>
        <w:ind w:left="0" w:right="0" w:hanging="0"/>
        <w:jc w:val="left"/>
        <w:rPr>
          <w:sz w:val="36"/>
        </w:rPr>
      </w:pPr>
      <w:r>
        <w:rPr>
          <w:sz w:val="36"/>
        </w:rPr>
      </w:r>
    </w:p>
    <w:tbl>
      <w:tblPr>
        <w:tblW w:w="2770" w:type="dxa"/>
        <w:jc w:val="left"/>
        <w:tblInd w:w="0" w:type="dxa"/>
        <w:tblCellMar>
          <w:top w:w="0" w:type="dxa"/>
          <w:left w:w="0" w:type="dxa"/>
          <w:bottom w:w="0" w:type="dxa"/>
          <w:right w:w="0" w:type="dxa"/>
        </w:tblCellMar>
      </w:tblPr>
      <w:tblGrid>
        <w:gridCol w:w="395"/>
        <w:gridCol w:w="2375"/>
      </w:tblGrid>
      <w:tr>
        <w:trPr/>
        <w:tc>
          <w:tcPr>
            <w:tcW w:w="395" w:type="dxa"/>
            <w:tcBorders/>
            <w:shd w:fill="auto" w:val="clear"/>
            <w:vAlign w:val="center"/>
          </w:tcPr>
          <w:p>
            <w:pPr>
              <w:pStyle w:val="TableContents"/>
              <w:spacing w:before="0" w:after="0"/>
              <w:jc w:val="both"/>
              <w:rPr>
                <w:b/>
                <w:spacing w:val="0"/>
              </w:rPr>
            </w:pPr>
            <w:r>
              <w:rPr>
                <w:b/>
                <w:spacing w:val="0"/>
              </w:rPr>
              <w:t>4.2.</w:t>
            </w:r>
          </w:p>
        </w:tc>
        <w:tc>
          <w:tcPr>
            <w:tcW w:w="2375"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Estimates and Assumptions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Information about assumptions and estimation uncertainty as of December 31, 2022, that have a significant risk of resulting in a material adjustment to the carrying amounts of the reported assets and liabilities during the next fiscal year are discussed below: </w:t>
      </w:r>
    </w:p>
    <w:p>
      <w:pPr>
        <w:pStyle w:val="TextBody"/>
        <w:spacing w:before="0" w:after="0"/>
        <w:jc w:val="both"/>
        <w:rPr>
          <w:highlight w:val="white"/>
        </w:rPr>
      </w:pPr>
      <w:r>
        <w:rPr>
          <w:highlight w:val="white"/>
        </w:rPr>
        <w:t> </w:t>
      </w:r>
    </w:p>
    <w:tbl>
      <w:tblPr>
        <w:tblW w:w="3205" w:type="dxa"/>
        <w:jc w:val="left"/>
        <w:tblInd w:w="0" w:type="dxa"/>
        <w:tblCellMar>
          <w:top w:w="0" w:type="dxa"/>
          <w:left w:w="0" w:type="dxa"/>
          <w:bottom w:w="0" w:type="dxa"/>
          <w:right w:w="0" w:type="dxa"/>
        </w:tblCellMar>
      </w:tblPr>
      <w:tblGrid>
        <w:gridCol w:w="75"/>
        <w:gridCol w:w="215"/>
        <w:gridCol w:w="2915"/>
      </w:tblGrid>
      <w:tr>
        <w:trPr/>
        <w:tc>
          <w:tcPr>
            <w:tcW w:w="75" w:type="dxa"/>
            <w:tcBorders/>
            <w:shd w:fill="auto" w:val="clear"/>
            <w:vAlign w:val="center"/>
          </w:tcPr>
          <w:p>
            <w:pPr>
              <w:pStyle w:val="TableContents"/>
              <w:spacing w:before="0" w:after="283"/>
              <w:jc w:val="both"/>
              <w:rPr/>
            </w:pPr>
            <w:r>
              <w:rPr/>
              <w:t> </w:t>
            </w:r>
          </w:p>
        </w:tc>
        <w:tc>
          <w:tcPr>
            <w:tcW w:w="215" w:type="dxa"/>
            <w:tcBorders/>
            <w:shd w:fill="auto" w:val="clear"/>
            <w:vAlign w:val="center"/>
          </w:tcPr>
          <w:p>
            <w:pPr>
              <w:pStyle w:val="TableContents"/>
              <w:spacing w:before="0" w:after="0"/>
              <w:jc w:val="both"/>
              <w:rPr>
                <w:b/>
                <w:spacing w:val="0"/>
              </w:rPr>
            </w:pPr>
            <w:r>
              <w:rPr>
                <w:b/>
                <w:spacing w:val="0"/>
              </w:rPr>
              <w:t>a)</w:t>
            </w:r>
          </w:p>
        </w:tc>
        <w:tc>
          <w:tcPr>
            <w:tcW w:w="2915"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Recognition of deferred tax assets </w:t>
            </w:r>
          </w:p>
        </w:tc>
      </w:tr>
    </w:tbl>
    <w:p>
      <w:pPr>
        <w:pStyle w:val="TextBody"/>
        <w:spacing w:before="12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 xml:space="preserve">The calculation of deferred taxes is based on the tax rates of the individual countries applicable as of the date when the assets are realized, or the liability is settled (using tax rates enacted or announced as of the reporting date) as well as on the assessment of the future taxable income of the Company companies. </w:t>
      </w:r>
    </w:p>
    <w:p>
      <w:pPr>
        <w:pStyle w:val="TextBody"/>
        <w:spacing w:before="24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Determining the amount of deferred tax assets is subject to estimation uncertainties as regards the availability of future taxable profit against which deductible temporary differences and the tax loss carryforwards may be utilized, which may also result from or be related to future tax planning strategies.</w:t>
      </w:r>
    </w:p>
    <w:p>
      <w:pPr>
        <w:pStyle w:val="TextBody"/>
        <w:spacing w:before="240" w:after="0"/>
        <w:jc w:val="both"/>
        <w:rPr>
          <w:rFonts w:ascii="Times New Roman" w:hAnsi="Times New Roman"/>
          <w:sz w:val="20"/>
        </w:rPr>
      </w:pPr>
      <w:r>
        <w:rPr>
          <w:rFonts w:ascii="Times New Roman" w:hAnsi="Times New Roman"/>
          <w:sz w:val="20"/>
        </w:rPr>
      </w:r>
    </w:p>
    <w:p>
      <w:pPr>
        <w:pStyle w:val="TextBody"/>
        <w:spacing w:before="0" w:after="0"/>
        <w:ind w:left="0" w:right="0" w:hanging="0"/>
        <w:jc w:val="left"/>
        <w:rPr>
          <w:sz w:val="36"/>
        </w:rPr>
      </w:pPr>
      <w:r>
        <w:rPr>
          <w:sz w:val="36"/>
        </w:rPr>
      </w:r>
    </w:p>
    <w:tbl>
      <w:tblPr>
        <w:tblW w:w="3985" w:type="dxa"/>
        <w:jc w:val="left"/>
        <w:tblInd w:w="0" w:type="dxa"/>
        <w:tblCellMar>
          <w:top w:w="0" w:type="dxa"/>
          <w:left w:w="0" w:type="dxa"/>
          <w:bottom w:w="0" w:type="dxa"/>
          <w:right w:w="0" w:type="dxa"/>
        </w:tblCellMar>
      </w:tblPr>
      <w:tblGrid>
        <w:gridCol w:w="75"/>
        <w:gridCol w:w="230"/>
        <w:gridCol w:w="3680"/>
      </w:tblGrid>
      <w:tr>
        <w:trPr/>
        <w:tc>
          <w:tcPr>
            <w:tcW w:w="75" w:type="dxa"/>
            <w:tcBorders/>
            <w:shd w:fill="auto" w:val="clear"/>
            <w:vAlign w:val="center"/>
          </w:tcPr>
          <w:p>
            <w:pPr>
              <w:pStyle w:val="TableContents"/>
              <w:spacing w:before="0" w:after="0"/>
              <w:rPr>
                <w:spacing w:val="0"/>
              </w:rPr>
            </w:pPr>
            <w:r>
              <w:rPr>
                <w:spacing w:val="0"/>
              </w:rPr>
              <w:t> </w:t>
            </w:r>
          </w:p>
        </w:tc>
        <w:tc>
          <w:tcPr>
            <w:tcW w:w="230" w:type="dxa"/>
            <w:tcBorders/>
            <w:shd w:fill="auto" w:val="clear"/>
            <w:vAlign w:val="center"/>
          </w:tcPr>
          <w:p>
            <w:pPr>
              <w:pStyle w:val="TableContents"/>
              <w:spacing w:before="0" w:after="0"/>
              <w:jc w:val="left"/>
              <w:rPr>
                <w:b/>
                <w:spacing w:val="0"/>
              </w:rPr>
            </w:pPr>
            <w:r>
              <w:rPr>
                <w:b/>
                <w:spacing w:val="0"/>
              </w:rPr>
              <w:t>b)</w:t>
            </w:r>
          </w:p>
        </w:tc>
        <w:tc>
          <w:tcPr>
            <w:tcW w:w="3680" w:type="dxa"/>
            <w:tcBorders/>
            <w:shd w:fill="auto" w:val="clear"/>
            <w:vAlign w:val="center"/>
          </w:tcPr>
          <w:p>
            <w:pPr>
              <w:pStyle w:val="TableContents"/>
              <w:spacing w:before="0" w:after="0"/>
              <w:jc w:val="left"/>
              <w:rPr>
                <w:b/>
                <w:spacing w:val="0"/>
                <w:sz w:val="20"/>
              </w:rPr>
            </w:pPr>
            <w:r>
              <w:rPr>
                <w:b/>
                <w:spacing w:val="0"/>
                <w:sz w:val="20"/>
              </w:rPr>
              <w:t>Useful life of capitalized development costs </w:t>
            </w:r>
          </w:p>
        </w:tc>
      </w:tr>
    </w:tbl>
    <w:p>
      <w:pPr>
        <w:pStyle w:val="TextBody"/>
        <w:spacing w:before="120" w:after="0"/>
        <w:ind w:left="0" w:right="0" w:hanging="0"/>
        <w:jc w:val="both"/>
        <w:rPr>
          <w:rFonts w:ascii="Times New Roman" w:hAnsi="Times New Roman"/>
          <w:sz w:val="20"/>
          <w:highlight w:val="white"/>
        </w:rPr>
      </w:pPr>
      <w:r>
        <w:rPr>
          <w:rFonts w:ascii="Times New Roman" w:hAnsi="Times New Roman"/>
          <w:sz w:val="20"/>
          <w:highlight w:val="white"/>
        </w:rPr>
        <w:t>The expected useful life of 15 years for the capitalized Air and Space technologies based on an internal assumption of the Group. The useful life is determined on the basis of the length of the expected marketability of the products, customer requirements regarding the ability to deliver the corresponding products, which is up to 11 years for existing customer contracts, and the relatively high market entry barriers for competitors. These assumptions are assessed annually.</w:t>
      </w:r>
    </w:p>
    <w:p>
      <w:pPr>
        <w:pStyle w:val="TextBody"/>
        <w:spacing w:before="0" w:after="0"/>
        <w:jc w:val="left"/>
        <w:rPr>
          <w:spacing w:val="0"/>
          <w:highlight w:val="white"/>
        </w:rPr>
      </w:pPr>
      <w:r>
        <w:rPr>
          <w:spacing w:val="0"/>
          <w:highlight w:val="white"/>
        </w:rPr>
        <w:t> </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F-1</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7</w:t>
      </w:r>
    </w:p>
    <w:p>
      <w:pPr>
        <w:pStyle w:val="HorizontalLine"/>
        <w:rPr/>
      </w:pPr>
      <w:r>
        <w:rPr/>
      </w:r>
    </w:p>
    <w:p>
      <w:pPr>
        <w:pStyle w:val="TextBody"/>
        <w:spacing w:before="0" w:after="0"/>
        <w:rPr/>
      </w:pPr>
      <w:hyperlink w:anchor="toc">
        <w:r>
          <w:rPr>
            <w:rStyle w:val="InternetLink"/>
            <w:b/>
            <w:sz w:val="20"/>
            <w:highlight w:val="white"/>
          </w:rPr>
          <w:t>Table of Contents</w:t>
        </w:r>
      </w:hyperlink>
    </w:p>
    <w:tbl>
      <w:tblPr>
        <w:tblW w:w="4135" w:type="dxa"/>
        <w:jc w:val="left"/>
        <w:tblInd w:w="0" w:type="dxa"/>
        <w:tblCellMar>
          <w:top w:w="0" w:type="dxa"/>
          <w:left w:w="0" w:type="dxa"/>
          <w:bottom w:w="0" w:type="dxa"/>
          <w:right w:w="0" w:type="dxa"/>
        </w:tblCellMar>
      </w:tblPr>
      <w:tblGrid>
        <w:gridCol w:w="75"/>
        <w:gridCol w:w="200"/>
        <w:gridCol w:w="3860"/>
      </w:tblGrid>
      <w:tr>
        <w:trPr/>
        <w:tc>
          <w:tcPr>
            <w:tcW w:w="75" w:type="dxa"/>
            <w:tcBorders/>
            <w:shd w:fill="auto" w:val="clear"/>
            <w:vAlign w:val="center"/>
          </w:tcPr>
          <w:p>
            <w:pPr>
              <w:pStyle w:val="TableContents"/>
              <w:spacing w:before="0" w:after="0"/>
              <w:jc w:val="both"/>
              <w:rPr>
                <w:spacing w:val="0"/>
              </w:rPr>
            </w:pPr>
            <w:r>
              <w:rPr>
                <w:spacing w:val="0"/>
              </w:rPr>
              <w:t> </w:t>
            </w:r>
          </w:p>
        </w:tc>
        <w:tc>
          <w:tcPr>
            <w:tcW w:w="200" w:type="dxa"/>
            <w:tcBorders/>
            <w:shd w:fill="auto" w:val="clear"/>
            <w:vAlign w:val="center"/>
          </w:tcPr>
          <w:p>
            <w:pPr>
              <w:pStyle w:val="TableContents"/>
              <w:spacing w:before="0" w:after="0"/>
              <w:jc w:val="both"/>
              <w:rPr>
                <w:b/>
                <w:spacing w:val="0"/>
              </w:rPr>
            </w:pPr>
            <w:r>
              <w:rPr>
                <w:b/>
                <w:spacing w:val="0"/>
              </w:rPr>
              <w:t>c)</w:t>
            </w:r>
          </w:p>
        </w:tc>
        <w:tc>
          <w:tcPr>
            <w:tcW w:w="3860" w:type="dxa"/>
            <w:tcBorders/>
            <w:shd w:fill="auto" w:val="clear"/>
            <w:vAlign w:val="center"/>
          </w:tcPr>
          <w:p>
            <w:pPr>
              <w:pStyle w:val="TableContents"/>
              <w:spacing w:before="0" w:after="0"/>
              <w:jc w:val="both"/>
              <w:rPr>
                <w:rFonts w:ascii="Times New Roman" w:hAnsi="Times New Roman"/>
                <w:b/>
                <w:spacing w:val="0"/>
                <w:sz w:val="20"/>
              </w:rPr>
            </w:pPr>
            <w:r>
              <w:rPr>
                <w:rFonts w:ascii="Times New Roman" w:hAnsi="Times New Roman"/>
                <w:b/>
                <w:spacing w:val="0"/>
                <w:sz w:val="20"/>
              </w:rPr>
              <w:t xml:space="preserve">Impairment of capitalized development costs </w:t>
            </w:r>
          </w:p>
        </w:tc>
      </w:tr>
    </w:tbl>
    <w:p>
      <w:pPr>
        <w:pStyle w:val="TextBody"/>
        <w:spacing w:before="12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 xml:space="preserve">Capitalized development costs are assessed at least annually, for indications of impairment. The impairment tests require estimates to be made in order to determine the recoverable amount of a cash-generating unit. Assumptions must be made regarding future cash inflows and outflows both in the planning period as well as for the periods thereafter. In particular, the future revenues, costs and expenditures are based on the long-term corporate planning. Also, market- and company-specific discount rates, expected growth rates and exchange rates are estimated. If the actual amounts deviate from the estimated amount an impairment might be needed in future periods. Based on the impairment tests performed in 2022, the recoverable amounts significantly exceed the net assets of the tested cash-generating units. Refer to Note 17 for further information on the assumptions used. </w:t>
      </w:r>
    </w:p>
    <w:p>
      <w:pPr>
        <w:pStyle w:val="TextBody"/>
        <w:spacing w:before="0" w:after="0"/>
        <w:ind w:left="0" w:right="0" w:hanging="0"/>
        <w:jc w:val="both"/>
        <w:rPr>
          <w:spacing w:val="0"/>
          <w:highlight w:val="white"/>
        </w:rPr>
      </w:pPr>
      <w:r>
        <w:rPr>
          <w:spacing w:val="0"/>
          <w:highlight w:val="white"/>
        </w:rPr>
        <w:t> </w:t>
      </w:r>
    </w:p>
    <w:tbl>
      <w:tblPr>
        <w:tblW w:w="1345" w:type="dxa"/>
        <w:jc w:val="left"/>
        <w:tblInd w:w="0" w:type="dxa"/>
        <w:tblCellMar>
          <w:top w:w="0" w:type="dxa"/>
          <w:left w:w="0" w:type="dxa"/>
          <w:bottom w:w="0" w:type="dxa"/>
          <w:right w:w="0" w:type="dxa"/>
        </w:tblCellMar>
      </w:tblPr>
      <w:tblGrid>
        <w:gridCol w:w="75"/>
        <w:gridCol w:w="230"/>
        <w:gridCol w:w="1040"/>
      </w:tblGrid>
      <w:tr>
        <w:trPr/>
        <w:tc>
          <w:tcPr>
            <w:tcW w:w="75" w:type="dxa"/>
            <w:tcBorders/>
            <w:shd w:fill="auto" w:val="clear"/>
            <w:vAlign w:val="center"/>
          </w:tcPr>
          <w:p>
            <w:pPr>
              <w:pStyle w:val="TableContents"/>
              <w:spacing w:before="0" w:after="0"/>
              <w:jc w:val="both"/>
              <w:rPr>
                <w:spacing w:val="0"/>
              </w:rPr>
            </w:pPr>
            <w:r>
              <w:rPr>
                <w:spacing w:val="0"/>
              </w:rPr>
              <w:t> </w:t>
            </w:r>
          </w:p>
        </w:tc>
        <w:tc>
          <w:tcPr>
            <w:tcW w:w="230" w:type="dxa"/>
            <w:tcBorders/>
            <w:shd w:fill="auto" w:val="clear"/>
            <w:vAlign w:val="center"/>
          </w:tcPr>
          <w:p>
            <w:pPr>
              <w:pStyle w:val="TableContents"/>
              <w:spacing w:before="0" w:after="0"/>
              <w:jc w:val="both"/>
              <w:rPr>
                <w:b/>
                <w:spacing w:val="0"/>
              </w:rPr>
            </w:pPr>
            <w:r>
              <w:rPr>
                <w:b/>
                <w:spacing w:val="0"/>
              </w:rPr>
              <w:t>d)</w:t>
            </w:r>
          </w:p>
        </w:tc>
        <w:tc>
          <w:tcPr>
            <w:tcW w:w="1040" w:type="dxa"/>
            <w:tcBorders/>
            <w:shd w:fill="auto" w:val="clear"/>
            <w:vAlign w:val="center"/>
          </w:tcPr>
          <w:p>
            <w:pPr>
              <w:pStyle w:val="TableContents"/>
              <w:spacing w:before="0" w:after="0"/>
              <w:jc w:val="both"/>
              <w:rPr>
                <w:rFonts w:ascii="Times New Roman" w:hAnsi="Times New Roman"/>
                <w:b/>
                <w:spacing w:val="0"/>
                <w:sz w:val="20"/>
              </w:rPr>
            </w:pPr>
            <w:r>
              <w:rPr>
                <w:rFonts w:ascii="Times New Roman" w:hAnsi="Times New Roman"/>
                <w:b/>
                <w:spacing w:val="0"/>
                <w:sz w:val="20"/>
              </w:rPr>
              <w:t xml:space="preserve">Inventories </w:t>
            </w:r>
          </w:p>
        </w:tc>
      </w:tr>
    </w:tbl>
    <w:p>
      <w:pPr>
        <w:pStyle w:val="TextBody"/>
        <w:spacing w:before="12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 xml:space="preserve">Write-downs of inventories are measured based on the inventory days on hand and on the estimated net realizable value (expected proceeds less estimated costs incurred until completion and the estimated selling expenses necessary to make the sale). The net realizable value is estimated based on the management’s decision and expectation regarding the pricing and the future marketability of the different CONDOR and HAWK product variants. Future utilizations, actual proceeds, and costs still to be incurred may deviate from anticipated amounts, which might lead to additional write-downs in future periods. </w:t>
      </w:r>
    </w:p>
    <w:p>
      <w:pPr>
        <w:pStyle w:val="TextBody"/>
        <w:spacing w:before="0" w:after="0"/>
        <w:ind w:left="0" w:right="0" w:hanging="0"/>
        <w:jc w:val="both"/>
        <w:rPr>
          <w:spacing w:val="0"/>
          <w:highlight w:val="white"/>
        </w:rPr>
      </w:pPr>
      <w:r>
        <w:rPr>
          <w:spacing w:val="0"/>
          <w:highlight w:val="white"/>
        </w:rPr>
        <w:t> </w:t>
      </w:r>
    </w:p>
    <w:tbl>
      <w:tblPr>
        <w:tblW w:w="2170" w:type="dxa"/>
        <w:jc w:val="left"/>
        <w:tblInd w:w="0" w:type="dxa"/>
        <w:tblCellMar>
          <w:top w:w="0" w:type="dxa"/>
          <w:left w:w="0" w:type="dxa"/>
          <w:bottom w:w="0" w:type="dxa"/>
          <w:right w:w="0" w:type="dxa"/>
        </w:tblCellMar>
      </w:tblPr>
      <w:tblGrid>
        <w:gridCol w:w="75"/>
        <w:gridCol w:w="200"/>
        <w:gridCol w:w="1895"/>
      </w:tblGrid>
      <w:tr>
        <w:trPr/>
        <w:tc>
          <w:tcPr>
            <w:tcW w:w="75" w:type="dxa"/>
            <w:tcBorders/>
            <w:shd w:fill="auto" w:val="clear"/>
            <w:vAlign w:val="center"/>
          </w:tcPr>
          <w:p>
            <w:pPr>
              <w:pStyle w:val="TableContents"/>
              <w:spacing w:before="0" w:after="0"/>
              <w:jc w:val="both"/>
              <w:rPr>
                <w:spacing w:val="0"/>
              </w:rPr>
            </w:pPr>
            <w:r>
              <w:rPr>
                <w:spacing w:val="0"/>
              </w:rPr>
              <w:t> </w:t>
            </w:r>
          </w:p>
        </w:tc>
        <w:tc>
          <w:tcPr>
            <w:tcW w:w="200" w:type="dxa"/>
            <w:tcBorders/>
            <w:shd w:fill="auto" w:val="clear"/>
            <w:vAlign w:val="center"/>
          </w:tcPr>
          <w:p>
            <w:pPr>
              <w:pStyle w:val="TableContents"/>
              <w:spacing w:before="0" w:after="0"/>
              <w:jc w:val="both"/>
              <w:rPr>
                <w:b/>
                <w:spacing w:val="0"/>
              </w:rPr>
            </w:pPr>
            <w:r>
              <w:rPr>
                <w:b/>
                <w:spacing w:val="0"/>
              </w:rPr>
              <w:t>e)</w:t>
            </w:r>
          </w:p>
        </w:tc>
        <w:tc>
          <w:tcPr>
            <w:tcW w:w="1895" w:type="dxa"/>
            <w:tcBorders/>
            <w:shd w:fill="auto" w:val="clear"/>
            <w:vAlign w:val="center"/>
          </w:tcPr>
          <w:p>
            <w:pPr>
              <w:pStyle w:val="TableContents"/>
              <w:spacing w:before="0" w:after="0"/>
              <w:jc w:val="both"/>
              <w:rPr>
                <w:rFonts w:ascii="Times New Roman" w:hAnsi="Times New Roman"/>
                <w:b/>
                <w:spacing w:val="0"/>
                <w:sz w:val="20"/>
              </w:rPr>
            </w:pPr>
            <w:r>
              <w:rPr>
                <w:rFonts w:ascii="Times New Roman" w:hAnsi="Times New Roman"/>
                <w:b/>
                <w:spacing w:val="0"/>
                <w:sz w:val="20"/>
              </w:rPr>
              <w:t xml:space="preserve">Share-based payment </w:t>
            </w:r>
          </w:p>
        </w:tc>
      </w:tr>
    </w:tbl>
    <w:p>
      <w:pPr>
        <w:pStyle w:val="TextBody"/>
        <w:spacing w:before="12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 xml:space="preserve">The determination of the fair value of the share-based payments is dependent on factual fluctuations of personnel in the future, which might vary from the expected ones used to estimate the amounts. The deviation from the estimated fluctuation would lead to an adjustment of the amount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 xml:space="preserve">recognized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in the capital reserve. Please refer to Note 11. Share-based payments for more information.</w:t>
      </w:r>
    </w:p>
    <w:p>
      <w:pPr>
        <w:pStyle w:val="TextBody"/>
        <w:spacing w:before="0" w:after="0"/>
        <w:ind w:left="0" w:right="0" w:hanging="0"/>
        <w:jc w:val="left"/>
        <w:rPr>
          <w:sz w:val="36"/>
        </w:rPr>
      </w:pPr>
      <w:r>
        <w:rPr>
          <w:sz w:val="36"/>
        </w:rPr>
      </w:r>
    </w:p>
    <w:tbl>
      <w:tblPr>
        <w:tblW w:w="5230" w:type="dxa"/>
        <w:jc w:val="left"/>
        <w:tblInd w:w="0" w:type="dxa"/>
        <w:tblCellMar>
          <w:top w:w="0" w:type="dxa"/>
          <w:left w:w="0" w:type="dxa"/>
          <w:bottom w:w="0" w:type="dxa"/>
          <w:right w:w="0" w:type="dxa"/>
        </w:tblCellMar>
      </w:tblPr>
      <w:tblGrid>
        <w:gridCol w:w="215"/>
        <w:gridCol w:w="5015"/>
      </w:tblGrid>
      <w:tr>
        <w:trPr/>
        <w:tc>
          <w:tcPr>
            <w:tcW w:w="215" w:type="dxa"/>
            <w:tcBorders/>
            <w:shd w:fill="auto" w:val="clear"/>
            <w:vAlign w:val="center"/>
          </w:tcPr>
          <w:p>
            <w:pPr>
              <w:pStyle w:val="TableContents"/>
              <w:spacing w:before="0" w:after="0"/>
              <w:jc w:val="both"/>
              <w:rPr>
                <w:b/>
                <w:spacing w:val="0"/>
              </w:rPr>
            </w:pPr>
            <w:r>
              <w:rPr>
                <w:b/>
                <w:spacing w:val="0"/>
              </w:rPr>
              <w:t>5.</w:t>
            </w:r>
          </w:p>
        </w:tc>
        <w:tc>
          <w:tcPr>
            <w:tcW w:w="5015" w:type="dxa"/>
            <w:tcBorders/>
            <w:shd w:fill="auto" w:val="clear"/>
            <w:vAlign w:val="center"/>
          </w:tcPr>
          <w:p>
            <w:pPr>
              <w:pStyle w:val="TableContents"/>
              <w:spacing w:before="0" w:after="0"/>
              <w:jc w:val="both"/>
              <w:rPr>
                <w:rFonts w:ascii="Times New Roman" w:hAnsi="Times New Roman"/>
                <w:b/>
                <w:spacing w:val="0"/>
                <w:sz w:val="20"/>
              </w:rPr>
            </w:pPr>
            <w:r>
              <w:rPr>
                <w:rFonts w:ascii="Times New Roman" w:hAnsi="Times New Roman"/>
                <w:b/>
                <w:spacing w:val="0"/>
                <w:sz w:val="20"/>
              </w:rPr>
              <w:t xml:space="preserve">Segment reporting and information on geographical areas </w:t>
            </w:r>
          </w:p>
        </w:tc>
      </w:tr>
    </w:tbl>
    <w:p>
      <w:pPr>
        <w:pStyle w:val="TextBody"/>
        <w:spacing w:before="120" w:after="0"/>
        <w:ind w:left="0" w:right="0" w:hanging="0"/>
        <w:jc w:val="both"/>
        <w:rPr>
          <w:rFonts w:ascii="Times New Roman" w:hAnsi="Times New Roman"/>
          <w:sz w:val="20"/>
          <w:highlight w:val="white"/>
        </w:rPr>
      </w:pPr>
      <w:r>
        <w:rPr>
          <w:rFonts w:ascii="Times New Roman" w:hAnsi="Times New Roman"/>
          <w:sz w:val="20"/>
          <w:highlight w:val="white"/>
        </w:rPr>
        <w:t xml:space="preserve">In accordance with IFRS 8 (Operating Segments), the Company’s operating segments are based on the management approach. Accordingly, segments must be classified and disclosures for these segments must be made based on the criteria used internally by the chief operating decision maker (CODM) for the allocation of resources and the evaluation of performance by the components of the entity. The CODM is the Management Board (refer to Note 36) collectively which allocates resources and evaluates segment performance based on the Management Board reports submitted to it. The segment reporting below was prepared in accordance with this definition. The CODM uses Operating profit/loss as the primary profitability measure to evaluate performance of the Company’s operating segments. </w:t>
      </w:r>
    </w:p>
    <w:p>
      <w:pPr>
        <w:pStyle w:val="TextBody"/>
        <w:spacing w:before="240" w:after="0"/>
        <w:ind w:left="0" w:right="0" w:hanging="0"/>
        <w:jc w:val="both"/>
        <w:rPr>
          <w:rFonts w:ascii="Times New Roman" w:hAnsi="Times New Roman"/>
          <w:spacing w:val="0"/>
          <w:sz w:val="20"/>
        </w:rPr>
      </w:pPr>
      <w:r>
        <w:rPr>
          <w:rFonts w:ascii="Times New Roman" w:hAnsi="Times New Roman"/>
          <w:spacing w:val="0"/>
          <w:sz w:val="20"/>
        </w:rPr>
        <w:t>The Air segment includes the Company’s HAWK AIR terminals and related services. The Space segment includes the Company’s CONDOR terminals and related services.</w:t>
      </w:r>
    </w:p>
    <w:p>
      <w:pPr>
        <w:pStyle w:val="TextBody"/>
        <w:spacing w:before="0" w:after="0"/>
        <w:jc w:val="left"/>
        <w:rPr>
          <w:highlight w:val="white"/>
        </w:rPr>
      </w:pPr>
      <w:r>
        <w:rPr>
          <w:highlight w:val="white"/>
        </w:rPr>
        <w:t> </w:t>
      </w:r>
    </w:p>
    <w:tbl>
      <w:tblPr>
        <w:tblW w:w="9002" w:type="dxa"/>
        <w:jc w:val="left"/>
        <w:tblInd w:w="0" w:type="dxa"/>
        <w:tblCellMar>
          <w:top w:w="0" w:type="dxa"/>
          <w:left w:w="0" w:type="dxa"/>
          <w:bottom w:w="0" w:type="dxa"/>
          <w:right w:w="0" w:type="dxa"/>
        </w:tblCellMar>
      </w:tblPr>
      <w:tblGrid>
        <w:gridCol w:w="4520"/>
        <w:gridCol w:w="120"/>
        <w:gridCol w:w="61"/>
        <w:gridCol w:w="772"/>
        <w:gridCol w:w="61"/>
        <w:gridCol w:w="122"/>
        <w:gridCol w:w="61"/>
        <w:gridCol w:w="772"/>
        <w:gridCol w:w="61"/>
        <w:gridCol w:w="122"/>
        <w:gridCol w:w="110"/>
        <w:gridCol w:w="1170"/>
        <w:gridCol w:w="81"/>
        <w:gridCol w:w="61"/>
        <w:gridCol w:w="61"/>
        <w:gridCol w:w="772"/>
        <w:gridCol w:w="75"/>
      </w:tblGrid>
      <w:tr>
        <w:trPr/>
        <w:tc>
          <w:tcPr>
            <w:tcW w:w="45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5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287" w:type="dxa"/>
            <w:gridSpan w:val="14"/>
            <w:tcBorders/>
            <w:shd w:fill="auto" w:val="clear"/>
            <w:vAlign w:val="center"/>
          </w:tcPr>
          <w:p>
            <w:pPr>
              <w:pStyle w:val="TableContents"/>
              <w:spacing w:before="0" w:after="283"/>
              <w:jc w:val="center"/>
              <w:rPr/>
            </w:pPr>
            <w:r>
              <w:rPr/>
              <w:t>For the year ended December 31, 2022</w:t>
            </w:r>
          </w:p>
        </w:tc>
        <w:tc>
          <w:tcPr>
            <w:tcW w:w="75" w:type="dxa"/>
            <w:tcBorders/>
            <w:shd w:fill="auto" w:val="clear"/>
            <w:vAlign w:val="center"/>
          </w:tcPr>
          <w:p>
            <w:pPr>
              <w:pStyle w:val="TableContents"/>
              <w:spacing w:before="0" w:after="283"/>
              <w:rPr/>
            </w:pPr>
            <w:r>
              <w:rPr/>
              <w:t> </w:t>
            </w:r>
          </w:p>
        </w:tc>
      </w:tr>
      <w:tr>
        <w:trPr/>
        <w:tc>
          <w:tcPr>
            <w:tcW w:w="4520"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833" w:type="dxa"/>
            <w:gridSpan w:val="2"/>
            <w:tcBorders/>
            <w:shd w:fill="auto" w:val="clear"/>
            <w:vAlign w:val="center"/>
          </w:tcPr>
          <w:p>
            <w:pPr>
              <w:pStyle w:val="TableContents"/>
              <w:spacing w:before="0" w:after="283"/>
              <w:jc w:val="center"/>
              <w:rPr/>
            </w:pPr>
            <w:r>
              <w:rPr/>
              <w:t>Air</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833" w:type="dxa"/>
            <w:gridSpan w:val="2"/>
            <w:tcBorders/>
            <w:shd w:fill="auto" w:val="clear"/>
            <w:vAlign w:val="center"/>
          </w:tcPr>
          <w:p>
            <w:pPr>
              <w:pStyle w:val="TableContents"/>
              <w:spacing w:before="0" w:after="283"/>
              <w:jc w:val="center"/>
              <w:rPr/>
            </w:pPr>
            <w:r>
              <w:rPr/>
              <w:t>Space</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283"/>
              <w:jc w:val="center"/>
              <w:rPr/>
            </w:pPr>
            <w:r>
              <w:rPr/>
              <w:t>Not allocated</w:t>
            </w:r>
          </w:p>
        </w:tc>
        <w:tc>
          <w:tcPr>
            <w:tcW w:w="81"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833" w:type="dxa"/>
            <w:gridSpan w:val="2"/>
            <w:tcBorders/>
            <w:shd w:fill="auto" w:val="clear"/>
            <w:vAlign w:val="center"/>
          </w:tcPr>
          <w:p>
            <w:pPr>
              <w:pStyle w:val="TableContents"/>
              <w:spacing w:before="0" w:after="283"/>
              <w:jc w:val="center"/>
              <w:rPr/>
            </w:pPr>
            <w:r>
              <w:rPr/>
              <w:t>Group</w:t>
            </w:r>
          </w:p>
        </w:tc>
        <w:tc>
          <w:tcPr>
            <w:tcW w:w="75" w:type="dxa"/>
            <w:tcBorders/>
            <w:shd w:fill="auto" w:val="clear"/>
            <w:vAlign w:val="center"/>
          </w:tcPr>
          <w:p>
            <w:pPr>
              <w:pStyle w:val="TableContents"/>
              <w:spacing w:before="0" w:after="283"/>
              <w:rPr/>
            </w:pPr>
            <w:r>
              <w:rPr/>
              <w:t> </w:t>
            </w:r>
          </w:p>
        </w:tc>
      </w:tr>
      <w:tr>
        <w:trPr/>
        <w:tc>
          <w:tcPr>
            <w:tcW w:w="45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Revenue</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jc w:val="right"/>
              <w:rPr/>
            </w:pPr>
            <w:r>
              <w:rPr/>
              <w:t>1,384</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jc w:val="right"/>
              <w:rPr/>
            </w:pPr>
            <w:r>
              <w:rPr/>
              <w:t>3,038</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170" w:type="dxa"/>
            <w:tcBorders/>
            <w:shd w:fill="CCEEFF" w:val="clear"/>
            <w:vAlign w:val="center"/>
          </w:tcPr>
          <w:p>
            <w:pPr>
              <w:pStyle w:val="TableContents"/>
              <w:spacing w:before="0" w:after="283"/>
              <w:jc w:val="right"/>
              <w:rPr/>
            </w:pPr>
            <w:r>
              <w:rPr/>
              <w:t>0</w:t>
            </w:r>
          </w:p>
        </w:tc>
        <w:tc>
          <w:tcPr>
            <w:tcW w:w="8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jc w:val="right"/>
              <w:rPr/>
            </w:pPr>
            <w:r>
              <w:rPr/>
              <w:t>4,422</w:t>
            </w:r>
          </w:p>
        </w:tc>
        <w:tc>
          <w:tcPr>
            <w:tcW w:w="75" w:type="dxa"/>
            <w:tcBorders/>
            <w:shd w:fill="CCEEFF" w:val="clear"/>
            <w:vAlign w:val="center"/>
          </w:tcPr>
          <w:p>
            <w:pPr>
              <w:pStyle w:val="TableContents"/>
              <w:spacing w:before="0" w:after="283"/>
              <w:rPr/>
            </w:pPr>
            <w:r>
              <w:rPr/>
              <w:t> </w:t>
            </w:r>
          </w:p>
        </w:tc>
      </w:tr>
      <w:tr>
        <w:trPr/>
        <w:tc>
          <w:tcPr>
            <w:tcW w:w="452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Operating profit/loss</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spacing w:val="0"/>
              </w:rPr>
            </w:pPr>
            <w:r>
              <w:rPr>
                <w:spacing w:val="0"/>
              </w:rPr>
              <w:t> </w:t>
            </w:r>
          </w:p>
        </w:tc>
        <w:tc>
          <w:tcPr>
            <w:tcW w:w="772" w:type="dxa"/>
            <w:tcBorders/>
            <w:shd w:fill="auto" w:val="clear"/>
            <w:vAlign w:val="center"/>
          </w:tcPr>
          <w:p>
            <w:pPr>
              <w:pStyle w:val="TableContents"/>
              <w:spacing w:before="0" w:after="0"/>
              <w:jc w:val="right"/>
              <w:rPr>
                <w:b/>
                <w:spacing w:val="0"/>
              </w:rPr>
            </w:pPr>
            <w:r>
              <w:rPr>
                <w:b/>
                <w:spacing w:val="0"/>
              </w:rPr>
              <w:t>-20,929</w:t>
            </w:r>
          </w:p>
        </w:tc>
        <w:tc>
          <w:tcPr>
            <w:tcW w:w="61" w:type="dxa"/>
            <w:tcBorders/>
            <w:shd w:fill="auto" w:val="clear"/>
            <w:vAlign w:val="center"/>
          </w:tcPr>
          <w:p>
            <w:pPr>
              <w:pStyle w:val="TableContents"/>
              <w:spacing w:before="0" w:after="0"/>
              <w:rPr>
                <w:spacing w:val="0"/>
              </w:rPr>
            </w:pPr>
            <w:r>
              <w:rPr>
                <w:spacing w:val="0"/>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spacing w:val="0"/>
              </w:rPr>
            </w:pPr>
            <w:r>
              <w:rPr>
                <w:spacing w:val="0"/>
              </w:rPr>
              <w:t> </w:t>
            </w:r>
          </w:p>
        </w:tc>
        <w:tc>
          <w:tcPr>
            <w:tcW w:w="772" w:type="dxa"/>
            <w:tcBorders/>
            <w:shd w:fill="auto" w:val="clear"/>
            <w:vAlign w:val="center"/>
          </w:tcPr>
          <w:p>
            <w:pPr>
              <w:pStyle w:val="TableContents"/>
              <w:spacing w:before="0" w:after="0"/>
              <w:jc w:val="right"/>
              <w:rPr>
                <w:b/>
                <w:spacing w:val="0"/>
              </w:rPr>
            </w:pPr>
            <w:r>
              <w:rPr>
                <w:b/>
                <w:spacing w:val="0"/>
              </w:rPr>
              <w:t>-46,773</w:t>
            </w:r>
          </w:p>
        </w:tc>
        <w:tc>
          <w:tcPr>
            <w:tcW w:w="61" w:type="dxa"/>
            <w:tcBorders/>
            <w:shd w:fill="auto" w:val="clear"/>
            <w:vAlign w:val="center"/>
          </w:tcPr>
          <w:p>
            <w:pPr>
              <w:pStyle w:val="TableContents"/>
              <w:spacing w:before="0" w:after="0"/>
              <w:rPr>
                <w:spacing w:val="0"/>
              </w:rPr>
            </w:pPr>
            <w:r>
              <w:rPr>
                <w:spacing w:val="0"/>
              </w:rPr>
              <w:t> </w:t>
            </w:r>
          </w:p>
        </w:tc>
        <w:tc>
          <w:tcPr>
            <w:tcW w:w="122"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rPr>
                <w:spacing w:val="0"/>
              </w:rPr>
            </w:pPr>
            <w:r>
              <w:rPr>
                <w:spacing w:val="0"/>
              </w:rPr>
              <w:t> </w:t>
            </w:r>
          </w:p>
        </w:tc>
        <w:tc>
          <w:tcPr>
            <w:tcW w:w="1170" w:type="dxa"/>
            <w:tcBorders/>
            <w:shd w:fill="auto" w:val="clear"/>
            <w:vAlign w:val="center"/>
          </w:tcPr>
          <w:p>
            <w:pPr>
              <w:pStyle w:val="TableContents"/>
              <w:spacing w:before="0" w:after="0"/>
              <w:jc w:val="right"/>
              <w:rPr>
                <w:b/>
                <w:spacing w:val="0"/>
              </w:rPr>
            </w:pPr>
            <w:r>
              <w:rPr>
                <w:b/>
                <w:spacing w:val="0"/>
              </w:rPr>
              <w:t>-6,088</w:t>
            </w:r>
          </w:p>
        </w:tc>
        <w:tc>
          <w:tcPr>
            <w:tcW w:w="81" w:type="dxa"/>
            <w:tcBorders/>
            <w:shd w:fill="auto" w:val="clear"/>
            <w:vAlign w:val="center"/>
          </w:tcPr>
          <w:p>
            <w:pPr>
              <w:pStyle w:val="TableContents"/>
              <w:spacing w:before="0" w:after="0"/>
              <w:rPr>
                <w:b/>
                <w:spacing w:val="0"/>
                <w:sz w:val="12"/>
              </w:rPr>
            </w:pPr>
            <w:r>
              <w:rPr>
                <w:b/>
                <w:spacing w:val="0"/>
                <w:sz w:val="12"/>
              </w:rPr>
              <w:t>2</w:t>
            </w:r>
          </w:p>
          <w:p>
            <w:pPr>
              <w:pStyle w:val="TableContents"/>
              <w:spacing w:before="0" w:after="0"/>
              <w:rPr>
                <w:spacing w:val="0"/>
              </w:rPr>
            </w:pPr>
            <w:r>
              <w:rPr>
                <w:spacing w:val="0"/>
              </w:rPr>
              <w:t> </w:t>
            </w:r>
          </w:p>
        </w:tc>
        <w:tc>
          <w:tcPr>
            <w:tcW w:w="61"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spacing w:val="0"/>
              </w:rPr>
            </w:pPr>
            <w:r>
              <w:rPr>
                <w:spacing w:val="0"/>
              </w:rPr>
              <w:t> </w:t>
            </w:r>
          </w:p>
        </w:tc>
        <w:tc>
          <w:tcPr>
            <w:tcW w:w="772" w:type="dxa"/>
            <w:tcBorders/>
            <w:shd w:fill="auto" w:val="clear"/>
            <w:vAlign w:val="center"/>
          </w:tcPr>
          <w:p>
            <w:pPr>
              <w:pStyle w:val="TableContents"/>
              <w:spacing w:before="0" w:after="0"/>
              <w:jc w:val="right"/>
              <w:rPr>
                <w:b/>
                <w:spacing w:val="0"/>
              </w:rPr>
            </w:pPr>
            <w:r>
              <w:rPr>
                <w:b/>
                <w:spacing w:val="0"/>
              </w:rPr>
              <w:t>-73,790</w:t>
            </w:r>
          </w:p>
        </w:tc>
        <w:tc>
          <w:tcPr>
            <w:tcW w:w="75" w:type="dxa"/>
            <w:tcBorders/>
            <w:shd w:fill="auto" w:val="clear"/>
            <w:vAlign w:val="center"/>
          </w:tcPr>
          <w:p>
            <w:pPr>
              <w:pStyle w:val="TableContents"/>
              <w:spacing w:before="0" w:after="0"/>
              <w:rPr>
                <w:spacing w:val="0"/>
              </w:rPr>
            </w:pPr>
            <w:r>
              <w:rPr>
                <w:spacing w:val="0"/>
              </w:rPr>
              <w:t> </w:t>
            </w:r>
          </w:p>
        </w:tc>
      </w:tr>
      <w:tr>
        <w:trPr/>
        <w:tc>
          <w:tcPr>
            <w:tcW w:w="45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Interest and similar expenses</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17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jc w:val="right"/>
              <w:rPr/>
            </w:pPr>
            <w:r>
              <w:rPr/>
              <w:t>-2,545</w:t>
            </w:r>
          </w:p>
        </w:tc>
        <w:tc>
          <w:tcPr>
            <w:tcW w:w="75" w:type="dxa"/>
            <w:tcBorders/>
            <w:shd w:fill="CCEEFF" w:val="clear"/>
            <w:vAlign w:val="center"/>
          </w:tcPr>
          <w:p>
            <w:pPr>
              <w:pStyle w:val="TableContents"/>
              <w:spacing w:before="0" w:after="283"/>
              <w:rPr/>
            </w:pPr>
            <w:r>
              <w:rPr/>
              <w:t> </w:t>
            </w:r>
          </w:p>
        </w:tc>
      </w:tr>
      <w:tr>
        <w:trPr/>
        <w:tc>
          <w:tcPr>
            <w:tcW w:w="45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foreign currency gain / (loss)</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17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jc w:val="right"/>
              <w:rPr/>
            </w:pPr>
            <w:r>
              <w:rPr/>
              <w:t>2,574</w:t>
            </w:r>
          </w:p>
        </w:tc>
        <w:tc>
          <w:tcPr>
            <w:tcW w:w="75" w:type="dxa"/>
            <w:tcBorders/>
            <w:shd w:fill="auto" w:val="clear"/>
            <w:vAlign w:val="center"/>
          </w:tcPr>
          <w:p>
            <w:pPr>
              <w:pStyle w:val="TableContents"/>
              <w:spacing w:before="0" w:after="283"/>
              <w:rPr/>
            </w:pPr>
            <w:r>
              <w:rPr/>
              <w:t> </w:t>
            </w:r>
          </w:p>
        </w:tc>
      </w:tr>
      <w:tr>
        <w:trPr/>
        <w:tc>
          <w:tcPr>
            <w:tcW w:w="452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Net finance costs</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17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0"/>
              <w:jc w:val="right"/>
              <w:rPr>
                <w:b/>
                <w:spacing w:val="0"/>
              </w:rPr>
            </w:pPr>
            <w:r>
              <w:rPr>
                <w:b/>
                <w:spacing w:val="0"/>
              </w:rPr>
              <w:t>29</w:t>
            </w:r>
          </w:p>
        </w:tc>
        <w:tc>
          <w:tcPr>
            <w:tcW w:w="75" w:type="dxa"/>
            <w:tcBorders/>
            <w:shd w:fill="CCEEFF" w:val="clear"/>
            <w:vAlign w:val="center"/>
          </w:tcPr>
          <w:p>
            <w:pPr>
              <w:pStyle w:val="TableContents"/>
              <w:spacing w:before="0" w:after="283"/>
              <w:rPr/>
            </w:pPr>
            <w:r>
              <w:rPr/>
              <w:t> </w:t>
            </w:r>
          </w:p>
        </w:tc>
      </w:tr>
      <w:tr>
        <w:trPr/>
        <w:tc>
          <w:tcPr>
            <w:tcW w:w="45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Share of profit of equity-accounted investees, net of tax</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17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jc w:val="right"/>
              <w:rPr/>
            </w:pPr>
            <w:r>
              <w:rPr/>
              <w:t>-45</w:t>
            </w:r>
          </w:p>
        </w:tc>
        <w:tc>
          <w:tcPr>
            <w:tcW w:w="75" w:type="dxa"/>
            <w:tcBorders/>
            <w:shd w:fill="auto" w:val="clear"/>
            <w:vAlign w:val="center"/>
          </w:tcPr>
          <w:p>
            <w:pPr>
              <w:pStyle w:val="TableContents"/>
              <w:spacing w:before="0" w:after="283"/>
              <w:rPr/>
            </w:pPr>
            <w:r>
              <w:rPr/>
              <w:t> </w:t>
            </w:r>
          </w:p>
        </w:tc>
      </w:tr>
      <w:tr>
        <w:trPr/>
        <w:tc>
          <w:tcPr>
            <w:tcW w:w="452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Profit/loss before tax</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17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0"/>
              <w:jc w:val="right"/>
              <w:rPr>
                <w:b/>
                <w:spacing w:val="0"/>
              </w:rPr>
            </w:pPr>
            <w:r>
              <w:rPr>
                <w:b/>
                <w:spacing w:val="0"/>
              </w:rPr>
              <w:t>-73,806</w:t>
            </w:r>
          </w:p>
        </w:tc>
        <w:tc>
          <w:tcPr>
            <w:tcW w:w="75" w:type="dxa"/>
            <w:tcBorders/>
            <w:shd w:fill="CCEEFF" w:val="clear"/>
            <w:vAlign w:val="center"/>
          </w:tcPr>
          <w:p>
            <w:pPr>
              <w:pStyle w:val="TableContents"/>
              <w:spacing w:before="0" w:after="283"/>
              <w:rPr/>
            </w:pPr>
            <w:r>
              <w:rPr/>
              <w:t> </w:t>
            </w:r>
          </w:p>
        </w:tc>
      </w:tr>
      <w:tr>
        <w:trPr/>
        <w:tc>
          <w:tcPr>
            <w:tcW w:w="45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Income tax expense</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17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jc w:val="right"/>
              <w:rPr/>
            </w:pPr>
            <w:r>
              <w:rPr/>
              <w:t>24</w:t>
            </w:r>
          </w:p>
        </w:tc>
        <w:tc>
          <w:tcPr>
            <w:tcW w:w="75" w:type="dxa"/>
            <w:tcBorders/>
            <w:shd w:fill="auto" w:val="clear"/>
            <w:vAlign w:val="center"/>
          </w:tcPr>
          <w:p>
            <w:pPr>
              <w:pStyle w:val="TableContents"/>
              <w:spacing w:before="0" w:after="283"/>
              <w:rPr/>
            </w:pPr>
            <w:r>
              <w:rPr/>
              <w:t> </w:t>
            </w:r>
          </w:p>
        </w:tc>
      </w:tr>
      <w:tr>
        <w:trPr/>
        <w:tc>
          <w:tcPr>
            <w:tcW w:w="452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Consolidated net profit/loss</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17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0"/>
              <w:jc w:val="right"/>
              <w:rPr>
                <w:b/>
                <w:spacing w:val="0"/>
              </w:rPr>
            </w:pPr>
            <w:r>
              <w:rPr>
                <w:b/>
                <w:spacing w:val="0"/>
              </w:rPr>
              <w:t>-73,782</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95"/>
        <w:gridCol w:w="10110"/>
      </w:tblGrid>
      <w:tr>
        <w:trPr/>
        <w:tc>
          <w:tcPr>
            <w:tcW w:w="95" w:type="dxa"/>
            <w:tcBorders/>
            <w:shd w:fill="auto" w:val="clear"/>
            <w:vAlign w:val="center"/>
          </w:tcPr>
          <w:p>
            <w:pPr>
              <w:pStyle w:val="TableContents"/>
              <w:spacing w:before="0" w:after="0"/>
              <w:jc w:val="both"/>
              <w:rPr>
                <w:sz w:val="12"/>
              </w:rPr>
            </w:pPr>
            <w:r>
              <w:rPr>
                <w:sz w:val="12"/>
              </w:rPr>
              <w:t>2</w:t>
            </w:r>
          </w:p>
          <w:p>
            <w:pPr>
              <w:pStyle w:val="TableContents"/>
              <w:spacing w:before="0" w:after="0"/>
              <w:jc w:val="both"/>
              <w:rPr/>
            </w:pPr>
            <w:r>
              <w:rPr/>
              <w:t> </w:t>
            </w:r>
          </w:p>
        </w:tc>
        <w:tc>
          <w:tcPr>
            <w:tcW w:w="1011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Including costs for the D&amp;O insurance related the stock listing (€4,715 thousand), the audit of the financial statements (€951 thousand) as well as Supervisory Board remuneration (€422 thousand) which are not directly incremental. </w:t>
            </w:r>
          </w:p>
        </w:tc>
      </w:tr>
    </w:tbl>
    <w:p>
      <w:pPr>
        <w:pStyle w:val="TextBody"/>
        <w:spacing w:before="0" w:after="0"/>
        <w:jc w:val="left"/>
        <w:rPr>
          <w:sz w:val="16"/>
        </w:rPr>
      </w:pPr>
      <w:r>
        <w:rPr>
          <w:sz w:val="16"/>
        </w:rPr>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F-1</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8</w:t>
      </w:r>
    </w:p>
    <w:p>
      <w:pPr>
        <w:pStyle w:val="HorizontalLine"/>
        <w:rPr/>
      </w:pPr>
      <w:r>
        <w:rPr/>
      </w:r>
    </w:p>
    <w:p>
      <w:pPr>
        <w:pStyle w:val="TextBody"/>
        <w:spacing w:before="0" w:after="0"/>
        <w:rPr/>
      </w:pPr>
      <w:hyperlink w:anchor="toc">
        <w:r>
          <w:rPr>
            <w:rStyle w:val="InternetLink"/>
            <w:b/>
            <w:sz w:val="20"/>
            <w:highlight w:val="white"/>
          </w:rPr>
          <w:t>Table of Contents</w:t>
        </w:r>
      </w:hyperlink>
      <w:r>
        <w:rPr>
          <w:b/>
          <w:sz w:val="20"/>
          <w:highlight w:val="white"/>
        </w:rPr>
        <w:t> </w:t>
      </w:r>
    </w:p>
    <w:tbl>
      <w:tblPr>
        <w:tblW w:w="7172" w:type="dxa"/>
        <w:jc w:val="left"/>
        <w:tblInd w:w="0" w:type="dxa"/>
        <w:tblCellMar>
          <w:top w:w="0" w:type="dxa"/>
          <w:left w:w="0" w:type="dxa"/>
          <w:bottom w:w="0" w:type="dxa"/>
          <w:right w:w="0" w:type="dxa"/>
        </w:tblCellMar>
      </w:tblPr>
      <w:tblGrid>
        <w:gridCol w:w="2690"/>
        <w:gridCol w:w="120"/>
        <w:gridCol w:w="61"/>
        <w:gridCol w:w="772"/>
        <w:gridCol w:w="61"/>
        <w:gridCol w:w="122"/>
        <w:gridCol w:w="61"/>
        <w:gridCol w:w="772"/>
        <w:gridCol w:w="61"/>
        <w:gridCol w:w="122"/>
        <w:gridCol w:w="110"/>
        <w:gridCol w:w="1170"/>
        <w:gridCol w:w="81"/>
        <w:gridCol w:w="61"/>
        <w:gridCol w:w="61"/>
        <w:gridCol w:w="772"/>
        <w:gridCol w:w="75"/>
      </w:tblGrid>
      <w:tr>
        <w:trPr/>
        <w:tc>
          <w:tcPr>
            <w:tcW w:w="26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6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287" w:type="dxa"/>
            <w:gridSpan w:val="14"/>
            <w:tcBorders/>
            <w:shd w:fill="auto" w:val="clear"/>
            <w:vAlign w:val="center"/>
          </w:tcPr>
          <w:p>
            <w:pPr>
              <w:pStyle w:val="TableContents"/>
              <w:spacing w:before="0" w:after="283"/>
              <w:jc w:val="center"/>
              <w:rPr/>
            </w:pPr>
            <w:r>
              <w:rPr/>
              <w:t>For the year ended December 31, 2021</w:t>
            </w:r>
          </w:p>
        </w:tc>
        <w:tc>
          <w:tcPr>
            <w:tcW w:w="75" w:type="dxa"/>
            <w:tcBorders/>
            <w:shd w:fill="auto"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833" w:type="dxa"/>
            <w:gridSpan w:val="2"/>
            <w:tcBorders/>
            <w:shd w:fill="auto" w:val="clear"/>
            <w:vAlign w:val="center"/>
          </w:tcPr>
          <w:p>
            <w:pPr>
              <w:pStyle w:val="TableContents"/>
              <w:spacing w:before="0" w:after="283"/>
              <w:jc w:val="center"/>
              <w:rPr/>
            </w:pPr>
            <w:r>
              <w:rPr/>
              <w:t>Air</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833" w:type="dxa"/>
            <w:gridSpan w:val="2"/>
            <w:tcBorders/>
            <w:shd w:fill="auto" w:val="clear"/>
            <w:vAlign w:val="center"/>
          </w:tcPr>
          <w:p>
            <w:pPr>
              <w:pStyle w:val="TableContents"/>
              <w:spacing w:before="0" w:after="283"/>
              <w:jc w:val="center"/>
              <w:rPr/>
            </w:pPr>
            <w:r>
              <w:rPr/>
              <w:t>Space</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283"/>
              <w:jc w:val="center"/>
              <w:rPr/>
            </w:pPr>
            <w:r>
              <w:rPr/>
              <w:t>Not allocated</w:t>
            </w:r>
          </w:p>
        </w:tc>
        <w:tc>
          <w:tcPr>
            <w:tcW w:w="81"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833" w:type="dxa"/>
            <w:gridSpan w:val="2"/>
            <w:tcBorders/>
            <w:shd w:fill="auto" w:val="clear"/>
            <w:vAlign w:val="center"/>
          </w:tcPr>
          <w:p>
            <w:pPr>
              <w:pStyle w:val="TableContents"/>
              <w:spacing w:before="0" w:after="283"/>
              <w:jc w:val="center"/>
              <w:rPr/>
            </w:pPr>
            <w:r>
              <w:rPr/>
              <w:t>Group</w:t>
            </w:r>
          </w:p>
        </w:tc>
        <w:tc>
          <w:tcPr>
            <w:tcW w:w="75" w:type="dxa"/>
            <w:tcBorders/>
            <w:shd w:fill="auto" w:val="clear"/>
            <w:vAlign w:val="center"/>
          </w:tcPr>
          <w:p>
            <w:pPr>
              <w:pStyle w:val="TableContents"/>
              <w:spacing w:before="0" w:after="283"/>
              <w:rPr/>
            </w:pPr>
            <w:r>
              <w:rPr/>
              <w:t> </w:t>
            </w:r>
          </w:p>
        </w:tc>
      </w:tr>
      <w:tr>
        <w:trPr/>
        <w:tc>
          <w:tcPr>
            <w:tcW w:w="26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Revenue</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jc w:val="right"/>
              <w:rPr/>
            </w:pPr>
            <w:r>
              <w:rPr/>
              <w:t>0</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jc w:val="right"/>
              <w:rPr/>
            </w:pPr>
            <w:r>
              <w:rPr/>
              <w:t>2.355</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170" w:type="dxa"/>
            <w:tcBorders/>
            <w:shd w:fill="CCEEFF" w:val="clear"/>
            <w:vAlign w:val="center"/>
          </w:tcPr>
          <w:p>
            <w:pPr>
              <w:pStyle w:val="TableContents"/>
              <w:spacing w:before="0" w:after="283"/>
              <w:jc w:val="right"/>
              <w:rPr/>
            </w:pPr>
            <w:r>
              <w:rPr/>
              <w:t>0</w:t>
            </w:r>
          </w:p>
        </w:tc>
        <w:tc>
          <w:tcPr>
            <w:tcW w:w="8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jc w:val="right"/>
              <w:rPr/>
            </w:pPr>
            <w:r>
              <w:rPr/>
              <w:t>2.355</w:t>
            </w:r>
          </w:p>
        </w:tc>
        <w:tc>
          <w:tcPr>
            <w:tcW w:w="75" w:type="dxa"/>
            <w:tcBorders/>
            <w:shd w:fill="CCEEFF"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Operating profit/loss</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spacing w:val="0"/>
              </w:rPr>
            </w:pPr>
            <w:r>
              <w:rPr>
                <w:spacing w:val="0"/>
              </w:rPr>
              <w:t> </w:t>
            </w:r>
          </w:p>
        </w:tc>
        <w:tc>
          <w:tcPr>
            <w:tcW w:w="772" w:type="dxa"/>
            <w:tcBorders/>
            <w:shd w:fill="auto" w:val="clear"/>
            <w:vAlign w:val="center"/>
          </w:tcPr>
          <w:p>
            <w:pPr>
              <w:pStyle w:val="TableContents"/>
              <w:spacing w:before="0" w:after="0"/>
              <w:jc w:val="right"/>
              <w:rPr>
                <w:b/>
                <w:spacing w:val="0"/>
              </w:rPr>
            </w:pPr>
            <w:r>
              <w:rPr>
                <w:b/>
                <w:spacing w:val="0"/>
              </w:rPr>
              <w:t>-10,793</w:t>
            </w:r>
          </w:p>
        </w:tc>
        <w:tc>
          <w:tcPr>
            <w:tcW w:w="61" w:type="dxa"/>
            <w:tcBorders/>
            <w:shd w:fill="auto" w:val="clear"/>
            <w:vAlign w:val="center"/>
          </w:tcPr>
          <w:p>
            <w:pPr>
              <w:pStyle w:val="TableContents"/>
              <w:spacing w:before="0" w:after="0"/>
              <w:rPr>
                <w:spacing w:val="0"/>
              </w:rPr>
            </w:pPr>
            <w:r>
              <w:rPr>
                <w:spacing w:val="0"/>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spacing w:val="0"/>
              </w:rPr>
            </w:pPr>
            <w:r>
              <w:rPr>
                <w:spacing w:val="0"/>
              </w:rPr>
              <w:t> </w:t>
            </w:r>
          </w:p>
        </w:tc>
        <w:tc>
          <w:tcPr>
            <w:tcW w:w="772" w:type="dxa"/>
            <w:tcBorders/>
            <w:shd w:fill="auto" w:val="clear"/>
            <w:vAlign w:val="center"/>
          </w:tcPr>
          <w:p>
            <w:pPr>
              <w:pStyle w:val="TableContents"/>
              <w:spacing w:before="0" w:after="0"/>
              <w:jc w:val="right"/>
              <w:rPr>
                <w:b/>
                <w:spacing w:val="0"/>
              </w:rPr>
            </w:pPr>
            <w:r>
              <w:rPr>
                <w:b/>
                <w:spacing w:val="0"/>
              </w:rPr>
              <w:t>-30,082</w:t>
            </w:r>
          </w:p>
        </w:tc>
        <w:tc>
          <w:tcPr>
            <w:tcW w:w="61" w:type="dxa"/>
            <w:tcBorders/>
            <w:shd w:fill="auto" w:val="clear"/>
            <w:vAlign w:val="center"/>
          </w:tcPr>
          <w:p>
            <w:pPr>
              <w:pStyle w:val="TableContents"/>
              <w:spacing w:before="0" w:after="0"/>
              <w:rPr>
                <w:spacing w:val="0"/>
              </w:rPr>
            </w:pPr>
            <w:r>
              <w:rPr>
                <w:spacing w:val="0"/>
              </w:rPr>
              <w:t> </w:t>
            </w:r>
          </w:p>
        </w:tc>
        <w:tc>
          <w:tcPr>
            <w:tcW w:w="122"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rPr>
                <w:spacing w:val="0"/>
              </w:rPr>
            </w:pPr>
            <w:r>
              <w:rPr>
                <w:spacing w:val="0"/>
              </w:rPr>
              <w:t> </w:t>
            </w:r>
          </w:p>
        </w:tc>
        <w:tc>
          <w:tcPr>
            <w:tcW w:w="1170" w:type="dxa"/>
            <w:tcBorders/>
            <w:shd w:fill="auto" w:val="clear"/>
            <w:vAlign w:val="center"/>
          </w:tcPr>
          <w:p>
            <w:pPr>
              <w:pStyle w:val="TableContents"/>
              <w:spacing w:before="0" w:after="0"/>
              <w:jc w:val="right"/>
              <w:rPr>
                <w:b/>
                <w:spacing w:val="0"/>
              </w:rPr>
            </w:pPr>
            <w:r>
              <w:rPr>
                <w:b/>
                <w:spacing w:val="0"/>
              </w:rPr>
              <w:t>-1,489</w:t>
            </w:r>
          </w:p>
        </w:tc>
        <w:tc>
          <w:tcPr>
            <w:tcW w:w="81" w:type="dxa"/>
            <w:tcBorders/>
            <w:shd w:fill="auto" w:val="clear"/>
            <w:vAlign w:val="center"/>
          </w:tcPr>
          <w:p>
            <w:pPr>
              <w:pStyle w:val="TableContents"/>
              <w:spacing w:before="0" w:after="0"/>
              <w:rPr>
                <w:b/>
                <w:spacing w:val="0"/>
                <w:sz w:val="12"/>
              </w:rPr>
            </w:pPr>
            <w:r>
              <w:rPr>
                <w:b/>
                <w:spacing w:val="0"/>
                <w:sz w:val="12"/>
              </w:rPr>
              <w:t>3</w:t>
            </w:r>
          </w:p>
          <w:p>
            <w:pPr>
              <w:pStyle w:val="TableContents"/>
              <w:spacing w:before="0" w:after="0"/>
              <w:rPr>
                <w:spacing w:val="0"/>
              </w:rPr>
            </w:pPr>
            <w:r>
              <w:rPr>
                <w:spacing w:val="0"/>
              </w:rPr>
              <w:t> </w:t>
            </w:r>
          </w:p>
        </w:tc>
        <w:tc>
          <w:tcPr>
            <w:tcW w:w="61"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spacing w:val="0"/>
              </w:rPr>
            </w:pPr>
            <w:r>
              <w:rPr>
                <w:spacing w:val="0"/>
              </w:rPr>
              <w:t> </w:t>
            </w:r>
          </w:p>
        </w:tc>
        <w:tc>
          <w:tcPr>
            <w:tcW w:w="772" w:type="dxa"/>
            <w:tcBorders/>
            <w:shd w:fill="auto" w:val="clear"/>
            <w:vAlign w:val="center"/>
          </w:tcPr>
          <w:p>
            <w:pPr>
              <w:pStyle w:val="TableContents"/>
              <w:spacing w:before="0" w:after="0"/>
              <w:jc w:val="right"/>
              <w:rPr>
                <w:b/>
                <w:spacing w:val="0"/>
              </w:rPr>
            </w:pPr>
            <w:r>
              <w:rPr>
                <w:b/>
                <w:spacing w:val="0"/>
              </w:rPr>
              <w:t>-42,364</w:t>
            </w:r>
          </w:p>
        </w:tc>
        <w:tc>
          <w:tcPr>
            <w:tcW w:w="75" w:type="dxa"/>
            <w:tcBorders/>
            <w:shd w:fill="auto" w:val="clear"/>
            <w:vAlign w:val="center"/>
          </w:tcPr>
          <w:p>
            <w:pPr>
              <w:pStyle w:val="TableContents"/>
              <w:spacing w:before="0" w:after="0"/>
              <w:rPr>
                <w:spacing w:val="0"/>
              </w:rPr>
            </w:pPr>
            <w:r>
              <w:rPr>
                <w:spacing w:val="0"/>
              </w:rPr>
              <w:t> </w:t>
            </w:r>
          </w:p>
        </w:tc>
      </w:tr>
      <w:tr>
        <w:trPr/>
        <w:tc>
          <w:tcPr>
            <w:tcW w:w="26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Interest and similar expenses</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17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jc w:val="right"/>
              <w:rPr/>
            </w:pPr>
            <w:r>
              <w:rPr/>
              <w:t>-2,148</w:t>
            </w:r>
          </w:p>
        </w:tc>
        <w:tc>
          <w:tcPr>
            <w:tcW w:w="75" w:type="dxa"/>
            <w:tcBorders/>
            <w:shd w:fill="CCEEFF"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foreign currency gain / (loss)</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17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jc w:val="right"/>
              <w:rPr/>
            </w:pPr>
            <w:r>
              <w:rPr/>
              <w:t>826</w:t>
            </w:r>
          </w:p>
        </w:tc>
        <w:tc>
          <w:tcPr>
            <w:tcW w:w="75" w:type="dxa"/>
            <w:tcBorders/>
            <w:shd w:fill="auto" w:val="clear"/>
            <w:vAlign w:val="center"/>
          </w:tcPr>
          <w:p>
            <w:pPr>
              <w:pStyle w:val="TableContents"/>
              <w:spacing w:before="0" w:after="283"/>
              <w:rPr/>
            </w:pPr>
            <w:r>
              <w:rPr/>
              <w:t> </w:t>
            </w:r>
          </w:p>
        </w:tc>
      </w:tr>
      <w:tr>
        <w:trPr/>
        <w:tc>
          <w:tcPr>
            <w:tcW w:w="269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Net finance costs</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17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0"/>
              <w:jc w:val="right"/>
              <w:rPr>
                <w:b/>
                <w:spacing w:val="0"/>
              </w:rPr>
            </w:pPr>
            <w:r>
              <w:rPr>
                <w:b/>
                <w:spacing w:val="0"/>
              </w:rPr>
              <w:t>-1,322</w:t>
            </w:r>
          </w:p>
        </w:tc>
        <w:tc>
          <w:tcPr>
            <w:tcW w:w="75" w:type="dxa"/>
            <w:tcBorders/>
            <w:shd w:fill="CCEEFF"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Profit/loss before tax</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17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0"/>
              <w:rPr>
                <w:spacing w:val="0"/>
              </w:rPr>
            </w:pPr>
            <w:r>
              <w:rPr>
                <w:spacing w:val="0"/>
              </w:rPr>
              <w:t> </w:t>
            </w:r>
          </w:p>
        </w:tc>
        <w:tc>
          <w:tcPr>
            <w:tcW w:w="772" w:type="dxa"/>
            <w:tcBorders/>
            <w:shd w:fill="auto" w:val="clear"/>
            <w:vAlign w:val="center"/>
          </w:tcPr>
          <w:p>
            <w:pPr>
              <w:pStyle w:val="TableContents"/>
              <w:spacing w:before="0" w:after="0"/>
              <w:jc w:val="right"/>
              <w:rPr>
                <w:b/>
                <w:spacing w:val="0"/>
              </w:rPr>
            </w:pPr>
            <w:r>
              <w:rPr>
                <w:b/>
                <w:spacing w:val="0"/>
              </w:rPr>
              <w:t>-43,686</w:t>
            </w:r>
          </w:p>
        </w:tc>
        <w:tc>
          <w:tcPr>
            <w:tcW w:w="75" w:type="dxa"/>
            <w:tcBorders/>
            <w:shd w:fill="auto" w:val="clear"/>
            <w:vAlign w:val="center"/>
          </w:tcPr>
          <w:p>
            <w:pPr>
              <w:pStyle w:val="TableContents"/>
              <w:spacing w:before="0" w:after="0"/>
              <w:rPr>
                <w:spacing w:val="0"/>
              </w:rPr>
            </w:pPr>
            <w:r>
              <w:rPr>
                <w:spacing w:val="0"/>
              </w:rPr>
              <w:t> </w:t>
            </w:r>
          </w:p>
        </w:tc>
      </w:tr>
      <w:tr>
        <w:trPr/>
        <w:tc>
          <w:tcPr>
            <w:tcW w:w="26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Income tax expense</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17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jc w:val="right"/>
              <w:rPr/>
            </w:pPr>
            <w:r>
              <w:rPr/>
              <w:t>-1,791</w:t>
            </w:r>
          </w:p>
        </w:tc>
        <w:tc>
          <w:tcPr>
            <w:tcW w:w="75" w:type="dxa"/>
            <w:tcBorders/>
            <w:shd w:fill="CCEEFF"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Consolidated net profit/loss</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17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0"/>
              <w:jc w:val="right"/>
              <w:rPr>
                <w:b/>
                <w:spacing w:val="0"/>
              </w:rPr>
            </w:pPr>
            <w:r>
              <w:rPr>
                <w:b/>
                <w:spacing w:val="0"/>
              </w:rPr>
              <w:t>-45,477</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95"/>
        <w:gridCol w:w="10110"/>
      </w:tblGrid>
      <w:tr>
        <w:trPr/>
        <w:tc>
          <w:tcPr>
            <w:tcW w:w="95" w:type="dxa"/>
            <w:tcBorders/>
            <w:shd w:fill="auto" w:val="clear"/>
            <w:vAlign w:val="center"/>
          </w:tcPr>
          <w:p>
            <w:pPr>
              <w:pStyle w:val="TableContents"/>
              <w:spacing w:before="0" w:after="0"/>
              <w:jc w:val="both"/>
              <w:rPr>
                <w:sz w:val="12"/>
              </w:rPr>
            </w:pPr>
            <w:r>
              <w:rPr>
                <w:sz w:val="12"/>
              </w:rPr>
              <w:t>3</w:t>
            </w:r>
          </w:p>
          <w:p>
            <w:pPr>
              <w:pStyle w:val="TableContents"/>
              <w:spacing w:before="0" w:after="0"/>
              <w:jc w:val="both"/>
              <w:rPr/>
            </w:pPr>
            <w:r>
              <w:rPr/>
              <w:t> </w:t>
            </w:r>
          </w:p>
        </w:tc>
        <w:tc>
          <w:tcPr>
            <w:tcW w:w="1011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Including </w:t>
            </w:r>
          </w:p>
          <w:p>
            <w:pPr>
              <w:pStyle w:val="TableContents"/>
              <w:spacing w:before="0" w:after="0"/>
              <w:jc w:val="both"/>
              <w:rPr>
                <w:rFonts w:ascii="Times New Roman" w:hAnsi="Times New Roman"/>
                <w:spacing w:val="0"/>
                <w:sz w:val="20"/>
              </w:rPr>
            </w:pPr>
            <w:r>
              <w:rPr>
                <w:rFonts w:ascii="Times New Roman" w:hAnsi="Times New Roman"/>
                <w:spacing w:val="0"/>
                <w:sz w:val="20"/>
              </w:rPr>
              <w:t>IPO-related</w:t>
            </w:r>
          </w:p>
          <w:p>
            <w:pPr>
              <w:pStyle w:val="TableContents"/>
              <w:spacing w:before="0" w:after="0"/>
              <w:jc w:val="both"/>
              <w:rPr>
                <w:rFonts w:ascii="Times New Roman" w:hAnsi="Times New Roman"/>
                <w:sz w:val="20"/>
              </w:rPr>
            </w:pPr>
            <w:r>
              <w:rPr>
                <w:rFonts w:ascii="Times New Roman" w:hAnsi="Times New Roman"/>
                <w:sz w:val="20"/>
              </w:rPr>
              <w:t xml:space="preserve">costs (€682 thousand), costs for audit of the financial statements (€538 thousand) and Supervisory Board remuneration (€269 thousand) which are not directly incremental. </w:t>
            </w:r>
          </w:p>
        </w:tc>
      </w:tr>
    </w:tbl>
    <w:p>
      <w:pPr>
        <w:pStyle w:val="TextBody"/>
        <w:spacing w:before="0" w:after="0"/>
        <w:jc w:val="left"/>
        <w:rPr>
          <w:highlight w:val="white"/>
        </w:rPr>
      </w:pPr>
      <w:r>
        <w:rPr>
          <w:highlight w:val="white"/>
        </w:rPr>
        <w:t> </w:t>
      </w:r>
    </w:p>
    <w:tbl>
      <w:tblPr>
        <w:tblW w:w="7308" w:type="dxa"/>
        <w:jc w:val="left"/>
        <w:tblInd w:w="0" w:type="dxa"/>
        <w:tblCellMar>
          <w:top w:w="0" w:type="dxa"/>
          <w:left w:w="0" w:type="dxa"/>
          <w:bottom w:w="0" w:type="dxa"/>
          <w:right w:w="0" w:type="dxa"/>
        </w:tblCellMar>
      </w:tblPr>
      <w:tblGrid>
        <w:gridCol w:w="2690"/>
        <w:gridCol w:w="120"/>
        <w:gridCol w:w="66"/>
        <w:gridCol w:w="708"/>
        <w:gridCol w:w="66"/>
        <w:gridCol w:w="133"/>
        <w:gridCol w:w="66"/>
        <w:gridCol w:w="842"/>
        <w:gridCol w:w="66"/>
        <w:gridCol w:w="133"/>
        <w:gridCol w:w="149"/>
        <w:gridCol w:w="1131"/>
        <w:gridCol w:w="89"/>
        <w:gridCol w:w="66"/>
        <w:gridCol w:w="66"/>
        <w:gridCol w:w="842"/>
        <w:gridCol w:w="75"/>
      </w:tblGrid>
      <w:tr>
        <w:trPr/>
        <w:tc>
          <w:tcPr>
            <w:tcW w:w="26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6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423" w:type="dxa"/>
            <w:gridSpan w:val="14"/>
            <w:tcBorders/>
            <w:shd w:fill="auto" w:val="clear"/>
            <w:vAlign w:val="center"/>
          </w:tcPr>
          <w:p>
            <w:pPr>
              <w:pStyle w:val="TableContents"/>
              <w:spacing w:before="0" w:after="283"/>
              <w:jc w:val="center"/>
              <w:rPr/>
            </w:pPr>
            <w:r>
              <w:rPr/>
              <w:t>For the year ended December 31, 2020</w:t>
            </w:r>
          </w:p>
        </w:tc>
        <w:tc>
          <w:tcPr>
            <w:tcW w:w="75" w:type="dxa"/>
            <w:tcBorders/>
            <w:shd w:fill="auto"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774" w:type="dxa"/>
            <w:gridSpan w:val="2"/>
            <w:tcBorders/>
            <w:shd w:fill="auto" w:val="clear"/>
            <w:vAlign w:val="center"/>
          </w:tcPr>
          <w:p>
            <w:pPr>
              <w:pStyle w:val="TableContents"/>
              <w:spacing w:before="0" w:after="283"/>
              <w:jc w:val="center"/>
              <w:rPr/>
            </w:pPr>
            <w:r>
              <w:rPr/>
              <w:t>Air</w:t>
            </w:r>
          </w:p>
        </w:tc>
        <w:tc>
          <w:tcPr>
            <w:tcW w:w="66"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908" w:type="dxa"/>
            <w:gridSpan w:val="2"/>
            <w:tcBorders/>
            <w:shd w:fill="auto" w:val="clear"/>
            <w:vAlign w:val="center"/>
          </w:tcPr>
          <w:p>
            <w:pPr>
              <w:pStyle w:val="TableContents"/>
              <w:spacing w:before="0" w:after="283"/>
              <w:jc w:val="center"/>
              <w:rPr/>
            </w:pPr>
            <w:r>
              <w:rPr/>
              <w:t>Space</w:t>
            </w:r>
          </w:p>
        </w:tc>
        <w:tc>
          <w:tcPr>
            <w:tcW w:w="66"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283"/>
              <w:jc w:val="center"/>
              <w:rPr/>
            </w:pPr>
            <w:r>
              <w:rPr/>
              <w:t>Not allocated</w:t>
            </w:r>
          </w:p>
        </w:tc>
        <w:tc>
          <w:tcPr>
            <w:tcW w:w="89"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908" w:type="dxa"/>
            <w:gridSpan w:val="2"/>
            <w:tcBorders/>
            <w:shd w:fill="auto" w:val="clear"/>
            <w:vAlign w:val="center"/>
          </w:tcPr>
          <w:p>
            <w:pPr>
              <w:pStyle w:val="TableContents"/>
              <w:spacing w:before="0" w:after="283"/>
              <w:jc w:val="center"/>
              <w:rPr/>
            </w:pPr>
            <w:r>
              <w:rPr/>
              <w:t>Group</w:t>
            </w:r>
          </w:p>
        </w:tc>
        <w:tc>
          <w:tcPr>
            <w:tcW w:w="75" w:type="dxa"/>
            <w:tcBorders/>
            <w:shd w:fill="auto" w:val="clear"/>
            <w:vAlign w:val="center"/>
          </w:tcPr>
          <w:p>
            <w:pPr>
              <w:pStyle w:val="TableContents"/>
              <w:spacing w:before="0" w:after="283"/>
              <w:rPr/>
            </w:pPr>
            <w:r>
              <w:rPr/>
              <w:t> </w:t>
            </w:r>
          </w:p>
        </w:tc>
      </w:tr>
      <w:tr>
        <w:trPr/>
        <w:tc>
          <w:tcPr>
            <w:tcW w:w="26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Revenue</w:t>
            </w:r>
          </w:p>
        </w:tc>
        <w:tc>
          <w:tcPr>
            <w:tcW w:w="12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708" w:type="dxa"/>
            <w:tcBorders/>
            <w:shd w:fill="CCEEFF" w:val="clear"/>
            <w:vAlign w:val="center"/>
          </w:tcPr>
          <w:p>
            <w:pPr>
              <w:pStyle w:val="TableContents"/>
              <w:spacing w:before="0" w:after="283"/>
              <w:jc w:val="right"/>
              <w:rPr/>
            </w:pPr>
            <w:r>
              <w:rPr/>
              <w:t>589</w:t>
            </w:r>
          </w:p>
        </w:tc>
        <w:tc>
          <w:tcPr>
            <w:tcW w:w="66"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842" w:type="dxa"/>
            <w:tcBorders/>
            <w:shd w:fill="CCEEFF" w:val="clear"/>
            <w:vAlign w:val="center"/>
          </w:tcPr>
          <w:p>
            <w:pPr>
              <w:pStyle w:val="TableContents"/>
              <w:spacing w:before="0" w:after="283"/>
              <w:jc w:val="right"/>
              <w:rPr/>
            </w:pPr>
            <w:r>
              <w:rPr/>
              <w:t>90</w:t>
            </w:r>
          </w:p>
        </w:tc>
        <w:tc>
          <w:tcPr>
            <w:tcW w:w="66"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jc w:val="right"/>
              <w:rPr/>
            </w:pPr>
            <w:r>
              <w:rPr/>
              <w:t>0</w:t>
            </w:r>
          </w:p>
        </w:tc>
        <w:tc>
          <w:tcPr>
            <w:tcW w:w="89"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842" w:type="dxa"/>
            <w:tcBorders/>
            <w:shd w:fill="CCEEFF" w:val="clear"/>
            <w:vAlign w:val="center"/>
          </w:tcPr>
          <w:p>
            <w:pPr>
              <w:pStyle w:val="TableContents"/>
              <w:spacing w:before="0" w:after="283"/>
              <w:jc w:val="right"/>
              <w:rPr/>
            </w:pPr>
            <w:r>
              <w:rPr/>
              <w:t>679</w:t>
            </w:r>
          </w:p>
        </w:tc>
        <w:tc>
          <w:tcPr>
            <w:tcW w:w="75" w:type="dxa"/>
            <w:tcBorders/>
            <w:shd w:fill="CCEEFF"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Operating profit/loss</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0"/>
              <w:rPr>
                <w:spacing w:val="0"/>
              </w:rPr>
            </w:pPr>
            <w:r>
              <w:rPr>
                <w:spacing w:val="0"/>
              </w:rPr>
              <w:t> </w:t>
            </w:r>
          </w:p>
        </w:tc>
        <w:tc>
          <w:tcPr>
            <w:tcW w:w="708" w:type="dxa"/>
            <w:tcBorders/>
            <w:shd w:fill="auto" w:val="clear"/>
            <w:vAlign w:val="center"/>
          </w:tcPr>
          <w:p>
            <w:pPr>
              <w:pStyle w:val="TableContents"/>
              <w:spacing w:before="0" w:after="0"/>
              <w:jc w:val="right"/>
              <w:rPr>
                <w:b/>
                <w:spacing w:val="0"/>
              </w:rPr>
            </w:pPr>
            <w:r>
              <w:rPr>
                <w:b/>
                <w:spacing w:val="0"/>
              </w:rPr>
              <w:t>-6,423</w:t>
            </w:r>
          </w:p>
        </w:tc>
        <w:tc>
          <w:tcPr>
            <w:tcW w:w="66" w:type="dxa"/>
            <w:tcBorders/>
            <w:shd w:fill="auto" w:val="clear"/>
            <w:vAlign w:val="center"/>
          </w:tcPr>
          <w:p>
            <w:pPr>
              <w:pStyle w:val="TableContents"/>
              <w:spacing w:before="0" w:after="0"/>
              <w:rPr>
                <w:spacing w:val="0"/>
              </w:rPr>
            </w:pPr>
            <w:r>
              <w:rPr>
                <w:spacing w:val="0"/>
              </w:rPr>
              <w:t> </w:t>
            </w:r>
          </w:p>
        </w:tc>
        <w:tc>
          <w:tcPr>
            <w:tcW w:w="133"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0"/>
              <w:rPr>
                <w:spacing w:val="0"/>
              </w:rPr>
            </w:pPr>
            <w:r>
              <w:rPr>
                <w:spacing w:val="0"/>
              </w:rPr>
              <w:t> </w:t>
            </w:r>
          </w:p>
        </w:tc>
        <w:tc>
          <w:tcPr>
            <w:tcW w:w="842" w:type="dxa"/>
            <w:tcBorders/>
            <w:shd w:fill="auto" w:val="clear"/>
            <w:vAlign w:val="center"/>
          </w:tcPr>
          <w:p>
            <w:pPr>
              <w:pStyle w:val="TableContents"/>
              <w:spacing w:before="0" w:after="0"/>
              <w:jc w:val="right"/>
              <w:rPr>
                <w:b/>
                <w:spacing w:val="0"/>
              </w:rPr>
            </w:pPr>
            <w:r>
              <w:rPr>
                <w:b/>
                <w:spacing w:val="0"/>
              </w:rPr>
              <w:t>-12,391</w:t>
            </w:r>
          </w:p>
        </w:tc>
        <w:tc>
          <w:tcPr>
            <w:tcW w:w="66" w:type="dxa"/>
            <w:tcBorders/>
            <w:shd w:fill="auto" w:val="clear"/>
            <w:vAlign w:val="center"/>
          </w:tcPr>
          <w:p>
            <w:pPr>
              <w:pStyle w:val="TableContents"/>
              <w:spacing w:before="0" w:after="0"/>
              <w:rPr>
                <w:spacing w:val="0"/>
              </w:rPr>
            </w:pPr>
            <w:r>
              <w:rPr>
                <w:spacing w:val="0"/>
              </w:rPr>
              <w:t> </w:t>
            </w:r>
          </w:p>
        </w:tc>
        <w:tc>
          <w:tcPr>
            <w:tcW w:w="133"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rPr>
            </w:pPr>
            <w:r>
              <w:rPr>
                <w:spacing w:val="0"/>
              </w:rPr>
              <w:t> </w:t>
            </w:r>
          </w:p>
        </w:tc>
        <w:tc>
          <w:tcPr>
            <w:tcW w:w="1131" w:type="dxa"/>
            <w:tcBorders/>
            <w:shd w:fill="auto" w:val="clear"/>
            <w:vAlign w:val="center"/>
          </w:tcPr>
          <w:p>
            <w:pPr>
              <w:pStyle w:val="TableContents"/>
              <w:spacing w:before="0" w:after="0"/>
              <w:jc w:val="right"/>
              <w:rPr>
                <w:b/>
                <w:spacing w:val="0"/>
              </w:rPr>
            </w:pPr>
            <w:r>
              <w:rPr>
                <w:b/>
                <w:spacing w:val="0"/>
              </w:rPr>
              <w:t>-443</w:t>
            </w:r>
          </w:p>
        </w:tc>
        <w:tc>
          <w:tcPr>
            <w:tcW w:w="89" w:type="dxa"/>
            <w:tcBorders/>
            <w:shd w:fill="auto" w:val="clear"/>
            <w:vAlign w:val="center"/>
          </w:tcPr>
          <w:p>
            <w:pPr>
              <w:pStyle w:val="TableContents"/>
              <w:spacing w:before="0" w:after="0"/>
              <w:rPr>
                <w:b/>
                <w:spacing w:val="0"/>
                <w:sz w:val="12"/>
              </w:rPr>
            </w:pPr>
            <w:r>
              <w:rPr>
                <w:b/>
                <w:spacing w:val="0"/>
                <w:sz w:val="12"/>
              </w:rPr>
              <w:t>4</w:t>
            </w:r>
          </w:p>
          <w:p>
            <w:pPr>
              <w:pStyle w:val="TableContents"/>
              <w:spacing w:before="0" w:after="0"/>
              <w:rPr>
                <w:spacing w:val="0"/>
              </w:rPr>
            </w:pPr>
            <w:r>
              <w:rPr>
                <w:spacing w:val="0"/>
              </w:rPr>
              <w:t> </w:t>
            </w:r>
          </w:p>
        </w:tc>
        <w:tc>
          <w:tcPr>
            <w:tcW w:w="66"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0"/>
              <w:rPr>
                <w:spacing w:val="0"/>
              </w:rPr>
            </w:pPr>
            <w:r>
              <w:rPr>
                <w:spacing w:val="0"/>
              </w:rPr>
              <w:t> </w:t>
            </w:r>
          </w:p>
        </w:tc>
        <w:tc>
          <w:tcPr>
            <w:tcW w:w="842" w:type="dxa"/>
            <w:tcBorders/>
            <w:shd w:fill="auto" w:val="clear"/>
            <w:vAlign w:val="center"/>
          </w:tcPr>
          <w:p>
            <w:pPr>
              <w:pStyle w:val="TableContents"/>
              <w:spacing w:before="0" w:after="0"/>
              <w:jc w:val="right"/>
              <w:rPr>
                <w:b/>
                <w:spacing w:val="0"/>
              </w:rPr>
            </w:pPr>
            <w:r>
              <w:rPr>
                <w:b/>
                <w:spacing w:val="0"/>
              </w:rPr>
              <w:t>-19,257</w:t>
            </w:r>
          </w:p>
        </w:tc>
        <w:tc>
          <w:tcPr>
            <w:tcW w:w="75" w:type="dxa"/>
            <w:tcBorders/>
            <w:shd w:fill="auto" w:val="clear"/>
            <w:vAlign w:val="center"/>
          </w:tcPr>
          <w:p>
            <w:pPr>
              <w:pStyle w:val="TableContents"/>
              <w:spacing w:before="0" w:after="0"/>
              <w:rPr>
                <w:spacing w:val="0"/>
              </w:rPr>
            </w:pPr>
            <w:r>
              <w:rPr>
                <w:spacing w:val="0"/>
              </w:rPr>
              <w:t> </w:t>
            </w:r>
          </w:p>
        </w:tc>
      </w:tr>
      <w:tr>
        <w:trPr/>
        <w:tc>
          <w:tcPr>
            <w:tcW w:w="26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Interest and similar income</w:t>
            </w:r>
          </w:p>
        </w:tc>
        <w:tc>
          <w:tcPr>
            <w:tcW w:w="12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708"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842"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842" w:type="dxa"/>
            <w:tcBorders/>
            <w:shd w:fill="CCEEFF" w:val="clear"/>
            <w:vAlign w:val="center"/>
          </w:tcPr>
          <w:p>
            <w:pPr>
              <w:pStyle w:val="TableContents"/>
              <w:spacing w:before="0" w:after="283"/>
              <w:jc w:val="right"/>
              <w:rPr/>
            </w:pPr>
            <w:r>
              <w:rPr/>
              <w:t>18</w:t>
            </w:r>
          </w:p>
        </w:tc>
        <w:tc>
          <w:tcPr>
            <w:tcW w:w="75" w:type="dxa"/>
            <w:tcBorders/>
            <w:shd w:fill="CCEEFF"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foreign currency gain / (loss)</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708"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842"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131"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842" w:type="dxa"/>
            <w:tcBorders/>
            <w:shd w:fill="auto" w:val="clear"/>
            <w:vAlign w:val="center"/>
          </w:tcPr>
          <w:p>
            <w:pPr>
              <w:pStyle w:val="TableContents"/>
              <w:spacing w:before="0" w:after="283"/>
              <w:jc w:val="right"/>
              <w:rPr/>
            </w:pPr>
            <w:r>
              <w:rPr/>
              <w:t>-531</w:t>
            </w:r>
          </w:p>
        </w:tc>
        <w:tc>
          <w:tcPr>
            <w:tcW w:w="75" w:type="dxa"/>
            <w:tcBorders/>
            <w:shd w:fill="auto" w:val="clear"/>
            <w:vAlign w:val="center"/>
          </w:tcPr>
          <w:p>
            <w:pPr>
              <w:pStyle w:val="TableContents"/>
              <w:spacing w:before="0" w:after="283"/>
              <w:rPr/>
            </w:pPr>
            <w:r>
              <w:rPr/>
              <w:t> </w:t>
            </w:r>
          </w:p>
        </w:tc>
      </w:tr>
      <w:tr>
        <w:trPr/>
        <w:tc>
          <w:tcPr>
            <w:tcW w:w="269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Net finance costs</w:t>
            </w:r>
          </w:p>
        </w:tc>
        <w:tc>
          <w:tcPr>
            <w:tcW w:w="12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708"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842"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842" w:type="dxa"/>
            <w:tcBorders/>
            <w:shd w:fill="CCEEFF" w:val="clear"/>
            <w:vAlign w:val="center"/>
          </w:tcPr>
          <w:p>
            <w:pPr>
              <w:pStyle w:val="TableContents"/>
              <w:spacing w:before="0" w:after="0"/>
              <w:jc w:val="right"/>
              <w:rPr>
                <w:b/>
                <w:spacing w:val="0"/>
              </w:rPr>
            </w:pPr>
            <w:r>
              <w:rPr>
                <w:b/>
                <w:spacing w:val="0"/>
              </w:rPr>
              <w:t>-513</w:t>
            </w:r>
          </w:p>
        </w:tc>
        <w:tc>
          <w:tcPr>
            <w:tcW w:w="75" w:type="dxa"/>
            <w:tcBorders/>
            <w:shd w:fill="CCEEFF"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Profit/loss before tax</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708"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842"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131"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0"/>
              <w:rPr>
                <w:spacing w:val="0"/>
              </w:rPr>
            </w:pPr>
            <w:r>
              <w:rPr>
                <w:spacing w:val="0"/>
              </w:rPr>
              <w:t> </w:t>
            </w:r>
          </w:p>
        </w:tc>
        <w:tc>
          <w:tcPr>
            <w:tcW w:w="842" w:type="dxa"/>
            <w:tcBorders/>
            <w:shd w:fill="auto" w:val="clear"/>
            <w:vAlign w:val="center"/>
          </w:tcPr>
          <w:p>
            <w:pPr>
              <w:pStyle w:val="TableContents"/>
              <w:spacing w:before="0" w:after="0"/>
              <w:jc w:val="right"/>
              <w:rPr>
                <w:b/>
                <w:spacing w:val="0"/>
              </w:rPr>
            </w:pPr>
            <w:r>
              <w:rPr>
                <w:b/>
                <w:spacing w:val="0"/>
              </w:rPr>
              <w:t>-19,770</w:t>
            </w:r>
          </w:p>
        </w:tc>
        <w:tc>
          <w:tcPr>
            <w:tcW w:w="75" w:type="dxa"/>
            <w:tcBorders/>
            <w:shd w:fill="auto" w:val="clear"/>
            <w:vAlign w:val="center"/>
          </w:tcPr>
          <w:p>
            <w:pPr>
              <w:pStyle w:val="TableContents"/>
              <w:spacing w:before="0" w:after="0"/>
              <w:rPr>
                <w:spacing w:val="0"/>
              </w:rPr>
            </w:pPr>
            <w:r>
              <w:rPr>
                <w:spacing w:val="0"/>
              </w:rPr>
              <w:t> </w:t>
            </w:r>
          </w:p>
        </w:tc>
      </w:tr>
      <w:tr>
        <w:trPr/>
        <w:tc>
          <w:tcPr>
            <w:tcW w:w="26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Income tax expense</w:t>
            </w:r>
          </w:p>
        </w:tc>
        <w:tc>
          <w:tcPr>
            <w:tcW w:w="12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708"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842"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842" w:type="dxa"/>
            <w:tcBorders/>
            <w:shd w:fill="CCEEFF" w:val="clear"/>
            <w:vAlign w:val="center"/>
          </w:tcPr>
          <w:p>
            <w:pPr>
              <w:pStyle w:val="TableContents"/>
              <w:spacing w:before="0" w:after="283"/>
              <w:jc w:val="right"/>
              <w:rPr/>
            </w:pPr>
            <w:r>
              <w:rPr/>
              <w:t>0</w:t>
            </w:r>
          </w:p>
        </w:tc>
        <w:tc>
          <w:tcPr>
            <w:tcW w:w="75" w:type="dxa"/>
            <w:tcBorders/>
            <w:shd w:fill="CCEEFF"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Consolidated net profit/loss</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708"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842"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131"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842" w:type="dxa"/>
            <w:tcBorders/>
            <w:shd w:fill="auto" w:val="clear"/>
            <w:vAlign w:val="center"/>
          </w:tcPr>
          <w:p>
            <w:pPr>
              <w:pStyle w:val="TableContents"/>
              <w:spacing w:before="0" w:after="0"/>
              <w:jc w:val="right"/>
              <w:rPr>
                <w:b/>
                <w:spacing w:val="0"/>
              </w:rPr>
            </w:pPr>
            <w:r>
              <w:rPr>
                <w:b/>
                <w:spacing w:val="0"/>
              </w:rPr>
              <w:t>-19,770</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95"/>
        <w:gridCol w:w="10110"/>
      </w:tblGrid>
      <w:tr>
        <w:trPr/>
        <w:tc>
          <w:tcPr>
            <w:tcW w:w="95" w:type="dxa"/>
            <w:tcBorders/>
            <w:shd w:fill="auto" w:val="clear"/>
            <w:vAlign w:val="center"/>
          </w:tcPr>
          <w:p>
            <w:pPr>
              <w:pStyle w:val="TableContents"/>
              <w:spacing w:before="0" w:after="0"/>
              <w:jc w:val="both"/>
              <w:rPr>
                <w:sz w:val="12"/>
              </w:rPr>
            </w:pPr>
            <w:r>
              <w:rPr>
                <w:sz w:val="12"/>
              </w:rPr>
              <w:t>4</w:t>
            </w:r>
          </w:p>
          <w:p>
            <w:pPr>
              <w:pStyle w:val="TableContents"/>
              <w:spacing w:before="0" w:after="0"/>
              <w:jc w:val="both"/>
              <w:rPr/>
            </w:pPr>
            <w:r>
              <w:rPr/>
              <w:t> </w:t>
            </w:r>
          </w:p>
        </w:tc>
        <w:tc>
          <w:tcPr>
            <w:tcW w:w="1011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Including costs for the audit of the financial statements (€313 thousand) as well as Supervisory Board remuneration (€130 thousand).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For the year ended December 31, 2022, expenses related to the write offs of inventories have been recognized for the Segment Space in the amount of €5,982 thousand (2021: €2,501 thousand, 2020: €0 thousand). For the year ended December 31, 2022, expenses related to the write offs of inventories have been recognized for the Segment Air in the amount of €1,500 thousand (2021: €0 thousand, 2020: €120 thousand).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For the year ended December 31, 2022, an impairment was recognized in the amount of €1,531 thousand (2021: €0, 2020: €0) related to capitalized development costs in the segment Space (refer to Note 17).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With respect to the information on geographical regions, revenue is allocated to the countries based on the country of destination of the respective customer; </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240" w:after="0"/>
        <w:jc w:val="both"/>
        <w:rPr>
          <w:rFonts w:ascii="Times New Roman" w:hAnsi="Times New Roman"/>
          <w:sz w:val="20"/>
          <w:highlight w:val="white"/>
        </w:rPr>
      </w:pPr>
      <w:r>
        <w:rPr>
          <w:rFonts w:ascii="Times New Roman" w:hAnsi="Times New Roman"/>
          <w:sz w:val="20"/>
          <w:highlight w:val="white"/>
        </w:rPr>
        <w:t>assets are allocated to the location of the respective asset.</w:t>
      </w:r>
    </w:p>
    <w:p>
      <w:pPr>
        <w:pStyle w:val="TextBody"/>
        <w:spacing w:before="24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Revenue can be broken down by country as follows:</w:t>
      </w:r>
    </w:p>
    <w:p>
      <w:pPr>
        <w:pStyle w:val="TextBody"/>
        <w:spacing w:before="0" w:after="0"/>
        <w:jc w:val="left"/>
        <w:rPr>
          <w:highlight w:val="white"/>
        </w:rPr>
      </w:pPr>
      <w:r>
        <w:rPr>
          <w:highlight w:val="white"/>
        </w:rPr>
        <w:t> </w:t>
      </w:r>
    </w:p>
    <w:tbl>
      <w:tblPr>
        <w:tblW w:w="7310" w:type="dxa"/>
        <w:jc w:val="left"/>
        <w:tblInd w:w="0" w:type="dxa"/>
        <w:tblCellMar>
          <w:top w:w="0" w:type="dxa"/>
          <w:left w:w="0" w:type="dxa"/>
          <w:bottom w:w="0" w:type="dxa"/>
          <w:right w:w="0" w:type="dxa"/>
        </w:tblCellMar>
      </w:tblPr>
      <w:tblGrid>
        <w:gridCol w:w="1070"/>
        <w:gridCol w:w="120"/>
        <w:gridCol w:w="183"/>
        <w:gridCol w:w="1712"/>
        <w:gridCol w:w="60"/>
        <w:gridCol w:w="120"/>
        <w:gridCol w:w="183"/>
        <w:gridCol w:w="1712"/>
        <w:gridCol w:w="60"/>
        <w:gridCol w:w="120"/>
        <w:gridCol w:w="258"/>
        <w:gridCol w:w="1637"/>
        <w:gridCol w:w="75"/>
      </w:tblGrid>
      <w:tr>
        <w:trPr/>
        <w:tc>
          <w:tcPr>
            <w:tcW w:w="10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63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0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45" w:type="dxa"/>
            <w:gridSpan w:val="10"/>
            <w:tcBorders/>
            <w:shd w:fill="auto" w:val="clear"/>
            <w:vAlign w:val="center"/>
          </w:tcPr>
          <w:p>
            <w:pPr>
              <w:pStyle w:val="TableContents"/>
              <w:spacing w:before="0" w:after="283"/>
              <w:jc w:val="center"/>
              <w:rPr/>
            </w:pPr>
            <w:r>
              <w:rPr/>
              <w:t>For the years ended</w:t>
            </w:r>
          </w:p>
        </w:tc>
        <w:tc>
          <w:tcPr>
            <w:tcW w:w="75" w:type="dxa"/>
            <w:tcBorders/>
            <w:shd w:fill="auto" w:val="clear"/>
            <w:vAlign w:val="center"/>
          </w:tcPr>
          <w:p>
            <w:pPr>
              <w:pStyle w:val="TableContents"/>
              <w:spacing w:before="0" w:after="283"/>
              <w:rPr/>
            </w:pPr>
            <w:r>
              <w:rPr/>
              <w:t> </w:t>
            </w:r>
          </w:p>
        </w:tc>
      </w:tr>
      <w:tr>
        <w:trPr/>
        <w:tc>
          <w:tcPr>
            <w:tcW w:w="1070"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2020</w:t>
            </w:r>
          </w:p>
        </w:tc>
        <w:tc>
          <w:tcPr>
            <w:tcW w:w="75" w:type="dxa"/>
            <w:tcBorders/>
            <w:shd w:fill="auto" w:val="clear"/>
            <w:vAlign w:val="center"/>
          </w:tcPr>
          <w:p>
            <w:pPr>
              <w:pStyle w:val="TableContents"/>
              <w:spacing w:before="0" w:after="283"/>
              <w:rPr/>
            </w:pPr>
            <w:r>
              <w:rPr/>
              <w:t> </w:t>
            </w:r>
          </w:p>
        </w:tc>
      </w:tr>
      <w:tr>
        <w:trPr/>
        <w:tc>
          <w:tcPr>
            <w:tcW w:w="10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USA</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4,422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2,355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58" w:type="dxa"/>
            <w:tcBorders/>
            <w:shd w:fill="CCEEFF" w:val="clear"/>
            <w:vAlign w:val="center"/>
          </w:tcPr>
          <w:p>
            <w:pPr>
              <w:pStyle w:val="TableContents"/>
              <w:spacing w:before="0" w:after="283"/>
              <w:rPr/>
            </w:pPr>
            <w:r>
              <w:rPr/>
              <w:t> </w:t>
            </w:r>
          </w:p>
        </w:tc>
        <w:tc>
          <w:tcPr>
            <w:tcW w:w="1637" w:type="dxa"/>
            <w:tcBorders/>
            <w:shd w:fill="CCEEFF" w:val="clear"/>
            <w:vAlign w:val="center"/>
          </w:tcPr>
          <w:p>
            <w:pPr>
              <w:pStyle w:val="TableContents"/>
              <w:spacing w:before="0" w:after="283"/>
              <w:jc w:val="right"/>
              <w:rPr/>
            </w:pPr>
            <w:r>
              <w:rPr/>
              <w:t>467</w:t>
            </w:r>
          </w:p>
        </w:tc>
        <w:tc>
          <w:tcPr>
            <w:tcW w:w="75" w:type="dxa"/>
            <w:tcBorders/>
            <w:shd w:fill="CCEEFF" w:val="clear"/>
            <w:vAlign w:val="center"/>
          </w:tcPr>
          <w:p>
            <w:pPr>
              <w:pStyle w:val="TableContents"/>
              <w:spacing w:before="0" w:after="283"/>
              <w:rPr/>
            </w:pPr>
            <w:r>
              <w:rPr/>
              <w:t> </w:t>
            </w:r>
          </w:p>
        </w:tc>
      </w:tr>
      <w:tr>
        <w:trPr/>
        <w:tc>
          <w:tcPr>
            <w:tcW w:w="10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Canada</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 </w:t>
            </w:r>
          </w:p>
        </w:tc>
        <w:tc>
          <w:tcPr>
            <w:tcW w:w="1637" w:type="dxa"/>
            <w:tcBorders/>
            <w:shd w:fill="auto" w:val="clear"/>
            <w:vAlign w:val="center"/>
          </w:tcPr>
          <w:p>
            <w:pPr>
              <w:pStyle w:val="TableContents"/>
              <w:spacing w:before="0" w:after="283"/>
              <w:jc w:val="right"/>
              <w:rPr/>
            </w:pPr>
            <w:r>
              <w:rPr/>
              <w:t>122</w:t>
            </w:r>
          </w:p>
        </w:tc>
        <w:tc>
          <w:tcPr>
            <w:tcW w:w="75" w:type="dxa"/>
            <w:tcBorders/>
            <w:shd w:fill="auto" w:val="clear"/>
            <w:vAlign w:val="center"/>
          </w:tcPr>
          <w:p>
            <w:pPr>
              <w:pStyle w:val="TableContents"/>
              <w:spacing w:before="0" w:after="283"/>
              <w:rPr/>
            </w:pPr>
            <w:r>
              <w:rPr/>
              <w:t> </w:t>
            </w:r>
          </w:p>
        </w:tc>
      </w:tr>
      <w:tr>
        <w:trPr/>
        <w:tc>
          <w:tcPr>
            <w:tcW w:w="10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Belgium</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58" w:type="dxa"/>
            <w:tcBorders/>
            <w:shd w:fill="CCEEFF" w:val="clear"/>
            <w:vAlign w:val="center"/>
          </w:tcPr>
          <w:p>
            <w:pPr>
              <w:pStyle w:val="TableContents"/>
              <w:spacing w:before="0" w:after="283"/>
              <w:rPr/>
            </w:pPr>
            <w:r>
              <w:rPr/>
              <w:t> </w:t>
            </w:r>
          </w:p>
        </w:tc>
        <w:tc>
          <w:tcPr>
            <w:tcW w:w="1637" w:type="dxa"/>
            <w:tcBorders/>
            <w:shd w:fill="CCEEFF" w:val="clear"/>
            <w:vAlign w:val="center"/>
          </w:tcPr>
          <w:p>
            <w:pPr>
              <w:pStyle w:val="TableContents"/>
              <w:spacing w:before="0" w:after="283"/>
              <w:jc w:val="right"/>
              <w:rPr/>
            </w:pPr>
            <w:r>
              <w:rPr/>
              <w:t>90</w:t>
            </w:r>
          </w:p>
        </w:tc>
        <w:tc>
          <w:tcPr>
            <w:tcW w:w="75" w:type="dxa"/>
            <w:tcBorders/>
            <w:shd w:fill="CCEEFF" w:val="clear"/>
            <w:vAlign w:val="center"/>
          </w:tcPr>
          <w:p>
            <w:pPr>
              <w:pStyle w:val="TableContents"/>
              <w:spacing w:before="0" w:after="283"/>
              <w:rPr/>
            </w:pPr>
            <w:r>
              <w:rPr/>
              <w:t> </w:t>
            </w:r>
          </w:p>
        </w:tc>
      </w:tr>
      <w:tr>
        <w:trPr/>
        <w:tc>
          <w:tcPr>
            <w:tcW w:w="10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4,422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2,355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 </w:t>
            </w:r>
          </w:p>
        </w:tc>
        <w:tc>
          <w:tcPr>
            <w:tcW w:w="1637" w:type="dxa"/>
            <w:tcBorders/>
            <w:shd w:fill="auto" w:val="clear"/>
            <w:vAlign w:val="center"/>
          </w:tcPr>
          <w:p>
            <w:pPr>
              <w:pStyle w:val="TableContents"/>
              <w:spacing w:before="0" w:after="283"/>
              <w:jc w:val="right"/>
              <w:rPr/>
            </w:pPr>
            <w:r>
              <w:rPr/>
              <w:t>679</w:t>
            </w:r>
          </w:p>
        </w:tc>
        <w:tc>
          <w:tcPr>
            <w:tcW w:w="75" w:type="dxa"/>
            <w:tcBorders/>
            <w:shd w:fill="auto" w:val="clear"/>
            <w:vAlign w:val="center"/>
          </w:tcPr>
          <w:p>
            <w:pPr>
              <w:pStyle w:val="TableContents"/>
              <w:spacing w:before="0" w:after="283"/>
              <w:rPr/>
            </w:pPr>
            <w:r>
              <w:rPr/>
              <w:t> </w:t>
            </w:r>
          </w:p>
        </w:tc>
      </w:tr>
    </w:tbl>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assets can be broken down by country as follows: </w:t>
      </w:r>
    </w:p>
    <w:p>
      <w:pPr>
        <w:pStyle w:val="TextBody"/>
        <w:spacing w:before="0" w:after="0"/>
        <w:jc w:val="left"/>
        <w:rPr>
          <w:highlight w:val="white"/>
        </w:rPr>
      </w:pPr>
      <w:r>
        <w:rPr>
          <w:highlight w:val="white"/>
        </w:rPr>
        <w:t> </w:t>
      </w:r>
    </w:p>
    <w:tbl>
      <w:tblPr>
        <w:tblW w:w="8780" w:type="dxa"/>
        <w:jc w:val="left"/>
        <w:tblInd w:w="0" w:type="dxa"/>
        <w:tblCellMar>
          <w:top w:w="0" w:type="dxa"/>
          <w:left w:w="0" w:type="dxa"/>
          <w:bottom w:w="0" w:type="dxa"/>
          <w:right w:w="0" w:type="dxa"/>
        </w:tblCellMar>
      </w:tblPr>
      <w:tblGrid>
        <w:gridCol w:w="2540"/>
        <w:gridCol w:w="120"/>
        <w:gridCol w:w="153"/>
        <w:gridCol w:w="1742"/>
        <w:gridCol w:w="60"/>
        <w:gridCol w:w="120"/>
        <w:gridCol w:w="153"/>
        <w:gridCol w:w="1742"/>
        <w:gridCol w:w="60"/>
        <w:gridCol w:w="120"/>
        <w:gridCol w:w="153"/>
        <w:gridCol w:w="1742"/>
        <w:gridCol w:w="75"/>
      </w:tblGrid>
      <w:tr>
        <w:trPr/>
        <w:tc>
          <w:tcPr>
            <w:tcW w:w="25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74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74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74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540"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2020</w:t>
            </w:r>
          </w:p>
        </w:tc>
        <w:tc>
          <w:tcPr>
            <w:tcW w:w="75" w:type="dxa"/>
            <w:tcBorders/>
            <w:shd w:fill="auto" w:val="clear"/>
            <w:vAlign w:val="center"/>
          </w:tcPr>
          <w:p>
            <w:pPr>
              <w:pStyle w:val="TableContents"/>
              <w:spacing w:before="0" w:after="283"/>
              <w:rPr/>
            </w:pPr>
            <w:r>
              <w:rPr/>
              <w:t> </w:t>
            </w:r>
          </w:p>
        </w:tc>
      </w:tr>
      <w:tr>
        <w:trPr/>
        <w:tc>
          <w:tcPr>
            <w:tcW w:w="254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Germany</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25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Intangible assets</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jc w:val="right"/>
              <w:rPr/>
            </w:pPr>
            <w:r>
              <w:rPr/>
              <w:t>18,058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jc w:val="right"/>
              <w:rPr/>
            </w:pPr>
            <w:r>
              <w:rPr/>
              <w:t>19,969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jc w:val="right"/>
              <w:rPr/>
            </w:pPr>
            <w:r>
              <w:rPr/>
              <w:t>17,884</w:t>
            </w:r>
          </w:p>
        </w:tc>
        <w:tc>
          <w:tcPr>
            <w:tcW w:w="75" w:type="dxa"/>
            <w:tcBorders/>
            <w:shd w:fill="auto" w:val="clear"/>
            <w:vAlign w:val="center"/>
          </w:tcPr>
          <w:p>
            <w:pPr>
              <w:pStyle w:val="TableContents"/>
              <w:spacing w:before="0" w:after="283"/>
              <w:rPr/>
            </w:pPr>
            <w:r>
              <w:rPr/>
              <w:t> </w:t>
            </w:r>
          </w:p>
        </w:tc>
      </w:tr>
      <w:tr>
        <w:trPr/>
        <w:tc>
          <w:tcPr>
            <w:tcW w:w="25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Property, plant, and equipment</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18,589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14,490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9,849</w:t>
            </w:r>
          </w:p>
        </w:tc>
        <w:tc>
          <w:tcPr>
            <w:tcW w:w="75" w:type="dxa"/>
            <w:tcBorders/>
            <w:shd w:fill="CCEEFF" w:val="clear"/>
            <w:vAlign w:val="center"/>
          </w:tcPr>
          <w:p>
            <w:pPr>
              <w:pStyle w:val="TableContents"/>
              <w:spacing w:before="0" w:after="283"/>
              <w:rPr/>
            </w:pPr>
            <w:r>
              <w:rPr/>
              <w:t> </w:t>
            </w:r>
          </w:p>
        </w:tc>
      </w:tr>
      <w:tr>
        <w:trPr/>
        <w:tc>
          <w:tcPr>
            <w:tcW w:w="25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Right-of-use</w:t>
            </w:r>
          </w:p>
          <w:p>
            <w:pPr>
              <w:pStyle w:val="TableContents"/>
              <w:spacing w:before="0" w:after="0"/>
              <w:rPr>
                <w:rFonts w:ascii="Times New Roman" w:hAnsi="Times New Roman"/>
                <w:sz w:val="20"/>
              </w:rPr>
            </w:pPr>
            <w:r>
              <w:rPr>
                <w:rFonts w:ascii="Times New Roman" w:hAnsi="Times New Roman"/>
                <w:sz w:val="20"/>
              </w:rPr>
              <w:t>assets</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jc w:val="right"/>
              <w:rPr/>
            </w:pPr>
            <w:r>
              <w:rPr/>
              <w:t>6,447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jc w:val="right"/>
              <w:rPr/>
            </w:pPr>
            <w:r>
              <w:rPr/>
              <w:t>6,053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jc w:val="right"/>
              <w:rPr/>
            </w:pPr>
            <w:r>
              <w:rPr/>
              <w:t>6,886</w:t>
            </w:r>
          </w:p>
        </w:tc>
        <w:tc>
          <w:tcPr>
            <w:tcW w:w="75" w:type="dxa"/>
            <w:tcBorders/>
            <w:shd w:fill="auto" w:val="clear"/>
            <w:vAlign w:val="center"/>
          </w:tcPr>
          <w:p>
            <w:pPr>
              <w:pStyle w:val="TableContents"/>
              <w:spacing w:before="0" w:after="283"/>
              <w:rPr/>
            </w:pPr>
            <w:r>
              <w:rPr/>
              <w:t> </w:t>
            </w:r>
          </w:p>
        </w:tc>
      </w:tr>
      <w:tr>
        <w:trPr/>
        <w:tc>
          <w:tcPr>
            <w:tcW w:w="254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Germany, total</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0"/>
              <w:rPr>
                <w:spacing w:val="0"/>
              </w:rPr>
            </w:pPr>
            <w:r>
              <w:rPr>
                <w:spacing w:val="0"/>
              </w:rPr>
              <w:t> </w:t>
            </w:r>
          </w:p>
        </w:tc>
        <w:tc>
          <w:tcPr>
            <w:tcW w:w="1742" w:type="dxa"/>
            <w:tcBorders/>
            <w:shd w:fill="CCEEFF" w:val="clear"/>
            <w:vAlign w:val="center"/>
          </w:tcPr>
          <w:p>
            <w:pPr>
              <w:pStyle w:val="TableContents"/>
              <w:spacing w:before="0" w:after="0"/>
              <w:jc w:val="right"/>
              <w:rPr>
                <w:b/>
                <w:spacing w:val="0"/>
              </w:rPr>
            </w:pPr>
            <w:r>
              <w:rPr>
                <w:b/>
                <w:spacing w:val="0"/>
              </w:rPr>
              <w:t>43,094</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0"/>
              <w:rPr>
                <w:spacing w:val="0"/>
              </w:rPr>
            </w:pPr>
            <w:r>
              <w:rPr>
                <w:spacing w:val="0"/>
              </w:rPr>
              <w:t> </w:t>
            </w:r>
          </w:p>
        </w:tc>
        <w:tc>
          <w:tcPr>
            <w:tcW w:w="1742" w:type="dxa"/>
            <w:tcBorders/>
            <w:shd w:fill="CCEEFF" w:val="clear"/>
            <w:vAlign w:val="center"/>
          </w:tcPr>
          <w:p>
            <w:pPr>
              <w:pStyle w:val="TableContents"/>
              <w:spacing w:before="0" w:after="0"/>
              <w:jc w:val="right"/>
              <w:rPr>
                <w:b/>
                <w:spacing w:val="0"/>
              </w:rPr>
            </w:pPr>
            <w:r>
              <w:rPr>
                <w:b/>
                <w:spacing w:val="0"/>
              </w:rPr>
              <w:t>40,512</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0"/>
              <w:rPr>
                <w:spacing w:val="0"/>
              </w:rPr>
            </w:pPr>
            <w:r>
              <w:rPr>
                <w:spacing w:val="0"/>
              </w:rPr>
              <w:t> </w:t>
            </w:r>
          </w:p>
        </w:tc>
        <w:tc>
          <w:tcPr>
            <w:tcW w:w="1742" w:type="dxa"/>
            <w:tcBorders/>
            <w:shd w:fill="CCEEFF" w:val="clear"/>
            <w:vAlign w:val="center"/>
          </w:tcPr>
          <w:p>
            <w:pPr>
              <w:pStyle w:val="TableContents"/>
              <w:spacing w:before="0" w:after="0"/>
              <w:jc w:val="right"/>
              <w:rPr>
                <w:b/>
                <w:spacing w:val="0"/>
              </w:rPr>
            </w:pPr>
            <w:r>
              <w:rPr>
                <w:b/>
                <w:spacing w:val="0"/>
              </w:rPr>
              <w:t>34,619</w:t>
            </w:r>
          </w:p>
        </w:tc>
        <w:tc>
          <w:tcPr>
            <w:tcW w:w="75" w:type="dxa"/>
            <w:tcBorders/>
            <w:shd w:fill="CCEEFF" w:val="clear"/>
            <w:vAlign w:val="center"/>
          </w:tcPr>
          <w:p>
            <w:pPr>
              <w:pStyle w:val="TableContents"/>
              <w:spacing w:before="0" w:after="0"/>
              <w:rPr>
                <w:spacing w:val="0"/>
              </w:rPr>
            </w:pPr>
            <w:r>
              <w:rPr>
                <w:spacing w:val="0"/>
              </w:rPr>
              <w:t> </w:t>
            </w:r>
          </w:p>
        </w:tc>
      </w:tr>
      <w:tr>
        <w:trPr/>
        <w:tc>
          <w:tcPr>
            <w:tcW w:w="254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USA</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5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Property, plant, and equipment</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3,720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2,278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226</w:t>
            </w:r>
          </w:p>
        </w:tc>
        <w:tc>
          <w:tcPr>
            <w:tcW w:w="75" w:type="dxa"/>
            <w:tcBorders/>
            <w:shd w:fill="CCEEFF" w:val="clear"/>
            <w:vAlign w:val="center"/>
          </w:tcPr>
          <w:p>
            <w:pPr>
              <w:pStyle w:val="TableContents"/>
              <w:spacing w:before="0" w:after="283"/>
              <w:rPr/>
            </w:pPr>
            <w:r>
              <w:rPr/>
              <w:t> </w:t>
            </w:r>
          </w:p>
        </w:tc>
      </w:tr>
      <w:tr>
        <w:trPr/>
        <w:tc>
          <w:tcPr>
            <w:tcW w:w="25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Right-of-use</w:t>
            </w:r>
          </w:p>
          <w:p>
            <w:pPr>
              <w:pStyle w:val="TableContents"/>
              <w:spacing w:before="0" w:after="0"/>
              <w:rPr>
                <w:rFonts w:ascii="Times New Roman" w:hAnsi="Times New Roman"/>
                <w:sz w:val="20"/>
              </w:rPr>
            </w:pPr>
            <w:r>
              <w:rPr>
                <w:rFonts w:ascii="Times New Roman" w:hAnsi="Times New Roman"/>
                <w:sz w:val="20"/>
              </w:rPr>
              <w:t>assets</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jc w:val="right"/>
              <w:rPr/>
            </w:pPr>
            <w:r>
              <w:rPr/>
              <w:t>2,335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jc w:val="right"/>
              <w:rPr/>
            </w:pPr>
            <w:r>
              <w:rPr/>
              <w:t>2,774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jc w:val="right"/>
              <w:rPr/>
            </w:pPr>
            <w:r>
              <w:rPr/>
              <w:t>1,056</w:t>
            </w:r>
          </w:p>
        </w:tc>
        <w:tc>
          <w:tcPr>
            <w:tcW w:w="75" w:type="dxa"/>
            <w:tcBorders/>
            <w:shd w:fill="auto" w:val="clear"/>
            <w:vAlign w:val="center"/>
          </w:tcPr>
          <w:p>
            <w:pPr>
              <w:pStyle w:val="TableContents"/>
              <w:spacing w:before="0" w:after="283"/>
              <w:rPr/>
            </w:pPr>
            <w:r>
              <w:rPr/>
              <w:t> </w:t>
            </w:r>
          </w:p>
        </w:tc>
      </w:tr>
      <w:tr>
        <w:trPr/>
        <w:tc>
          <w:tcPr>
            <w:tcW w:w="254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USA, total</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0"/>
              <w:rPr>
                <w:spacing w:val="0"/>
              </w:rPr>
            </w:pPr>
            <w:r>
              <w:rPr>
                <w:spacing w:val="0"/>
              </w:rPr>
              <w:t> </w:t>
            </w:r>
          </w:p>
        </w:tc>
        <w:tc>
          <w:tcPr>
            <w:tcW w:w="1742" w:type="dxa"/>
            <w:tcBorders/>
            <w:shd w:fill="CCEEFF" w:val="clear"/>
            <w:vAlign w:val="center"/>
          </w:tcPr>
          <w:p>
            <w:pPr>
              <w:pStyle w:val="TableContents"/>
              <w:spacing w:before="0" w:after="0"/>
              <w:jc w:val="right"/>
              <w:rPr>
                <w:b/>
                <w:spacing w:val="0"/>
              </w:rPr>
            </w:pPr>
            <w:r>
              <w:rPr>
                <w:b/>
                <w:spacing w:val="0"/>
              </w:rPr>
              <w:t>6,055</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0"/>
              <w:rPr>
                <w:spacing w:val="0"/>
              </w:rPr>
            </w:pPr>
            <w:r>
              <w:rPr>
                <w:spacing w:val="0"/>
              </w:rPr>
              <w:t> </w:t>
            </w:r>
          </w:p>
        </w:tc>
        <w:tc>
          <w:tcPr>
            <w:tcW w:w="1742" w:type="dxa"/>
            <w:tcBorders/>
            <w:shd w:fill="CCEEFF" w:val="clear"/>
            <w:vAlign w:val="center"/>
          </w:tcPr>
          <w:p>
            <w:pPr>
              <w:pStyle w:val="TableContents"/>
              <w:spacing w:before="0" w:after="0"/>
              <w:jc w:val="right"/>
              <w:rPr>
                <w:b/>
                <w:spacing w:val="0"/>
              </w:rPr>
            </w:pPr>
            <w:r>
              <w:rPr>
                <w:b/>
                <w:spacing w:val="0"/>
              </w:rPr>
              <w:t>5,052</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0"/>
              <w:rPr>
                <w:spacing w:val="0"/>
              </w:rPr>
            </w:pPr>
            <w:r>
              <w:rPr>
                <w:spacing w:val="0"/>
              </w:rPr>
              <w:t> </w:t>
            </w:r>
          </w:p>
        </w:tc>
        <w:tc>
          <w:tcPr>
            <w:tcW w:w="1742" w:type="dxa"/>
            <w:tcBorders/>
            <w:shd w:fill="CCEEFF" w:val="clear"/>
            <w:vAlign w:val="center"/>
          </w:tcPr>
          <w:p>
            <w:pPr>
              <w:pStyle w:val="TableContents"/>
              <w:spacing w:before="0" w:after="0"/>
              <w:jc w:val="right"/>
              <w:rPr>
                <w:b/>
                <w:spacing w:val="0"/>
              </w:rPr>
            </w:pPr>
            <w:r>
              <w:rPr>
                <w:b/>
                <w:spacing w:val="0"/>
              </w:rPr>
              <w:t>1,282</w:t>
            </w:r>
          </w:p>
        </w:tc>
        <w:tc>
          <w:tcPr>
            <w:tcW w:w="75" w:type="dxa"/>
            <w:tcBorders/>
            <w:shd w:fill="CCEEFF" w:val="clear"/>
            <w:vAlign w:val="center"/>
          </w:tcPr>
          <w:p>
            <w:pPr>
              <w:pStyle w:val="TableContents"/>
              <w:spacing w:before="0" w:after="0"/>
              <w:rPr>
                <w:spacing w:val="0"/>
              </w:rPr>
            </w:pPr>
            <w:r>
              <w:rPr>
                <w:spacing w:val="0"/>
              </w:rPr>
              <w:t> </w:t>
            </w:r>
          </w:p>
        </w:tc>
      </w:tr>
      <w:tr>
        <w:trPr/>
        <w:tc>
          <w:tcPr>
            <w:tcW w:w="254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0"/>
              <w:rPr>
                <w:spacing w:val="0"/>
              </w:rPr>
            </w:pPr>
            <w:r>
              <w:rPr>
                <w:spacing w:val="0"/>
              </w:rPr>
              <w:t> </w:t>
            </w:r>
          </w:p>
        </w:tc>
        <w:tc>
          <w:tcPr>
            <w:tcW w:w="1742" w:type="dxa"/>
            <w:tcBorders/>
            <w:shd w:fill="auto" w:val="clear"/>
            <w:vAlign w:val="center"/>
          </w:tcPr>
          <w:p>
            <w:pPr>
              <w:pStyle w:val="TableContents"/>
              <w:spacing w:before="0" w:after="0"/>
              <w:jc w:val="right"/>
              <w:rPr>
                <w:b/>
                <w:spacing w:val="0"/>
              </w:rPr>
            </w:pPr>
            <w:r>
              <w:rPr>
                <w:b/>
                <w:spacing w:val="0"/>
              </w:rPr>
              <w:t>49,149</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0"/>
              <w:rPr>
                <w:spacing w:val="0"/>
              </w:rPr>
            </w:pPr>
            <w:r>
              <w:rPr>
                <w:spacing w:val="0"/>
              </w:rPr>
              <w:t> </w:t>
            </w:r>
          </w:p>
        </w:tc>
        <w:tc>
          <w:tcPr>
            <w:tcW w:w="1742" w:type="dxa"/>
            <w:tcBorders/>
            <w:shd w:fill="auto" w:val="clear"/>
            <w:vAlign w:val="center"/>
          </w:tcPr>
          <w:p>
            <w:pPr>
              <w:pStyle w:val="TableContents"/>
              <w:spacing w:before="0" w:after="0"/>
              <w:jc w:val="right"/>
              <w:rPr>
                <w:b/>
                <w:spacing w:val="0"/>
              </w:rPr>
            </w:pPr>
            <w:r>
              <w:rPr>
                <w:b/>
                <w:spacing w:val="0"/>
              </w:rPr>
              <w:t>45,564</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0"/>
              <w:rPr>
                <w:spacing w:val="0"/>
              </w:rPr>
            </w:pPr>
            <w:r>
              <w:rPr>
                <w:spacing w:val="0"/>
              </w:rPr>
              <w:t> </w:t>
            </w:r>
          </w:p>
        </w:tc>
        <w:tc>
          <w:tcPr>
            <w:tcW w:w="1742" w:type="dxa"/>
            <w:tcBorders/>
            <w:shd w:fill="auto" w:val="clear"/>
            <w:vAlign w:val="center"/>
          </w:tcPr>
          <w:p>
            <w:pPr>
              <w:pStyle w:val="TableContents"/>
              <w:spacing w:before="0" w:after="0"/>
              <w:jc w:val="right"/>
              <w:rPr>
                <w:b/>
                <w:spacing w:val="0"/>
              </w:rPr>
            </w:pPr>
            <w:r>
              <w:rPr>
                <w:b/>
                <w:spacing w:val="0"/>
              </w:rPr>
              <w:t>35,901</w:t>
            </w:r>
          </w:p>
        </w:tc>
        <w:tc>
          <w:tcPr>
            <w:tcW w:w="75" w:type="dxa"/>
            <w:tcBorders/>
            <w:shd w:fill="auto" w:val="clear"/>
            <w:vAlign w:val="center"/>
          </w:tcPr>
          <w:p>
            <w:pPr>
              <w:pStyle w:val="TableContents"/>
              <w:spacing w:before="0" w:after="0"/>
              <w:rPr>
                <w:spacing w:val="0"/>
              </w:rPr>
            </w:pPr>
            <w:r>
              <w:rPr>
                <w:spacing w:val="0"/>
              </w:rPr>
              <w:t> </w:t>
            </w:r>
          </w:p>
        </w:tc>
      </w:tr>
    </w:tbl>
    <w:p>
      <w:pPr>
        <w:pStyle w:val="TextBody"/>
        <w:spacing w:before="0" w:after="0"/>
        <w:jc w:val="left"/>
        <w:rPr>
          <w:spacing w:val="0"/>
          <w:highlight w:val="white"/>
        </w:rPr>
      </w:pPr>
      <w:r>
        <w:rPr>
          <w:spacing w:val="0"/>
          <w:highlight w:val="white"/>
        </w:rPr>
        <w:t> </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F-1</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9</w:t>
      </w:r>
    </w:p>
    <w:p>
      <w:pPr>
        <w:pStyle w:val="HorizontalLine"/>
        <w:rPr/>
      </w:pPr>
      <w:r>
        <w:rPr/>
      </w:r>
    </w:p>
    <w:p>
      <w:pPr>
        <w:pStyle w:val="TextBody"/>
        <w:spacing w:before="0" w:after="0"/>
        <w:rPr/>
      </w:pPr>
      <w:hyperlink w:anchor="toc">
        <w:r>
          <w:rPr>
            <w:rStyle w:val="InternetLink"/>
            <w:b/>
            <w:sz w:val="20"/>
            <w:highlight w:val="white"/>
          </w:rPr>
          <w:t>Table of Contents</w:t>
        </w:r>
      </w:hyperlink>
      <w:r>
        <w:rPr>
          <w:b/>
          <w:sz w:val="20"/>
          <w:highlight w:val="white"/>
        </w:rPr>
        <w:t> </w:t>
      </w:r>
    </w:p>
    <w:tbl>
      <w:tblPr>
        <w:tblW w:w="1015" w:type="dxa"/>
        <w:jc w:val="left"/>
        <w:tblInd w:w="0" w:type="dxa"/>
        <w:tblCellMar>
          <w:top w:w="0" w:type="dxa"/>
          <w:left w:w="0" w:type="dxa"/>
          <w:bottom w:w="0" w:type="dxa"/>
          <w:right w:w="0" w:type="dxa"/>
        </w:tblCellMar>
      </w:tblPr>
      <w:tblGrid>
        <w:gridCol w:w="215"/>
        <w:gridCol w:w="800"/>
      </w:tblGrid>
      <w:tr>
        <w:trPr/>
        <w:tc>
          <w:tcPr>
            <w:tcW w:w="215" w:type="dxa"/>
            <w:tcBorders/>
            <w:shd w:fill="auto" w:val="clear"/>
            <w:vAlign w:val="center"/>
          </w:tcPr>
          <w:p>
            <w:pPr>
              <w:pStyle w:val="TableContents"/>
              <w:spacing w:before="0" w:after="0"/>
              <w:jc w:val="both"/>
              <w:rPr>
                <w:b/>
                <w:spacing w:val="0"/>
              </w:rPr>
            </w:pPr>
            <w:r>
              <w:rPr>
                <w:b/>
                <w:spacing w:val="0"/>
              </w:rPr>
              <w:t>6.</w:t>
            </w:r>
          </w:p>
        </w:tc>
        <w:tc>
          <w:tcPr>
            <w:tcW w:w="800"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Revenue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Revenues from contracts with customers refer to the delivery of goods or the provision of services. They are recognized both at a point in time and, partially, over time. The deliveries comprise the sales of HAWK and CONDOR terminals. Services mainly consist of the provision of development and training services relating to the laser terminals manufactured by the Company.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Revenue is broken down as follows: </w:t>
      </w:r>
    </w:p>
    <w:p>
      <w:pPr>
        <w:pStyle w:val="TextBody"/>
        <w:spacing w:before="0" w:after="0"/>
        <w:jc w:val="left"/>
        <w:rPr>
          <w:highlight w:val="white"/>
        </w:rPr>
      </w:pPr>
      <w:r>
        <w:rPr>
          <w:highlight w:val="white"/>
        </w:rPr>
        <w:t> </w:t>
      </w:r>
    </w:p>
    <w:tbl>
      <w:tblPr>
        <w:tblW w:w="8180" w:type="dxa"/>
        <w:jc w:val="left"/>
        <w:tblInd w:w="0" w:type="dxa"/>
        <w:tblCellMar>
          <w:top w:w="0" w:type="dxa"/>
          <w:left w:w="0" w:type="dxa"/>
          <w:bottom w:w="0" w:type="dxa"/>
          <w:right w:w="0" w:type="dxa"/>
        </w:tblCellMar>
      </w:tblPr>
      <w:tblGrid>
        <w:gridCol w:w="1940"/>
        <w:gridCol w:w="120"/>
        <w:gridCol w:w="183"/>
        <w:gridCol w:w="1712"/>
        <w:gridCol w:w="60"/>
        <w:gridCol w:w="120"/>
        <w:gridCol w:w="183"/>
        <w:gridCol w:w="1712"/>
        <w:gridCol w:w="60"/>
        <w:gridCol w:w="120"/>
        <w:gridCol w:w="258"/>
        <w:gridCol w:w="1637"/>
        <w:gridCol w:w="75"/>
      </w:tblGrid>
      <w:tr>
        <w:trPr/>
        <w:tc>
          <w:tcPr>
            <w:tcW w:w="19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63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45" w:type="dxa"/>
            <w:gridSpan w:val="10"/>
            <w:tcBorders/>
            <w:shd w:fill="auto" w:val="clear"/>
            <w:vAlign w:val="center"/>
          </w:tcPr>
          <w:p>
            <w:pPr>
              <w:pStyle w:val="TableContents"/>
              <w:spacing w:before="0" w:after="283"/>
              <w:jc w:val="center"/>
              <w:rPr/>
            </w:pPr>
            <w:r>
              <w:rPr/>
              <w:t>For the years ended</w:t>
            </w:r>
          </w:p>
        </w:tc>
        <w:tc>
          <w:tcPr>
            <w:tcW w:w="75" w:type="dxa"/>
            <w:tcBorders/>
            <w:shd w:fill="auto" w:val="clear"/>
            <w:vAlign w:val="center"/>
          </w:tcPr>
          <w:p>
            <w:pPr>
              <w:pStyle w:val="TableContents"/>
              <w:spacing w:before="0" w:after="283"/>
              <w:rPr/>
            </w:pPr>
            <w:r>
              <w:rPr/>
              <w:t> </w:t>
            </w:r>
          </w:p>
        </w:tc>
      </w:tr>
      <w:tr>
        <w:trPr/>
        <w:tc>
          <w:tcPr>
            <w:tcW w:w="1940"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2020</w:t>
            </w:r>
          </w:p>
        </w:tc>
        <w:tc>
          <w:tcPr>
            <w:tcW w:w="75" w:type="dxa"/>
            <w:tcBorders/>
            <w:shd w:fill="auto" w:val="clear"/>
            <w:vAlign w:val="center"/>
          </w:tcPr>
          <w:p>
            <w:pPr>
              <w:pStyle w:val="TableContents"/>
              <w:spacing w:before="0" w:after="283"/>
              <w:rPr/>
            </w:pPr>
            <w:r>
              <w:rPr/>
              <w:t> </w:t>
            </w:r>
          </w:p>
        </w:tc>
      </w:tr>
      <w:tr>
        <w:trPr/>
        <w:tc>
          <w:tcPr>
            <w:tcW w:w="19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Products</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1,783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554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58" w:type="dxa"/>
            <w:tcBorders/>
            <w:shd w:fill="CCEEFF" w:val="clear"/>
            <w:vAlign w:val="center"/>
          </w:tcPr>
          <w:p>
            <w:pPr>
              <w:pStyle w:val="TableContents"/>
              <w:spacing w:before="0" w:after="283"/>
              <w:rPr/>
            </w:pPr>
            <w:r>
              <w:rPr/>
              <w:t> </w:t>
            </w:r>
          </w:p>
        </w:tc>
        <w:tc>
          <w:tcPr>
            <w:tcW w:w="1637" w:type="dxa"/>
            <w:tcBorders/>
            <w:shd w:fill="CCEEFF" w:val="clear"/>
            <w:vAlign w:val="center"/>
          </w:tcPr>
          <w:p>
            <w:pPr>
              <w:pStyle w:val="TableContents"/>
              <w:spacing w:before="0" w:after="283"/>
              <w:jc w:val="right"/>
              <w:rPr/>
            </w:pPr>
            <w:r>
              <w:rPr/>
              <w:t>559</w:t>
            </w:r>
          </w:p>
        </w:tc>
        <w:tc>
          <w:tcPr>
            <w:tcW w:w="75" w:type="dxa"/>
            <w:tcBorders/>
            <w:shd w:fill="CCEEFF" w:val="clear"/>
            <w:vAlign w:val="center"/>
          </w:tcPr>
          <w:p>
            <w:pPr>
              <w:pStyle w:val="TableContents"/>
              <w:spacing w:before="0" w:after="283"/>
              <w:rPr/>
            </w:pPr>
            <w:r>
              <w:rPr/>
              <w:t> </w:t>
            </w:r>
          </w:p>
        </w:tc>
      </w:tr>
      <w:tr>
        <w:trPr/>
        <w:tc>
          <w:tcPr>
            <w:tcW w:w="19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Services</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1,801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 </w:t>
            </w:r>
          </w:p>
        </w:tc>
        <w:tc>
          <w:tcPr>
            <w:tcW w:w="1637" w:type="dxa"/>
            <w:tcBorders/>
            <w:shd w:fill="auto" w:val="clear"/>
            <w:vAlign w:val="center"/>
          </w:tcPr>
          <w:p>
            <w:pPr>
              <w:pStyle w:val="TableContents"/>
              <w:spacing w:before="0" w:after="283"/>
              <w:jc w:val="right"/>
              <w:rPr/>
            </w:pPr>
            <w:r>
              <w:rPr/>
              <w:t>120</w:t>
            </w:r>
          </w:p>
        </w:tc>
        <w:tc>
          <w:tcPr>
            <w:tcW w:w="75" w:type="dxa"/>
            <w:tcBorders/>
            <w:shd w:fill="auto" w:val="clear"/>
            <w:vAlign w:val="center"/>
          </w:tcPr>
          <w:p>
            <w:pPr>
              <w:pStyle w:val="TableContents"/>
              <w:spacing w:before="0" w:after="283"/>
              <w:rPr/>
            </w:pPr>
            <w:r>
              <w:rPr/>
              <w:t> </w:t>
            </w:r>
          </w:p>
        </w:tc>
      </w:tr>
      <w:tr>
        <w:trPr/>
        <w:tc>
          <w:tcPr>
            <w:tcW w:w="19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Operating lease income</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50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58" w:type="dxa"/>
            <w:tcBorders/>
            <w:shd w:fill="CCEEFF" w:val="clear"/>
            <w:vAlign w:val="center"/>
          </w:tcPr>
          <w:p>
            <w:pPr>
              <w:pStyle w:val="TableContents"/>
              <w:spacing w:before="0" w:after="283"/>
              <w:rPr/>
            </w:pPr>
            <w:r>
              <w:rPr/>
              <w:t> </w:t>
            </w:r>
          </w:p>
        </w:tc>
        <w:tc>
          <w:tcPr>
            <w:tcW w:w="1637" w:type="dxa"/>
            <w:tcBorders/>
            <w:shd w:fill="CCEEFF" w:val="clear"/>
            <w:vAlign w:val="center"/>
          </w:tcPr>
          <w:p>
            <w:pPr>
              <w:pStyle w:val="TableContents"/>
              <w:spacing w:before="0" w:after="283"/>
              <w:jc w:val="right"/>
              <w:rPr/>
            </w:pPr>
            <w:r>
              <w:rPr/>
              <w:t>0</w:t>
            </w:r>
          </w:p>
        </w:tc>
        <w:tc>
          <w:tcPr>
            <w:tcW w:w="75" w:type="dxa"/>
            <w:tcBorders/>
            <w:shd w:fill="CCEEFF" w:val="clear"/>
            <w:vAlign w:val="center"/>
          </w:tcPr>
          <w:p>
            <w:pPr>
              <w:pStyle w:val="TableContents"/>
              <w:spacing w:before="0" w:after="283"/>
              <w:rPr/>
            </w:pPr>
            <w:r>
              <w:rPr/>
              <w:t> </w:t>
            </w:r>
          </w:p>
        </w:tc>
      </w:tr>
      <w:tr>
        <w:trPr/>
        <w:tc>
          <w:tcPr>
            <w:tcW w:w="19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2,589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 </w:t>
            </w:r>
          </w:p>
        </w:tc>
        <w:tc>
          <w:tcPr>
            <w:tcW w:w="1637" w:type="dxa"/>
            <w:tcBorders/>
            <w:shd w:fill="auto" w:val="clear"/>
            <w:vAlign w:val="center"/>
          </w:tcPr>
          <w:p>
            <w:pPr>
              <w:pStyle w:val="TableContents"/>
              <w:spacing w:before="0" w:after="283"/>
              <w:jc w:val="right"/>
              <w:rPr/>
            </w:pPr>
            <w:r>
              <w:rPr/>
              <w:t>0</w:t>
            </w:r>
          </w:p>
        </w:tc>
        <w:tc>
          <w:tcPr>
            <w:tcW w:w="75" w:type="dxa"/>
            <w:tcBorders/>
            <w:shd w:fill="auto" w:val="clear"/>
            <w:vAlign w:val="center"/>
          </w:tcPr>
          <w:p>
            <w:pPr>
              <w:pStyle w:val="TableContents"/>
              <w:spacing w:before="0" w:after="283"/>
              <w:rPr/>
            </w:pPr>
            <w:r>
              <w:rPr/>
              <w:t> </w:t>
            </w:r>
          </w:p>
        </w:tc>
      </w:tr>
      <w:tr>
        <w:trPr/>
        <w:tc>
          <w:tcPr>
            <w:tcW w:w="19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4,422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2,355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58" w:type="dxa"/>
            <w:tcBorders/>
            <w:shd w:fill="CCEEFF" w:val="clear"/>
            <w:vAlign w:val="center"/>
          </w:tcPr>
          <w:p>
            <w:pPr>
              <w:pStyle w:val="TableContents"/>
              <w:spacing w:before="0" w:after="283"/>
              <w:rPr/>
            </w:pPr>
            <w:r>
              <w:rPr/>
              <w:t> </w:t>
            </w:r>
          </w:p>
        </w:tc>
        <w:tc>
          <w:tcPr>
            <w:tcW w:w="1637" w:type="dxa"/>
            <w:tcBorders/>
            <w:shd w:fill="CCEEFF" w:val="clear"/>
            <w:vAlign w:val="center"/>
          </w:tcPr>
          <w:p>
            <w:pPr>
              <w:pStyle w:val="TableContents"/>
              <w:spacing w:before="0" w:after="283"/>
              <w:jc w:val="right"/>
              <w:rPr/>
            </w:pPr>
            <w:r>
              <w:rPr/>
              <w:t>679</w:t>
            </w:r>
          </w:p>
        </w:tc>
        <w:tc>
          <w:tcPr>
            <w:tcW w:w="75" w:type="dxa"/>
            <w:tcBorders/>
            <w:shd w:fill="CCEEFF" w:val="clear"/>
            <w:vAlign w:val="center"/>
          </w:tcPr>
          <w:p>
            <w:pPr>
              <w:pStyle w:val="TableContents"/>
              <w:spacing w:before="0" w:after="283"/>
              <w:rPr/>
            </w:pPr>
            <w:r>
              <w:rPr/>
              <w:t>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One customer breeched two contracts and therefore, the Group terminated these contracts. The Group has received </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non-refundable</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prepayments on these contracts during the years ended December 31, 2021, and 2022 in the amount of €2,589 thousand. This amount was recognized as revenue according to IFRS 15.15 b) in the year ended December 31, 2022.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Revenue recognized from contract liabilities which existed as of December 31, 2021, amounts to €211 thousand in fiscal 2022 (2021: €933 thousand, 2020: €0). </w:t>
      </w:r>
    </w:p>
    <w:p>
      <w:pPr>
        <w:pStyle w:val="TextBody"/>
        <w:spacing w:before="240" w:after="0"/>
        <w:jc w:val="both"/>
        <w:rPr>
          <w:rFonts w:ascii="Times New Roman" w:hAnsi="Times New Roman"/>
          <w:sz w:val="20"/>
          <w:highlight w:val="white"/>
        </w:rPr>
      </w:pPr>
      <w:r>
        <w:rPr>
          <w:rFonts w:ascii="Times New Roman" w:hAnsi="Times New Roman"/>
          <w:sz w:val="20"/>
          <w:highlight w:val="white"/>
        </w:rPr>
        <w:t>The Company makes use of the exemption according to IFRS 15.122 regarding the disclosure of the expected revenues for outstanding performance obligations as of December 31, 2022, as all revenues will be recognized within one year.</w:t>
      </w:r>
    </w:p>
    <w:p>
      <w:pPr>
        <w:pStyle w:val="TextBody"/>
        <w:spacing w:before="0" w:after="0"/>
        <w:ind w:left="0" w:right="0" w:hanging="0"/>
        <w:jc w:val="left"/>
        <w:rPr>
          <w:sz w:val="36"/>
        </w:rPr>
      </w:pPr>
      <w:r>
        <w:rPr>
          <w:sz w:val="36"/>
        </w:rPr>
      </w:r>
    </w:p>
    <w:tbl>
      <w:tblPr>
        <w:tblW w:w="2275" w:type="dxa"/>
        <w:jc w:val="left"/>
        <w:tblInd w:w="0" w:type="dxa"/>
        <w:tblCellMar>
          <w:top w:w="0" w:type="dxa"/>
          <w:left w:w="0" w:type="dxa"/>
          <w:bottom w:w="0" w:type="dxa"/>
          <w:right w:w="0" w:type="dxa"/>
        </w:tblCellMar>
      </w:tblPr>
      <w:tblGrid>
        <w:gridCol w:w="215"/>
        <w:gridCol w:w="2060"/>
      </w:tblGrid>
      <w:tr>
        <w:trPr/>
        <w:tc>
          <w:tcPr>
            <w:tcW w:w="215" w:type="dxa"/>
            <w:tcBorders/>
            <w:shd w:fill="auto" w:val="clear"/>
            <w:vAlign w:val="center"/>
          </w:tcPr>
          <w:p>
            <w:pPr>
              <w:pStyle w:val="TableContents"/>
              <w:spacing w:before="0" w:after="0"/>
              <w:jc w:val="left"/>
              <w:rPr>
                <w:b/>
                <w:spacing w:val="0"/>
                <w:highlight w:val="white"/>
              </w:rPr>
            </w:pPr>
            <w:r>
              <w:rPr>
                <w:b/>
                <w:spacing w:val="0"/>
                <w:highlight w:val="white"/>
              </w:rPr>
              <w:t>7.</w:t>
            </w:r>
          </w:p>
        </w:tc>
        <w:tc>
          <w:tcPr>
            <w:tcW w:w="2060" w:type="dxa"/>
            <w:tcBorders/>
            <w:shd w:fill="auto" w:val="clear"/>
            <w:vAlign w:val="center"/>
          </w:tcPr>
          <w:p>
            <w:pPr>
              <w:pStyle w:val="TableContents"/>
              <w:spacing w:before="0" w:after="0"/>
              <w:jc w:val="both"/>
              <w:rPr>
                <w:rFonts w:ascii="Times New Roman" w:hAnsi="Times New Roman"/>
                <w:b/>
                <w:spacing w:val="0"/>
                <w:sz w:val="20"/>
                <w:highlight w:val="white"/>
              </w:rPr>
            </w:pPr>
            <w:r>
              <w:rPr>
                <w:rFonts w:ascii="Times New Roman" w:hAnsi="Times New Roman"/>
                <w:b/>
                <w:spacing w:val="0"/>
                <w:sz w:val="20"/>
                <w:highlight w:val="white"/>
              </w:rPr>
              <w:t>Other operating income</w:t>
            </w:r>
          </w:p>
        </w:tc>
      </w:tr>
    </w:tbl>
    <w:p>
      <w:pPr>
        <w:pStyle w:val="TextBody"/>
        <w:spacing w:before="12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The following table shows the breakdown of the other operating income:</w:t>
      </w:r>
    </w:p>
    <w:p>
      <w:pPr>
        <w:pStyle w:val="TextBody"/>
        <w:spacing w:before="0" w:after="0"/>
        <w:ind w:left="0" w:right="0" w:hanging="0"/>
        <w:jc w:val="left"/>
        <w:rPr>
          <w:sz w:val="24"/>
        </w:rPr>
      </w:pPr>
      <w:r>
        <w:rPr>
          <w:sz w:val="24"/>
        </w:rPr>
      </w:r>
    </w:p>
    <w:tbl>
      <w:tblPr>
        <w:tblW w:w="9307" w:type="dxa"/>
        <w:jc w:val="left"/>
        <w:tblInd w:w="0" w:type="dxa"/>
        <w:tblCellMar>
          <w:top w:w="0" w:type="dxa"/>
          <w:left w:w="0" w:type="dxa"/>
          <w:bottom w:w="0" w:type="dxa"/>
          <w:right w:w="0" w:type="dxa"/>
        </w:tblCellMar>
      </w:tblPr>
      <w:tblGrid>
        <w:gridCol w:w="3065"/>
        <w:gridCol w:w="120"/>
        <w:gridCol w:w="183"/>
        <w:gridCol w:w="1712"/>
        <w:gridCol w:w="60"/>
        <w:gridCol w:w="121"/>
        <w:gridCol w:w="258"/>
        <w:gridCol w:w="1637"/>
        <w:gridCol w:w="60"/>
        <w:gridCol w:w="121"/>
        <w:gridCol w:w="258"/>
        <w:gridCol w:w="1637"/>
        <w:gridCol w:w="75"/>
      </w:tblGrid>
      <w:tr>
        <w:trPr/>
        <w:tc>
          <w:tcPr>
            <w:tcW w:w="30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6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63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0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47" w:type="dxa"/>
            <w:gridSpan w:val="10"/>
            <w:tcBorders/>
            <w:shd w:fill="auto" w:val="clear"/>
            <w:vAlign w:val="center"/>
          </w:tcPr>
          <w:p>
            <w:pPr>
              <w:pStyle w:val="TableContents"/>
              <w:spacing w:before="0" w:after="283"/>
              <w:jc w:val="center"/>
              <w:rPr/>
            </w:pPr>
            <w:r>
              <w:rPr/>
              <w:t>For the years ended</w:t>
            </w:r>
          </w:p>
        </w:tc>
        <w:tc>
          <w:tcPr>
            <w:tcW w:w="75" w:type="dxa"/>
            <w:tcBorders/>
            <w:shd w:fill="auto" w:val="clear"/>
            <w:vAlign w:val="center"/>
          </w:tcPr>
          <w:p>
            <w:pPr>
              <w:pStyle w:val="TableContents"/>
              <w:spacing w:before="0" w:after="283"/>
              <w:rPr/>
            </w:pPr>
            <w:r>
              <w:rPr/>
              <w:t> </w:t>
            </w:r>
          </w:p>
        </w:tc>
      </w:tr>
      <w:tr>
        <w:trPr/>
        <w:tc>
          <w:tcPr>
            <w:tcW w:w="3065"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2022</w:t>
            </w:r>
          </w:p>
        </w:tc>
        <w:tc>
          <w:tcPr>
            <w:tcW w:w="6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2021</w:t>
            </w:r>
          </w:p>
        </w:tc>
        <w:tc>
          <w:tcPr>
            <w:tcW w:w="6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2020</w:t>
            </w:r>
          </w:p>
        </w:tc>
        <w:tc>
          <w:tcPr>
            <w:tcW w:w="75" w:type="dxa"/>
            <w:tcBorders/>
            <w:shd w:fill="auto" w:val="clear"/>
            <w:vAlign w:val="center"/>
          </w:tcPr>
          <w:p>
            <w:pPr>
              <w:pStyle w:val="TableContents"/>
              <w:spacing w:before="0" w:after="283"/>
              <w:rPr/>
            </w:pPr>
            <w:r>
              <w:rPr/>
              <w:t> </w:t>
            </w:r>
          </w:p>
        </w:tc>
      </w:tr>
      <w:tr>
        <w:trPr/>
        <w:tc>
          <w:tcPr>
            <w:tcW w:w="30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Income from grants</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2,091</w:t>
            </w:r>
          </w:p>
        </w:tc>
        <w:tc>
          <w:tcPr>
            <w:tcW w:w="6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pPr>
            <w:r>
              <w:rPr/>
              <w:t>  </w:t>
            </w:r>
          </w:p>
        </w:tc>
        <w:tc>
          <w:tcPr>
            <w:tcW w:w="258" w:type="dxa"/>
            <w:tcBorders/>
            <w:shd w:fill="CCEEFF" w:val="clear"/>
            <w:vAlign w:val="center"/>
          </w:tcPr>
          <w:p>
            <w:pPr>
              <w:pStyle w:val="TableContents"/>
              <w:spacing w:before="0" w:after="283"/>
              <w:rPr/>
            </w:pPr>
            <w:r>
              <w:rPr/>
              <w:t> </w:t>
            </w:r>
          </w:p>
        </w:tc>
        <w:tc>
          <w:tcPr>
            <w:tcW w:w="1637" w:type="dxa"/>
            <w:tcBorders/>
            <w:shd w:fill="CCEEFF" w:val="clear"/>
            <w:vAlign w:val="center"/>
          </w:tcPr>
          <w:p>
            <w:pPr>
              <w:pStyle w:val="TableContents"/>
              <w:spacing w:before="0" w:after="283"/>
              <w:jc w:val="right"/>
              <w:rPr/>
            </w:pPr>
            <w:r>
              <w:rPr/>
              <w:t>279</w:t>
            </w:r>
          </w:p>
        </w:tc>
        <w:tc>
          <w:tcPr>
            <w:tcW w:w="6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pPr>
            <w:r>
              <w:rPr/>
              <w:t>  </w:t>
            </w:r>
          </w:p>
        </w:tc>
        <w:tc>
          <w:tcPr>
            <w:tcW w:w="258" w:type="dxa"/>
            <w:tcBorders/>
            <w:shd w:fill="CCEEFF" w:val="clear"/>
            <w:vAlign w:val="center"/>
          </w:tcPr>
          <w:p>
            <w:pPr>
              <w:pStyle w:val="TableContents"/>
              <w:spacing w:before="0" w:after="283"/>
              <w:rPr/>
            </w:pPr>
            <w:r>
              <w:rPr/>
              <w:t> </w:t>
            </w:r>
          </w:p>
        </w:tc>
        <w:tc>
          <w:tcPr>
            <w:tcW w:w="1637" w:type="dxa"/>
            <w:tcBorders/>
            <w:shd w:fill="CCEEFF" w:val="clear"/>
            <w:vAlign w:val="center"/>
          </w:tcPr>
          <w:p>
            <w:pPr>
              <w:pStyle w:val="TableContents"/>
              <w:spacing w:before="0" w:after="283"/>
              <w:jc w:val="right"/>
              <w:rPr/>
            </w:pPr>
            <w:r>
              <w:rPr/>
              <w:t>295</w:t>
            </w:r>
          </w:p>
        </w:tc>
        <w:tc>
          <w:tcPr>
            <w:tcW w:w="75" w:type="dxa"/>
            <w:tcBorders/>
            <w:shd w:fill="CCEEFF" w:val="clear"/>
            <w:vAlign w:val="center"/>
          </w:tcPr>
          <w:p>
            <w:pPr>
              <w:pStyle w:val="TableContents"/>
              <w:spacing w:before="0" w:after="283"/>
              <w:rPr/>
            </w:pPr>
            <w:r>
              <w:rPr/>
              <w:t> </w:t>
            </w:r>
          </w:p>
        </w:tc>
      </w:tr>
      <w:tr>
        <w:trPr/>
        <w:tc>
          <w:tcPr>
            <w:tcW w:w="30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Income from the reversal of liabilities</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 </w:t>
            </w:r>
          </w:p>
        </w:tc>
        <w:tc>
          <w:tcPr>
            <w:tcW w:w="1637" w:type="dxa"/>
            <w:tcBorders/>
            <w:shd w:fill="auto" w:val="clear"/>
            <w:vAlign w:val="center"/>
          </w:tcPr>
          <w:p>
            <w:pPr>
              <w:pStyle w:val="TableContents"/>
              <w:spacing w:before="0" w:after="283"/>
              <w:jc w:val="right"/>
              <w:rPr/>
            </w:pPr>
            <w:r>
              <w:rPr/>
              <w:t>90</w:t>
            </w:r>
          </w:p>
        </w:tc>
        <w:tc>
          <w:tcPr>
            <w:tcW w:w="6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 </w:t>
            </w:r>
          </w:p>
        </w:tc>
        <w:tc>
          <w:tcPr>
            <w:tcW w:w="1637" w:type="dxa"/>
            <w:tcBorders/>
            <w:shd w:fill="auto" w:val="clear"/>
            <w:vAlign w:val="center"/>
          </w:tcPr>
          <w:p>
            <w:pPr>
              <w:pStyle w:val="TableContents"/>
              <w:spacing w:before="0" w:after="283"/>
              <w:jc w:val="right"/>
              <w:rPr/>
            </w:pPr>
            <w:r>
              <w:rPr/>
              <w:t>0</w:t>
            </w:r>
          </w:p>
        </w:tc>
        <w:tc>
          <w:tcPr>
            <w:tcW w:w="75" w:type="dxa"/>
            <w:tcBorders/>
            <w:shd w:fill="auto" w:val="clear"/>
            <w:vAlign w:val="center"/>
          </w:tcPr>
          <w:p>
            <w:pPr>
              <w:pStyle w:val="TableContents"/>
              <w:spacing w:before="0" w:after="283"/>
              <w:rPr/>
            </w:pPr>
            <w:r>
              <w:rPr/>
              <w:t> </w:t>
            </w:r>
          </w:p>
        </w:tc>
      </w:tr>
      <w:tr>
        <w:trPr/>
        <w:tc>
          <w:tcPr>
            <w:tcW w:w="30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Income from related parties</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pPr>
            <w:r>
              <w:rPr/>
              <w:t>  </w:t>
            </w:r>
          </w:p>
        </w:tc>
        <w:tc>
          <w:tcPr>
            <w:tcW w:w="258" w:type="dxa"/>
            <w:tcBorders/>
            <w:shd w:fill="CCEEFF" w:val="clear"/>
            <w:vAlign w:val="center"/>
          </w:tcPr>
          <w:p>
            <w:pPr>
              <w:pStyle w:val="TableContents"/>
              <w:spacing w:before="0" w:after="283"/>
              <w:rPr/>
            </w:pPr>
            <w:r>
              <w:rPr/>
              <w:t> </w:t>
            </w:r>
          </w:p>
        </w:tc>
        <w:tc>
          <w:tcPr>
            <w:tcW w:w="1637" w:type="dxa"/>
            <w:tcBorders/>
            <w:shd w:fill="CCEEFF" w:val="clear"/>
            <w:vAlign w:val="center"/>
          </w:tcPr>
          <w:p>
            <w:pPr>
              <w:pStyle w:val="TableContents"/>
              <w:spacing w:before="0" w:after="283"/>
              <w:jc w:val="right"/>
              <w:rPr/>
            </w:pPr>
            <w:r>
              <w:rPr/>
              <w:t>27</w:t>
            </w:r>
          </w:p>
        </w:tc>
        <w:tc>
          <w:tcPr>
            <w:tcW w:w="6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pPr>
            <w:r>
              <w:rPr/>
              <w:t>  </w:t>
            </w:r>
          </w:p>
        </w:tc>
        <w:tc>
          <w:tcPr>
            <w:tcW w:w="258" w:type="dxa"/>
            <w:tcBorders/>
            <w:shd w:fill="CCEEFF" w:val="clear"/>
            <w:vAlign w:val="center"/>
          </w:tcPr>
          <w:p>
            <w:pPr>
              <w:pStyle w:val="TableContents"/>
              <w:spacing w:before="0" w:after="283"/>
              <w:rPr/>
            </w:pPr>
            <w:r>
              <w:rPr/>
              <w:t> </w:t>
            </w:r>
          </w:p>
        </w:tc>
        <w:tc>
          <w:tcPr>
            <w:tcW w:w="1637" w:type="dxa"/>
            <w:tcBorders/>
            <w:shd w:fill="CCEEFF" w:val="clear"/>
            <w:vAlign w:val="center"/>
          </w:tcPr>
          <w:p>
            <w:pPr>
              <w:pStyle w:val="TableContents"/>
              <w:spacing w:before="0" w:after="283"/>
              <w:jc w:val="right"/>
              <w:rPr/>
            </w:pPr>
            <w:r>
              <w:rPr/>
              <w:t>0</w:t>
            </w:r>
          </w:p>
        </w:tc>
        <w:tc>
          <w:tcPr>
            <w:tcW w:w="75" w:type="dxa"/>
            <w:tcBorders/>
            <w:shd w:fill="CCEEFF" w:val="clear"/>
            <w:vAlign w:val="center"/>
          </w:tcPr>
          <w:p>
            <w:pPr>
              <w:pStyle w:val="TableContents"/>
              <w:spacing w:before="0" w:after="283"/>
              <w:rPr/>
            </w:pPr>
            <w:r>
              <w:rPr/>
              <w:t> </w:t>
            </w:r>
          </w:p>
        </w:tc>
      </w:tr>
      <w:tr>
        <w:trPr/>
        <w:tc>
          <w:tcPr>
            <w:tcW w:w="30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285</w:t>
            </w:r>
          </w:p>
        </w:tc>
        <w:tc>
          <w:tcPr>
            <w:tcW w:w="6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 </w:t>
            </w:r>
          </w:p>
        </w:tc>
        <w:tc>
          <w:tcPr>
            <w:tcW w:w="1637" w:type="dxa"/>
            <w:tcBorders/>
            <w:shd w:fill="auto" w:val="clear"/>
            <w:vAlign w:val="center"/>
          </w:tcPr>
          <w:p>
            <w:pPr>
              <w:pStyle w:val="TableContents"/>
              <w:spacing w:before="0" w:after="283"/>
              <w:jc w:val="right"/>
              <w:rPr/>
            </w:pPr>
            <w:r>
              <w:rPr/>
              <w:t>39</w:t>
            </w:r>
          </w:p>
        </w:tc>
        <w:tc>
          <w:tcPr>
            <w:tcW w:w="6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 </w:t>
            </w:r>
          </w:p>
        </w:tc>
        <w:tc>
          <w:tcPr>
            <w:tcW w:w="1637" w:type="dxa"/>
            <w:tcBorders/>
            <w:shd w:fill="auto" w:val="clear"/>
            <w:vAlign w:val="center"/>
          </w:tcPr>
          <w:p>
            <w:pPr>
              <w:pStyle w:val="TableContents"/>
              <w:spacing w:before="0" w:after="283"/>
              <w:jc w:val="right"/>
              <w:rPr/>
            </w:pPr>
            <w:r>
              <w:rPr/>
              <w:t>0</w:t>
            </w:r>
          </w:p>
        </w:tc>
        <w:tc>
          <w:tcPr>
            <w:tcW w:w="75" w:type="dxa"/>
            <w:tcBorders/>
            <w:shd w:fill="auto" w:val="clear"/>
            <w:vAlign w:val="center"/>
          </w:tcPr>
          <w:p>
            <w:pPr>
              <w:pStyle w:val="TableContents"/>
              <w:spacing w:before="0" w:after="283"/>
              <w:rPr/>
            </w:pPr>
            <w:r>
              <w:rPr/>
              <w:t> </w:t>
            </w:r>
          </w:p>
        </w:tc>
      </w:tr>
      <w:tr>
        <w:trPr/>
        <w:tc>
          <w:tcPr>
            <w:tcW w:w="30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2,376</w:t>
            </w:r>
          </w:p>
        </w:tc>
        <w:tc>
          <w:tcPr>
            <w:tcW w:w="6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pPr>
            <w:r>
              <w:rPr/>
              <w:t>  </w:t>
            </w:r>
          </w:p>
        </w:tc>
        <w:tc>
          <w:tcPr>
            <w:tcW w:w="258" w:type="dxa"/>
            <w:tcBorders/>
            <w:shd w:fill="CCEEFF" w:val="clear"/>
            <w:vAlign w:val="center"/>
          </w:tcPr>
          <w:p>
            <w:pPr>
              <w:pStyle w:val="TableContents"/>
              <w:spacing w:before="0" w:after="283"/>
              <w:rPr/>
            </w:pPr>
            <w:r>
              <w:rPr/>
              <w:t> </w:t>
            </w:r>
          </w:p>
        </w:tc>
        <w:tc>
          <w:tcPr>
            <w:tcW w:w="1637" w:type="dxa"/>
            <w:tcBorders/>
            <w:shd w:fill="CCEEFF" w:val="clear"/>
            <w:vAlign w:val="center"/>
          </w:tcPr>
          <w:p>
            <w:pPr>
              <w:pStyle w:val="TableContents"/>
              <w:spacing w:before="0" w:after="283"/>
              <w:jc w:val="right"/>
              <w:rPr/>
            </w:pPr>
            <w:r>
              <w:rPr/>
              <w:t>435</w:t>
            </w:r>
          </w:p>
        </w:tc>
        <w:tc>
          <w:tcPr>
            <w:tcW w:w="6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pPr>
            <w:r>
              <w:rPr/>
              <w:t>  </w:t>
            </w:r>
          </w:p>
        </w:tc>
        <w:tc>
          <w:tcPr>
            <w:tcW w:w="258" w:type="dxa"/>
            <w:tcBorders/>
            <w:shd w:fill="CCEEFF" w:val="clear"/>
            <w:vAlign w:val="center"/>
          </w:tcPr>
          <w:p>
            <w:pPr>
              <w:pStyle w:val="TableContents"/>
              <w:spacing w:before="0" w:after="283"/>
              <w:rPr/>
            </w:pPr>
            <w:r>
              <w:rPr/>
              <w:t> </w:t>
            </w:r>
          </w:p>
        </w:tc>
        <w:tc>
          <w:tcPr>
            <w:tcW w:w="1637" w:type="dxa"/>
            <w:tcBorders/>
            <w:shd w:fill="CCEEFF" w:val="clear"/>
            <w:vAlign w:val="center"/>
          </w:tcPr>
          <w:p>
            <w:pPr>
              <w:pStyle w:val="TableContents"/>
              <w:spacing w:before="0" w:after="283"/>
              <w:jc w:val="right"/>
              <w:rPr/>
            </w:pPr>
            <w:r>
              <w:rPr/>
              <w:t>295</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20</w:t>
      </w:r>
    </w:p>
    <w:p>
      <w:pPr>
        <w:pStyle w:val="HorizontalLine"/>
        <w:rPr/>
      </w:pPr>
      <w:r>
        <w:rPr/>
      </w:r>
    </w:p>
    <w:p>
      <w:pPr>
        <w:pStyle w:val="TextBody"/>
        <w:spacing w:before="0" w:after="0"/>
        <w:rPr/>
      </w:pPr>
      <w:hyperlink w:anchor="toc">
        <w:r>
          <w:rPr>
            <w:rStyle w:val="InternetLink"/>
            <w:highlight w:val="white"/>
          </w:rPr>
          <w:t>Table of Contents</w:t>
        </w:r>
      </w:hyperlink>
    </w:p>
    <w:tbl>
      <w:tblPr>
        <w:tblW w:w="1735" w:type="dxa"/>
        <w:jc w:val="left"/>
        <w:tblInd w:w="0" w:type="dxa"/>
        <w:tblCellMar>
          <w:top w:w="0" w:type="dxa"/>
          <w:left w:w="0" w:type="dxa"/>
          <w:bottom w:w="0" w:type="dxa"/>
          <w:right w:w="0" w:type="dxa"/>
        </w:tblCellMar>
      </w:tblPr>
      <w:tblGrid>
        <w:gridCol w:w="215"/>
        <w:gridCol w:w="1520"/>
      </w:tblGrid>
      <w:tr>
        <w:trPr/>
        <w:tc>
          <w:tcPr>
            <w:tcW w:w="215" w:type="dxa"/>
            <w:tcBorders/>
            <w:shd w:fill="auto" w:val="clear"/>
            <w:vAlign w:val="center"/>
          </w:tcPr>
          <w:p>
            <w:pPr>
              <w:pStyle w:val="TableContents"/>
              <w:spacing w:before="0" w:after="0"/>
              <w:jc w:val="left"/>
              <w:rPr>
                <w:b/>
                <w:spacing w:val="0"/>
                <w:highlight w:val="white"/>
              </w:rPr>
            </w:pPr>
            <w:r>
              <w:rPr>
                <w:b/>
                <w:spacing w:val="0"/>
                <w:highlight w:val="white"/>
              </w:rPr>
              <w:t>8.</w:t>
            </w:r>
          </w:p>
        </w:tc>
        <w:tc>
          <w:tcPr>
            <w:tcW w:w="1520" w:type="dxa"/>
            <w:tcBorders/>
            <w:shd w:fill="auto" w:val="clear"/>
            <w:vAlign w:val="center"/>
          </w:tcPr>
          <w:p>
            <w:pPr>
              <w:pStyle w:val="TableContents"/>
              <w:spacing w:before="0" w:after="0"/>
              <w:jc w:val="both"/>
              <w:rPr>
                <w:rFonts w:ascii="Times New Roman" w:hAnsi="Times New Roman"/>
                <w:b/>
                <w:spacing w:val="0"/>
                <w:sz w:val="20"/>
                <w:highlight w:val="white"/>
              </w:rPr>
            </w:pPr>
            <w:r>
              <w:rPr>
                <w:rFonts w:ascii="Times New Roman" w:hAnsi="Times New Roman"/>
                <w:b/>
                <w:spacing w:val="0"/>
                <w:sz w:val="20"/>
                <w:highlight w:val="white"/>
              </w:rPr>
              <w:t xml:space="preserve">Cost of materials </w:t>
            </w:r>
          </w:p>
        </w:tc>
      </w:tr>
    </w:tbl>
    <w:p>
      <w:pPr>
        <w:pStyle w:val="TextBody"/>
        <w:spacing w:before="12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The following table shows the breakdown of the cost of materials:</w:t>
      </w:r>
    </w:p>
    <w:p>
      <w:pPr>
        <w:pStyle w:val="TextBody"/>
        <w:spacing w:before="0" w:after="0"/>
        <w:jc w:val="left"/>
        <w:rPr>
          <w:highlight w:val="white"/>
        </w:rPr>
      </w:pPr>
      <w:r>
        <w:rPr>
          <w:highlight w:val="white"/>
        </w:rPr>
        <w:t> </w:t>
      </w:r>
    </w:p>
    <w:tbl>
      <w:tblPr>
        <w:tblW w:w="9275" w:type="dxa"/>
        <w:jc w:val="left"/>
        <w:tblInd w:w="0" w:type="dxa"/>
        <w:tblCellMar>
          <w:top w:w="0" w:type="dxa"/>
          <w:left w:w="0" w:type="dxa"/>
          <w:bottom w:w="0" w:type="dxa"/>
          <w:right w:w="0" w:type="dxa"/>
        </w:tblCellMar>
      </w:tblPr>
      <w:tblGrid>
        <w:gridCol w:w="3035"/>
        <w:gridCol w:w="120"/>
        <w:gridCol w:w="153"/>
        <w:gridCol w:w="1742"/>
        <w:gridCol w:w="60"/>
        <w:gridCol w:w="120"/>
        <w:gridCol w:w="153"/>
        <w:gridCol w:w="1742"/>
        <w:gridCol w:w="60"/>
        <w:gridCol w:w="120"/>
        <w:gridCol w:w="183"/>
        <w:gridCol w:w="1712"/>
        <w:gridCol w:w="75"/>
      </w:tblGrid>
      <w:tr>
        <w:trPr/>
        <w:tc>
          <w:tcPr>
            <w:tcW w:w="30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74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74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0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45" w:type="dxa"/>
            <w:gridSpan w:val="10"/>
            <w:tcBorders/>
            <w:shd w:fill="auto" w:val="clear"/>
            <w:vAlign w:val="center"/>
          </w:tcPr>
          <w:p>
            <w:pPr>
              <w:pStyle w:val="TableContents"/>
              <w:spacing w:before="0" w:after="283"/>
              <w:jc w:val="center"/>
              <w:rPr/>
            </w:pPr>
            <w:r>
              <w:rPr/>
              <w:t>For the years ended</w:t>
            </w:r>
          </w:p>
        </w:tc>
        <w:tc>
          <w:tcPr>
            <w:tcW w:w="75" w:type="dxa"/>
            <w:tcBorders/>
            <w:shd w:fill="auto" w:val="clear"/>
            <w:vAlign w:val="center"/>
          </w:tcPr>
          <w:p>
            <w:pPr>
              <w:pStyle w:val="TableContents"/>
              <w:spacing w:before="0" w:after="283"/>
              <w:rPr/>
            </w:pPr>
            <w:r>
              <w:rPr/>
              <w:t> </w:t>
            </w:r>
          </w:p>
        </w:tc>
      </w:tr>
      <w:tr>
        <w:trPr/>
        <w:tc>
          <w:tcPr>
            <w:tcW w:w="3035"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2020</w:t>
            </w:r>
          </w:p>
        </w:tc>
        <w:tc>
          <w:tcPr>
            <w:tcW w:w="75" w:type="dxa"/>
            <w:tcBorders/>
            <w:shd w:fill="auto" w:val="clear"/>
            <w:vAlign w:val="center"/>
          </w:tcPr>
          <w:p>
            <w:pPr>
              <w:pStyle w:val="TableContents"/>
              <w:spacing w:before="0" w:after="283"/>
              <w:rPr/>
            </w:pPr>
            <w:r>
              <w:rPr/>
              <w:t> </w:t>
            </w:r>
          </w:p>
        </w:tc>
      </w:tr>
      <w:tr>
        <w:trPr/>
        <w:tc>
          <w:tcPr>
            <w:tcW w:w="30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Raw materials and consumables used</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13,007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7,736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4,715</w:t>
            </w:r>
          </w:p>
        </w:tc>
        <w:tc>
          <w:tcPr>
            <w:tcW w:w="75" w:type="dxa"/>
            <w:tcBorders/>
            <w:shd w:fill="CCEEFF" w:val="clear"/>
            <w:vAlign w:val="center"/>
          </w:tcPr>
          <w:p>
            <w:pPr>
              <w:pStyle w:val="TableContents"/>
              <w:spacing w:before="0" w:after="283"/>
              <w:rPr/>
            </w:pPr>
            <w:r>
              <w:rPr/>
              <w:t> </w:t>
            </w:r>
          </w:p>
        </w:tc>
      </w:tr>
      <w:tr>
        <w:trPr/>
        <w:tc>
          <w:tcPr>
            <w:tcW w:w="30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Costs for services purchased</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jc w:val="right"/>
              <w:rPr/>
            </w:pPr>
            <w:r>
              <w:rPr/>
              <w:t>2,427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jc w:val="right"/>
              <w:rPr/>
            </w:pPr>
            <w:r>
              <w:rPr/>
              <w:t>2,888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1,506</w:t>
            </w:r>
          </w:p>
        </w:tc>
        <w:tc>
          <w:tcPr>
            <w:tcW w:w="75" w:type="dxa"/>
            <w:tcBorders/>
            <w:shd w:fill="auto" w:val="clear"/>
            <w:vAlign w:val="center"/>
          </w:tcPr>
          <w:p>
            <w:pPr>
              <w:pStyle w:val="TableContents"/>
              <w:spacing w:before="0" w:after="283"/>
              <w:rPr/>
            </w:pPr>
            <w:r>
              <w:rPr/>
              <w:t> </w:t>
            </w:r>
          </w:p>
        </w:tc>
      </w:tr>
      <w:tr>
        <w:trPr/>
        <w:tc>
          <w:tcPr>
            <w:tcW w:w="30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15,434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10,624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6,221</w:t>
            </w:r>
          </w:p>
        </w:tc>
        <w:tc>
          <w:tcPr>
            <w:tcW w:w="75" w:type="dxa"/>
            <w:tcBorders/>
            <w:shd w:fill="CCEEFF" w:val="clear"/>
            <w:vAlign w:val="center"/>
          </w:tcPr>
          <w:p>
            <w:pPr>
              <w:pStyle w:val="TableContents"/>
              <w:spacing w:before="0" w:after="283"/>
              <w:rPr/>
            </w:pPr>
            <w:r>
              <w:rPr/>
              <w:t>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Included in the cost of materials are write downs for the year ended December 31, 2022, in the amount of €5,601 thousand (2021: €2,039 thousand, 2020: €0).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write-downs for the year ended December 31, 2022, refer to materials relevant for production of CONDOR Mk1, CONDOR Mk2 and CONDOR MEO. The write-downs for the year ended December 31, 2021, refer to materials relevant for production of CONDOR Mk1 and CONDOR Mk2. The corresponding raw materials were written down to their recoverable amount. </w:t>
      </w:r>
    </w:p>
    <w:p>
      <w:pPr>
        <w:pStyle w:val="TextBody"/>
        <w:spacing w:before="0" w:after="0"/>
        <w:jc w:val="left"/>
        <w:rPr>
          <w:highlight w:val="white"/>
        </w:rPr>
      </w:pPr>
      <w:r>
        <w:rPr>
          <w:highlight w:val="white"/>
        </w:rPr>
        <w:t> </w:t>
      </w:r>
    </w:p>
    <w:tbl>
      <w:tblPr>
        <w:tblW w:w="1630" w:type="dxa"/>
        <w:jc w:val="left"/>
        <w:tblInd w:w="0" w:type="dxa"/>
        <w:tblCellMar>
          <w:top w:w="0" w:type="dxa"/>
          <w:left w:w="0" w:type="dxa"/>
          <w:bottom w:w="0" w:type="dxa"/>
          <w:right w:w="0" w:type="dxa"/>
        </w:tblCellMar>
      </w:tblPr>
      <w:tblGrid>
        <w:gridCol w:w="215"/>
        <w:gridCol w:w="1415"/>
      </w:tblGrid>
      <w:tr>
        <w:trPr/>
        <w:tc>
          <w:tcPr>
            <w:tcW w:w="215" w:type="dxa"/>
            <w:tcBorders/>
            <w:shd w:fill="auto" w:val="clear"/>
            <w:vAlign w:val="center"/>
          </w:tcPr>
          <w:p>
            <w:pPr>
              <w:pStyle w:val="TableContents"/>
              <w:spacing w:before="0" w:after="0"/>
              <w:jc w:val="left"/>
              <w:rPr>
                <w:b/>
                <w:spacing w:val="0"/>
              </w:rPr>
            </w:pPr>
            <w:r>
              <w:rPr>
                <w:b/>
                <w:spacing w:val="0"/>
              </w:rPr>
              <w:t>9.</w:t>
            </w:r>
          </w:p>
        </w:tc>
        <w:tc>
          <w:tcPr>
            <w:tcW w:w="141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Personnel Costs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following table shows the breakdown of the personnel costs: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3965"/>
        <w:gridCol w:w="120"/>
        <w:gridCol w:w="153"/>
        <w:gridCol w:w="1742"/>
        <w:gridCol w:w="60"/>
        <w:gridCol w:w="120"/>
        <w:gridCol w:w="153"/>
        <w:gridCol w:w="1742"/>
        <w:gridCol w:w="60"/>
        <w:gridCol w:w="120"/>
        <w:gridCol w:w="153"/>
        <w:gridCol w:w="1742"/>
        <w:gridCol w:w="75"/>
      </w:tblGrid>
      <w:tr>
        <w:trPr/>
        <w:tc>
          <w:tcPr>
            <w:tcW w:w="39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74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74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74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9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45" w:type="dxa"/>
            <w:gridSpan w:val="10"/>
            <w:tcBorders/>
            <w:shd w:fill="auto" w:val="clear"/>
            <w:vAlign w:val="center"/>
          </w:tcPr>
          <w:p>
            <w:pPr>
              <w:pStyle w:val="TableContents"/>
              <w:spacing w:before="0" w:after="283"/>
              <w:jc w:val="center"/>
              <w:rPr/>
            </w:pPr>
            <w:r>
              <w:rPr/>
              <w:t>For the years ended</w:t>
            </w:r>
          </w:p>
        </w:tc>
        <w:tc>
          <w:tcPr>
            <w:tcW w:w="75" w:type="dxa"/>
            <w:tcBorders/>
            <w:shd w:fill="auto" w:val="clear"/>
            <w:vAlign w:val="center"/>
          </w:tcPr>
          <w:p>
            <w:pPr>
              <w:pStyle w:val="TableContents"/>
              <w:spacing w:before="0" w:after="283"/>
              <w:rPr/>
            </w:pPr>
            <w:r>
              <w:rPr/>
              <w:t> </w:t>
            </w:r>
          </w:p>
        </w:tc>
      </w:tr>
      <w:tr>
        <w:trPr/>
        <w:tc>
          <w:tcPr>
            <w:tcW w:w="3965"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2020</w:t>
            </w:r>
          </w:p>
        </w:tc>
        <w:tc>
          <w:tcPr>
            <w:tcW w:w="75" w:type="dxa"/>
            <w:tcBorders/>
            <w:shd w:fill="auto" w:val="clear"/>
            <w:vAlign w:val="center"/>
          </w:tcPr>
          <w:p>
            <w:pPr>
              <w:pStyle w:val="TableContents"/>
              <w:spacing w:before="0" w:after="283"/>
              <w:rPr/>
            </w:pPr>
            <w:r>
              <w:rPr/>
              <w:t> </w:t>
            </w:r>
          </w:p>
        </w:tc>
      </w:tr>
      <w:tr>
        <w:trPr/>
        <w:tc>
          <w:tcPr>
            <w:tcW w:w="39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Wages and salaries</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26,318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18,185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13,585</w:t>
            </w:r>
          </w:p>
        </w:tc>
        <w:tc>
          <w:tcPr>
            <w:tcW w:w="75" w:type="dxa"/>
            <w:tcBorders/>
            <w:shd w:fill="CCEEFF" w:val="clear"/>
            <w:vAlign w:val="center"/>
          </w:tcPr>
          <w:p>
            <w:pPr>
              <w:pStyle w:val="TableContents"/>
              <w:spacing w:before="0" w:after="283"/>
              <w:rPr/>
            </w:pPr>
            <w:r>
              <w:rPr/>
              <w:t> </w:t>
            </w:r>
          </w:p>
        </w:tc>
      </w:tr>
      <w:tr>
        <w:trPr/>
        <w:tc>
          <w:tcPr>
            <w:tcW w:w="39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Share based payments</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jc w:val="right"/>
              <w:rPr/>
            </w:pPr>
            <w:r>
              <w:rPr/>
              <w:t>6,133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jc w:val="right"/>
              <w:rPr/>
            </w:pPr>
            <w:r>
              <w:rPr/>
              <w:t>1,942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jc w:val="right"/>
              <w:rPr/>
            </w:pPr>
            <w:r>
              <w:rPr/>
              <w:t>1,125</w:t>
            </w:r>
          </w:p>
        </w:tc>
        <w:tc>
          <w:tcPr>
            <w:tcW w:w="75" w:type="dxa"/>
            <w:tcBorders/>
            <w:shd w:fill="auto" w:val="clear"/>
            <w:vAlign w:val="center"/>
          </w:tcPr>
          <w:p>
            <w:pPr>
              <w:pStyle w:val="TableContents"/>
              <w:spacing w:before="0" w:after="283"/>
              <w:rPr/>
            </w:pPr>
            <w:r>
              <w:rPr/>
              <w:t> </w:t>
            </w:r>
          </w:p>
        </w:tc>
      </w:tr>
      <w:tr>
        <w:trPr/>
        <w:tc>
          <w:tcPr>
            <w:tcW w:w="39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Social security contributions, pensions, and other employee benefits</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4,959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3,238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2,124</w:t>
            </w:r>
          </w:p>
        </w:tc>
        <w:tc>
          <w:tcPr>
            <w:tcW w:w="75" w:type="dxa"/>
            <w:tcBorders/>
            <w:shd w:fill="CCEEFF" w:val="clear"/>
            <w:vAlign w:val="center"/>
          </w:tcPr>
          <w:p>
            <w:pPr>
              <w:pStyle w:val="TableContents"/>
              <w:spacing w:before="0" w:after="283"/>
              <w:rPr/>
            </w:pPr>
            <w:r>
              <w:rPr/>
              <w:t> </w:t>
            </w:r>
          </w:p>
        </w:tc>
      </w:tr>
      <w:tr>
        <w:trPr/>
        <w:tc>
          <w:tcPr>
            <w:tcW w:w="39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jc w:val="right"/>
              <w:rPr/>
            </w:pPr>
            <w:r>
              <w:rPr/>
              <w:t>37,410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jc w:val="right"/>
              <w:rPr/>
            </w:pPr>
            <w:r>
              <w:rPr/>
              <w:t>23,365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jc w:val="right"/>
              <w:rPr/>
            </w:pPr>
            <w:r>
              <w:rPr/>
              <w:t>16,834</w:t>
            </w:r>
          </w:p>
        </w:tc>
        <w:tc>
          <w:tcPr>
            <w:tcW w:w="75" w:type="dxa"/>
            <w:tcBorders/>
            <w:shd w:fill="auto" w:val="clear"/>
            <w:vAlign w:val="center"/>
          </w:tcPr>
          <w:p>
            <w:pPr>
              <w:pStyle w:val="TableContents"/>
              <w:spacing w:before="0" w:after="283"/>
              <w:rPr/>
            </w:pPr>
            <w:r>
              <w:rPr/>
              <w:t>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Under defined contribution pension plans, the Company paid contributions to governmental pension schemes for the year ended December 31, 2022, in the amount of €1,799 thousand (2021: €1,301 thousand, 2020: €872). </w:t>
      </w:r>
    </w:p>
    <w:p>
      <w:pPr>
        <w:pStyle w:val="TextBody"/>
        <w:spacing w:before="0" w:after="0"/>
        <w:jc w:val="both"/>
        <w:rPr>
          <w:highlight w:val="white"/>
        </w:rPr>
      </w:pPr>
      <w:r>
        <w:rPr>
          <w:highlight w:val="white"/>
        </w:rPr>
        <w:t> </w:t>
      </w:r>
    </w:p>
    <w:tbl>
      <w:tblPr>
        <w:tblW w:w="5665" w:type="dxa"/>
        <w:jc w:val="left"/>
        <w:tblInd w:w="0" w:type="dxa"/>
        <w:tblCellMar>
          <w:top w:w="0" w:type="dxa"/>
          <w:left w:w="0" w:type="dxa"/>
          <w:bottom w:w="0" w:type="dxa"/>
          <w:right w:w="0" w:type="dxa"/>
        </w:tblCellMar>
      </w:tblPr>
      <w:tblGrid>
        <w:gridCol w:w="395"/>
        <w:gridCol w:w="5270"/>
      </w:tblGrid>
      <w:tr>
        <w:trPr/>
        <w:tc>
          <w:tcPr>
            <w:tcW w:w="395" w:type="dxa"/>
            <w:tcBorders/>
            <w:shd w:fill="auto" w:val="clear"/>
            <w:vAlign w:val="center"/>
          </w:tcPr>
          <w:p>
            <w:pPr>
              <w:pStyle w:val="TableContents"/>
              <w:spacing w:before="0" w:after="0"/>
              <w:jc w:val="both"/>
              <w:rPr>
                <w:b/>
                <w:spacing w:val="0"/>
              </w:rPr>
            </w:pPr>
            <w:r>
              <w:rPr>
                <w:b/>
                <w:spacing w:val="0"/>
              </w:rPr>
              <w:t>9.1.</w:t>
            </w:r>
          </w:p>
        </w:tc>
        <w:tc>
          <w:tcPr>
            <w:tcW w:w="5270"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Equity-settled share-based payment under Stock Option Plans </w:t>
            </w:r>
          </w:p>
        </w:tc>
      </w:tr>
    </w:tbl>
    <w:p>
      <w:pPr>
        <w:pStyle w:val="TextBody"/>
        <w:spacing w:before="12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2019 Stock Option Plan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In fiscal year 2019, Mynaric granted stock options to selected employees under the 2019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vesting period. The stock options can be exercised only if the volume-weighted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six-month</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average price of the Company shares in Xetra trading (or a comparable successor system) at the Frankfurt Stock Exchange exceeds the exercise price by 20% or more upon the expiry of the vesting period. Under the 2019 Stock Option Plan (Tranche 2019 I), in addition to options granted to new beneficiaries, options were also granted in replacement for waiving any claims from the options granted in 2018 from the 2017 Stock Option Plan. The incremental fair value of the options granted in replacement for waiving any claims from the 2017 option plan amounts to EUR 5.93 per option and was determined using a Monte Carlo simulation. </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2020 Stock Option Plan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In fiscal year 2020, Mynaric granted stock options to selected employees under the 2020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vesting period. The stock options can be exercised only if the volume-weighted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six-month</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average price of the Company shares in Xetra trading (or a comparable successor system) at the Frankfurt Stock Exchange exceeds the exercise price by 20% or more upon the expiry of the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lock-up</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period.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F-2</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1</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Granting of stock options to Mr. Altan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In fiscal year 2019, a shareholder of Mynaric AG granted Mr. Altan, the Chief Executive Officer and a member of the management board of Mynaric AG, the right to acquire 56,700 shares of the Company from such shareholder at a price of €25.00 per share. The exercise of Mr. Altan’s option right was subject to a number of conditions, including Mr. Altan’s continued employment until December 31, 2019, with Mynaric AG and the successful exercise of option rights pursuant to separate option agreement under which the granting shareholder was an optionholder. All conditions under the option agreement with Mr. Altan were fulfilled in December 2020. Please refer to Note 32 a) Related party transactions for more information. </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2021 Stock Option Plan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In fiscal year 2021, Mynaric granted stock options to selected employees under the 2021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vesting period. The stock options can be exercised only if the volume-weighted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six-month</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average price of the Company shares in Xetra trading (or a comparable successor system) at the Frankfurt Stock Exchange exceeds the exercise price by 20% or more upon the expiry of the vesting period. </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2022 Stock Option Plan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During the year ended December 31, 2022, the Company granted 108,000 stock options to selected employees under the 2022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five years after the expiration of the vesting period provided that the performance target has been achieved. The first performance target is linked to the absolute price performance of the Company shares during the vesting period. The second performance target relates to the achievement of ESG (Environment, Social, Governance) targets (Diversity target and employee engagement target, both measured on a company level). The share price performance target is weighted at 80% and the ESG performance target is weighted at 20%. The target achievement of both performance targets is between 0% and 100% which means that the number of exercisable options is adjusted based on the corresponding target achievement. Furthermore, the stock options can only be exercised to the extent that the maximum compensation of the respective beneficiary for the corresponding period is not exceeded which means that in case the maximum compensation would be exceeded, the number of exercisable options is reduced. A total of 40,000 options from the 2021 I tranche were waived by the beneficiary, which was compensated by granting of 33,000 new stock options from the 2022 I tranche. The waive and grant of new stock options was treated as replacement according to IFRS 2 and therefore as a modification within the meaning of IFRS 2. The fair value of the original grant and the new grant were both measured at the modification date and the incremental fair value (€ 58.378) of the new grant is recorded in P&amp;L.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stock option grants under the 2017, 2019 2020, 2021, 2022 Stock Option Plans, and the stock options granted to Mr. Altan by selected shareholders are classified and measured as equity-settled share-based payments in accordance with IFRS 2. Accordingly, the fair value is determined only once on the grant date. The determined expense must then be amortized over the vesting period.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following table provides an overview of the outstanding, granted, forfeited, exercised, and expired options. The stock options granted in replacement for waiving claims from the stock options under the 2017 Stock Option Plan were accounted for in accordance with the IFRS 2 rules applicable for replacement plans.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F-2</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2</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both"/>
        <w:rPr>
          <w:rFonts w:ascii="Times New Roman" w:hAnsi="Times New Roman"/>
          <w:sz w:val="20"/>
          <w:highlight w:val="white"/>
        </w:rPr>
      </w:pPr>
      <w:r>
        <w:rPr>
          <w:rFonts w:ascii="Times New Roman" w:hAnsi="Times New Roman"/>
          <w:sz w:val="20"/>
          <w:highlight w:val="white"/>
        </w:rPr>
        <w:t xml:space="preserve">The options changed as follows in fiscal year 2022 (Tranches 2019): </w:t>
      </w:r>
    </w:p>
    <w:p>
      <w:pPr>
        <w:pStyle w:val="TextBody"/>
        <w:spacing w:before="0" w:after="0"/>
        <w:jc w:val="left"/>
        <w:rPr>
          <w:highlight w:val="white"/>
        </w:rPr>
      </w:pPr>
      <w:r>
        <w:rPr>
          <w:highlight w:val="white"/>
        </w:rPr>
        <w:t> </w:t>
      </w:r>
    </w:p>
    <w:tbl>
      <w:tblPr>
        <w:tblW w:w="10510" w:type="dxa"/>
        <w:jc w:val="left"/>
        <w:tblInd w:w="0" w:type="dxa"/>
        <w:tblCellMar>
          <w:top w:w="0" w:type="dxa"/>
          <w:left w:w="0" w:type="dxa"/>
          <w:bottom w:w="0" w:type="dxa"/>
          <w:right w:w="0" w:type="dxa"/>
        </w:tblCellMar>
      </w:tblPr>
      <w:tblGrid>
        <w:gridCol w:w="1010"/>
        <w:gridCol w:w="60"/>
        <w:gridCol w:w="64"/>
        <w:gridCol w:w="736"/>
        <w:gridCol w:w="60"/>
        <w:gridCol w:w="60"/>
        <w:gridCol w:w="64"/>
        <w:gridCol w:w="736"/>
        <w:gridCol w:w="60"/>
        <w:gridCol w:w="60"/>
        <w:gridCol w:w="64"/>
        <w:gridCol w:w="736"/>
        <w:gridCol w:w="60"/>
        <w:gridCol w:w="60"/>
        <w:gridCol w:w="64"/>
        <w:gridCol w:w="736"/>
        <w:gridCol w:w="60"/>
        <w:gridCol w:w="60"/>
        <w:gridCol w:w="64"/>
        <w:gridCol w:w="736"/>
        <w:gridCol w:w="60"/>
        <w:gridCol w:w="60"/>
        <w:gridCol w:w="78"/>
        <w:gridCol w:w="737"/>
        <w:gridCol w:w="60"/>
        <w:gridCol w:w="60"/>
        <w:gridCol w:w="86"/>
        <w:gridCol w:w="804"/>
        <w:gridCol w:w="60"/>
        <w:gridCol w:w="60"/>
        <w:gridCol w:w="78"/>
        <w:gridCol w:w="887"/>
        <w:gridCol w:w="60"/>
        <w:gridCol w:w="60"/>
        <w:gridCol w:w="78"/>
        <w:gridCol w:w="737"/>
        <w:gridCol w:w="60"/>
        <w:gridCol w:w="60"/>
        <w:gridCol w:w="77"/>
        <w:gridCol w:w="723"/>
        <w:gridCol w:w="75"/>
      </w:tblGrid>
      <w:tr>
        <w:trPr/>
        <w:tc>
          <w:tcPr>
            <w:tcW w:w="10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0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2019 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2019 II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2019 III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2019 IV</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2019 V</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5" w:type="dxa"/>
            <w:gridSpan w:val="2"/>
            <w:tcBorders/>
            <w:shd w:fill="auto" w:val="clear"/>
            <w:vAlign w:val="center"/>
          </w:tcPr>
          <w:p>
            <w:pPr>
              <w:pStyle w:val="TableContents"/>
              <w:spacing w:before="0" w:after="283"/>
              <w:jc w:val="center"/>
              <w:rPr/>
            </w:pPr>
            <w:r>
              <w:rPr/>
              <w:t>Tranche</w:t>
              <w:br/>
              <w:t>2019 VI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0" w:type="dxa"/>
            <w:gridSpan w:val="2"/>
            <w:tcBorders/>
            <w:shd w:fill="auto" w:val="clear"/>
            <w:vAlign w:val="center"/>
          </w:tcPr>
          <w:p>
            <w:pPr>
              <w:pStyle w:val="TableContents"/>
              <w:spacing w:before="0" w:after="283"/>
              <w:jc w:val="center"/>
              <w:rPr/>
            </w:pPr>
            <w:r>
              <w:rPr/>
              <w:t>Tranche</w:t>
              <w:br/>
              <w:t>2019 VII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5" w:type="dxa"/>
            <w:gridSpan w:val="2"/>
            <w:tcBorders/>
            <w:shd w:fill="auto" w:val="clear"/>
            <w:vAlign w:val="center"/>
          </w:tcPr>
          <w:p>
            <w:pPr>
              <w:pStyle w:val="TableContents"/>
              <w:spacing w:before="0" w:after="283"/>
              <w:jc w:val="center"/>
              <w:rPr/>
            </w:pPr>
            <w:r>
              <w:rPr/>
              <w:t>Tranche</w:t>
              <w:br/>
              <w:t>2019 VIII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5" w:type="dxa"/>
            <w:gridSpan w:val="2"/>
            <w:tcBorders/>
            <w:shd w:fill="auto" w:val="clear"/>
            <w:vAlign w:val="center"/>
          </w:tcPr>
          <w:p>
            <w:pPr>
              <w:pStyle w:val="TableContents"/>
              <w:spacing w:before="0" w:after="283"/>
              <w:jc w:val="center"/>
              <w:rPr/>
            </w:pPr>
            <w:r>
              <w:rPr/>
              <w:t>Tranche</w:t>
              <w:br/>
              <w:t>2019 IX</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2019 X</w:t>
            </w:r>
          </w:p>
        </w:tc>
        <w:tc>
          <w:tcPr>
            <w:tcW w:w="75" w:type="dxa"/>
            <w:tcBorders/>
            <w:shd w:fill="auto" w:val="clear"/>
            <w:vAlign w:val="center"/>
          </w:tcPr>
          <w:p>
            <w:pPr>
              <w:pStyle w:val="TableContents"/>
              <w:spacing w:before="0" w:after="283"/>
              <w:rPr/>
            </w:pPr>
            <w:r>
              <w:rPr/>
              <w:t> </w:t>
            </w:r>
          </w:p>
        </w:tc>
      </w:tr>
      <w:tr>
        <w:trPr/>
        <w:tc>
          <w:tcPr>
            <w:tcW w:w="10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Options outstanding as of Jan. 1, 2022</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93,800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20,000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12,500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53,000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26,600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7,000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804" w:type="dxa"/>
            <w:tcBorders/>
            <w:shd w:fill="CCEEFF" w:val="clear"/>
            <w:vAlign w:val="center"/>
          </w:tcPr>
          <w:p>
            <w:pPr>
              <w:pStyle w:val="TableContents"/>
              <w:spacing w:before="0" w:after="283"/>
              <w:jc w:val="right"/>
              <w:rPr/>
            </w:pPr>
            <w:r>
              <w:rPr/>
              <w:t>6,000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887" w:type="dxa"/>
            <w:tcBorders/>
            <w:shd w:fill="CCEEFF" w:val="clear"/>
            <w:vAlign w:val="center"/>
          </w:tcPr>
          <w:p>
            <w:pPr>
              <w:pStyle w:val="TableContents"/>
              <w:spacing w:before="0" w:after="283"/>
              <w:jc w:val="right"/>
              <w:rPr/>
            </w:pPr>
            <w:r>
              <w:rPr/>
              <w:t>12,350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5,000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0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Options granted</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80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88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2,500</w:t>
            </w:r>
          </w:p>
        </w:tc>
        <w:tc>
          <w:tcPr>
            <w:tcW w:w="75" w:type="dxa"/>
            <w:tcBorders/>
            <w:shd w:fill="auto" w:val="clear"/>
            <w:vAlign w:val="center"/>
          </w:tcPr>
          <w:p>
            <w:pPr>
              <w:pStyle w:val="TableContents"/>
              <w:spacing w:before="0" w:after="283"/>
              <w:rPr/>
            </w:pPr>
            <w:r>
              <w:rPr/>
              <w:t> </w:t>
            </w:r>
          </w:p>
        </w:tc>
      </w:tr>
      <w:tr>
        <w:trPr/>
        <w:tc>
          <w:tcPr>
            <w:tcW w:w="10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Options forfeited</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300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5,100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8,600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1,000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80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887" w:type="dxa"/>
            <w:tcBorders/>
            <w:shd w:fill="CCEEFF" w:val="clear"/>
            <w:vAlign w:val="center"/>
          </w:tcPr>
          <w:p>
            <w:pPr>
              <w:pStyle w:val="TableContents"/>
              <w:spacing w:before="0" w:after="283"/>
              <w:jc w:val="right"/>
              <w:rPr/>
            </w:pPr>
            <w:r>
              <w:rPr/>
              <w:t>1,500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0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Options exercised</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80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88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0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Options expired</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80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88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0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Options outstanding as of Dec. 31, 2022</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93,500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20,000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7,400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53,000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18,000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6,000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804" w:type="dxa"/>
            <w:tcBorders/>
            <w:shd w:fill="auto" w:val="clear"/>
            <w:vAlign w:val="center"/>
          </w:tcPr>
          <w:p>
            <w:pPr>
              <w:pStyle w:val="TableContents"/>
              <w:spacing w:before="0" w:after="283"/>
              <w:jc w:val="right"/>
              <w:rPr/>
            </w:pPr>
            <w:r>
              <w:rPr/>
              <w:t>6,000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887" w:type="dxa"/>
            <w:tcBorders/>
            <w:shd w:fill="auto" w:val="clear"/>
            <w:vAlign w:val="center"/>
          </w:tcPr>
          <w:p>
            <w:pPr>
              <w:pStyle w:val="TableContents"/>
              <w:spacing w:before="0" w:after="283"/>
              <w:jc w:val="right"/>
              <w:rPr/>
            </w:pPr>
            <w:r>
              <w:rPr/>
              <w:t>10,850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5,000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2,500</w:t>
            </w:r>
          </w:p>
        </w:tc>
        <w:tc>
          <w:tcPr>
            <w:tcW w:w="75" w:type="dxa"/>
            <w:tcBorders/>
            <w:shd w:fill="auto" w:val="clear"/>
            <w:vAlign w:val="center"/>
          </w:tcPr>
          <w:p>
            <w:pPr>
              <w:pStyle w:val="TableContents"/>
              <w:spacing w:before="0" w:after="283"/>
              <w:rPr/>
            </w:pPr>
            <w:r>
              <w:rPr/>
              <w:t> </w:t>
            </w:r>
          </w:p>
        </w:tc>
      </w:tr>
      <w:tr>
        <w:trPr/>
        <w:tc>
          <w:tcPr>
            <w:tcW w:w="10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Options exercisable as of Dec. 31, 2022</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80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88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options changed as follows in fiscal year 2022 (Tranches 2020 - 2022): </w:t>
      </w:r>
    </w:p>
    <w:p>
      <w:pPr>
        <w:pStyle w:val="TextBody"/>
        <w:spacing w:before="0" w:after="0"/>
        <w:jc w:val="left"/>
        <w:rPr>
          <w:highlight w:val="white"/>
        </w:rPr>
      </w:pPr>
      <w:r>
        <w:rPr>
          <w:highlight w:val="white"/>
        </w:rPr>
        <w:t> </w:t>
      </w:r>
    </w:p>
    <w:tbl>
      <w:tblPr>
        <w:tblW w:w="7305" w:type="dxa"/>
        <w:jc w:val="left"/>
        <w:tblInd w:w="0" w:type="dxa"/>
        <w:tblCellMar>
          <w:top w:w="0" w:type="dxa"/>
          <w:left w:w="0" w:type="dxa"/>
          <w:bottom w:w="0" w:type="dxa"/>
          <w:right w:w="0" w:type="dxa"/>
        </w:tblCellMar>
      </w:tblPr>
      <w:tblGrid>
        <w:gridCol w:w="3290"/>
        <w:gridCol w:w="120"/>
        <w:gridCol w:w="64"/>
        <w:gridCol w:w="736"/>
        <w:gridCol w:w="60"/>
        <w:gridCol w:w="120"/>
        <w:gridCol w:w="60"/>
        <w:gridCol w:w="800"/>
        <w:gridCol w:w="80"/>
        <w:gridCol w:w="60"/>
        <w:gridCol w:w="60"/>
        <w:gridCol w:w="800"/>
        <w:gridCol w:w="60"/>
        <w:gridCol w:w="120"/>
        <w:gridCol w:w="64"/>
        <w:gridCol w:w="736"/>
        <w:gridCol w:w="75"/>
      </w:tblGrid>
      <w:tr>
        <w:trPr/>
        <w:tc>
          <w:tcPr>
            <w:tcW w:w="32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2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2020 I</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jc w:val="center"/>
              <w:rPr/>
            </w:pPr>
            <w:r>
              <w:rPr/>
              <w:t>Tranche</w:t>
              <w:br/>
              <w:t>2021 I</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jc w:val="center"/>
              <w:rPr/>
            </w:pPr>
            <w:r>
              <w:rPr/>
              <w:t>Tranche</w:t>
              <w:br/>
              <w:t>2022 I</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Altan</w:t>
            </w:r>
          </w:p>
        </w:tc>
        <w:tc>
          <w:tcPr>
            <w:tcW w:w="75" w:type="dxa"/>
            <w:tcBorders/>
            <w:shd w:fill="auto" w:val="clear"/>
            <w:vAlign w:val="center"/>
          </w:tcPr>
          <w:p>
            <w:pPr>
              <w:pStyle w:val="TableContents"/>
              <w:spacing w:before="0" w:after="283"/>
              <w:rPr/>
            </w:pPr>
            <w:r>
              <w:rPr/>
              <w:t> </w:t>
            </w:r>
          </w:p>
        </w:tc>
      </w:tr>
      <w:tr>
        <w:trPr/>
        <w:tc>
          <w:tcPr>
            <w:tcW w:w="32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Options outstanding as of Jan. 1, 2022</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14,000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100,000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56,700</w:t>
            </w:r>
          </w:p>
        </w:tc>
        <w:tc>
          <w:tcPr>
            <w:tcW w:w="75" w:type="dxa"/>
            <w:tcBorders/>
            <w:shd w:fill="CCEEFF" w:val="clear"/>
            <w:vAlign w:val="center"/>
          </w:tcPr>
          <w:p>
            <w:pPr>
              <w:pStyle w:val="TableContents"/>
              <w:spacing w:before="0" w:after="283"/>
              <w:rPr/>
            </w:pPr>
            <w:r>
              <w:rPr/>
              <w:t> </w:t>
            </w:r>
          </w:p>
        </w:tc>
      </w:tr>
      <w:tr>
        <w:trPr/>
        <w:tc>
          <w:tcPr>
            <w:tcW w:w="32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Options granted</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108,000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32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Options forfeited</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32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Options exercised</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32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Options expired</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40,000</w:t>
            </w:r>
          </w:p>
        </w:tc>
        <w:tc>
          <w:tcPr>
            <w:tcW w:w="80" w:type="dxa"/>
            <w:tcBorders/>
            <w:shd w:fill="CCEEFF" w:val="clear"/>
            <w:vAlign w:val="center"/>
          </w:tcPr>
          <w:p>
            <w:pPr>
              <w:pStyle w:val="TableContents"/>
              <w:spacing w:before="0" w:after="0"/>
              <w:rPr>
                <w:sz w:val="12"/>
              </w:rPr>
            </w:pPr>
            <w:r>
              <w:rPr>
                <w:sz w:val="12"/>
              </w:rPr>
              <w:t>5</w:t>
            </w:r>
          </w:p>
          <w:p>
            <w:pPr>
              <w:pStyle w:val="TableContents"/>
              <w:spacing w:before="0" w:after="0"/>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56,700</w:t>
            </w:r>
          </w:p>
        </w:tc>
        <w:tc>
          <w:tcPr>
            <w:tcW w:w="75" w:type="dxa"/>
            <w:tcBorders/>
            <w:shd w:fill="CCEEFF" w:val="clear"/>
            <w:vAlign w:val="center"/>
          </w:tcPr>
          <w:p>
            <w:pPr>
              <w:pStyle w:val="TableContents"/>
              <w:spacing w:before="0" w:after="283"/>
              <w:rPr/>
            </w:pPr>
            <w:r>
              <w:rPr/>
              <w:t> </w:t>
            </w:r>
          </w:p>
        </w:tc>
      </w:tr>
      <w:tr>
        <w:trPr/>
        <w:tc>
          <w:tcPr>
            <w:tcW w:w="32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Options outstanding as of Dec. 31, 2022</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14,000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60,000</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108,000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32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Options exercisable as of Dec. 31, 2022</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bl>
    <w:p>
      <w:pPr>
        <w:pStyle w:val="TextBody"/>
        <w:spacing w:before="240" w:after="0"/>
        <w:jc w:val="both"/>
        <w:rPr>
          <w:rFonts w:ascii="Times New Roman" w:hAnsi="Times New Roman"/>
          <w:sz w:val="12"/>
          <w:highlight w:val="white"/>
        </w:rPr>
      </w:pPr>
      <w:r>
        <w:rPr>
          <w:rFonts w:ascii="Times New Roman" w:hAnsi="Times New Roman"/>
          <w:sz w:val="12"/>
          <w:highlight w:val="white"/>
        </w:rPr>
        <w:t xml:space="preserve">5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Note: A total of 40,000 options from the 2021 I tranche were waived, which was compensated for by the granting of 33,000 new options from the 2022 I tranche.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options changed as follows in fiscal year 2021: </w:t>
      </w:r>
    </w:p>
    <w:p>
      <w:pPr>
        <w:pStyle w:val="TextBody"/>
        <w:spacing w:before="0" w:after="0"/>
        <w:jc w:val="left"/>
        <w:rPr>
          <w:highlight w:val="white"/>
        </w:rPr>
      </w:pPr>
      <w:r>
        <w:rPr>
          <w:highlight w:val="white"/>
        </w:rPr>
        <w:t> </w:t>
      </w:r>
    </w:p>
    <w:tbl>
      <w:tblPr>
        <w:tblW w:w="12470" w:type="dxa"/>
        <w:jc w:val="left"/>
        <w:tblInd w:w="0" w:type="dxa"/>
        <w:tblCellMar>
          <w:top w:w="0" w:type="dxa"/>
          <w:left w:w="0" w:type="dxa"/>
          <w:bottom w:w="0" w:type="dxa"/>
          <w:right w:w="0" w:type="dxa"/>
        </w:tblCellMar>
      </w:tblPr>
      <w:tblGrid>
        <w:gridCol w:w="845"/>
        <w:gridCol w:w="60"/>
        <w:gridCol w:w="60"/>
        <w:gridCol w:w="800"/>
        <w:gridCol w:w="60"/>
        <w:gridCol w:w="60"/>
        <w:gridCol w:w="64"/>
        <w:gridCol w:w="736"/>
        <w:gridCol w:w="60"/>
        <w:gridCol w:w="60"/>
        <w:gridCol w:w="64"/>
        <w:gridCol w:w="736"/>
        <w:gridCol w:w="60"/>
        <w:gridCol w:w="60"/>
        <w:gridCol w:w="66"/>
        <w:gridCol w:w="749"/>
        <w:gridCol w:w="60"/>
        <w:gridCol w:w="60"/>
        <w:gridCol w:w="64"/>
        <w:gridCol w:w="736"/>
        <w:gridCol w:w="60"/>
        <w:gridCol w:w="60"/>
        <w:gridCol w:w="66"/>
        <w:gridCol w:w="749"/>
        <w:gridCol w:w="60"/>
        <w:gridCol w:w="60"/>
        <w:gridCol w:w="64"/>
        <w:gridCol w:w="736"/>
        <w:gridCol w:w="60"/>
        <w:gridCol w:w="60"/>
        <w:gridCol w:w="86"/>
        <w:gridCol w:w="804"/>
        <w:gridCol w:w="60"/>
        <w:gridCol w:w="60"/>
        <w:gridCol w:w="78"/>
        <w:gridCol w:w="887"/>
        <w:gridCol w:w="60"/>
        <w:gridCol w:w="60"/>
        <w:gridCol w:w="78"/>
        <w:gridCol w:w="737"/>
        <w:gridCol w:w="60"/>
        <w:gridCol w:w="60"/>
        <w:gridCol w:w="60"/>
        <w:gridCol w:w="800"/>
        <w:gridCol w:w="60"/>
        <w:gridCol w:w="60"/>
        <w:gridCol w:w="77"/>
        <w:gridCol w:w="873"/>
        <w:gridCol w:w="75"/>
      </w:tblGrid>
      <w:tr>
        <w:trPr/>
        <w:tc>
          <w:tcPr>
            <w:tcW w:w="8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jc w:val="center"/>
              <w:rPr/>
            </w:pPr>
            <w:r>
              <w:rPr/>
              <w:t>Tranche</w:t>
              <w:br/>
              <w:t>2019 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2019 II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2019 III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5" w:type="dxa"/>
            <w:gridSpan w:val="2"/>
            <w:tcBorders/>
            <w:shd w:fill="auto" w:val="clear"/>
            <w:vAlign w:val="center"/>
          </w:tcPr>
          <w:p>
            <w:pPr>
              <w:pStyle w:val="TableContents"/>
              <w:spacing w:before="0" w:after="283"/>
              <w:jc w:val="center"/>
              <w:rPr/>
            </w:pPr>
            <w:r>
              <w:rPr/>
              <w:t>Tranche</w:t>
              <w:br/>
              <w:t>2019 IV</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2019 V</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5" w:type="dxa"/>
            <w:gridSpan w:val="2"/>
            <w:tcBorders/>
            <w:shd w:fill="auto" w:val="clear"/>
            <w:vAlign w:val="center"/>
          </w:tcPr>
          <w:p>
            <w:pPr>
              <w:pStyle w:val="TableContents"/>
              <w:spacing w:before="0" w:after="283"/>
              <w:jc w:val="center"/>
              <w:rPr/>
            </w:pPr>
            <w:r>
              <w:rPr/>
              <w:t>Tranche</w:t>
              <w:br/>
              <w:t>2019 VI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2020 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0" w:type="dxa"/>
            <w:gridSpan w:val="2"/>
            <w:tcBorders/>
            <w:shd w:fill="auto" w:val="clear"/>
            <w:vAlign w:val="center"/>
          </w:tcPr>
          <w:p>
            <w:pPr>
              <w:pStyle w:val="TableContents"/>
              <w:spacing w:before="0" w:after="283"/>
              <w:jc w:val="center"/>
              <w:rPr/>
            </w:pPr>
            <w:r>
              <w:rPr/>
              <w:t>Tranche</w:t>
              <w:br/>
              <w:t>2019 VII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5" w:type="dxa"/>
            <w:gridSpan w:val="2"/>
            <w:tcBorders/>
            <w:shd w:fill="auto" w:val="clear"/>
            <w:vAlign w:val="center"/>
          </w:tcPr>
          <w:p>
            <w:pPr>
              <w:pStyle w:val="TableContents"/>
              <w:spacing w:before="0" w:after="283"/>
              <w:jc w:val="center"/>
              <w:rPr/>
            </w:pPr>
            <w:r>
              <w:rPr/>
              <w:t>Tranche</w:t>
              <w:br/>
              <w:t>2019 VIII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5" w:type="dxa"/>
            <w:gridSpan w:val="2"/>
            <w:tcBorders/>
            <w:shd w:fill="auto" w:val="clear"/>
            <w:vAlign w:val="center"/>
          </w:tcPr>
          <w:p>
            <w:pPr>
              <w:pStyle w:val="TableContents"/>
              <w:spacing w:before="0" w:after="283"/>
              <w:jc w:val="center"/>
              <w:rPr/>
            </w:pPr>
            <w:r>
              <w:rPr/>
              <w:t>Tranche</w:t>
              <w:br/>
              <w:t>2019 IX</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jc w:val="center"/>
              <w:rPr/>
            </w:pPr>
            <w:r>
              <w:rPr/>
              <w:t>Tranche</w:t>
              <w:br/>
              <w:t>2021 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0" w:type="dxa"/>
            <w:gridSpan w:val="2"/>
            <w:tcBorders/>
            <w:shd w:fill="auto" w:val="clear"/>
            <w:vAlign w:val="center"/>
          </w:tcPr>
          <w:p>
            <w:pPr>
              <w:pStyle w:val="TableContents"/>
              <w:spacing w:before="0" w:after="283"/>
              <w:jc w:val="center"/>
              <w:rPr/>
            </w:pPr>
            <w:r>
              <w:rPr/>
              <w:t>Tranche</w:t>
              <w:br/>
              <w:t>Mr. Altan</w:t>
            </w:r>
          </w:p>
        </w:tc>
        <w:tc>
          <w:tcPr>
            <w:tcW w:w="75" w:type="dxa"/>
            <w:tcBorders/>
            <w:shd w:fill="auto" w:val="clear"/>
            <w:vAlign w:val="center"/>
          </w:tcPr>
          <w:p>
            <w:pPr>
              <w:pStyle w:val="TableContents"/>
              <w:spacing w:before="0" w:after="283"/>
              <w:rPr/>
            </w:pPr>
            <w:r>
              <w:rPr/>
              <w:t> </w:t>
            </w:r>
          </w:p>
        </w:tc>
      </w:tr>
      <w:tr>
        <w:trPr/>
        <w:tc>
          <w:tcPr>
            <w:tcW w:w="84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Options outstanding as of Jan. 1, 2021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107,100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20,000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14,550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749" w:type="dxa"/>
            <w:tcBorders/>
            <w:shd w:fill="CCEEFF" w:val="clear"/>
            <w:vAlign w:val="center"/>
          </w:tcPr>
          <w:p>
            <w:pPr>
              <w:pStyle w:val="TableContents"/>
              <w:spacing w:before="0" w:after="283"/>
              <w:jc w:val="right"/>
              <w:rPr/>
            </w:pPr>
            <w:r>
              <w:rPr/>
              <w:t>53,000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26,600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749" w:type="dxa"/>
            <w:tcBorders/>
            <w:shd w:fill="CCEEFF" w:val="clear"/>
            <w:vAlign w:val="center"/>
          </w:tcPr>
          <w:p>
            <w:pPr>
              <w:pStyle w:val="TableContents"/>
              <w:spacing w:before="0" w:after="283"/>
              <w:jc w:val="right"/>
              <w:rPr/>
            </w:pPr>
            <w:r>
              <w:rPr/>
              <w:t>13,500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14,000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80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88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873" w:type="dxa"/>
            <w:tcBorders/>
            <w:shd w:fill="CCEEFF" w:val="clear"/>
            <w:vAlign w:val="center"/>
          </w:tcPr>
          <w:p>
            <w:pPr>
              <w:pStyle w:val="TableContents"/>
              <w:spacing w:before="0" w:after="283"/>
              <w:jc w:val="right"/>
              <w:rPr/>
            </w:pPr>
            <w:r>
              <w:rPr/>
              <w:t>56,700</w:t>
            </w:r>
          </w:p>
        </w:tc>
        <w:tc>
          <w:tcPr>
            <w:tcW w:w="75" w:type="dxa"/>
            <w:tcBorders/>
            <w:shd w:fill="CCEEFF" w:val="clear"/>
            <w:vAlign w:val="center"/>
          </w:tcPr>
          <w:p>
            <w:pPr>
              <w:pStyle w:val="TableContents"/>
              <w:spacing w:before="0" w:after="283"/>
              <w:rPr/>
            </w:pPr>
            <w:r>
              <w:rPr/>
              <w:t> </w:t>
            </w:r>
          </w:p>
        </w:tc>
      </w:tr>
      <w:tr>
        <w:trPr/>
        <w:tc>
          <w:tcPr>
            <w:tcW w:w="84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Options granted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804" w:type="dxa"/>
            <w:tcBorders/>
            <w:shd w:fill="auto" w:val="clear"/>
            <w:vAlign w:val="center"/>
          </w:tcPr>
          <w:p>
            <w:pPr>
              <w:pStyle w:val="TableContents"/>
              <w:spacing w:before="0" w:after="283"/>
              <w:jc w:val="right"/>
              <w:rPr/>
            </w:pPr>
            <w:r>
              <w:rPr/>
              <w:t>6,000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887" w:type="dxa"/>
            <w:tcBorders/>
            <w:shd w:fill="auto" w:val="clear"/>
            <w:vAlign w:val="center"/>
          </w:tcPr>
          <w:p>
            <w:pPr>
              <w:pStyle w:val="TableContents"/>
              <w:spacing w:before="0" w:after="283"/>
              <w:jc w:val="right"/>
              <w:rPr/>
            </w:pPr>
            <w:r>
              <w:rPr/>
              <w:t>14,350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5,000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84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Options forfeited</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13,300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2,050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74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749" w:type="dxa"/>
            <w:tcBorders/>
            <w:shd w:fill="CCEEFF" w:val="clear"/>
            <w:vAlign w:val="center"/>
          </w:tcPr>
          <w:p>
            <w:pPr>
              <w:pStyle w:val="TableContents"/>
              <w:spacing w:before="0" w:after="283"/>
              <w:jc w:val="right"/>
              <w:rPr/>
            </w:pPr>
            <w:r>
              <w:rPr/>
              <w:t>6,500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80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887" w:type="dxa"/>
            <w:tcBorders/>
            <w:shd w:fill="CCEEFF" w:val="clear"/>
            <w:vAlign w:val="center"/>
          </w:tcPr>
          <w:p>
            <w:pPr>
              <w:pStyle w:val="TableContents"/>
              <w:spacing w:before="0" w:after="283"/>
              <w:jc w:val="right"/>
              <w:rPr/>
            </w:pPr>
            <w:r>
              <w:rPr/>
              <w:t>2,000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873"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84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Options exercised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80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88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84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Options expired</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74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74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80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88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873"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84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Options outstanding as of Dec. 31, 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93,800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20,000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12,500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right"/>
              <w:rPr/>
            </w:pPr>
            <w:r>
              <w:rPr/>
              <w:t>53,000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26,600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right"/>
              <w:rPr/>
            </w:pPr>
            <w:r>
              <w:rPr/>
              <w:t>7,000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14,000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804" w:type="dxa"/>
            <w:tcBorders/>
            <w:shd w:fill="auto" w:val="clear"/>
            <w:vAlign w:val="center"/>
          </w:tcPr>
          <w:p>
            <w:pPr>
              <w:pStyle w:val="TableContents"/>
              <w:spacing w:before="0" w:after="283"/>
              <w:jc w:val="right"/>
              <w:rPr/>
            </w:pPr>
            <w:r>
              <w:rPr/>
              <w:t>6,000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887" w:type="dxa"/>
            <w:tcBorders/>
            <w:shd w:fill="auto" w:val="clear"/>
            <w:vAlign w:val="center"/>
          </w:tcPr>
          <w:p>
            <w:pPr>
              <w:pStyle w:val="TableContents"/>
              <w:spacing w:before="0" w:after="283"/>
              <w:jc w:val="right"/>
              <w:rPr/>
            </w:pPr>
            <w:r>
              <w:rPr/>
              <w:t>12,350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5,000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jc w:val="right"/>
              <w:rPr/>
            </w:pPr>
            <w:r>
              <w:rPr/>
              <w:t>56,700</w:t>
            </w:r>
          </w:p>
        </w:tc>
        <w:tc>
          <w:tcPr>
            <w:tcW w:w="75" w:type="dxa"/>
            <w:tcBorders/>
            <w:shd w:fill="auto" w:val="clear"/>
            <w:vAlign w:val="center"/>
          </w:tcPr>
          <w:p>
            <w:pPr>
              <w:pStyle w:val="TableContents"/>
              <w:spacing w:before="0" w:after="283"/>
              <w:rPr/>
            </w:pPr>
            <w:r>
              <w:rPr/>
              <w:t> </w:t>
            </w:r>
          </w:p>
        </w:tc>
      </w:tr>
      <w:tr>
        <w:trPr/>
        <w:tc>
          <w:tcPr>
            <w:tcW w:w="84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Options exercisable as of Dec. 31, 2021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74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74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80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88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873" w:type="dxa"/>
            <w:tcBorders/>
            <w:shd w:fill="CCEEFF" w:val="clear"/>
            <w:vAlign w:val="center"/>
          </w:tcPr>
          <w:p>
            <w:pPr>
              <w:pStyle w:val="TableContents"/>
              <w:spacing w:before="0" w:after="283"/>
              <w:jc w:val="right"/>
              <w:rPr/>
            </w:pPr>
            <w:r>
              <w:rPr/>
              <w:t>56,700</w:t>
            </w:r>
          </w:p>
        </w:tc>
        <w:tc>
          <w:tcPr>
            <w:tcW w:w="75" w:type="dxa"/>
            <w:tcBorders/>
            <w:shd w:fill="CCEEFF" w:val="clear"/>
            <w:vAlign w:val="center"/>
          </w:tcPr>
          <w:p>
            <w:pPr>
              <w:pStyle w:val="TableContents"/>
              <w:spacing w:before="0" w:after="283"/>
              <w:rPr/>
            </w:pPr>
            <w:r>
              <w:rPr/>
              <w:t>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options changed as follows in fiscal year 2020: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1310"/>
        <w:gridCol w:w="120"/>
        <w:gridCol w:w="60"/>
        <w:gridCol w:w="560"/>
        <w:gridCol w:w="60"/>
        <w:gridCol w:w="120"/>
        <w:gridCol w:w="60"/>
        <w:gridCol w:w="800"/>
        <w:gridCol w:w="60"/>
        <w:gridCol w:w="120"/>
        <w:gridCol w:w="64"/>
        <w:gridCol w:w="736"/>
        <w:gridCol w:w="60"/>
        <w:gridCol w:w="120"/>
        <w:gridCol w:w="64"/>
        <w:gridCol w:w="736"/>
        <w:gridCol w:w="60"/>
        <w:gridCol w:w="120"/>
        <w:gridCol w:w="66"/>
        <w:gridCol w:w="749"/>
        <w:gridCol w:w="60"/>
        <w:gridCol w:w="120"/>
        <w:gridCol w:w="64"/>
        <w:gridCol w:w="736"/>
        <w:gridCol w:w="60"/>
        <w:gridCol w:w="120"/>
        <w:gridCol w:w="66"/>
        <w:gridCol w:w="749"/>
        <w:gridCol w:w="60"/>
        <w:gridCol w:w="120"/>
        <w:gridCol w:w="64"/>
        <w:gridCol w:w="736"/>
        <w:gridCol w:w="60"/>
        <w:gridCol w:w="120"/>
        <w:gridCol w:w="77"/>
        <w:gridCol w:w="873"/>
        <w:gridCol w:w="75"/>
      </w:tblGrid>
      <w:tr>
        <w:trPr/>
        <w:tc>
          <w:tcPr>
            <w:tcW w:w="13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3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0"/>
              <w:jc w:val="center"/>
              <w:rPr>
                <w:rFonts w:ascii="Times New Roman" w:hAnsi="Times New Roman"/>
                <w:sz w:val="16"/>
              </w:rPr>
            </w:pPr>
            <w:r>
              <w:rPr>
                <w:rFonts w:ascii="Times New Roman" w:hAnsi="Times New Roman"/>
                <w:sz w:val="16"/>
              </w:rPr>
              <w:t>Tranche</w:t>
            </w:r>
          </w:p>
          <w:p>
            <w:pPr>
              <w:pStyle w:val="TableContents"/>
              <w:spacing w:before="0" w:after="20"/>
              <w:jc w:val="center"/>
              <w:rPr>
                <w:rFonts w:ascii="Times New Roman" w:hAnsi="Times New Roman"/>
                <w:sz w:val="16"/>
              </w:rPr>
            </w:pPr>
            <w:r>
              <w:rPr>
                <w:rFonts w:ascii="Times New Roman" w:hAnsi="Times New Roman"/>
                <w:sz w:val="16"/>
              </w:rPr>
              <w:t>2018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jc w:val="center"/>
              <w:rPr/>
            </w:pPr>
            <w:r>
              <w:rPr/>
              <w:t>Tranche</w:t>
              <w:br/>
              <w:t>2019 I</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2019 II</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2019 III</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15" w:type="dxa"/>
            <w:gridSpan w:val="2"/>
            <w:tcBorders/>
            <w:shd w:fill="auto" w:val="clear"/>
            <w:vAlign w:val="center"/>
          </w:tcPr>
          <w:p>
            <w:pPr>
              <w:pStyle w:val="TableContents"/>
              <w:spacing w:before="0" w:after="283"/>
              <w:jc w:val="center"/>
              <w:rPr/>
            </w:pPr>
            <w:r>
              <w:rPr/>
              <w:t>Tranche</w:t>
              <w:br/>
              <w:t>2019 IV</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2019 V</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15" w:type="dxa"/>
            <w:gridSpan w:val="2"/>
            <w:tcBorders/>
            <w:shd w:fill="auto" w:val="clear"/>
            <w:vAlign w:val="center"/>
          </w:tcPr>
          <w:p>
            <w:pPr>
              <w:pStyle w:val="TableContents"/>
              <w:spacing w:before="0" w:after="283"/>
              <w:jc w:val="center"/>
              <w:rPr/>
            </w:pPr>
            <w:r>
              <w:rPr/>
              <w:t>Tranche</w:t>
              <w:br/>
              <w:t>2019 VI</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2020 I</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50" w:type="dxa"/>
            <w:gridSpan w:val="2"/>
            <w:tcBorders/>
            <w:shd w:fill="auto" w:val="clear"/>
            <w:vAlign w:val="center"/>
          </w:tcPr>
          <w:p>
            <w:pPr>
              <w:pStyle w:val="TableContents"/>
              <w:spacing w:before="0" w:after="283"/>
              <w:jc w:val="center"/>
              <w:rPr/>
            </w:pPr>
            <w:r>
              <w:rPr/>
              <w:t>Tranche</w:t>
              <w:br/>
              <w:t>Mr. Altan</w:t>
            </w:r>
          </w:p>
        </w:tc>
        <w:tc>
          <w:tcPr>
            <w:tcW w:w="75" w:type="dxa"/>
            <w:tcBorders/>
            <w:shd w:fill="auto" w:val="clear"/>
            <w:vAlign w:val="center"/>
          </w:tcPr>
          <w:p>
            <w:pPr>
              <w:pStyle w:val="TableContents"/>
              <w:spacing w:before="0" w:after="283"/>
              <w:rPr/>
            </w:pPr>
            <w:r>
              <w:rPr/>
              <w:t> </w:t>
            </w:r>
          </w:p>
        </w:tc>
      </w:tr>
      <w:tr>
        <w:trPr/>
        <w:tc>
          <w:tcPr>
            <w:tcW w:w="13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Options outstanding as of Jan. 1, 2020</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2,200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107,400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20,000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74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74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873" w:type="dxa"/>
            <w:tcBorders/>
            <w:shd w:fill="CCEEFF" w:val="clear"/>
            <w:vAlign w:val="center"/>
          </w:tcPr>
          <w:p>
            <w:pPr>
              <w:pStyle w:val="TableContents"/>
              <w:spacing w:before="0" w:after="283"/>
              <w:jc w:val="right"/>
              <w:rPr/>
            </w:pPr>
            <w:r>
              <w:rPr/>
              <w:t>56,700</w:t>
            </w:r>
          </w:p>
        </w:tc>
        <w:tc>
          <w:tcPr>
            <w:tcW w:w="75" w:type="dxa"/>
            <w:tcBorders/>
            <w:shd w:fill="CCEEFF" w:val="clear"/>
            <w:vAlign w:val="center"/>
          </w:tcPr>
          <w:p>
            <w:pPr>
              <w:pStyle w:val="TableContents"/>
              <w:spacing w:before="0" w:after="283"/>
              <w:rPr/>
            </w:pPr>
            <w:r>
              <w:rPr/>
              <w:t> </w:t>
            </w:r>
          </w:p>
        </w:tc>
      </w:tr>
      <w:tr>
        <w:trPr/>
        <w:tc>
          <w:tcPr>
            <w:tcW w:w="13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Options granted</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19,850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right"/>
              <w:rPr/>
            </w:pPr>
            <w:r>
              <w:rPr/>
              <w:t>53,000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26,600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right"/>
              <w:rPr/>
            </w:pPr>
            <w:r>
              <w:rPr/>
              <w:t>13,500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14,000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3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Options Forfeited</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2,200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300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5,300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74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74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873"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3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Options exercised</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3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Options expired</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74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74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873"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3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Options outstanding as of Dec. 31, 2020</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107,100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20,000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14,550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right"/>
              <w:rPr/>
            </w:pPr>
            <w:r>
              <w:rPr/>
              <w:t>53,000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26,600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right"/>
              <w:rPr/>
            </w:pPr>
            <w:r>
              <w:rPr/>
              <w:t>13,500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14,000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jc w:val="right"/>
              <w:rPr/>
            </w:pPr>
            <w:r>
              <w:rPr/>
              <w:t>56,700</w:t>
            </w:r>
          </w:p>
        </w:tc>
        <w:tc>
          <w:tcPr>
            <w:tcW w:w="75" w:type="dxa"/>
            <w:tcBorders/>
            <w:shd w:fill="auto" w:val="clear"/>
            <w:vAlign w:val="center"/>
          </w:tcPr>
          <w:p>
            <w:pPr>
              <w:pStyle w:val="TableContents"/>
              <w:spacing w:before="0" w:after="283"/>
              <w:rPr/>
            </w:pPr>
            <w:r>
              <w:rPr/>
              <w:t> </w:t>
            </w:r>
          </w:p>
        </w:tc>
      </w:tr>
      <w:tr>
        <w:trPr/>
        <w:tc>
          <w:tcPr>
            <w:tcW w:w="13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Options exercisable as of Dec. 31, 2020</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74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74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873" w:type="dxa"/>
            <w:tcBorders/>
            <w:shd w:fill="CCEEFF" w:val="clear"/>
            <w:vAlign w:val="center"/>
          </w:tcPr>
          <w:p>
            <w:pPr>
              <w:pStyle w:val="TableContents"/>
              <w:spacing w:before="0" w:after="283"/>
              <w:jc w:val="right"/>
              <w:rPr/>
            </w:pPr>
            <w:r>
              <w:rPr/>
              <w:t>56,700</w:t>
            </w:r>
          </w:p>
        </w:tc>
        <w:tc>
          <w:tcPr>
            <w:tcW w:w="75" w:type="dxa"/>
            <w:tcBorders/>
            <w:shd w:fill="CCEEFF" w:val="clear"/>
            <w:vAlign w:val="center"/>
          </w:tcPr>
          <w:p>
            <w:pPr>
              <w:pStyle w:val="TableContents"/>
              <w:spacing w:before="0" w:after="283"/>
              <w:rPr/>
            </w:pPr>
            <w:r>
              <w:rPr/>
              <w:t>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No options were exercised in during the year ended December 31, 2022. The table below shows the contractual terms of the respective tranches outstanding as of December 31, 2022.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F-2</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3</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ind w:left="0" w:right="0" w:hanging="0"/>
        <w:jc w:val="left"/>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Measurement model and inputs</w:t>
      </w:r>
    </w:p>
    <w:p>
      <w:pPr>
        <w:pStyle w:val="TextBody"/>
        <w:spacing w:before="12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 xml:space="preserve">The measurement of the existing stock option plans was based on the Monte Carlo Simulation model or the Binomial model, considering the terms and conditions for the options. The table below shows the inputs used for the model as of December 31, 2022. </w:t>
      </w:r>
    </w:p>
    <w:p>
      <w:pPr>
        <w:pStyle w:val="TextBody"/>
        <w:spacing w:before="0" w:after="0"/>
        <w:jc w:val="left"/>
        <w:rPr>
          <w:highlight w:val="white"/>
        </w:rPr>
      </w:pPr>
      <w:r>
        <w:rPr>
          <w:highlight w:val="white"/>
        </w:rPr>
        <w:t> </w:t>
      </w:r>
    </w:p>
    <w:tbl>
      <w:tblPr>
        <w:tblW w:w="12780" w:type="dxa"/>
        <w:jc w:val="left"/>
        <w:tblInd w:w="0" w:type="dxa"/>
        <w:tblCellMar>
          <w:top w:w="0" w:type="dxa"/>
          <w:left w:w="0" w:type="dxa"/>
          <w:bottom w:w="0" w:type="dxa"/>
          <w:right w:w="0" w:type="dxa"/>
        </w:tblCellMar>
      </w:tblPr>
      <w:tblGrid>
        <w:gridCol w:w="785"/>
        <w:gridCol w:w="60"/>
        <w:gridCol w:w="60"/>
        <w:gridCol w:w="560"/>
        <w:gridCol w:w="60"/>
        <w:gridCol w:w="60"/>
        <w:gridCol w:w="60"/>
        <w:gridCol w:w="560"/>
        <w:gridCol w:w="60"/>
        <w:gridCol w:w="60"/>
        <w:gridCol w:w="60"/>
        <w:gridCol w:w="560"/>
        <w:gridCol w:w="60"/>
        <w:gridCol w:w="60"/>
        <w:gridCol w:w="60"/>
        <w:gridCol w:w="560"/>
        <w:gridCol w:w="60"/>
        <w:gridCol w:w="60"/>
        <w:gridCol w:w="60"/>
        <w:gridCol w:w="560"/>
        <w:gridCol w:w="60"/>
        <w:gridCol w:w="60"/>
        <w:gridCol w:w="77"/>
        <w:gridCol w:w="723"/>
        <w:gridCol w:w="60"/>
        <w:gridCol w:w="60"/>
        <w:gridCol w:w="77"/>
        <w:gridCol w:w="723"/>
        <w:gridCol w:w="60"/>
        <w:gridCol w:w="60"/>
        <w:gridCol w:w="77"/>
        <w:gridCol w:w="723"/>
        <w:gridCol w:w="60"/>
        <w:gridCol w:w="60"/>
        <w:gridCol w:w="77"/>
        <w:gridCol w:w="723"/>
        <w:gridCol w:w="60"/>
        <w:gridCol w:w="60"/>
        <w:gridCol w:w="77"/>
        <w:gridCol w:w="723"/>
        <w:gridCol w:w="60"/>
        <w:gridCol w:w="60"/>
        <w:gridCol w:w="60"/>
        <w:gridCol w:w="560"/>
        <w:gridCol w:w="60"/>
        <w:gridCol w:w="60"/>
        <w:gridCol w:w="60"/>
        <w:gridCol w:w="560"/>
        <w:gridCol w:w="60"/>
        <w:gridCol w:w="60"/>
        <w:gridCol w:w="60"/>
        <w:gridCol w:w="1100"/>
        <w:gridCol w:w="60"/>
        <w:gridCol w:w="60"/>
        <w:gridCol w:w="77"/>
        <w:gridCol w:w="723"/>
        <w:gridCol w:w="75"/>
      </w:tblGrid>
      <w:tr>
        <w:trPr/>
        <w:tc>
          <w:tcPr>
            <w:tcW w:w="7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7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0"/>
              <w:jc w:val="center"/>
              <w:rPr>
                <w:rFonts w:ascii="Times New Roman" w:hAnsi="Times New Roman"/>
                <w:sz w:val="14"/>
              </w:rPr>
            </w:pPr>
            <w:r>
              <w:rPr>
                <w:rFonts w:ascii="Times New Roman" w:hAnsi="Times New Roman"/>
                <w:sz w:val="14"/>
              </w:rPr>
              <w:t>Tranche</w:t>
              <w:br/>
              <w:t>2019</w:t>
            </w:r>
          </w:p>
          <w:p>
            <w:pPr>
              <w:pStyle w:val="TableContents"/>
              <w:spacing w:before="0" w:after="20"/>
              <w:jc w:val="center"/>
              <w:rPr>
                <w:rFonts w:ascii="Times New Roman" w:hAnsi="Times New Roman"/>
                <w:sz w:val="14"/>
              </w:rPr>
            </w:pPr>
            <w:r>
              <w:rPr>
                <w:rFonts w:ascii="Times New Roman" w:hAnsi="Times New Roman"/>
                <w:sz w:val="14"/>
              </w:rPr>
              <w:t>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0"/>
              <w:jc w:val="center"/>
              <w:rPr>
                <w:rFonts w:ascii="Times New Roman" w:hAnsi="Times New Roman"/>
                <w:sz w:val="14"/>
              </w:rPr>
            </w:pPr>
            <w:r>
              <w:rPr>
                <w:rFonts w:ascii="Times New Roman" w:hAnsi="Times New Roman"/>
                <w:sz w:val="14"/>
              </w:rPr>
              <w:t>Tranche</w:t>
              <w:br/>
              <w:t>2019</w:t>
            </w:r>
          </w:p>
          <w:p>
            <w:pPr>
              <w:pStyle w:val="TableContents"/>
              <w:spacing w:before="0" w:after="20"/>
              <w:jc w:val="center"/>
              <w:rPr>
                <w:rFonts w:ascii="Times New Roman" w:hAnsi="Times New Roman"/>
                <w:sz w:val="14"/>
              </w:rPr>
            </w:pPr>
            <w:r>
              <w:rPr>
                <w:rFonts w:ascii="Times New Roman" w:hAnsi="Times New Roman"/>
                <w:sz w:val="14"/>
              </w:rPr>
              <w:t>II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0"/>
              <w:jc w:val="center"/>
              <w:rPr>
                <w:rFonts w:ascii="Times New Roman" w:hAnsi="Times New Roman"/>
                <w:sz w:val="14"/>
              </w:rPr>
            </w:pPr>
            <w:r>
              <w:rPr>
                <w:rFonts w:ascii="Times New Roman" w:hAnsi="Times New Roman"/>
                <w:sz w:val="14"/>
              </w:rPr>
              <w:t>Tranche</w:t>
              <w:br/>
              <w:t>2019</w:t>
            </w:r>
          </w:p>
          <w:p>
            <w:pPr>
              <w:pStyle w:val="TableContents"/>
              <w:spacing w:before="0" w:after="20"/>
              <w:jc w:val="center"/>
              <w:rPr>
                <w:rFonts w:ascii="Times New Roman" w:hAnsi="Times New Roman"/>
                <w:sz w:val="14"/>
              </w:rPr>
            </w:pPr>
            <w:r>
              <w:rPr>
                <w:rFonts w:ascii="Times New Roman" w:hAnsi="Times New Roman"/>
                <w:sz w:val="14"/>
              </w:rPr>
              <w:t>III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0"/>
              <w:jc w:val="center"/>
              <w:rPr>
                <w:rFonts w:ascii="Times New Roman" w:hAnsi="Times New Roman"/>
                <w:sz w:val="14"/>
              </w:rPr>
            </w:pPr>
            <w:r>
              <w:rPr>
                <w:rFonts w:ascii="Times New Roman" w:hAnsi="Times New Roman"/>
                <w:sz w:val="14"/>
              </w:rPr>
              <w:t>Tranche</w:t>
              <w:br/>
              <w:t>2019</w:t>
            </w:r>
          </w:p>
          <w:p>
            <w:pPr>
              <w:pStyle w:val="TableContents"/>
              <w:spacing w:before="0" w:after="20"/>
              <w:jc w:val="center"/>
              <w:rPr>
                <w:rFonts w:ascii="Times New Roman" w:hAnsi="Times New Roman"/>
                <w:sz w:val="14"/>
              </w:rPr>
            </w:pPr>
            <w:r>
              <w:rPr>
                <w:rFonts w:ascii="Times New Roman" w:hAnsi="Times New Roman"/>
                <w:sz w:val="14"/>
              </w:rPr>
              <w:t>IV</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0"/>
              <w:jc w:val="center"/>
              <w:rPr>
                <w:rFonts w:ascii="Times New Roman" w:hAnsi="Times New Roman"/>
                <w:sz w:val="14"/>
              </w:rPr>
            </w:pPr>
            <w:r>
              <w:rPr>
                <w:rFonts w:ascii="Times New Roman" w:hAnsi="Times New Roman"/>
                <w:sz w:val="14"/>
              </w:rPr>
              <w:t>Tranche</w:t>
              <w:br/>
              <w:t>2019</w:t>
            </w:r>
          </w:p>
          <w:p>
            <w:pPr>
              <w:pStyle w:val="TableContents"/>
              <w:spacing w:before="0" w:after="20"/>
              <w:jc w:val="center"/>
              <w:rPr>
                <w:rFonts w:ascii="Times New Roman" w:hAnsi="Times New Roman"/>
                <w:sz w:val="14"/>
              </w:rPr>
            </w:pPr>
            <w:r>
              <w:rPr>
                <w:rFonts w:ascii="Times New Roman" w:hAnsi="Times New Roman"/>
                <w:sz w:val="14"/>
              </w:rPr>
              <w:t>V</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2019</w:t>
              <w:br/>
              <w:t>VI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2020</w:t>
              <w:br/>
              <w:t>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2019</w:t>
              <w:br/>
              <w:t>VII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2019</w:t>
              <w:br/>
              <w:t>VIII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2019</w:t>
              <w:br/>
              <w:t>IX</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0"/>
              <w:jc w:val="center"/>
              <w:rPr>
                <w:rFonts w:ascii="Times New Roman" w:hAnsi="Times New Roman"/>
                <w:sz w:val="14"/>
              </w:rPr>
            </w:pPr>
            <w:r>
              <w:rPr>
                <w:rFonts w:ascii="Times New Roman" w:hAnsi="Times New Roman"/>
                <w:sz w:val="14"/>
              </w:rPr>
              <w:t>Tranche</w:t>
              <w:br/>
              <w:t>2019</w:t>
            </w:r>
          </w:p>
          <w:p>
            <w:pPr>
              <w:pStyle w:val="TableContents"/>
              <w:spacing w:before="0" w:after="20"/>
              <w:jc w:val="center"/>
              <w:rPr>
                <w:rFonts w:ascii="Times New Roman" w:hAnsi="Times New Roman"/>
                <w:sz w:val="14"/>
              </w:rPr>
            </w:pPr>
            <w:r>
              <w:rPr>
                <w:rFonts w:ascii="Times New Roman" w:hAnsi="Times New Roman"/>
                <w:sz w:val="14"/>
              </w:rPr>
              <w:t>X</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0"/>
              <w:jc w:val="center"/>
              <w:rPr>
                <w:rFonts w:ascii="Times New Roman" w:hAnsi="Times New Roman"/>
                <w:sz w:val="14"/>
              </w:rPr>
            </w:pPr>
            <w:r>
              <w:rPr>
                <w:rFonts w:ascii="Times New Roman" w:hAnsi="Times New Roman"/>
                <w:sz w:val="14"/>
              </w:rPr>
              <w:t>Tranche</w:t>
              <w:br/>
              <w:t>2021</w:t>
            </w:r>
          </w:p>
          <w:p>
            <w:pPr>
              <w:pStyle w:val="TableContents"/>
              <w:spacing w:before="0" w:after="20"/>
              <w:jc w:val="center"/>
              <w:rPr>
                <w:rFonts w:ascii="Times New Roman" w:hAnsi="Times New Roman"/>
                <w:sz w:val="14"/>
              </w:rPr>
            </w:pPr>
            <w:r>
              <w:rPr>
                <w:rFonts w:ascii="Times New Roman" w:hAnsi="Times New Roman"/>
                <w:sz w:val="14"/>
              </w:rPr>
              <w:t>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shd w:fill="auto" w:val="clear"/>
            <w:vAlign w:val="center"/>
          </w:tcPr>
          <w:p>
            <w:pPr>
              <w:pStyle w:val="TableContents"/>
              <w:spacing w:before="0" w:after="0"/>
              <w:jc w:val="center"/>
              <w:rPr>
                <w:rFonts w:ascii="Times New Roman" w:hAnsi="Times New Roman"/>
                <w:sz w:val="14"/>
              </w:rPr>
            </w:pPr>
            <w:r>
              <w:rPr>
                <w:rFonts w:ascii="Times New Roman" w:hAnsi="Times New Roman"/>
                <w:sz w:val="14"/>
              </w:rPr>
              <w:t>Tranche</w:t>
              <w:br/>
              <w:t>2022</w:t>
            </w:r>
          </w:p>
          <w:p>
            <w:pPr>
              <w:pStyle w:val="TableContents"/>
              <w:spacing w:before="0" w:after="20"/>
              <w:jc w:val="center"/>
              <w:rPr>
                <w:rFonts w:ascii="Times New Roman" w:hAnsi="Times New Roman"/>
                <w:sz w:val="14"/>
              </w:rPr>
            </w:pPr>
            <w:r>
              <w:rPr>
                <w:rFonts w:ascii="Times New Roman" w:hAnsi="Times New Roman"/>
                <w:sz w:val="14"/>
              </w:rPr>
              <w:t>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Altan</w:t>
            </w:r>
          </w:p>
        </w:tc>
        <w:tc>
          <w:tcPr>
            <w:tcW w:w="75" w:type="dxa"/>
            <w:tcBorders/>
            <w:shd w:fill="auto" w:val="clear"/>
            <w:vAlign w:val="center"/>
          </w:tcPr>
          <w:p>
            <w:pPr>
              <w:pStyle w:val="TableContents"/>
              <w:spacing w:before="0" w:after="283"/>
              <w:rPr/>
            </w:pPr>
            <w:r>
              <w:rPr/>
              <w:t> </w:t>
            </w:r>
          </w:p>
        </w:tc>
      </w:tr>
      <w:tr>
        <w:trPr/>
        <w:tc>
          <w:tcPr>
            <w:tcW w:w="78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Exercise price (in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42.46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41.03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46.50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47.25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61.27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66.49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61.27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68.97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71.15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70.31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37.31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71.15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32.90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25.00</w:t>
            </w:r>
          </w:p>
        </w:tc>
        <w:tc>
          <w:tcPr>
            <w:tcW w:w="75" w:type="dxa"/>
            <w:tcBorders/>
            <w:shd w:fill="CCEEFF" w:val="clear"/>
            <w:vAlign w:val="center"/>
          </w:tcPr>
          <w:p>
            <w:pPr>
              <w:pStyle w:val="TableContents"/>
              <w:spacing w:before="0" w:after="283"/>
              <w:rPr/>
            </w:pPr>
            <w:r>
              <w:rPr/>
              <w:t> </w:t>
            </w:r>
          </w:p>
        </w:tc>
      </w:tr>
      <w:tr>
        <w:trPr/>
        <w:tc>
          <w:tcPr>
            <w:tcW w:w="78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Term in years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1.74</w:t>
            </w:r>
          </w:p>
        </w:tc>
        <w:tc>
          <w:tcPr>
            <w:tcW w:w="75" w:type="dxa"/>
            <w:tcBorders/>
            <w:shd w:fill="auto" w:val="clear"/>
            <w:vAlign w:val="center"/>
          </w:tcPr>
          <w:p>
            <w:pPr>
              <w:pStyle w:val="TableContents"/>
              <w:spacing w:before="0" w:after="283"/>
              <w:rPr/>
            </w:pPr>
            <w:r>
              <w:rPr/>
              <w:t> </w:t>
            </w:r>
          </w:p>
        </w:tc>
      </w:tr>
      <w:tr>
        <w:trPr/>
        <w:tc>
          <w:tcPr>
            <w:tcW w:w="78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Remaining term in years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3.75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4.00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4.25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4.50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4.75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5.00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4.75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5.25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5.50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5.75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6.50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5.50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8.75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w:t>
            </w:r>
          </w:p>
        </w:tc>
        <w:tc>
          <w:tcPr>
            <w:tcW w:w="75" w:type="dxa"/>
            <w:tcBorders/>
            <w:shd w:fill="CCEEFF" w:val="clear"/>
            <w:vAlign w:val="center"/>
          </w:tcPr>
          <w:p>
            <w:pPr>
              <w:pStyle w:val="TableContents"/>
              <w:spacing w:before="0" w:after="283"/>
              <w:rPr/>
            </w:pPr>
            <w:r>
              <w:rPr/>
              <w:t> </w:t>
            </w:r>
          </w:p>
        </w:tc>
      </w:tr>
      <w:tr>
        <w:trPr/>
        <w:tc>
          <w:tcPr>
            <w:tcW w:w="78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Share price as of the valuation date (in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38.00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38.50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35.20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51.00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75.46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73.20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75.46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64.20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80.20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64.80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27.55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80.20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19.76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43.39</w:t>
            </w:r>
          </w:p>
        </w:tc>
        <w:tc>
          <w:tcPr>
            <w:tcW w:w="75" w:type="dxa"/>
            <w:tcBorders/>
            <w:shd w:fill="auto" w:val="clear"/>
            <w:vAlign w:val="center"/>
          </w:tcPr>
          <w:p>
            <w:pPr>
              <w:pStyle w:val="TableContents"/>
              <w:spacing w:before="0" w:after="283"/>
              <w:rPr/>
            </w:pPr>
            <w:r>
              <w:rPr/>
              <w:t> </w:t>
            </w:r>
          </w:p>
        </w:tc>
      </w:tr>
      <w:tr>
        <w:trPr/>
        <w:tc>
          <w:tcPr>
            <w:tcW w:w="78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Expected dividend yield (in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0.00</w:t>
            </w:r>
          </w:p>
        </w:tc>
        <w:tc>
          <w:tcPr>
            <w:tcW w:w="75" w:type="dxa"/>
            <w:tcBorders/>
            <w:shd w:fill="CCEEFF" w:val="clear"/>
            <w:vAlign w:val="center"/>
          </w:tcPr>
          <w:p>
            <w:pPr>
              <w:pStyle w:val="TableContents"/>
              <w:spacing w:before="0" w:after="283"/>
              <w:rPr/>
            </w:pPr>
            <w:r>
              <w:rPr/>
              <w:t> </w:t>
            </w:r>
          </w:p>
        </w:tc>
      </w:tr>
      <w:tr>
        <w:trPr/>
        <w:tc>
          <w:tcPr>
            <w:tcW w:w="78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Expected volatility (in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45.91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45.66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48.32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48.45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36.39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36.63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36.39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36.67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36.90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37.56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38.46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36.90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35.31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51.31</w:t>
            </w:r>
          </w:p>
        </w:tc>
        <w:tc>
          <w:tcPr>
            <w:tcW w:w="75" w:type="dxa"/>
            <w:tcBorders/>
            <w:shd w:fill="auto" w:val="clear"/>
            <w:vAlign w:val="center"/>
          </w:tcPr>
          <w:p>
            <w:pPr>
              <w:pStyle w:val="TableContents"/>
              <w:spacing w:before="0" w:after="283"/>
              <w:rPr/>
            </w:pPr>
            <w:r>
              <w:rPr/>
              <w:t> </w:t>
            </w:r>
          </w:p>
        </w:tc>
      </w:tr>
      <w:tr>
        <w:trPr/>
        <w:tc>
          <w:tcPr>
            <w:tcW w:w="78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Risk-free interest rate (in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-0.74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-0.39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-0.62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-0.60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-0.65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-0.69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-0.65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-0.53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-0.40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-0.40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1.12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-0.40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2.02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-0.82</w:t>
            </w:r>
          </w:p>
        </w:tc>
        <w:tc>
          <w:tcPr>
            <w:tcW w:w="75" w:type="dxa"/>
            <w:tcBorders/>
            <w:shd w:fill="CCEEFF" w:val="clear"/>
            <w:vAlign w:val="center"/>
          </w:tcPr>
          <w:p>
            <w:pPr>
              <w:pStyle w:val="TableContents"/>
              <w:spacing w:before="0" w:after="283"/>
              <w:rPr/>
            </w:pPr>
            <w:r>
              <w:rPr/>
              <w:t> </w:t>
            </w:r>
          </w:p>
        </w:tc>
      </w:tr>
      <w:tr>
        <w:trPr/>
        <w:tc>
          <w:tcPr>
            <w:tcW w:w="78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Option value (in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11.53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12.42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9.43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19.55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26.14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23.25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26.14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14.18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25.17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16.28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5.72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25.17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1.97 – 2.01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20.40</w:t>
            </w:r>
          </w:p>
        </w:tc>
        <w:tc>
          <w:tcPr>
            <w:tcW w:w="75" w:type="dxa"/>
            <w:tcBorders/>
            <w:shd w:fill="auto" w:val="clear"/>
            <w:vAlign w:val="center"/>
          </w:tcPr>
          <w:p>
            <w:pPr>
              <w:pStyle w:val="TableContents"/>
              <w:spacing w:before="0" w:after="283"/>
              <w:rPr/>
            </w:pPr>
            <w:r>
              <w:rPr/>
              <w:t>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table below shows the inputs used for the model as of December 31, 2021.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950"/>
        <w:gridCol w:w="60"/>
        <w:gridCol w:w="60"/>
        <w:gridCol w:w="560"/>
        <w:gridCol w:w="60"/>
        <w:gridCol w:w="60"/>
        <w:gridCol w:w="60"/>
        <w:gridCol w:w="560"/>
        <w:gridCol w:w="60"/>
        <w:gridCol w:w="60"/>
        <w:gridCol w:w="60"/>
        <w:gridCol w:w="560"/>
        <w:gridCol w:w="60"/>
        <w:gridCol w:w="60"/>
        <w:gridCol w:w="60"/>
        <w:gridCol w:w="560"/>
        <w:gridCol w:w="60"/>
        <w:gridCol w:w="60"/>
        <w:gridCol w:w="60"/>
        <w:gridCol w:w="560"/>
        <w:gridCol w:w="60"/>
        <w:gridCol w:w="60"/>
        <w:gridCol w:w="60"/>
        <w:gridCol w:w="560"/>
        <w:gridCol w:w="60"/>
        <w:gridCol w:w="60"/>
        <w:gridCol w:w="60"/>
        <w:gridCol w:w="560"/>
        <w:gridCol w:w="60"/>
        <w:gridCol w:w="60"/>
        <w:gridCol w:w="60"/>
        <w:gridCol w:w="560"/>
        <w:gridCol w:w="60"/>
        <w:gridCol w:w="60"/>
        <w:gridCol w:w="77"/>
        <w:gridCol w:w="723"/>
        <w:gridCol w:w="60"/>
        <w:gridCol w:w="60"/>
        <w:gridCol w:w="60"/>
        <w:gridCol w:w="560"/>
        <w:gridCol w:w="60"/>
        <w:gridCol w:w="60"/>
        <w:gridCol w:w="60"/>
        <w:gridCol w:w="560"/>
        <w:gridCol w:w="60"/>
        <w:gridCol w:w="60"/>
        <w:gridCol w:w="77"/>
        <w:gridCol w:w="723"/>
        <w:gridCol w:w="75"/>
      </w:tblGrid>
      <w:tr>
        <w:trPr/>
        <w:tc>
          <w:tcPr>
            <w:tcW w:w="9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0"/>
              <w:jc w:val="center"/>
              <w:rPr>
                <w:rFonts w:ascii="Times New Roman" w:hAnsi="Times New Roman"/>
                <w:sz w:val="14"/>
              </w:rPr>
            </w:pPr>
            <w:r>
              <w:rPr>
                <w:rFonts w:ascii="Times New Roman" w:hAnsi="Times New Roman"/>
                <w:sz w:val="14"/>
              </w:rPr>
              <w:t>Tranche</w:t>
              <w:br/>
              <w:t>2019</w:t>
            </w:r>
          </w:p>
          <w:p>
            <w:pPr>
              <w:pStyle w:val="TableContents"/>
              <w:spacing w:before="0" w:after="20"/>
              <w:jc w:val="center"/>
              <w:rPr>
                <w:rFonts w:ascii="Times New Roman" w:hAnsi="Times New Roman"/>
                <w:sz w:val="14"/>
              </w:rPr>
            </w:pPr>
            <w:r>
              <w:rPr>
                <w:rFonts w:ascii="Times New Roman" w:hAnsi="Times New Roman"/>
                <w:sz w:val="14"/>
              </w:rPr>
              <w:t>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0"/>
              <w:jc w:val="center"/>
              <w:rPr>
                <w:rFonts w:ascii="Times New Roman" w:hAnsi="Times New Roman"/>
                <w:sz w:val="14"/>
              </w:rPr>
            </w:pPr>
            <w:r>
              <w:rPr>
                <w:rFonts w:ascii="Times New Roman" w:hAnsi="Times New Roman"/>
                <w:sz w:val="14"/>
              </w:rPr>
              <w:t>Tranche</w:t>
              <w:br/>
              <w:t>2019</w:t>
            </w:r>
          </w:p>
          <w:p>
            <w:pPr>
              <w:pStyle w:val="TableContents"/>
              <w:spacing w:before="0" w:after="20"/>
              <w:jc w:val="center"/>
              <w:rPr>
                <w:rFonts w:ascii="Times New Roman" w:hAnsi="Times New Roman"/>
                <w:sz w:val="14"/>
              </w:rPr>
            </w:pPr>
            <w:r>
              <w:rPr>
                <w:rFonts w:ascii="Times New Roman" w:hAnsi="Times New Roman"/>
                <w:sz w:val="14"/>
              </w:rPr>
              <w:t>II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0"/>
              <w:jc w:val="center"/>
              <w:rPr>
                <w:rFonts w:ascii="Times New Roman" w:hAnsi="Times New Roman"/>
                <w:sz w:val="14"/>
              </w:rPr>
            </w:pPr>
            <w:r>
              <w:rPr>
                <w:rFonts w:ascii="Times New Roman" w:hAnsi="Times New Roman"/>
                <w:sz w:val="14"/>
              </w:rPr>
              <w:t>Tranche</w:t>
              <w:br/>
              <w:t>2019</w:t>
            </w:r>
          </w:p>
          <w:p>
            <w:pPr>
              <w:pStyle w:val="TableContents"/>
              <w:spacing w:before="0" w:after="20"/>
              <w:jc w:val="center"/>
              <w:rPr>
                <w:rFonts w:ascii="Times New Roman" w:hAnsi="Times New Roman"/>
                <w:sz w:val="14"/>
              </w:rPr>
            </w:pPr>
            <w:r>
              <w:rPr>
                <w:rFonts w:ascii="Times New Roman" w:hAnsi="Times New Roman"/>
                <w:sz w:val="14"/>
              </w:rPr>
              <w:t>III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0"/>
              <w:jc w:val="center"/>
              <w:rPr>
                <w:rFonts w:ascii="Times New Roman" w:hAnsi="Times New Roman"/>
                <w:sz w:val="14"/>
              </w:rPr>
            </w:pPr>
            <w:r>
              <w:rPr>
                <w:rFonts w:ascii="Times New Roman" w:hAnsi="Times New Roman"/>
                <w:sz w:val="14"/>
              </w:rPr>
              <w:t>Tranche</w:t>
              <w:br/>
              <w:t>2019</w:t>
            </w:r>
          </w:p>
          <w:p>
            <w:pPr>
              <w:pStyle w:val="TableContents"/>
              <w:spacing w:before="0" w:after="20"/>
              <w:jc w:val="center"/>
              <w:rPr>
                <w:rFonts w:ascii="Times New Roman" w:hAnsi="Times New Roman"/>
                <w:sz w:val="14"/>
              </w:rPr>
            </w:pPr>
            <w:r>
              <w:rPr>
                <w:rFonts w:ascii="Times New Roman" w:hAnsi="Times New Roman"/>
                <w:sz w:val="14"/>
              </w:rPr>
              <w:t>IV</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0"/>
              <w:jc w:val="center"/>
              <w:rPr>
                <w:rFonts w:ascii="Times New Roman" w:hAnsi="Times New Roman"/>
                <w:sz w:val="14"/>
              </w:rPr>
            </w:pPr>
            <w:r>
              <w:rPr>
                <w:rFonts w:ascii="Times New Roman" w:hAnsi="Times New Roman"/>
                <w:sz w:val="14"/>
              </w:rPr>
              <w:t>Tranche</w:t>
              <w:br/>
              <w:t>2019</w:t>
            </w:r>
          </w:p>
          <w:p>
            <w:pPr>
              <w:pStyle w:val="TableContents"/>
              <w:spacing w:before="0" w:after="20"/>
              <w:jc w:val="center"/>
              <w:rPr>
                <w:rFonts w:ascii="Times New Roman" w:hAnsi="Times New Roman"/>
                <w:sz w:val="14"/>
              </w:rPr>
            </w:pPr>
            <w:r>
              <w:rPr>
                <w:rFonts w:ascii="Times New Roman" w:hAnsi="Times New Roman"/>
                <w:sz w:val="14"/>
              </w:rPr>
              <w:t>V</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0"/>
              <w:jc w:val="center"/>
              <w:rPr>
                <w:rFonts w:ascii="Times New Roman" w:hAnsi="Times New Roman"/>
                <w:sz w:val="14"/>
              </w:rPr>
            </w:pPr>
            <w:r>
              <w:rPr>
                <w:rFonts w:ascii="Times New Roman" w:hAnsi="Times New Roman"/>
                <w:sz w:val="14"/>
              </w:rPr>
              <w:t>Tranche</w:t>
              <w:br/>
              <w:t>2019</w:t>
            </w:r>
          </w:p>
          <w:p>
            <w:pPr>
              <w:pStyle w:val="TableContents"/>
              <w:spacing w:before="0" w:after="20"/>
              <w:jc w:val="center"/>
              <w:rPr>
                <w:rFonts w:ascii="Times New Roman" w:hAnsi="Times New Roman"/>
                <w:sz w:val="14"/>
              </w:rPr>
            </w:pPr>
            <w:r>
              <w:rPr>
                <w:rFonts w:ascii="Times New Roman" w:hAnsi="Times New Roman"/>
                <w:sz w:val="14"/>
              </w:rPr>
              <w:t>VI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0"/>
              <w:jc w:val="center"/>
              <w:rPr>
                <w:rFonts w:ascii="Times New Roman" w:hAnsi="Times New Roman"/>
                <w:sz w:val="14"/>
              </w:rPr>
            </w:pPr>
            <w:r>
              <w:rPr>
                <w:rFonts w:ascii="Times New Roman" w:hAnsi="Times New Roman"/>
                <w:sz w:val="14"/>
              </w:rPr>
              <w:t>Tranche</w:t>
              <w:br/>
              <w:t>2020</w:t>
            </w:r>
          </w:p>
          <w:p>
            <w:pPr>
              <w:pStyle w:val="TableContents"/>
              <w:spacing w:before="0" w:after="20"/>
              <w:jc w:val="center"/>
              <w:rPr>
                <w:rFonts w:ascii="Times New Roman" w:hAnsi="Times New Roman"/>
                <w:sz w:val="14"/>
              </w:rPr>
            </w:pPr>
            <w:r>
              <w:rPr>
                <w:rFonts w:ascii="Times New Roman" w:hAnsi="Times New Roman"/>
                <w:sz w:val="14"/>
              </w:rPr>
              <w:t>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0"/>
              <w:jc w:val="center"/>
              <w:rPr>
                <w:rFonts w:ascii="Times New Roman" w:hAnsi="Times New Roman"/>
                <w:sz w:val="14"/>
              </w:rPr>
            </w:pPr>
            <w:r>
              <w:rPr>
                <w:rFonts w:ascii="Times New Roman" w:hAnsi="Times New Roman"/>
                <w:sz w:val="14"/>
              </w:rPr>
              <w:t>Tranche</w:t>
              <w:br/>
              <w:t>2019</w:t>
            </w:r>
          </w:p>
          <w:p>
            <w:pPr>
              <w:pStyle w:val="TableContents"/>
              <w:spacing w:before="0" w:after="20"/>
              <w:jc w:val="center"/>
              <w:rPr>
                <w:rFonts w:ascii="Times New Roman" w:hAnsi="Times New Roman"/>
                <w:sz w:val="14"/>
              </w:rPr>
            </w:pPr>
            <w:r>
              <w:rPr>
                <w:rFonts w:ascii="Times New Roman" w:hAnsi="Times New Roman"/>
                <w:sz w:val="14"/>
              </w:rPr>
              <w:t>VII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2019</w:t>
              <w:br/>
              <w:t>VIII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0"/>
              <w:jc w:val="center"/>
              <w:rPr>
                <w:rFonts w:ascii="Times New Roman" w:hAnsi="Times New Roman"/>
                <w:sz w:val="14"/>
              </w:rPr>
            </w:pPr>
            <w:r>
              <w:rPr>
                <w:rFonts w:ascii="Times New Roman" w:hAnsi="Times New Roman"/>
                <w:sz w:val="14"/>
              </w:rPr>
              <w:t>Tranche</w:t>
              <w:br/>
              <w:t>2019</w:t>
            </w:r>
          </w:p>
          <w:p>
            <w:pPr>
              <w:pStyle w:val="TableContents"/>
              <w:spacing w:before="0" w:after="20"/>
              <w:jc w:val="center"/>
              <w:rPr>
                <w:rFonts w:ascii="Times New Roman" w:hAnsi="Times New Roman"/>
                <w:sz w:val="14"/>
              </w:rPr>
            </w:pPr>
            <w:r>
              <w:rPr>
                <w:rFonts w:ascii="Times New Roman" w:hAnsi="Times New Roman"/>
                <w:sz w:val="14"/>
              </w:rPr>
              <w:t>IX</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0"/>
              <w:jc w:val="center"/>
              <w:rPr>
                <w:rFonts w:ascii="Times New Roman" w:hAnsi="Times New Roman"/>
                <w:sz w:val="14"/>
              </w:rPr>
            </w:pPr>
            <w:r>
              <w:rPr>
                <w:rFonts w:ascii="Times New Roman" w:hAnsi="Times New Roman"/>
                <w:sz w:val="14"/>
              </w:rPr>
              <w:t>Tranche</w:t>
              <w:br/>
              <w:t>2021</w:t>
            </w:r>
          </w:p>
          <w:p>
            <w:pPr>
              <w:pStyle w:val="TableContents"/>
              <w:spacing w:before="0" w:after="20"/>
              <w:jc w:val="center"/>
              <w:rPr>
                <w:rFonts w:ascii="Times New Roman" w:hAnsi="Times New Roman"/>
                <w:sz w:val="14"/>
              </w:rPr>
            </w:pPr>
            <w:r>
              <w:rPr>
                <w:rFonts w:ascii="Times New Roman" w:hAnsi="Times New Roman"/>
                <w:sz w:val="14"/>
              </w:rPr>
              <w:t>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Altan</w:t>
            </w:r>
          </w:p>
        </w:tc>
        <w:tc>
          <w:tcPr>
            <w:tcW w:w="75" w:type="dxa"/>
            <w:tcBorders/>
            <w:shd w:fill="auto" w:val="clear"/>
            <w:vAlign w:val="center"/>
          </w:tcPr>
          <w:p>
            <w:pPr>
              <w:pStyle w:val="TableContents"/>
              <w:spacing w:before="0" w:after="283"/>
              <w:rPr/>
            </w:pPr>
            <w:r>
              <w:rPr/>
              <w:t> </w:t>
            </w:r>
          </w:p>
        </w:tc>
      </w:tr>
      <w:tr>
        <w:trPr/>
        <w:tc>
          <w:tcPr>
            <w:tcW w:w="950"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Exercise price (in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42.46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41.03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46.50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47.25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61.27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66.49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61.27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68.97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71.15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70.31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71.15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25.00</w:t>
            </w:r>
          </w:p>
        </w:tc>
        <w:tc>
          <w:tcPr>
            <w:tcW w:w="75" w:type="dxa"/>
            <w:tcBorders/>
            <w:shd w:fill="CCEEFF" w:val="clear"/>
            <w:vAlign w:val="center"/>
          </w:tcPr>
          <w:p>
            <w:pPr>
              <w:pStyle w:val="TableContents"/>
              <w:spacing w:before="0" w:after="283"/>
              <w:rPr/>
            </w:pPr>
            <w:r>
              <w:rPr/>
              <w:t> </w:t>
            </w:r>
          </w:p>
        </w:tc>
      </w:tr>
      <w:tr>
        <w:trPr/>
        <w:tc>
          <w:tcPr>
            <w:tcW w:w="950"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Term in years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1.74</w:t>
            </w:r>
          </w:p>
        </w:tc>
        <w:tc>
          <w:tcPr>
            <w:tcW w:w="75" w:type="dxa"/>
            <w:tcBorders/>
            <w:shd w:fill="auto" w:val="clear"/>
            <w:vAlign w:val="center"/>
          </w:tcPr>
          <w:p>
            <w:pPr>
              <w:pStyle w:val="TableContents"/>
              <w:spacing w:before="0" w:after="283"/>
              <w:rPr/>
            </w:pPr>
            <w:r>
              <w:rPr/>
              <w:t> </w:t>
            </w:r>
          </w:p>
        </w:tc>
      </w:tr>
      <w:tr>
        <w:trPr/>
        <w:tc>
          <w:tcPr>
            <w:tcW w:w="950"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Remaining term in years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4.75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5.00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5.25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5.50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5.75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6.00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5.75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6.25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6.5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6.75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6.5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0.35</w:t>
            </w:r>
          </w:p>
        </w:tc>
        <w:tc>
          <w:tcPr>
            <w:tcW w:w="75" w:type="dxa"/>
            <w:tcBorders/>
            <w:shd w:fill="CCEEFF" w:val="clear"/>
            <w:vAlign w:val="center"/>
          </w:tcPr>
          <w:p>
            <w:pPr>
              <w:pStyle w:val="TableContents"/>
              <w:spacing w:before="0" w:after="283"/>
              <w:rPr/>
            </w:pPr>
            <w:r>
              <w:rPr/>
              <w:t> </w:t>
            </w:r>
          </w:p>
        </w:tc>
      </w:tr>
      <w:tr>
        <w:trPr/>
        <w:tc>
          <w:tcPr>
            <w:tcW w:w="950"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Share price as of the valuation date (in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38.00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38.50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35.20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51.00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75.46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73.20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75.46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64.20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80.20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64.80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80.20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43.39</w:t>
            </w:r>
          </w:p>
        </w:tc>
        <w:tc>
          <w:tcPr>
            <w:tcW w:w="75" w:type="dxa"/>
            <w:tcBorders/>
            <w:shd w:fill="auto" w:val="clear"/>
            <w:vAlign w:val="center"/>
          </w:tcPr>
          <w:p>
            <w:pPr>
              <w:pStyle w:val="TableContents"/>
              <w:spacing w:before="0" w:after="283"/>
              <w:rPr/>
            </w:pPr>
            <w:r>
              <w:rPr/>
              <w:t> </w:t>
            </w:r>
          </w:p>
        </w:tc>
      </w:tr>
      <w:tr>
        <w:trPr/>
        <w:tc>
          <w:tcPr>
            <w:tcW w:w="950"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Expected dividend yield (in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0.00</w:t>
            </w:r>
          </w:p>
        </w:tc>
        <w:tc>
          <w:tcPr>
            <w:tcW w:w="75" w:type="dxa"/>
            <w:tcBorders/>
            <w:shd w:fill="CCEEFF" w:val="clear"/>
            <w:vAlign w:val="center"/>
          </w:tcPr>
          <w:p>
            <w:pPr>
              <w:pStyle w:val="TableContents"/>
              <w:spacing w:before="0" w:after="283"/>
              <w:rPr/>
            </w:pPr>
            <w:r>
              <w:rPr/>
              <w:t> </w:t>
            </w:r>
          </w:p>
        </w:tc>
      </w:tr>
      <w:tr>
        <w:trPr/>
        <w:tc>
          <w:tcPr>
            <w:tcW w:w="950"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Expected volatility (in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45.91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45.66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48.32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48.45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36.39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36.63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36.39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36.67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36.90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37.56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36.90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51.31</w:t>
            </w:r>
          </w:p>
        </w:tc>
        <w:tc>
          <w:tcPr>
            <w:tcW w:w="75" w:type="dxa"/>
            <w:tcBorders/>
            <w:shd w:fill="auto" w:val="clear"/>
            <w:vAlign w:val="center"/>
          </w:tcPr>
          <w:p>
            <w:pPr>
              <w:pStyle w:val="TableContents"/>
              <w:spacing w:before="0" w:after="283"/>
              <w:rPr/>
            </w:pPr>
            <w:r>
              <w:rPr/>
              <w:t> </w:t>
            </w:r>
          </w:p>
        </w:tc>
      </w:tr>
      <w:tr>
        <w:trPr/>
        <w:tc>
          <w:tcPr>
            <w:tcW w:w="950"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Risk-free interest rate (in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-0.74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-0.39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-0.62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-0.60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-0.65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-0.69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-0.65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-0.53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-0.40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-0.40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-0.40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-0.82</w:t>
            </w:r>
          </w:p>
        </w:tc>
        <w:tc>
          <w:tcPr>
            <w:tcW w:w="75" w:type="dxa"/>
            <w:tcBorders/>
            <w:shd w:fill="CCEEFF" w:val="clear"/>
            <w:vAlign w:val="center"/>
          </w:tcPr>
          <w:p>
            <w:pPr>
              <w:pStyle w:val="TableContents"/>
              <w:spacing w:before="0" w:after="283"/>
              <w:rPr/>
            </w:pPr>
            <w:r>
              <w:rPr/>
              <w:t> </w:t>
            </w:r>
          </w:p>
        </w:tc>
      </w:tr>
      <w:tr>
        <w:trPr/>
        <w:tc>
          <w:tcPr>
            <w:tcW w:w="950"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Option value (in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11.53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12.42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9.43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19.55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26.14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23.25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26.14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14.18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25.17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16.28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25.17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20.40</w:t>
            </w:r>
          </w:p>
        </w:tc>
        <w:tc>
          <w:tcPr>
            <w:tcW w:w="75" w:type="dxa"/>
            <w:tcBorders/>
            <w:shd w:fill="auto" w:val="clear"/>
            <w:vAlign w:val="center"/>
          </w:tcPr>
          <w:p>
            <w:pPr>
              <w:pStyle w:val="TableContents"/>
              <w:spacing w:before="0" w:after="283"/>
              <w:rPr/>
            </w:pPr>
            <w:r>
              <w:rPr/>
              <w:t>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table below shows the inputs used for the model as of December 31, 2020.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530"/>
        <w:gridCol w:w="120"/>
        <w:gridCol w:w="77"/>
        <w:gridCol w:w="723"/>
        <w:gridCol w:w="60"/>
        <w:gridCol w:w="120"/>
        <w:gridCol w:w="77"/>
        <w:gridCol w:w="723"/>
        <w:gridCol w:w="60"/>
        <w:gridCol w:w="120"/>
        <w:gridCol w:w="77"/>
        <w:gridCol w:w="723"/>
        <w:gridCol w:w="60"/>
        <w:gridCol w:w="120"/>
        <w:gridCol w:w="77"/>
        <w:gridCol w:w="723"/>
        <w:gridCol w:w="60"/>
        <w:gridCol w:w="120"/>
        <w:gridCol w:w="77"/>
        <w:gridCol w:w="723"/>
        <w:gridCol w:w="60"/>
        <w:gridCol w:w="120"/>
        <w:gridCol w:w="77"/>
        <w:gridCol w:w="723"/>
        <w:gridCol w:w="60"/>
        <w:gridCol w:w="120"/>
        <w:gridCol w:w="60"/>
        <w:gridCol w:w="560"/>
        <w:gridCol w:w="60"/>
        <w:gridCol w:w="120"/>
        <w:gridCol w:w="77"/>
        <w:gridCol w:w="723"/>
        <w:gridCol w:w="75"/>
      </w:tblGrid>
      <w:tr>
        <w:trPr/>
        <w:tc>
          <w:tcPr>
            <w:tcW w:w="25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5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2019 I</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2019 II</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2019 III</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2019</w:t>
              <w:br/>
              <w:t>IV</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2019 V</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2019</w:t>
              <w:br/>
              <w:t>VI</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0"/>
              <w:jc w:val="center"/>
              <w:rPr>
                <w:rFonts w:ascii="Times New Roman" w:hAnsi="Times New Roman"/>
                <w:sz w:val="16"/>
              </w:rPr>
            </w:pPr>
            <w:r>
              <w:rPr>
                <w:rFonts w:ascii="Times New Roman" w:hAnsi="Times New Roman"/>
                <w:sz w:val="16"/>
              </w:rPr>
              <w:t>Tranche</w:t>
              <w:br/>
              <w:t>2020</w:t>
            </w:r>
          </w:p>
          <w:p>
            <w:pPr>
              <w:pStyle w:val="TableContents"/>
              <w:spacing w:before="0" w:after="20"/>
              <w:jc w:val="center"/>
              <w:rPr>
                <w:rFonts w:ascii="Times New Roman" w:hAnsi="Times New Roman"/>
                <w:sz w:val="16"/>
              </w:rPr>
            </w:pPr>
            <w:r>
              <w:rPr>
                <w:rFonts w:ascii="Times New Roman" w:hAnsi="Times New Roman"/>
                <w:sz w:val="16"/>
              </w:rPr>
              <w:t>I</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Altan</w:t>
            </w:r>
          </w:p>
        </w:tc>
        <w:tc>
          <w:tcPr>
            <w:tcW w:w="75" w:type="dxa"/>
            <w:tcBorders/>
            <w:shd w:fill="auto" w:val="clear"/>
            <w:vAlign w:val="center"/>
          </w:tcPr>
          <w:p>
            <w:pPr>
              <w:pStyle w:val="TableContents"/>
              <w:spacing w:before="0" w:after="283"/>
              <w:rPr/>
            </w:pPr>
            <w:r>
              <w:rPr/>
              <w:t> </w:t>
            </w:r>
          </w:p>
        </w:tc>
      </w:tr>
      <w:tr>
        <w:trPr/>
        <w:tc>
          <w:tcPr>
            <w:tcW w:w="25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Exercise price (in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42.46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41.03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46.50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47.25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61.27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66.49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61.27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25.00</w:t>
            </w:r>
          </w:p>
        </w:tc>
        <w:tc>
          <w:tcPr>
            <w:tcW w:w="75" w:type="dxa"/>
            <w:tcBorders/>
            <w:shd w:fill="CCEEFF" w:val="clear"/>
            <w:vAlign w:val="center"/>
          </w:tcPr>
          <w:p>
            <w:pPr>
              <w:pStyle w:val="TableContents"/>
              <w:spacing w:before="0" w:after="283"/>
              <w:rPr/>
            </w:pPr>
            <w:r>
              <w:rPr/>
              <w:t> </w:t>
            </w:r>
          </w:p>
        </w:tc>
      </w:tr>
      <w:tr>
        <w:trPr/>
        <w:tc>
          <w:tcPr>
            <w:tcW w:w="25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Term in years</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1.74</w:t>
            </w:r>
          </w:p>
        </w:tc>
        <w:tc>
          <w:tcPr>
            <w:tcW w:w="75" w:type="dxa"/>
            <w:tcBorders/>
            <w:shd w:fill="auto" w:val="clear"/>
            <w:vAlign w:val="center"/>
          </w:tcPr>
          <w:p>
            <w:pPr>
              <w:pStyle w:val="TableContents"/>
              <w:spacing w:before="0" w:after="283"/>
              <w:rPr/>
            </w:pPr>
            <w:r>
              <w:rPr/>
              <w:t> </w:t>
            </w:r>
          </w:p>
        </w:tc>
      </w:tr>
      <w:tr>
        <w:trPr/>
        <w:tc>
          <w:tcPr>
            <w:tcW w:w="25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Remaining term in years</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5.75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6.00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6.25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6.50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6.75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7.00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6.75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0.35</w:t>
            </w:r>
          </w:p>
        </w:tc>
        <w:tc>
          <w:tcPr>
            <w:tcW w:w="75" w:type="dxa"/>
            <w:tcBorders/>
            <w:shd w:fill="CCEEFF" w:val="clear"/>
            <w:vAlign w:val="center"/>
          </w:tcPr>
          <w:p>
            <w:pPr>
              <w:pStyle w:val="TableContents"/>
              <w:spacing w:before="0" w:after="283"/>
              <w:rPr/>
            </w:pPr>
            <w:r>
              <w:rPr/>
              <w:t> </w:t>
            </w:r>
          </w:p>
        </w:tc>
      </w:tr>
      <w:tr>
        <w:trPr/>
        <w:tc>
          <w:tcPr>
            <w:tcW w:w="25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Share price as of the valuation date (in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38.00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38.50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35.20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51.00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75.46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73.20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75.46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43.39</w:t>
            </w:r>
          </w:p>
        </w:tc>
        <w:tc>
          <w:tcPr>
            <w:tcW w:w="75" w:type="dxa"/>
            <w:tcBorders/>
            <w:shd w:fill="auto" w:val="clear"/>
            <w:vAlign w:val="center"/>
          </w:tcPr>
          <w:p>
            <w:pPr>
              <w:pStyle w:val="TableContents"/>
              <w:spacing w:before="0" w:after="283"/>
              <w:rPr/>
            </w:pPr>
            <w:r>
              <w:rPr/>
              <w:t> </w:t>
            </w:r>
          </w:p>
        </w:tc>
      </w:tr>
      <w:tr>
        <w:trPr/>
        <w:tc>
          <w:tcPr>
            <w:tcW w:w="25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Expected dividend yield (in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0.00</w:t>
            </w:r>
          </w:p>
        </w:tc>
        <w:tc>
          <w:tcPr>
            <w:tcW w:w="75" w:type="dxa"/>
            <w:tcBorders/>
            <w:shd w:fill="CCEEFF" w:val="clear"/>
            <w:vAlign w:val="center"/>
          </w:tcPr>
          <w:p>
            <w:pPr>
              <w:pStyle w:val="TableContents"/>
              <w:spacing w:before="0" w:after="283"/>
              <w:rPr/>
            </w:pPr>
            <w:r>
              <w:rPr/>
              <w:t> </w:t>
            </w:r>
          </w:p>
        </w:tc>
      </w:tr>
      <w:tr>
        <w:trPr/>
        <w:tc>
          <w:tcPr>
            <w:tcW w:w="25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Expected volatility (in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45.91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45.66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48.32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48.45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36.39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36.63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36.39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51.31</w:t>
            </w:r>
          </w:p>
        </w:tc>
        <w:tc>
          <w:tcPr>
            <w:tcW w:w="75" w:type="dxa"/>
            <w:tcBorders/>
            <w:shd w:fill="auto" w:val="clear"/>
            <w:vAlign w:val="center"/>
          </w:tcPr>
          <w:p>
            <w:pPr>
              <w:pStyle w:val="TableContents"/>
              <w:spacing w:before="0" w:after="283"/>
              <w:rPr/>
            </w:pPr>
            <w:r>
              <w:rPr/>
              <w:t> </w:t>
            </w:r>
          </w:p>
        </w:tc>
      </w:tr>
      <w:tr>
        <w:trPr/>
        <w:tc>
          <w:tcPr>
            <w:tcW w:w="25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Risk-free interest rate (in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-0.74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-0.39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-0.62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-0.60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-0.65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-0.69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-0.65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-0.82</w:t>
            </w:r>
          </w:p>
        </w:tc>
        <w:tc>
          <w:tcPr>
            <w:tcW w:w="75" w:type="dxa"/>
            <w:tcBorders/>
            <w:shd w:fill="CCEEFF" w:val="clear"/>
            <w:vAlign w:val="center"/>
          </w:tcPr>
          <w:p>
            <w:pPr>
              <w:pStyle w:val="TableContents"/>
              <w:spacing w:before="0" w:after="283"/>
              <w:rPr/>
            </w:pPr>
            <w:r>
              <w:rPr/>
              <w:t> </w:t>
            </w:r>
          </w:p>
        </w:tc>
      </w:tr>
      <w:tr>
        <w:trPr/>
        <w:tc>
          <w:tcPr>
            <w:tcW w:w="25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Option value (in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11.53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12.42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9.43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19.55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26.14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23.25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26.14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20.40</w:t>
            </w:r>
          </w:p>
        </w:tc>
        <w:tc>
          <w:tcPr>
            <w:tcW w:w="75" w:type="dxa"/>
            <w:tcBorders/>
            <w:shd w:fill="auto" w:val="clear"/>
            <w:vAlign w:val="center"/>
          </w:tcPr>
          <w:p>
            <w:pPr>
              <w:pStyle w:val="TableContents"/>
              <w:spacing w:before="0" w:after="283"/>
              <w:rPr/>
            </w:pPr>
            <w:r>
              <w:rPr/>
              <w:t>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term of the options as well as the possibility of early exercise were considered in the option model. Early exercise is assumed when the share price exceeds the exercise price by a factor of 1.2. The implied rate of return of German government bonds with matching maturities was used for determining the risk-free interest rate. Expected volatility has been based on an evaluation of the historical volatility for matching maturities of the Company´s peer group. The expected volatility considered assumes that it is possible to derive future trends from historic volatility, and thus the actual volatility may deviate from the assumptions made.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total expense for equity-settled share-based payments recognized in the year ended December 31, 2022, under the Stock Option Plans is €2,300 thousand (2021: €513 thousand, 2020: €1,125 thousand). The equity-settled share-based payment recognized in the capital reserve amount to €5,116 thousand as of December 31, 2022 (2021: €2,815 thousand, 2020: €2,303 thousand). </w:t>
      </w:r>
    </w:p>
    <w:p>
      <w:pPr>
        <w:pStyle w:val="TextBody"/>
        <w:spacing w:before="0" w:after="0"/>
        <w:jc w:val="both"/>
        <w:rPr>
          <w:highlight w:val="white"/>
        </w:rPr>
      </w:pPr>
      <w:r>
        <w:rPr>
          <w:highlight w:val="white"/>
        </w:rPr>
        <w:t> </w:t>
      </w:r>
    </w:p>
    <w:tbl>
      <w:tblPr>
        <w:tblW w:w="6925" w:type="dxa"/>
        <w:jc w:val="left"/>
        <w:tblInd w:w="0" w:type="dxa"/>
        <w:tblCellMar>
          <w:top w:w="0" w:type="dxa"/>
          <w:left w:w="0" w:type="dxa"/>
          <w:bottom w:w="0" w:type="dxa"/>
          <w:right w:w="0" w:type="dxa"/>
        </w:tblCellMar>
      </w:tblPr>
      <w:tblGrid>
        <w:gridCol w:w="395"/>
        <w:gridCol w:w="6530"/>
      </w:tblGrid>
      <w:tr>
        <w:trPr/>
        <w:tc>
          <w:tcPr>
            <w:tcW w:w="395" w:type="dxa"/>
            <w:tcBorders/>
            <w:shd w:fill="auto" w:val="clear"/>
            <w:vAlign w:val="center"/>
          </w:tcPr>
          <w:p>
            <w:pPr>
              <w:pStyle w:val="TableContents"/>
              <w:spacing w:before="0" w:after="0"/>
              <w:jc w:val="both"/>
              <w:rPr>
                <w:b/>
                <w:spacing w:val="0"/>
              </w:rPr>
            </w:pPr>
            <w:r>
              <w:rPr>
                <w:b/>
                <w:spacing w:val="0"/>
              </w:rPr>
              <w:t>9.2.</w:t>
            </w:r>
          </w:p>
        </w:tc>
        <w:tc>
          <w:tcPr>
            <w:tcW w:w="6530"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Equity-settled share-based payment under Restricted Stock Unit Plan (RSUP) </w:t>
            </w:r>
          </w:p>
        </w:tc>
      </w:tr>
    </w:tbl>
    <w:p>
      <w:pPr>
        <w:pStyle w:val="TextBody"/>
        <w:spacing w:before="12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RSUP 2021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In the financial year 2021, subscription rights in the form of restricted stock units (RSUs) were granted to selected employees. An RSU grants an entitlement to a cash settlement or shares in the company, whereby the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F-2</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4</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both"/>
        <w:rPr>
          <w:rFonts w:ascii="Times New Roman" w:hAnsi="Times New Roman"/>
          <w:sz w:val="20"/>
          <w:highlight w:val="white"/>
        </w:rPr>
      </w:pPr>
      <w:r>
        <w:rPr>
          <w:rFonts w:ascii="Times New Roman" w:hAnsi="Times New Roman"/>
          <w:sz w:val="20"/>
          <w:highlight w:val="white"/>
        </w:rPr>
        <w:t xml:space="preserve">choice of settlement form lies solely with the company. The value of an RSU corresponds to the value of the volume-weighted </w:t>
      </w:r>
    </w:p>
    <w:p>
      <w:pPr>
        <w:pStyle w:val="TextBody"/>
        <w:spacing w:before="0" w:after="0"/>
        <w:jc w:val="both"/>
        <w:rPr>
          <w:rFonts w:ascii="Times New Roman" w:hAnsi="Times New Roman"/>
          <w:spacing w:val="0"/>
          <w:sz w:val="20"/>
          <w:highlight w:val="white"/>
        </w:rPr>
      </w:pPr>
      <w:r>
        <w:rPr>
          <w:rFonts w:ascii="Times New Roman" w:hAnsi="Times New Roman"/>
          <w:spacing w:val="0"/>
          <w:sz w:val="20"/>
          <w:highlight w:val="white"/>
        </w:rPr>
        <w:t>six-month</w:t>
      </w:r>
    </w:p>
    <w:p>
      <w:pPr>
        <w:pStyle w:val="TextBody"/>
        <w:spacing w:before="0" w:after="0"/>
        <w:jc w:val="both"/>
        <w:rPr>
          <w:rFonts w:ascii="Times New Roman" w:hAnsi="Times New Roman"/>
          <w:sz w:val="20"/>
          <w:highlight w:val="white"/>
        </w:rPr>
      </w:pPr>
      <w:r>
        <w:rPr>
          <w:rFonts w:ascii="Times New Roman" w:hAnsi="Times New Roman"/>
          <w:sz w:val="20"/>
          <w:highlight w:val="white"/>
        </w:rPr>
        <w:t xml:space="preserve">average price of the Company shares on the primary stock exchange (XETRA).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vesting period of the RSUs is four years after the grant date of the subscription rights. The vested entitlement is settled once a year within 40 trading days after publication of the annual financial statements of Mynaric AG.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grant of RSUs under the RSUP 2021 has been classified and measured as equity-settled share-based payment in accordance with IFRS 2.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table below provides an overview of outstanding, granted, forfeited, exercised and forfeited RSUs.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RSUs developed as follows in the financial year 2022: </w:t>
      </w:r>
    </w:p>
    <w:p>
      <w:pPr>
        <w:pStyle w:val="TextBody"/>
        <w:spacing w:before="0" w:after="0"/>
        <w:jc w:val="left"/>
        <w:rPr>
          <w:highlight w:val="white"/>
        </w:rPr>
      </w:pPr>
      <w:r>
        <w:rPr>
          <w:highlight w:val="white"/>
        </w:rPr>
        <w:t> </w:t>
      </w:r>
    </w:p>
    <w:tbl>
      <w:tblPr>
        <w:tblW w:w="9004" w:type="dxa"/>
        <w:jc w:val="left"/>
        <w:tblInd w:w="0" w:type="dxa"/>
        <w:tblCellMar>
          <w:top w:w="0" w:type="dxa"/>
          <w:left w:w="0" w:type="dxa"/>
          <w:bottom w:w="0" w:type="dxa"/>
          <w:right w:w="0" w:type="dxa"/>
        </w:tblCellMar>
      </w:tblPr>
      <w:tblGrid>
        <w:gridCol w:w="3095"/>
        <w:gridCol w:w="120"/>
        <w:gridCol w:w="64"/>
        <w:gridCol w:w="736"/>
        <w:gridCol w:w="60"/>
        <w:gridCol w:w="120"/>
        <w:gridCol w:w="64"/>
        <w:gridCol w:w="736"/>
        <w:gridCol w:w="60"/>
        <w:gridCol w:w="120"/>
        <w:gridCol w:w="64"/>
        <w:gridCol w:w="736"/>
        <w:gridCol w:w="60"/>
        <w:gridCol w:w="120"/>
        <w:gridCol w:w="64"/>
        <w:gridCol w:w="736"/>
        <w:gridCol w:w="60"/>
        <w:gridCol w:w="120"/>
        <w:gridCol w:w="64"/>
        <w:gridCol w:w="736"/>
        <w:gridCol w:w="60"/>
        <w:gridCol w:w="120"/>
        <w:gridCol w:w="65"/>
        <w:gridCol w:w="749"/>
        <w:gridCol w:w="75"/>
      </w:tblGrid>
      <w:tr>
        <w:trPr/>
        <w:tc>
          <w:tcPr>
            <w:tcW w:w="30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0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2021 I</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2021 II</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2022 I</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2022 II</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2022 III</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14" w:type="dxa"/>
            <w:gridSpan w:val="2"/>
            <w:tcBorders/>
            <w:shd w:fill="auto" w:val="clear"/>
            <w:vAlign w:val="center"/>
          </w:tcPr>
          <w:p>
            <w:pPr>
              <w:pStyle w:val="TableContents"/>
              <w:spacing w:before="0" w:after="283"/>
              <w:jc w:val="center"/>
              <w:rPr/>
            </w:pPr>
            <w:r>
              <w:rPr/>
              <w:t>Tranche</w:t>
              <w:br/>
              <w:t>2022 IV</w:t>
            </w:r>
          </w:p>
        </w:tc>
        <w:tc>
          <w:tcPr>
            <w:tcW w:w="75" w:type="dxa"/>
            <w:tcBorders/>
            <w:shd w:fill="auto" w:val="clear"/>
            <w:vAlign w:val="center"/>
          </w:tcPr>
          <w:p>
            <w:pPr>
              <w:pStyle w:val="TableContents"/>
              <w:spacing w:before="0" w:after="283"/>
              <w:rPr/>
            </w:pPr>
            <w:r>
              <w:rPr/>
              <w:t> </w:t>
            </w:r>
          </w:p>
        </w:tc>
      </w:tr>
      <w:tr>
        <w:trPr/>
        <w:tc>
          <w:tcPr>
            <w:tcW w:w="30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RSUs outstanding as of Jan. 1, 2022</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67,773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32,423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749"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30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RSUs granted</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26,430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28,518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50,342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right"/>
              <w:rPr/>
            </w:pPr>
            <w:r>
              <w:rPr/>
              <w:t>13,261</w:t>
            </w:r>
          </w:p>
        </w:tc>
        <w:tc>
          <w:tcPr>
            <w:tcW w:w="75" w:type="dxa"/>
            <w:tcBorders/>
            <w:shd w:fill="auto" w:val="clear"/>
            <w:vAlign w:val="center"/>
          </w:tcPr>
          <w:p>
            <w:pPr>
              <w:pStyle w:val="TableContents"/>
              <w:spacing w:before="0" w:after="283"/>
              <w:rPr/>
            </w:pPr>
            <w:r>
              <w:rPr/>
              <w:t> </w:t>
            </w:r>
          </w:p>
        </w:tc>
      </w:tr>
      <w:tr>
        <w:trPr/>
        <w:tc>
          <w:tcPr>
            <w:tcW w:w="30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RSUs forfeited</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13,536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3,748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2,055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87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1,537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749"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30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RSUs exercised</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16,149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30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RSUs expired</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749"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30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RSUs outstanding as of Dec. 31, 2022</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37,887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28,675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24,375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28,431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48,805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right"/>
              <w:rPr/>
            </w:pPr>
            <w:r>
              <w:rPr/>
              <w:t>13,261</w:t>
            </w:r>
          </w:p>
        </w:tc>
        <w:tc>
          <w:tcPr>
            <w:tcW w:w="75" w:type="dxa"/>
            <w:tcBorders/>
            <w:shd w:fill="auto" w:val="clear"/>
            <w:vAlign w:val="center"/>
          </w:tcPr>
          <w:p>
            <w:pPr>
              <w:pStyle w:val="TableContents"/>
              <w:spacing w:before="0" w:after="283"/>
              <w:rPr/>
            </w:pPr>
            <w:r>
              <w:rPr/>
              <w:t> </w:t>
            </w:r>
          </w:p>
        </w:tc>
      </w:tr>
      <w:tr>
        <w:trPr/>
        <w:tc>
          <w:tcPr>
            <w:tcW w:w="30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RSUs exercisable as of Dec. 31, 2022</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749"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RSUs developed as follows in the financial year 2021: </w:t>
      </w:r>
    </w:p>
    <w:p>
      <w:pPr>
        <w:pStyle w:val="TextBody"/>
        <w:spacing w:before="0" w:after="0"/>
        <w:jc w:val="left"/>
        <w:rPr>
          <w:highlight w:val="white"/>
        </w:rPr>
      </w:pPr>
      <w:r>
        <w:rPr>
          <w:highlight w:val="white"/>
        </w:rPr>
        <w:t> </w:t>
      </w:r>
    </w:p>
    <w:tbl>
      <w:tblPr>
        <w:tblW w:w="6495" w:type="dxa"/>
        <w:jc w:val="left"/>
        <w:tblInd w:w="0" w:type="dxa"/>
        <w:tblCellMar>
          <w:top w:w="0" w:type="dxa"/>
          <w:left w:w="0" w:type="dxa"/>
          <w:bottom w:w="0" w:type="dxa"/>
          <w:right w:w="0" w:type="dxa"/>
        </w:tblCellMar>
      </w:tblPr>
      <w:tblGrid>
        <w:gridCol w:w="3095"/>
        <w:gridCol w:w="120"/>
        <w:gridCol w:w="119"/>
        <w:gridCol w:w="1356"/>
        <w:gridCol w:w="60"/>
        <w:gridCol w:w="120"/>
        <w:gridCol w:w="125"/>
        <w:gridCol w:w="1425"/>
        <w:gridCol w:w="75"/>
      </w:tblGrid>
      <w:tr>
        <w:trPr/>
        <w:tc>
          <w:tcPr>
            <w:tcW w:w="30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4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0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75" w:type="dxa"/>
            <w:gridSpan w:val="2"/>
            <w:tcBorders/>
            <w:shd w:fill="auto" w:val="clear"/>
            <w:vAlign w:val="center"/>
          </w:tcPr>
          <w:p>
            <w:pPr>
              <w:pStyle w:val="TableContents"/>
              <w:spacing w:before="0" w:after="283"/>
              <w:jc w:val="center"/>
              <w:rPr/>
            </w:pPr>
            <w:r>
              <w:rPr/>
              <w:t>Tranche 2021 I</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50" w:type="dxa"/>
            <w:gridSpan w:val="2"/>
            <w:tcBorders/>
            <w:shd w:fill="auto" w:val="clear"/>
            <w:vAlign w:val="center"/>
          </w:tcPr>
          <w:p>
            <w:pPr>
              <w:pStyle w:val="TableContents"/>
              <w:spacing w:before="0" w:after="283"/>
              <w:jc w:val="center"/>
              <w:rPr/>
            </w:pPr>
            <w:r>
              <w:rPr/>
              <w:t>Tranche 2021 II</w:t>
            </w:r>
          </w:p>
        </w:tc>
        <w:tc>
          <w:tcPr>
            <w:tcW w:w="75" w:type="dxa"/>
            <w:tcBorders/>
            <w:shd w:fill="auto" w:val="clear"/>
            <w:vAlign w:val="center"/>
          </w:tcPr>
          <w:p>
            <w:pPr>
              <w:pStyle w:val="TableContents"/>
              <w:spacing w:before="0" w:after="283"/>
              <w:rPr/>
            </w:pPr>
            <w:r>
              <w:rPr/>
              <w:t> </w:t>
            </w:r>
          </w:p>
        </w:tc>
      </w:tr>
      <w:tr>
        <w:trPr/>
        <w:tc>
          <w:tcPr>
            <w:tcW w:w="30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RSUs outstanding as of Jan. 1, 2021</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135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425"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30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RSUs granted</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1356" w:type="dxa"/>
            <w:tcBorders/>
            <w:shd w:fill="auto" w:val="clear"/>
            <w:vAlign w:val="center"/>
          </w:tcPr>
          <w:p>
            <w:pPr>
              <w:pStyle w:val="TableContents"/>
              <w:spacing w:before="0" w:after="283"/>
              <w:jc w:val="right"/>
              <w:rPr/>
            </w:pPr>
            <w:r>
              <w:rPr/>
              <w:t>68,631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425" w:type="dxa"/>
            <w:tcBorders/>
            <w:shd w:fill="auto" w:val="clear"/>
            <w:vAlign w:val="center"/>
          </w:tcPr>
          <w:p>
            <w:pPr>
              <w:pStyle w:val="TableContents"/>
              <w:spacing w:before="0" w:after="283"/>
              <w:jc w:val="right"/>
              <w:rPr/>
            </w:pPr>
            <w:r>
              <w:rPr/>
              <w:t>32,476</w:t>
            </w:r>
          </w:p>
        </w:tc>
        <w:tc>
          <w:tcPr>
            <w:tcW w:w="75" w:type="dxa"/>
            <w:tcBorders/>
            <w:shd w:fill="auto" w:val="clear"/>
            <w:vAlign w:val="center"/>
          </w:tcPr>
          <w:p>
            <w:pPr>
              <w:pStyle w:val="TableContents"/>
              <w:spacing w:before="0" w:after="283"/>
              <w:rPr/>
            </w:pPr>
            <w:r>
              <w:rPr/>
              <w:t> </w:t>
            </w:r>
          </w:p>
        </w:tc>
      </w:tr>
      <w:tr>
        <w:trPr/>
        <w:tc>
          <w:tcPr>
            <w:tcW w:w="30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RSUs forfeited</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1356" w:type="dxa"/>
            <w:tcBorders/>
            <w:shd w:fill="CCEEFF" w:val="clear"/>
            <w:vAlign w:val="center"/>
          </w:tcPr>
          <w:p>
            <w:pPr>
              <w:pStyle w:val="TableContents"/>
              <w:spacing w:before="0" w:after="283"/>
              <w:jc w:val="right"/>
              <w:rPr/>
            </w:pPr>
            <w:r>
              <w:rPr/>
              <w:t>858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425" w:type="dxa"/>
            <w:tcBorders/>
            <w:shd w:fill="CCEEFF" w:val="clear"/>
            <w:vAlign w:val="center"/>
          </w:tcPr>
          <w:p>
            <w:pPr>
              <w:pStyle w:val="TableContents"/>
              <w:spacing w:before="0" w:after="283"/>
              <w:jc w:val="right"/>
              <w:rPr/>
            </w:pPr>
            <w:r>
              <w:rPr/>
              <w:t>53</w:t>
            </w:r>
          </w:p>
        </w:tc>
        <w:tc>
          <w:tcPr>
            <w:tcW w:w="75" w:type="dxa"/>
            <w:tcBorders/>
            <w:shd w:fill="CCEEFF" w:val="clear"/>
            <w:vAlign w:val="center"/>
          </w:tcPr>
          <w:p>
            <w:pPr>
              <w:pStyle w:val="TableContents"/>
              <w:spacing w:before="0" w:after="283"/>
              <w:rPr/>
            </w:pPr>
            <w:r>
              <w:rPr/>
              <w:t> </w:t>
            </w:r>
          </w:p>
        </w:tc>
      </w:tr>
      <w:tr>
        <w:trPr/>
        <w:tc>
          <w:tcPr>
            <w:tcW w:w="30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RSUs exercised</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135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425"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30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RSUs expired</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135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425"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30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RSUs outstanding as of Dec. 31, 2021</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1356" w:type="dxa"/>
            <w:tcBorders/>
            <w:shd w:fill="auto" w:val="clear"/>
            <w:vAlign w:val="center"/>
          </w:tcPr>
          <w:p>
            <w:pPr>
              <w:pStyle w:val="TableContents"/>
              <w:spacing w:before="0" w:after="283"/>
              <w:jc w:val="right"/>
              <w:rPr/>
            </w:pPr>
            <w:r>
              <w:rPr/>
              <w:t>67,773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425" w:type="dxa"/>
            <w:tcBorders/>
            <w:shd w:fill="auto" w:val="clear"/>
            <w:vAlign w:val="center"/>
          </w:tcPr>
          <w:p>
            <w:pPr>
              <w:pStyle w:val="TableContents"/>
              <w:spacing w:before="0" w:after="283"/>
              <w:jc w:val="right"/>
              <w:rPr/>
            </w:pPr>
            <w:r>
              <w:rPr/>
              <w:t>32,423</w:t>
            </w:r>
          </w:p>
        </w:tc>
        <w:tc>
          <w:tcPr>
            <w:tcW w:w="75" w:type="dxa"/>
            <w:tcBorders/>
            <w:shd w:fill="auto" w:val="clear"/>
            <w:vAlign w:val="center"/>
          </w:tcPr>
          <w:p>
            <w:pPr>
              <w:pStyle w:val="TableContents"/>
              <w:spacing w:before="0" w:after="283"/>
              <w:rPr/>
            </w:pPr>
            <w:r>
              <w:rPr/>
              <w:t> </w:t>
            </w:r>
          </w:p>
        </w:tc>
      </w:tr>
      <w:tr>
        <w:trPr/>
        <w:tc>
          <w:tcPr>
            <w:tcW w:w="30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RSUs exercisable as of Dec. 31, 2021</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135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425"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bl>
    <w:p>
      <w:pPr>
        <w:pStyle w:val="TextBody"/>
        <w:spacing w:before="360" w:after="0"/>
        <w:ind w:left="0" w:right="0" w:hanging="0"/>
        <w:jc w:val="left"/>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Measurement model and inputs</w:t>
      </w:r>
    </w:p>
    <w:p>
      <w:pPr>
        <w:pStyle w:val="TextBody"/>
        <w:spacing w:before="12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The valuation of the present RSU program was performed using a binomial model considering the option terms. The table below shows the input parameters of the model as grant date as of December 31, 2022.</w:t>
      </w:r>
    </w:p>
    <w:p>
      <w:pPr>
        <w:pStyle w:val="TextBody"/>
        <w:spacing w:before="0" w:after="0"/>
        <w:jc w:val="left"/>
        <w:rPr>
          <w:sz w:val="24"/>
        </w:rPr>
      </w:pPr>
      <w:r>
        <w:rPr>
          <w:sz w:val="24"/>
        </w:rPr>
      </w:r>
    </w:p>
    <w:tbl>
      <w:tblPr>
        <w:tblW w:w="9260" w:type="dxa"/>
        <w:jc w:val="left"/>
        <w:tblInd w:w="0" w:type="dxa"/>
        <w:tblCellMar>
          <w:top w:w="0" w:type="dxa"/>
          <w:left w:w="0" w:type="dxa"/>
          <w:bottom w:w="0" w:type="dxa"/>
          <w:right w:w="0" w:type="dxa"/>
        </w:tblCellMar>
      </w:tblPr>
      <w:tblGrid>
        <w:gridCol w:w="3350"/>
        <w:gridCol w:w="120"/>
        <w:gridCol w:w="77"/>
        <w:gridCol w:w="723"/>
        <w:gridCol w:w="60"/>
        <w:gridCol w:w="120"/>
        <w:gridCol w:w="77"/>
        <w:gridCol w:w="723"/>
        <w:gridCol w:w="60"/>
        <w:gridCol w:w="120"/>
        <w:gridCol w:w="77"/>
        <w:gridCol w:w="723"/>
        <w:gridCol w:w="60"/>
        <w:gridCol w:w="120"/>
        <w:gridCol w:w="77"/>
        <w:gridCol w:w="723"/>
        <w:gridCol w:w="60"/>
        <w:gridCol w:w="120"/>
        <w:gridCol w:w="77"/>
        <w:gridCol w:w="723"/>
        <w:gridCol w:w="60"/>
        <w:gridCol w:w="120"/>
        <w:gridCol w:w="78"/>
        <w:gridCol w:w="737"/>
        <w:gridCol w:w="75"/>
      </w:tblGrid>
      <w:tr>
        <w:trPr/>
        <w:tc>
          <w:tcPr>
            <w:tcW w:w="33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3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2021 I</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2021 II</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2022 I</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2022 II</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Tranche</w:t>
              <w:br/>
              <w:t>2022 III</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15" w:type="dxa"/>
            <w:gridSpan w:val="2"/>
            <w:tcBorders/>
            <w:shd w:fill="auto" w:val="clear"/>
            <w:vAlign w:val="center"/>
          </w:tcPr>
          <w:p>
            <w:pPr>
              <w:pStyle w:val="TableContents"/>
              <w:spacing w:before="0" w:after="283"/>
              <w:jc w:val="center"/>
              <w:rPr/>
            </w:pPr>
            <w:r>
              <w:rPr/>
              <w:t>Tranche</w:t>
              <w:br/>
              <w:t>2022 IV</w:t>
            </w:r>
          </w:p>
        </w:tc>
        <w:tc>
          <w:tcPr>
            <w:tcW w:w="75" w:type="dxa"/>
            <w:tcBorders/>
            <w:shd w:fill="auto" w:val="clear"/>
            <w:vAlign w:val="center"/>
          </w:tcPr>
          <w:p>
            <w:pPr>
              <w:pStyle w:val="TableContents"/>
              <w:spacing w:before="0" w:after="283"/>
              <w:rPr/>
            </w:pPr>
            <w:r>
              <w:rPr/>
              <w:t> </w:t>
            </w:r>
          </w:p>
        </w:tc>
      </w:tr>
      <w:tr>
        <w:trPr/>
        <w:tc>
          <w:tcPr>
            <w:tcW w:w="33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Exercise price (in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0.00</w:t>
            </w:r>
          </w:p>
        </w:tc>
        <w:tc>
          <w:tcPr>
            <w:tcW w:w="75" w:type="dxa"/>
            <w:tcBorders/>
            <w:shd w:fill="CCEEFF" w:val="clear"/>
            <w:vAlign w:val="center"/>
          </w:tcPr>
          <w:p>
            <w:pPr>
              <w:pStyle w:val="TableContents"/>
              <w:spacing w:before="0" w:after="283"/>
              <w:rPr/>
            </w:pPr>
            <w:r>
              <w:rPr/>
              <w:t> </w:t>
            </w:r>
          </w:p>
        </w:tc>
      </w:tr>
      <w:tr>
        <w:trPr/>
        <w:tc>
          <w:tcPr>
            <w:tcW w:w="33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Term in years</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4.77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4.52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5.26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5.02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4.77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4.52</w:t>
            </w:r>
          </w:p>
        </w:tc>
        <w:tc>
          <w:tcPr>
            <w:tcW w:w="75" w:type="dxa"/>
            <w:tcBorders/>
            <w:shd w:fill="auto" w:val="clear"/>
            <w:vAlign w:val="center"/>
          </w:tcPr>
          <w:p>
            <w:pPr>
              <w:pStyle w:val="TableContents"/>
              <w:spacing w:before="0" w:after="283"/>
              <w:rPr/>
            </w:pPr>
            <w:r>
              <w:rPr/>
              <w:t> </w:t>
            </w:r>
          </w:p>
        </w:tc>
      </w:tr>
      <w:tr>
        <w:trPr/>
        <w:tc>
          <w:tcPr>
            <w:tcW w:w="33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Remaining term in years</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3.27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3.27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4.27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4.27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4.27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4.27</w:t>
            </w:r>
          </w:p>
        </w:tc>
        <w:tc>
          <w:tcPr>
            <w:tcW w:w="75" w:type="dxa"/>
            <w:tcBorders/>
            <w:shd w:fill="CCEEFF" w:val="clear"/>
            <w:vAlign w:val="center"/>
          </w:tcPr>
          <w:p>
            <w:pPr>
              <w:pStyle w:val="TableContents"/>
              <w:spacing w:before="0" w:after="283"/>
              <w:rPr/>
            </w:pPr>
            <w:r>
              <w:rPr/>
              <w:t> </w:t>
            </w:r>
          </w:p>
        </w:tc>
      </w:tr>
      <w:tr>
        <w:trPr/>
        <w:tc>
          <w:tcPr>
            <w:tcW w:w="33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Share price as of the valuation date (in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80.60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62.90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46.35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40.65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26.75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19.76</w:t>
            </w:r>
          </w:p>
        </w:tc>
        <w:tc>
          <w:tcPr>
            <w:tcW w:w="75" w:type="dxa"/>
            <w:tcBorders/>
            <w:shd w:fill="auto" w:val="clear"/>
            <w:vAlign w:val="center"/>
          </w:tcPr>
          <w:p>
            <w:pPr>
              <w:pStyle w:val="TableContents"/>
              <w:spacing w:before="0" w:after="283"/>
              <w:rPr/>
            </w:pPr>
            <w:r>
              <w:rPr/>
              <w:t> </w:t>
            </w:r>
          </w:p>
        </w:tc>
      </w:tr>
      <w:tr>
        <w:trPr/>
        <w:tc>
          <w:tcPr>
            <w:tcW w:w="33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Expected dividend yield (in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0.00</w:t>
            </w:r>
          </w:p>
        </w:tc>
        <w:tc>
          <w:tcPr>
            <w:tcW w:w="75" w:type="dxa"/>
            <w:tcBorders/>
            <w:shd w:fill="CCEEFF" w:val="clear"/>
            <w:vAlign w:val="center"/>
          </w:tcPr>
          <w:p>
            <w:pPr>
              <w:pStyle w:val="TableContents"/>
              <w:spacing w:before="0" w:after="283"/>
              <w:rPr/>
            </w:pPr>
            <w:r>
              <w:rPr/>
              <w:t> </w:t>
            </w:r>
          </w:p>
        </w:tc>
      </w:tr>
      <w:tr>
        <w:trPr/>
        <w:tc>
          <w:tcPr>
            <w:tcW w:w="33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Expected volatility (in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39.83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39.75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38.89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39.14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39.54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45.59</w:t>
            </w:r>
          </w:p>
        </w:tc>
        <w:tc>
          <w:tcPr>
            <w:tcW w:w="75" w:type="dxa"/>
            <w:tcBorders/>
            <w:shd w:fill="auto" w:val="clear"/>
            <w:vAlign w:val="center"/>
          </w:tcPr>
          <w:p>
            <w:pPr>
              <w:pStyle w:val="TableContents"/>
              <w:spacing w:before="0" w:after="283"/>
              <w:rPr/>
            </w:pPr>
            <w:r>
              <w:rPr/>
              <w:t> </w:t>
            </w:r>
          </w:p>
        </w:tc>
      </w:tr>
      <w:tr>
        <w:trPr/>
        <w:tc>
          <w:tcPr>
            <w:tcW w:w="33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Risk-free interest rate (in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-0.60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-0.62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-0.45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0.37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pPr>
            <w:r>
              <w:rPr/>
              <w:t>0.87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1.92</w:t>
            </w:r>
          </w:p>
        </w:tc>
        <w:tc>
          <w:tcPr>
            <w:tcW w:w="75" w:type="dxa"/>
            <w:tcBorders/>
            <w:shd w:fill="CCEEFF" w:val="clear"/>
            <w:vAlign w:val="center"/>
          </w:tcPr>
          <w:p>
            <w:pPr>
              <w:pStyle w:val="TableContents"/>
              <w:spacing w:before="0" w:after="283"/>
              <w:rPr/>
            </w:pPr>
            <w:r>
              <w:rPr/>
              <w:t> </w:t>
            </w:r>
          </w:p>
        </w:tc>
      </w:tr>
      <w:tr>
        <w:trPr/>
        <w:tc>
          <w:tcPr>
            <w:tcW w:w="33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RSU-value</w:t>
            </w:r>
          </w:p>
          <w:p>
            <w:pPr>
              <w:pStyle w:val="TableContents"/>
              <w:spacing w:before="0" w:after="0"/>
              <w:rPr>
                <w:rFonts w:ascii="Times New Roman" w:hAnsi="Times New Roman"/>
                <w:sz w:val="20"/>
              </w:rPr>
            </w:pPr>
            <w:r>
              <w:rPr>
                <w:rFonts w:ascii="Times New Roman" w:hAnsi="Times New Roman"/>
                <w:sz w:val="20"/>
              </w:rPr>
              <w:t>(in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80.60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62.90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46.35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40.65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23" w:type="dxa"/>
            <w:tcBorders/>
            <w:shd w:fill="auto" w:val="clear"/>
            <w:vAlign w:val="center"/>
          </w:tcPr>
          <w:p>
            <w:pPr>
              <w:pStyle w:val="TableContents"/>
              <w:spacing w:before="0" w:after="283"/>
              <w:jc w:val="right"/>
              <w:rPr/>
            </w:pPr>
            <w:r>
              <w:rPr/>
              <w:t>26.75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19.76</w:t>
            </w:r>
          </w:p>
        </w:tc>
        <w:tc>
          <w:tcPr>
            <w:tcW w:w="75" w:type="dxa"/>
            <w:tcBorders/>
            <w:shd w:fill="auto" w:val="clear"/>
            <w:vAlign w:val="center"/>
          </w:tcPr>
          <w:p>
            <w:pPr>
              <w:pStyle w:val="TableContents"/>
              <w:spacing w:before="0" w:after="283"/>
              <w:rPr/>
            </w:pPr>
            <w:r>
              <w:rPr/>
              <w:t>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The table below shows the input parameters of the model as grant date as of December 31, 2021.</w:t>
      </w:r>
    </w:p>
    <w:p>
      <w:pPr>
        <w:pStyle w:val="TextBody"/>
        <w:spacing w:before="0" w:after="0"/>
        <w:ind w:left="0" w:right="0" w:hanging="0"/>
        <w:jc w:val="left"/>
        <w:rPr>
          <w:spacing w:val="0"/>
          <w:highlight w:val="white"/>
        </w:rPr>
      </w:pPr>
      <w:r>
        <w:rPr>
          <w:spacing w:val="0"/>
          <w:highlight w:val="white"/>
        </w:rPr>
        <w:t> </w:t>
      </w:r>
    </w:p>
    <w:tbl>
      <w:tblPr>
        <w:tblW w:w="6750" w:type="dxa"/>
        <w:jc w:val="left"/>
        <w:tblInd w:w="0" w:type="dxa"/>
        <w:tblCellMar>
          <w:top w:w="0" w:type="dxa"/>
          <w:left w:w="0" w:type="dxa"/>
          <w:bottom w:w="0" w:type="dxa"/>
          <w:right w:w="0" w:type="dxa"/>
        </w:tblCellMar>
      </w:tblPr>
      <w:tblGrid>
        <w:gridCol w:w="3350"/>
        <w:gridCol w:w="120"/>
        <w:gridCol w:w="142"/>
        <w:gridCol w:w="1333"/>
        <w:gridCol w:w="60"/>
        <w:gridCol w:w="120"/>
        <w:gridCol w:w="150"/>
        <w:gridCol w:w="1400"/>
        <w:gridCol w:w="75"/>
      </w:tblGrid>
      <w:tr>
        <w:trPr/>
        <w:tc>
          <w:tcPr>
            <w:tcW w:w="33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35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475" w:type="dxa"/>
            <w:gridSpan w:val="2"/>
            <w:tcBorders/>
            <w:shd w:fill="auto" w:val="clear"/>
            <w:vAlign w:val="center"/>
          </w:tcPr>
          <w:p>
            <w:pPr>
              <w:pStyle w:val="TableContents"/>
              <w:spacing w:before="0" w:after="0"/>
              <w:jc w:val="center"/>
              <w:rPr>
                <w:spacing w:val="0"/>
              </w:rPr>
            </w:pPr>
            <w:r>
              <w:rPr>
                <w:spacing w:val="0"/>
              </w:rPr>
              <w:t>Tranche 2021 I</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550" w:type="dxa"/>
            <w:gridSpan w:val="2"/>
            <w:tcBorders/>
            <w:shd w:fill="auto" w:val="clear"/>
            <w:vAlign w:val="center"/>
          </w:tcPr>
          <w:p>
            <w:pPr>
              <w:pStyle w:val="TableContents"/>
              <w:spacing w:before="0" w:after="0"/>
              <w:jc w:val="center"/>
              <w:rPr>
                <w:spacing w:val="0"/>
              </w:rPr>
            </w:pPr>
            <w:r>
              <w:rPr>
                <w:spacing w:val="0"/>
              </w:rPr>
              <w:t>Tranche 2021 II</w:t>
            </w:r>
          </w:p>
        </w:tc>
        <w:tc>
          <w:tcPr>
            <w:tcW w:w="75" w:type="dxa"/>
            <w:tcBorders/>
            <w:shd w:fill="auto" w:val="clear"/>
            <w:vAlign w:val="center"/>
          </w:tcPr>
          <w:p>
            <w:pPr>
              <w:pStyle w:val="TableContents"/>
              <w:spacing w:before="0" w:after="0"/>
              <w:rPr>
                <w:spacing w:val="0"/>
              </w:rPr>
            </w:pPr>
            <w:r>
              <w:rPr>
                <w:spacing w:val="0"/>
              </w:rPr>
              <w:t> </w:t>
            </w:r>
          </w:p>
        </w:tc>
      </w:tr>
      <w:tr>
        <w:trPr/>
        <w:tc>
          <w:tcPr>
            <w:tcW w:w="33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Exercise price (in €)</w:t>
            </w:r>
          </w:p>
        </w:tc>
        <w:tc>
          <w:tcPr>
            <w:tcW w:w="12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1333"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0.00</w:t>
            </w:r>
          </w:p>
        </w:tc>
        <w:tc>
          <w:tcPr>
            <w:tcW w:w="75" w:type="dxa"/>
            <w:tcBorders/>
            <w:shd w:fill="CCEEFF" w:val="clear"/>
            <w:vAlign w:val="center"/>
          </w:tcPr>
          <w:p>
            <w:pPr>
              <w:pStyle w:val="TableContents"/>
              <w:spacing w:before="0" w:after="283"/>
              <w:rPr/>
            </w:pPr>
            <w:r>
              <w:rPr/>
              <w:t> </w:t>
            </w:r>
          </w:p>
        </w:tc>
      </w:tr>
      <w:tr>
        <w:trPr/>
        <w:tc>
          <w:tcPr>
            <w:tcW w:w="33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Term in years</w:t>
            </w:r>
          </w:p>
        </w:tc>
        <w:tc>
          <w:tcPr>
            <w:tcW w:w="12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333" w:type="dxa"/>
            <w:tcBorders/>
            <w:shd w:fill="auto" w:val="clear"/>
            <w:vAlign w:val="center"/>
          </w:tcPr>
          <w:p>
            <w:pPr>
              <w:pStyle w:val="TableContents"/>
              <w:spacing w:before="0" w:after="283"/>
              <w:jc w:val="right"/>
              <w:rPr/>
            </w:pPr>
            <w:r>
              <w:rPr/>
              <w:t>4.77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4.52</w:t>
            </w:r>
          </w:p>
        </w:tc>
        <w:tc>
          <w:tcPr>
            <w:tcW w:w="75" w:type="dxa"/>
            <w:tcBorders/>
            <w:shd w:fill="auto" w:val="clear"/>
            <w:vAlign w:val="center"/>
          </w:tcPr>
          <w:p>
            <w:pPr>
              <w:pStyle w:val="TableContents"/>
              <w:spacing w:before="0" w:after="283"/>
              <w:rPr/>
            </w:pPr>
            <w:r>
              <w:rPr/>
              <w:t> </w:t>
            </w:r>
          </w:p>
        </w:tc>
      </w:tr>
      <w:tr>
        <w:trPr/>
        <w:tc>
          <w:tcPr>
            <w:tcW w:w="33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Remaining term in years</w:t>
            </w:r>
          </w:p>
        </w:tc>
        <w:tc>
          <w:tcPr>
            <w:tcW w:w="12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1333" w:type="dxa"/>
            <w:tcBorders/>
            <w:shd w:fill="CCEEFF" w:val="clear"/>
            <w:vAlign w:val="center"/>
          </w:tcPr>
          <w:p>
            <w:pPr>
              <w:pStyle w:val="TableContents"/>
              <w:spacing w:before="0" w:after="283"/>
              <w:jc w:val="right"/>
              <w:rPr/>
            </w:pPr>
            <w:r>
              <w:rPr/>
              <w:t>4.27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4.27</w:t>
            </w:r>
          </w:p>
        </w:tc>
        <w:tc>
          <w:tcPr>
            <w:tcW w:w="75" w:type="dxa"/>
            <w:tcBorders/>
            <w:shd w:fill="CCEEFF" w:val="clear"/>
            <w:vAlign w:val="center"/>
          </w:tcPr>
          <w:p>
            <w:pPr>
              <w:pStyle w:val="TableContents"/>
              <w:spacing w:before="0" w:after="283"/>
              <w:rPr/>
            </w:pPr>
            <w:r>
              <w:rPr/>
              <w:t> </w:t>
            </w:r>
          </w:p>
        </w:tc>
      </w:tr>
      <w:tr>
        <w:trPr/>
        <w:tc>
          <w:tcPr>
            <w:tcW w:w="33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Share price as of the valuation date (in €)</w:t>
            </w:r>
          </w:p>
        </w:tc>
        <w:tc>
          <w:tcPr>
            <w:tcW w:w="12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333" w:type="dxa"/>
            <w:tcBorders/>
            <w:shd w:fill="auto" w:val="clear"/>
            <w:vAlign w:val="center"/>
          </w:tcPr>
          <w:p>
            <w:pPr>
              <w:pStyle w:val="TableContents"/>
              <w:spacing w:before="0" w:after="283"/>
              <w:jc w:val="right"/>
              <w:rPr/>
            </w:pPr>
            <w:r>
              <w:rPr/>
              <w:t>80.60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62.90</w:t>
            </w:r>
          </w:p>
        </w:tc>
        <w:tc>
          <w:tcPr>
            <w:tcW w:w="75" w:type="dxa"/>
            <w:tcBorders/>
            <w:shd w:fill="auto" w:val="clear"/>
            <w:vAlign w:val="center"/>
          </w:tcPr>
          <w:p>
            <w:pPr>
              <w:pStyle w:val="TableContents"/>
              <w:spacing w:before="0" w:after="283"/>
              <w:rPr/>
            </w:pPr>
            <w:r>
              <w:rPr/>
              <w:t> </w:t>
            </w:r>
          </w:p>
        </w:tc>
      </w:tr>
      <w:tr>
        <w:trPr/>
        <w:tc>
          <w:tcPr>
            <w:tcW w:w="33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Expected dividend yield (in %)</w:t>
            </w:r>
          </w:p>
        </w:tc>
        <w:tc>
          <w:tcPr>
            <w:tcW w:w="12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1333" w:type="dxa"/>
            <w:tcBorders/>
            <w:shd w:fill="CCEEFF" w:val="clear"/>
            <w:vAlign w:val="center"/>
          </w:tcPr>
          <w:p>
            <w:pPr>
              <w:pStyle w:val="TableContents"/>
              <w:spacing w:before="0" w:after="283"/>
              <w:jc w:val="right"/>
              <w:rPr/>
            </w:pPr>
            <w:r>
              <w:rPr/>
              <w:t>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0.00</w:t>
            </w:r>
          </w:p>
        </w:tc>
        <w:tc>
          <w:tcPr>
            <w:tcW w:w="75" w:type="dxa"/>
            <w:tcBorders/>
            <w:shd w:fill="CCEEFF" w:val="clear"/>
            <w:vAlign w:val="center"/>
          </w:tcPr>
          <w:p>
            <w:pPr>
              <w:pStyle w:val="TableContents"/>
              <w:spacing w:before="0" w:after="283"/>
              <w:rPr/>
            </w:pPr>
            <w:r>
              <w:rPr/>
              <w:t> </w:t>
            </w:r>
          </w:p>
        </w:tc>
      </w:tr>
      <w:tr>
        <w:trPr/>
        <w:tc>
          <w:tcPr>
            <w:tcW w:w="33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Expected volatility (in %)</w:t>
            </w:r>
          </w:p>
        </w:tc>
        <w:tc>
          <w:tcPr>
            <w:tcW w:w="12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333" w:type="dxa"/>
            <w:tcBorders/>
            <w:shd w:fill="auto" w:val="clear"/>
            <w:vAlign w:val="center"/>
          </w:tcPr>
          <w:p>
            <w:pPr>
              <w:pStyle w:val="TableContents"/>
              <w:spacing w:before="0" w:after="283"/>
              <w:jc w:val="right"/>
              <w:rPr/>
            </w:pPr>
            <w:r>
              <w:rPr/>
              <w:t>39.83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39.75</w:t>
            </w:r>
          </w:p>
        </w:tc>
        <w:tc>
          <w:tcPr>
            <w:tcW w:w="75" w:type="dxa"/>
            <w:tcBorders/>
            <w:shd w:fill="auto" w:val="clear"/>
            <w:vAlign w:val="center"/>
          </w:tcPr>
          <w:p>
            <w:pPr>
              <w:pStyle w:val="TableContents"/>
              <w:spacing w:before="0" w:after="283"/>
              <w:rPr/>
            </w:pPr>
            <w:r>
              <w:rPr/>
              <w:t> </w:t>
            </w:r>
          </w:p>
        </w:tc>
      </w:tr>
      <w:tr>
        <w:trPr/>
        <w:tc>
          <w:tcPr>
            <w:tcW w:w="33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Risk-free interest rate (in %)</w:t>
            </w:r>
          </w:p>
        </w:tc>
        <w:tc>
          <w:tcPr>
            <w:tcW w:w="12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1333" w:type="dxa"/>
            <w:tcBorders/>
            <w:shd w:fill="CCEEFF" w:val="clear"/>
            <w:vAlign w:val="center"/>
          </w:tcPr>
          <w:p>
            <w:pPr>
              <w:pStyle w:val="TableContents"/>
              <w:spacing w:before="0" w:after="283"/>
              <w:jc w:val="right"/>
              <w:rPr/>
            </w:pPr>
            <w:r>
              <w:rPr/>
              <w:t>-0.60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-0.62</w:t>
            </w:r>
          </w:p>
        </w:tc>
        <w:tc>
          <w:tcPr>
            <w:tcW w:w="75" w:type="dxa"/>
            <w:tcBorders/>
            <w:shd w:fill="CCEEFF" w:val="clear"/>
            <w:vAlign w:val="center"/>
          </w:tcPr>
          <w:p>
            <w:pPr>
              <w:pStyle w:val="TableContents"/>
              <w:spacing w:before="0" w:after="283"/>
              <w:rPr/>
            </w:pPr>
            <w:r>
              <w:rPr/>
              <w:t> </w:t>
            </w:r>
          </w:p>
        </w:tc>
      </w:tr>
      <w:tr>
        <w:trPr/>
        <w:tc>
          <w:tcPr>
            <w:tcW w:w="33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RSU-value</w:t>
            </w:r>
          </w:p>
          <w:p>
            <w:pPr>
              <w:pStyle w:val="TableContents"/>
              <w:spacing w:before="0" w:after="0"/>
              <w:rPr>
                <w:rFonts w:ascii="Times New Roman" w:hAnsi="Times New Roman"/>
                <w:sz w:val="20"/>
              </w:rPr>
            </w:pPr>
            <w:r>
              <w:rPr>
                <w:rFonts w:ascii="Times New Roman" w:hAnsi="Times New Roman"/>
                <w:sz w:val="20"/>
              </w:rPr>
              <w:t>(in €)</w:t>
            </w:r>
          </w:p>
        </w:tc>
        <w:tc>
          <w:tcPr>
            <w:tcW w:w="12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333" w:type="dxa"/>
            <w:tcBorders/>
            <w:shd w:fill="auto" w:val="clear"/>
            <w:vAlign w:val="center"/>
          </w:tcPr>
          <w:p>
            <w:pPr>
              <w:pStyle w:val="TableContents"/>
              <w:spacing w:before="0" w:after="283"/>
              <w:jc w:val="right"/>
              <w:rPr/>
            </w:pPr>
            <w:r>
              <w:rPr/>
              <w:t>80.60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62.90</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F-2</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5</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both"/>
        <w:rPr>
          <w:rFonts w:ascii="Times New Roman" w:hAnsi="Times New Roman"/>
          <w:sz w:val="20"/>
          <w:highlight w:val="white"/>
        </w:rPr>
      </w:pPr>
      <w:r>
        <w:rPr>
          <w:rFonts w:ascii="Times New Roman" w:hAnsi="Times New Roman"/>
          <w:sz w:val="20"/>
          <w:highlight w:val="white"/>
        </w:rPr>
        <w:t xml:space="preserve">The implied yield of German government bonds with equivalent maturities was used to determine the risk-free interest rate. As the stock market history of Mynaric AG is shorter than the remaining term of the RSUs, the volatility was determined as maturity-equivalent historical volatility based on the peer group. The expected volatility considered is based on the assumption that future trends can be inferred from historical volatility, so that the volatility that actually occurs may differ from the assumptions made.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total expense for equity-settled share-based payments recognized in the year ended December 31, 2022, under the </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RSU-Program</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is €3,832 thousand (2021: €1,429 thousand, 2020: €0). The equity-settled share-based payments recognized in the capital reserve amount to €5,261 thousand as of December 31, 2022 (2021: €1,429 thousand, 2020: €0). </w:t>
      </w:r>
    </w:p>
    <w:p>
      <w:pPr>
        <w:pStyle w:val="TextBody"/>
        <w:spacing w:before="0" w:after="0"/>
        <w:jc w:val="left"/>
        <w:rPr>
          <w:highlight w:val="white"/>
        </w:rPr>
      </w:pPr>
      <w:r>
        <w:rPr>
          <w:highlight w:val="white"/>
        </w:rPr>
        <w:t> </w:t>
      </w:r>
    </w:p>
    <w:tbl>
      <w:tblPr>
        <w:tblW w:w="4165" w:type="dxa"/>
        <w:jc w:val="left"/>
        <w:tblInd w:w="0" w:type="dxa"/>
        <w:tblCellMar>
          <w:top w:w="0" w:type="dxa"/>
          <w:left w:w="0" w:type="dxa"/>
          <w:bottom w:w="0" w:type="dxa"/>
          <w:right w:w="0" w:type="dxa"/>
        </w:tblCellMar>
      </w:tblPr>
      <w:tblGrid>
        <w:gridCol w:w="335"/>
        <w:gridCol w:w="3830"/>
      </w:tblGrid>
      <w:tr>
        <w:trPr/>
        <w:tc>
          <w:tcPr>
            <w:tcW w:w="335" w:type="dxa"/>
            <w:tcBorders/>
            <w:shd w:fill="auto" w:val="clear"/>
            <w:vAlign w:val="center"/>
          </w:tcPr>
          <w:p>
            <w:pPr>
              <w:pStyle w:val="TableContents"/>
              <w:spacing w:before="0" w:after="0"/>
              <w:jc w:val="left"/>
              <w:rPr>
                <w:b/>
                <w:spacing w:val="0"/>
              </w:rPr>
            </w:pPr>
            <w:r>
              <w:rPr>
                <w:b/>
                <w:spacing w:val="0"/>
              </w:rPr>
              <w:t>10.</w:t>
            </w:r>
          </w:p>
        </w:tc>
        <w:tc>
          <w:tcPr>
            <w:tcW w:w="383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Depreciation, Amortization and Impairment </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Amortization, depreciation and impairment are summarized as follows: </w:t>
      </w:r>
    </w:p>
    <w:p>
      <w:pPr>
        <w:pStyle w:val="TextBody"/>
        <w:spacing w:before="0" w:after="0"/>
        <w:ind w:left="0" w:right="0" w:hanging="0"/>
        <w:jc w:val="left"/>
        <w:rPr>
          <w:spacing w:val="0"/>
          <w:highlight w:val="white"/>
        </w:rPr>
      </w:pPr>
      <w:r>
        <w:rPr>
          <w:spacing w:val="0"/>
          <w:highlight w:val="white"/>
        </w:rPr>
        <w:t> </w:t>
      </w:r>
    </w:p>
    <w:tbl>
      <w:tblPr>
        <w:tblW w:w="10085" w:type="dxa"/>
        <w:jc w:val="left"/>
        <w:tblInd w:w="0" w:type="dxa"/>
        <w:tblCellMar>
          <w:top w:w="0" w:type="dxa"/>
          <w:left w:w="0" w:type="dxa"/>
          <w:bottom w:w="0" w:type="dxa"/>
          <w:right w:w="0" w:type="dxa"/>
        </w:tblCellMar>
      </w:tblPr>
      <w:tblGrid>
        <w:gridCol w:w="3845"/>
        <w:gridCol w:w="120"/>
        <w:gridCol w:w="183"/>
        <w:gridCol w:w="1712"/>
        <w:gridCol w:w="60"/>
        <w:gridCol w:w="120"/>
        <w:gridCol w:w="183"/>
        <w:gridCol w:w="1712"/>
        <w:gridCol w:w="60"/>
        <w:gridCol w:w="120"/>
        <w:gridCol w:w="183"/>
        <w:gridCol w:w="1712"/>
        <w:gridCol w:w="75"/>
      </w:tblGrid>
      <w:tr>
        <w:trPr/>
        <w:tc>
          <w:tcPr>
            <w:tcW w:w="38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84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045" w:type="dxa"/>
            <w:gridSpan w:val="10"/>
            <w:tcBorders/>
            <w:shd w:fill="auto" w:val="clear"/>
            <w:vAlign w:val="center"/>
          </w:tcPr>
          <w:p>
            <w:pPr>
              <w:pStyle w:val="TableContents"/>
              <w:spacing w:before="0" w:after="0"/>
              <w:jc w:val="center"/>
              <w:rPr>
                <w:spacing w:val="0"/>
              </w:rPr>
            </w:pPr>
            <w:r>
              <w:rPr>
                <w:spacing w:val="0"/>
              </w:rPr>
              <w:t>For the years ended</w:t>
            </w:r>
          </w:p>
        </w:tc>
        <w:tc>
          <w:tcPr>
            <w:tcW w:w="75" w:type="dxa"/>
            <w:tcBorders/>
            <w:shd w:fill="auto" w:val="clear"/>
            <w:vAlign w:val="center"/>
          </w:tcPr>
          <w:p>
            <w:pPr>
              <w:pStyle w:val="TableContents"/>
              <w:spacing w:before="0" w:after="0"/>
              <w:rPr>
                <w:spacing w:val="0"/>
              </w:rPr>
            </w:pPr>
            <w:r>
              <w:rPr>
                <w:spacing w:val="0"/>
              </w:rPr>
              <w:t> </w:t>
            </w:r>
          </w:p>
        </w:tc>
      </w:tr>
      <w:tr>
        <w:trPr/>
        <w:tc>
          <w:tcPr>
            <w:tcW w:w="3845" w:type="dxa"/>
            <w:tcBorders/>
            <w:shd w:fill="auto" w:val="clear"/>
            <w:vAlign w:val="center"/>
          </w:tcPr>
          <w:p>
            <w:pPr>
              <w:pStyle w:val="TableContents"/>
              <w:spacing w:before="0" w:after="0"/>
              <w:rPr>
                <w:spacing w:val="0"/>
              </w:rPr>
            </w:pPr>
            <w:r>
              <w:rPr>
                <w:spacing w:val="0"/>
              </w:rPr>
              <w:t xml:space="preserve">€ </w:t>
            </w:r>
            <w:r>
              <w:rPr>
                <w:spacing w:val="0"/>
              </w:rPr>
              <w:t>thousand</w:t>
            </w:r>
          </w:p>
        </w:tc>
        <w:tc>
          <w:tcPr>
            <w:tcW w:w="120" w:type="dxa"/>
            <w:tcBorders/>
            <w:shd w:fill="auto" w:val="clear"/>
            <w:vAlign w:val="center"/>
          </w:tcPr>
          <w:p>
            <w:pPr>
              <w:pStyle w:val="TableContents"/>
              <w:spacing w:before="0" w:after="0"/>
              <w:rPr>
                <w:spacing w:val="0"/>
              </w:rPr>
            </w:pPr>
            <w:r>
              <w:rPr>
                <w:spacing w:val="0"/>
              </w:rPr>
              <w:t>  </w:t>
            </w:r>
          </w:p>
        </w:tc>
        <w:tc>
          <w:tcPr>
            <w:tcW w:w="1895" w:type="dxa"/>
            <w:gridSpan w:val="2"/>
            <w:tcBorders/>
            <w:shd w:fill="auto" w:val="clear"/>
            <w:vAlign w:val="center"/>
          </w:tcPr>
          <w:p>
            <w:pPr>
              <w:pStyle w:val="TableContents"/>
              <w:spacing w:before="0" w:after="0"/>
              <w:jc w:val="center"/>
              <w:rPr>
                <w:spacing w:val="0"/>
              </w:rPr>
            </w:pPr>
            <w:r>
              <w:rPr>
                <w:spacing w:val="0"/>
              </w:rPr>
              <w:t>December 31, 2022</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895" w:type="dxa"/>
            <w:gridSpan w:val="2"/>
            <w:tcBorders/>
            <w:shd w:fill="auto" w:val="clear"/>
            <w:vAlign w:val="center"/>
          </w:tcPr>
          <w:p>
            <w:pPr>
              <w:pStyle w:val="TableContents"/>
              <w:spacing w:before="0" w:after="0"/>
              <w:jc w:val="center"/>
              <w:rPr>
                <w:spacing w:val="0"/>
              </w:rPr>
            </w:pPr>
            <w:r>
              <w:rPr>
                <w:spacing w:val="0"/>
              </w:rPr>
              <w:t>December 31, 2021</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895" w:type="dxa"/>
            <w:gridSpan w:val="2"/>
            <w:tcBorders/>
            <w:shd w:fill="auto" w:val="clear"/>
            <w:vAlign w:val="center"/>
          </w:tcPr>
          <w:p>
            <w:pPr>
              <w:pStyle w:val="TableContents"/>
              <w:spacing w:before="0" w:after="0"/>
              <w:jc w:val="center"/>
              <w:rPr>
                <w:spacing w:val="0"/>
              </w:rPr>
            </w:pPr>
            <w:r>
              <w:rPr>
                <w:spacing w:val="0"/>
              </w:rPr>
              <w:t>December 31, 2020</w:t>
            </w:r>
          </w:p>
        </w:tc>
        <w:tc>
          <w:tcPr>
            <w:tcW w:w="75" w:type="dxa"/>
            <w:tcBorders/>
            <w:shd w:fill="auto" w:val="clear"/>
            <w:vAlign w:val="center"/>
          </w:tcPr>
          <w:p>
            <w:pPr>
              <w:pStyle w:val="TableContents"/>
              <w:spacing w:before="0" w:after="0"/>
              <w:rPr>
                <w:spacing w:val="0"/>
              </w:rPr>
            </w:pPr>
            <w:r>
              <w:rPr>
                <w:spacing w:val="0"/>
              </w:rPr>
              <w:t> </w:t>
            </w:r>
          </w:p>
        </w:tc>
      </w:tr>
      <w:tr>
        <w:trPr/>
        <w:tc>
          <w:tcPr>
            <w:tcW w:w="38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Amortization of intangible assets</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1,545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1,267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215</w:t>
            </w:r>
          </w:p>
        </w:tc>
        <w:tc>
          <w:tcPr>
            <w:tcW w:w="75" w:type="dxa"/>
            <w:tcBorders/>
            <w:shd w:fill="CCEEFF" w:val="clear"/>
            <w:vAlign w:val="center"/>
          </w:tcPr>
          <w:p>
            <w:pPr>
              <w:pStyle w:val="TableContents"/>
              <w:spacing w:before="0" w:after="283"/>
              <w:rPr/>
            </w:pPr>
            <w:r>
              <w:rPr/>
              <w:t> </w:t>
            </w:r>
          </w:p>
        </w:tc>
      </w:tr>
      <w:tr>
        <w:trPr/>
        <w:tc>
          <w:tcPr>
            <w:tcW w:w="38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Impairment of intangible assets</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1,531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0</w:t>
            </w:r>
          </w:p>
        </w:tc>
        <w:tc>
          <w:tcPr>
            <w:tcW w:w="75" w:type="dxa"/>
            <w:tcBorders/>
            <w:shd w:fill="auto" w:val="clear"/>
            <w:vAlign w:val="center"/>
          </w:tcPr>
          <w:p>
            <w:pPr>
              <w:pStyle w:val="TableContents"/>
              <w:spacing w:before="0" w:after="283"/>
              <w:rPr/>
            </w:pPr>
            <w:r>
              <w:rPr/>
              <w:t> </w:t>
            </w:r>
          </w:p>
        </w:tc>
      </w:tr>
      <w:tr>
        <w:trPr/>
        <w:tc>
          <w:tcPr>
            <w:tcW w:w="38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Depreciation of property, plant, and equipment</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3,254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1,994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823</w:t>
            </w:r>
          </w:p>
        </w:tc>
        <w:tc>
          <w:tcPr>
            <w:tcW w:w="75" w:type="dxa"/>
            <w:tcBorders/>
            <w:shd w:fill="CCEEFF" w:val="clear"/>
            <w:vAlign w:val="center"/>
          </w:tcPr>
          <w:p>
            <w:pPr>
              <w:pStyle w:val="TableContents"/>
              <w:spacing w:before="0" w:after="283"/>
              <w:rPr/>
            </w:pPr>
            <w:r>
              <w:rPr/>
              <w:t> </w:t>
            </w:r>
          </w:p>
        </w:tc>
      </w:tr>
      <w:tr>
        <w:trPr/>
        <w:tc>
          <w:tcPr>
            <w:tcW w:w="38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Depreciation of </w:t>
            </w:r>
          </w:p>
          <w:p>
            <w:pPr>
              <w:pStyle w:val="TableContents"/>
              <w:spacing w:before="0" w:after="0"/>
              <w:rPr>
                <w:rFonts w:ascii="Times New Roman" w:hAnsi="Times New Roman"/>
                <w:spacing w:val="0"/>
                <w:sz w:val="20"/>
              </w:rPr>
            </w:pPr>
            <w:r>
              <w:rPr>
                <w:rFonts w:ascii="Times New Roman" w:hAnsi="Times New Roman"/>
                <w:spacing w:val="0"/>
                <w:sz w:val="20"/>
              </w:rPr>
              <w:t>right-of-use</w:t>
            </w:r>
          </w:p>
          <w:p>
            <w:pPr>
              <w:pStyle w:val="TableContents"/>
              <w:spacing w:before="0" w:after="0"/>
              <w:rPr>
                <w:rFonts w:ascii="Times New Roman" w:hAnsi="Times New Roman"/>
                <w:sz w:val="20"/>
              </w:rPr>
            </w:pPr>
            <w:r>
              <w:rPr>
                <w:rFonts w:ascii="Times New Roman" w:hAnsi="Times New Roman"/>
                <w:sz w:val="20"/>
              </w:rPr>
              <w:t>assets</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1,659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1,257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805</w:t>
            </w:r>
          </w:p>
        </w:tc>
        <w:tc>
          <w:tcPr>
            <w:tcW w:w="75" w:type="dxa"/>
            <w:tcBorders/>
            <w:shd w:fill="auto" w:val="clear"/>
            <w:vAlign w:val="center"/>
          </w:tcPr>
          <w:p>
            <w:pPr>
              <w:pStyle w:val="TableContents"/>
              <w:spacing w:before="0" w:after="283"/>
              <w:rPr/>
            </w:pPr>
            <w:r>
              <w:rPr/>
              <w:t> </w:t>
            </w:r>
          </w:p>
        </w:tc>
      </w:tr>
      <w:tr>
        <w:trPr/>
        <w:tc>
          <w:tcPr>
            <w:tcW w:w="38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7,989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4,518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1,843</w:t>
            </w:r>
          </w:p>
        </w:tc>
        <w:tc>
          <w:tcPr>
            <w:tcW w:w="75" w:type="dxa"/>
            <w:tcBorders/>
            <w:shd w:fill="CCEEFF" w:val="clear"/>
            <w:vAlign w:val="center"/>
          </w:tcPr>
          <w:p>
            <w:pPr>
              <w:pStyle w:val="TableContents"/>
              <w:spacing w:before="0" w:after="283"/>
              <w:rPr/>
            </w:pPr>
            <w:r>
              <w:rPr/>
              <w:t>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During the year ended December 31, 20</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22,</w:t>
      </w:r>
    </w:p>
    <w:p>
      <w:pPr>
        <w:pStyle w:val="TextBody"/>
        <w:spacing w:before="240" w:after="0"/>
        <w:jc w:val="both"/>
        <w:rPr>
          <w:rFonts w:ascii="Times New Roman" w:hAnsi="Times New Roman"/>
          <w:sz w:val="20"/>
          <w:highlight w:val="white"/>
        </w:rPr>
      </w:pPr>
      <w:r>
        <w:rPr>
          <w:rFonts w:ascii="Times New Roman" w:hAnsi="Times New Roman"/>
          <w:sz w:val="20"/>
          <w:highlight w:val="white"/>
        </w:rPr>
        <w:t>an impairment in the amount of €1,531 thousand (2021: €0, 2020: €0) was recognized for the capitalized development costs of the CONDOR MEO (refer to Note 17).</w:t>
      </w:r>
    </w:p>
    <w:p>
      <w:pPr>
        <w:pStyle w:val="TextBody"/>
        <w:spacing w:before="0" w:after="0"/>
        <w:ind w:left="0" w:right="0" w:hanging="0"/>
        <w:jc w:val="left"/>
        <w:rPr>
          <w:spacing w:val="0"/>
          <w:highlight w:val="white"/>
        </w:rPr>
      </w:pPr>
      <w:r>
        <w:rPr>
          <w:spacing w:val="0"/>
          <w:highlight w:val="white"/>
        </w:rPr>
        <w:t> </w:t>
      </w:r>
    </w:p>
    <w:tbl>
      <w:tblPr>
        <w:tblW w:w="2320" w:type="dxa"/>
        <w:jc w:val="left"/>
        <w:tblInd w:w="0" w:type="dxa"/>
        <w:tblCellMar>
          <w:top w:w="0" w:type="dxa"/>
          <w:left w:w="0" w:type="dxa"/>
          <w:bottom w:w="0" w:type="dxa"/>
          <w:right w:w="0" w:type="dxa"/>
        </w:tblCellMar>
      </w:tblPr>
      <w:tblGrid>
        <w:gridCol w:w="335"/>
        <w:gridCol w:w="1985"/>
      </w:tblGrid>
      <w:tr>
        <w:trPr/>
        <w:tc>
          <w:tcPr>
            <w:tcW w:w="335" w:type="dxa"/>
            <w:tcBorders/>
            <w:shd w:fill="auto" w:val="clear"/>
            <w:vAlign w:val="center"/>
          </w:tcPr>
          <w:p>
            <w:pPr>
              <w:pStyle w:val="TableContents"/>
              <w:spacing w:before="0" w:after="0"/>
              <w:jc w:val="left"/>
              <w:rPr>
                <w:b/>
                <w:spacing w:val="0"/>
              </w:rPr>
            </w:pPr>
            <w:r>
              <w:rPr>
                <w:b/>
                <w:spacing w:val="0"/>
              </w:rPr>
              <w:t>11.</w:t>
            </w:r>
          </w:p>
        </w:tc>
        <w:tc>
          <w:tcPr>
            <w:tcW w:w="1985" w:type="dxa"/>
            <w:tcBorders/>
            <w:shd w:fill="auto" w:val="clear"/>
            <w:vAlign w:val="center"/>
          </w:tcPr>
          <w:p>
            <w:pPr>
              <w:pStyle w:val="TableContents"/>
              <w:spacing w:before="0" w:after="0"/>
              <w:jc w:val="both"/>
              <w:rPr>
                <w:rFonts w:ascii="Times New Roman" w:hAnsi="Times New Roman"/>
                <w:b/>
                <w:spacing w:val="0"/>
                <w:sz w:val="20"/>
              </w:rPr>
            </w:pPr>
            <w:r>
              <w:rPr>
                <w:rFonts w:ascii="Times New Roman" w:hAnsi="Times New Roman"/>
                <w:b/>
                <w:spacing w:val="0"/>
                <w:sz w:val="20"/>
              </w:rPr>
              <w:t xml:space="preserve">Other Operating Costs </w:t>
            </w:r>
          </w:p>
        </w:tc>
      </w:tr>
    </w:tbl>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Other operating costs can be broken down as follows:</w:t>
      </w:r>
    </w:p>
    <w:p>
      <w:pPr>
        <w:pStyle w:val="TextBody"/>
        <w:spacing w:before="120" w:after="0"/>
        <w:jc w:val="left"/>
        <w:rPr>
          <w:rFonts w:ascii="Times New Roman" w:hAnsi="Times New Roman"/>
          <w:sz w:val="20"/>
        </w:rPr>
      </w:pPr>
      <w:r>
        <w:rPr>
          <w:rFonts w:ascii="Times New Roman" w:hAnsi="Times New Roman"/>
          <w:sz w:val="20"/>
        </w:rPr>
      </w:r>
    </w:p>
    <w:p>
      <w:pPr>
        <w:pStyle w:val="TextBody"/>
        <w:spacing w:before="0" w:after="0"/>
        <w:ind w:left="0" w:right="0" w:hanging="0"/>
        <w:jc w:val="left"/>
        <w:rPr>
          <w:spacing w:val="0"/>
          <w:highlight w:val="white"/>
        </w:rPr>
      </w:pPr>
      <w:r>
        <w:rPr>
          <w:spacing w:val="0"/>
          <w:highlight w:val="white"/>
        </w:rPr>
        <w:t> </w:t>
      </w:r>
    </w:p>
    <w:tbl>
      <w:tblPr>
        <w:tblW w:w="10175" w:type="dxa"/>
        <w:jc w:val="left"/>
        <w:tblInd w:w="0" w:type="dxa"/>
        <w:tblCellMar>
          <w:top w:w="0" w:type="dxa"/>
          <w:left w:w="0" w:type="dxa"/>
          <w:bottom w:w="0" w:type="dxa"/>
          <w:right w:w="0" w:type="dxa"/>
        </w:tblCellMar>
      </w:tblPr>
      <w:tblGrid>
        <w:gridCol w:w="3935"/>
        <w:gridCol w:w="120"/>
        <w:gridCol w:w="153"/>
        <w:gridCol w:w="1742"/>
        <w:gridCol w:w="60"/>
        <w:gridCol w:w="120"/>
        <w:gridCol w:w="153"/>
        <w:gridCol w:w="1742"/>
        <w:gridCol w:w="60"/>
        <w:gridCol w:w="120"/>
        <w:gridCol w:w="183"/>
        <w:gridCol w:w="1712"/>
        <w:gridCol w:w="75"/>
      </w:tblGrid>
      <w:tr>
        <w:trPr/>
        <w:tc>
          <w:tcPr>
            <w:tcW w:w="39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74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74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9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45" w:type="dxa"/>
            <w:gridSpan w:val="10"/>
            <w:tcBorders/>
            <w:shd w:fill="auto" w:val="clear"/>
            <w:vAlign w:val="center"/>
          </w:tcPr>
          <w:p>
            <w:pPr>
              <w:pStyle w:val="TableContents"/>
              <w:spacing w:before="0" w:after="283"/>
              <w:jc w:val="center"/>
              <w:rPr/>
            </w:pPr>
            <w:r>
              <w:rPr/>
              <w:t>For the years ended</w:t>
            </w:r>
          </w:p>
        </w:tc>
        <w:tc>
          <w:tcPr>
            <w:tcW w:w="75" w:type="dxa"/>
            <w:tcBorders/>
            <w:shd w:fill="auto" w:val="clear"/>
            <w:vAlign w:val="center"/>
          </w:tcPr>
          <w:p>
            <w:pPr>
              <w:pStyle w:val="TableContents"/>
              <w:spacing w:before="0" w:after="283"/>
              <w:rPr/>
            </w:pPr>
            <w:r>
              <w:rPr/>
              <w:t> </w:t>
            </w:r>
          </w:p>
        </w:tc>
      </w:tr>
      <w:tr>
        <w:trPr/>
        <w:tc>
          <w:tcPr>
            <w:tcW w:w="3935"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2020</w:t>
            </w:r>
          </w:p>
        </w:tc>
        <w:tc>
          <w:tcPr>
            <w:tcW w:w="75" w:type="dxa"/>
            <w:tcBorders/>
            <w:shd w:fill="auto" w:val="clear"/>
            <w:vAlign w:val="center"/>
          </w:tcPr>
          <w:p>
            <w:pPr>
              <w:pStyle w:val="TableContents"/>
              <w:spacing w:before="0" w:after="283"/>
              <w:rPr/>
            </w:pPr>
            <w:r>
              <w:rPr/>
              <w:t> </w:t>
            </w:r>
          </w:p>
        </w:tc>
      </w:tr>
      <w:tr>
        <w:trPr/>
        <w:tc>
          <w:tcPr>
            <w:tcW w:w="39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Legal and consulting fees</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6,955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2,477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2,378</w:t>
            </w:r>
          </w:p>
        </w:tc>
        <w:tc>
          <w:tcPr>
            <w:tcW w:w="75" w:type="dxa"/>
            <w:tcBorders/>
            <w:shd w:fill="CCEEFF" w:val="clear"/>
            <w:vAlign w:val="center"/>
          </w:tcPr>
          <w:p>
            <w:pPr>
              <w:pStyle w:val="TableContents"/>
              <w:spacing w:before="0" w:after="283"/>
              <w:rPr/>
            </w:pPr>
            <w:r>
              <w:rPr/>
              <w:t> </w:t>
            </w:r>
          </w:p>
        </w:tc>
      </w:tr>
      <w:tr>
        <w:trPr/>
        <w:tc>
          <w:tcPr>
            <w:tcW w:w="39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Insurance</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jc w:val="right"/>
              <w:rPr/>
            </w:pPr>
            <w:r>
              <w:rPr/>
              <w:t>4,855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jc w:val="right"/>
              <w:rPr/>
            </w:pPr>
            <w:r>
              <w:rPr/>
              <w:t>803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97</w:t>
            </w:r>
          </w:p>
        </w:tc>
        <w:tc>
          <w:tcPr>
            <w:tcW w:w="75" w:type="dxa"/>
            <w:tcBorders/>
            <w:shd w:fill="auto" w:val="clear"/>
            <w:vAlign w:val="center"/>
          </w:tcPr>
          <w:p>
            <w:pPr>
              <w:pStyle w:val="TableContents"/>
              <w:spacing w:before="0" w:after="283"/>
              <w:rPr/>
            </w:pPr>
            <w:r>
              <w:rPr/>
              <w:t> </w:t>
            </w:r>
          </w:p>
        </w:tc>
      </w:tr>
      <w:tr>
        <w:trPr/>
        <w:tc>
          <w:tcPr>
            <w:tcW w:w="39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Office and IT costs</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4,236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3,282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790</w:t>
            </w:r>
          </w:p>
        </w:tc>
        <w:tc>
          <w:tcPr>
            <w:tcW w:w="75" w:type="dxa"/>
            <w:tcBorders/>
            <w:shd w:fill="CCEEFF" w:val="clear"/>
            <w:vAlign w:val="center"/>
          </w:tcPr>
          <w:p>
            <w:pPr>
              <w:pStyle w:val="TableContents"/>
              <w:spacing w:before="0" w:after="283"/>
              <w:rPr/>
            </w:pPr>
            <w:r>
              <w:rPr/>
              <w:t> </w:t>
            </w:r>
          </w:p>
        </w:tc>
      </w:tr>
      <w:tr>
        <w:trPr/>
        <w:tc>
          <w:tcPr>
            <w:tcW w:w="39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Selling and travel costs</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jc w:val="right"/>
              <w:rPr/>
            </w:pPr>
            <w:r>
              <w:rPr/>
              <w:t>2,279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jc w:val="right"/>
              <w:rPr/>
            </w:pPr>
            <w:r>
              <w:rPr/>
              <w:t>1,638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451</w:t>
            </w:r>
          </w:p>
        </w:tc>
        <w:tc>
          <w:tcPr>
            <w:tcW w:w="75" w:type="dxa"/>
            <w:tcBorders/>
            <w:shd w:fill="auto" w:val="clear"/>
            <w:vAlign w:val="center"/>
          </w:tcPr>
          <w:p>
            <w:pPr>
              <w:pStyle w:val="TableContents"/>
              <w:spacing w:before="0" w:after="283"/>
              <w:rPr/>
            </w:pPr>
            <w:r>
              <w:rPr/>
              <w:t> </w:t>
            </w:r>
          </w:p>
        </w:tc>
      </w:tr>
      <w:tr>
        <w:trPr/>
        <w:tc>
          <w:tcPr>
            <w:tcW w:w="39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 business supplies, equipment and services</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1,835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1,396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382</w:t>
            </w:r>
          </w:p>
        </w:tc>
        <w:tc>
          <w:tcPr>
            <w:tcW w:w="75" w:type="dxa"/>
            <w:tcBorders/>
            <w:shd w:fill="CCEEFF" w:val="clear"/>
            <w:vAlign w:val="center"/>
          </w:tcPr>
          <w:p>
            <w:pPr>
              <w:pStyle w:val="TableContents"/>
              <w:spacing w:before="0" w:after="283"/>
              <w:rPr/>
            </w:pPr>
            <w:r>
              <w:rPr/>
              <w:t> </w:t>
            </w:r>
          </w:p>
        </w:tc>
      </w:tr>
      <w:tr>
        <w:trPr/>
        <w:tc>
          <w:tcPr>
            <w:tcW w:w="39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Incidental rental costs and maintenance</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jc w:val="right"/>
              <w:rPr/>
            </w:pPr>
            <w:r>
              <w:rPr/>
              <w:t>814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jc w:val="right"/>
              <w:rPr/>
            </w:pPr>
            <w:r>
              <w:rPr/>
              <w:t>696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382</w:t>
            </w:r>
          </w:p>
        </w:tc>
        <w:tc>
          <w:tcPr>
            <w:tcW w:w="75" w:type="dxa"/>
            <w:tcBorders/>
            <w:shd w:fill="auto" w:val="clear"/>
            <w:vAlign w:val="center"/>
          </w:tcPr>
          <w:p>
            <w:pPr>
              <w:pStyle w:val="TableContents"/>
              <w:spacing w:before="0" w:after="283"/>
              <w:rPr/>
            </w:pPr>
            <w:r>
              <w:rPr/>
              <w:t> </w:t>
            </w:r>
          </w:p>
        </w:tc>
      </w:tr>
      <w:tr>
        <w:trPr/>
        <w:tc>
          <w:tcPr>
            <w:tcW w:w="39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Onerous contracts</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240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0</w:t>
            </w:r>
          </w:p>
        </w:tc>
        <w:tc>
          <w:tcPr>
            <w:tcW w:w="75" w:type="dxa"/>
            <w:tcBorders/>
            <w:shd w:fill="CCEEFF" w:val="clear"/>
            <w:vAlign w:val="center"/>
          </w:tcPr>
          <w:p>
            <w:pPr>
              <w:pStyle w:val="TableContents"/>
              <w:spacing w:before="0" w:after="283"/>
              <w:rPr/>
            </w:pPr>
            <w:r>
              <w:rPr/>
              <w:t> </w:t>
            </w:r>
          </w:p>
        </w:tc>
      </w:tr>
      <w:tr>
        <w:trPr/>
        <w:tc>
          <w:tcPr>
            <w:tcW w:w="39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costs</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jc w:val="right"/>
              <w:rPr/>
            </w:pPr>
            <w:r>
              <w:rPr/>
              <w:t>1,108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jc w:val="right"/>
              <w:rPr/>
            </w:pPr>
            <w:r>
              <w:rPr/>
              <w:t>1,298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864</w:t>
            </w:r>
          </w:p>
        </w:tc>
        <w:tc>
          <w:tcPr>
            <w:tcW w:w="75" w:type="dxa"/>
            <w:tcBorders/>
            <w:shd w:fill="auto" w:val="clear"/>
            <w:vAlign w:val="center"/>
          </w:tcPr>
          <w:p>
            <w:pPr>
              <w:pStyle w:val="TableContents"/>
              <w:spacing w:before="0" w:after="283"/>
              <w:rPr/>
            </w:pPr>
            <w:r>
              <w:rPr/>
              <w:t> </w:t>
            </w:r>
          </w:p>
        </w:tc>
      </w:tr>
      <w:tr>
        <w:trPr/>
        <w:tc>
          <w:tcPr>
            <w:tcW w:w="39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22,082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11,830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5,344</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5815" w:type="dxa"/>
        <w:jc w:val="left"/>
        <w:tblInd w:w="0" w:type="dxa"/>
        <w:tblCellMar>
          <w:top w:w="0" w:type="dxa"/>
          <w:left w:w="0" w:type="dxa"/>
          <w:bottom w:w="0" w:type="dxa"/>
          <w:right w:w="0" w:type="dxa"/>
        </w:tblCellMar>
      </w:tblPr>
      <w:tblGrid>
        <w:gridCol w:w="335"/>
        <w:gridCol w:w="5480"/>
      </w:tblGrid>
      <w:tr>
        <w:trPr/>
        <w:tc>
          <w:tcPr>
            <w:tcW w:w="335" w:type="dxa"/>
            <w:tcBorders/>
            <w:shd w:fill="auto" w:val="clear"/>
            <w:vAlign w:val="center"/>
          </w:tcPr>
          <w:p>
            <w:pPr>
              <w:pStyle w:val="TableContents"/>
              <w:spacing w:before="0" w:after="0"/>
              <w:jc w:val="left"/>
              <w:rPr>
                <w:b/>
                <w:spacing w:val="0"/>
              </w:rPr>
            </w:pPr>
            <w:r>
              <w:rPr>
                <w:b/>
                <w:spacing w:val="0"/>
              </w:rPr>
              <w:t>12.</w:t>
            </w:r>
          </w:p>
        </w:tc>
        <w:tc>
          <w:tcPr>
            <w:tcW w:w="548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Changes in Inventories of Finished Goods and Work in Progress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increase in inventories of finished goods and work in progress primarily results from the SPACE terminals, and HAWK terminals currently in the production phase. Changes in inventories are as follows: </w:t>
      </w:r>
    </w:p>
    <w:p>
      <w:pPr>
        <w:pStyle w:val="TextBody"/>
        <w:spacing w:before="0" w:after="0"/>
        <w:jc w:val="both"/>
        <w:rPr>
          <w:highlight w:val="white"/>
        </w:rPr>
      </w:pPr>
      <w:r>
        <w:rPr>
          <w:highlight w:val="white"/>
        </w:rPr>
        <w:t> </w:t>
      </w:r>
    </w:p>
    <w:tbl>
      <w:tblPr>
        <w:tblW w:w="9695" w:type="dxa"/>
        <w:jc w:val="left"/>
        <w:tblInd w:w="0" w:type="dxa"/>
        <w:tblCellMar>
          <w:top w:w="0" w:type="dxa"/>
          <w:left w:w="0" w:type="dxa"/>
          <w:bottom w:w="0" w:type="dxa"/>
          <w:right w:w="0" w:type="dxa"/>
        </w:tblCellMar>
      </w:tblPr>
      <w:tblGrid>
        <w:gridCol w:w="3455"/>
        <w:gridCol w:w="120"/>
        <w:gridCol w:w="163"/>
        <w:gridCol w:w="1732"/>
        <w:gridCol w:w="60"/>
        <w:gridCol w:w="120"/>
        <w:gridCol w:w="220"/>
        <w:gridCol w:w="1675"/>
        <w:gridCol w:w="60"/>
        <w:gridCol w:w="120"/>
        <w:gridCol w:w="220"/>
        <w:gridCol w:w="1675"/>
        <w:gridCol w:w="75"/>
      </w:tblGrid>
      <w:tr>
        <w:trPr/>
        <w:tc>
          <w:tcPr>
            <w:tcW w:w="34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7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6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67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4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45" w:type="dxa"/>
            <w:gridSpan w:val="10"/>
            <w:tcBorders/>
            <w:shd w:fill="auto" w:val="clear"/>
            <w:vAlign w:val="center"/>
          </w:tcPr>
          <w:p>
            <w:pPr>
              <w:pStyle w:val="TableContents"/>
              <w:spacing w:before="0" w:after="283"/>
              <w:jc w:val="center"/>
              <w:rPr/>
            </w:pPr>
            <w:r>
              <w:rPr/>
              <w:t>For the years ended</w:t>
            </w:r>
          </w:p>
        </w:tc>
        <w:tc>
          <w:tcPr>
            <w:tcW w:w="75" w:type="dxa"/>
            <w:tcBorders/>
            <w:shd w:fill="auto" w:val="clear"/>
            <w:vAlign w:val="center"/>
          </w:tcPr>
          <w:p>
            <w:pPr>
              <w:pStyle w:val="TableContents"/>
              <w:spacing w:before="0" w:after="283"/>
              <w:rPr/>
            </w:pPr>
            <w:r>
              <w:rPr/>
              <w:t> </w:t>
            </w:r>
          </w:p>
        </w:tc>
      </w:tr>
      <w:tr>
        <w:trPr/>
        <w:tc>
          <w:tcPr>
            <w:tcW w:w="3455"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2020</w:t>
            </w:r>
          </w:p>
        </w:tc>
        <w:tc>
          <w:tcPr>
            <w:tcW w:w="75" w:type="dxa"/>
            <w:tcBorders/>
            <w:shd w:fill="auto" w:val="clear"/>
            <w:vAlign w:val="center"/>
          </w:tcPr>
          <w:p>
            <w:pPr>
              <w:pStyle w:val="TableContents"/>
              <w:spacing w:before="0" w:after="283"/>
              <w:rPr/>
            </w:pPr>
            <w:r>
              <w:rPr/>
              <w:t> </w:t>
            </w:r>
          </w:p>
        </w:tc>
      </w:tr>
      <w:tr>
        <w:trPr/>
        <w:tc>
          <w:tcPr>
            <w:tcW w:w="34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Increase in inventories of work in progress</w:t>
            </w:r>
          </w:p>
        </w:tc>
        <w:tc>
          <w:tcPr>
            <w:tcW w:w="12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1732" w:type="dxa"/>
            <w:tcBorders/>
            <w:shd w:fill="CCEEFF" w:val="clear"/>
            <w:vAlign w:val="center"/>
          </w:tcPr>
          <w:p>
            <w:pPr>
              <w:pStyle w:val="TableContents"/>
              <w:spacing w:before="0" w:after="283"/>
              <w:jc w:val="right"/>
              <w:rPr/>
            </w:pPr>
            <w:r>
              <w:rPr/>
              <w:t>2,100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rPr/>
            </w:pPr>
            <w:r>
              <w:rPr/>
              <w:t> </w:t>
            </w:r>
          </w:p>
        </w:tc>
        <w:tc>
          <w:tcPr>
            <w:tcW w:w="1675" w:type="dxa"/>
            <w:tcBorders/>
            <w:shd w:fill="CCEEFF" w:val="clear"/>
            <w:vAlign w:val="center"/>
          </w:tcPr>
          <w:p>
            <w:pPr>
              <w:pStyle w:val="TableContents"/>
              <w:spacing w:before="0" w:after="283"/>
              <w:jc w:val="right"/>
              <w:rPr/>
            </w:pPr>
            <w:r>
              <w:rPr/>
              <w:t>414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rPr/>
            </w:pPr>
            <w:r>
              <w:rPr/>
              <w:t> </w:t>
            </w:r>
          </w:p>
        </w:tc>
        <w:tc>
          <w:tcPr>
            <w:tcW w:w="1675" w:type="dxa"/>
            <w:tcBorders/>
            <w:shd w:fill="CCEEFF" w:val="clear"/>
            <w:vAlign w:val="center"/>
          </w:tcPr>
          <w:p>
            <w:pPr>
              <w:pStyle w:val="TableContents"/>
              <w:spacing w:before="0" w:after="283"/>
              <w:jc w:val="right"/>
              <w:rPr/>
            </w:pPr>
            <w:r>
              <w:rPr/>
              <w:t>757</w:t>
            </w:r>
          </w:p>
        </w:tc>
        <w:tc>
          <w:tcPr>
            <w:tcW w:w="75" w:type="dxa"/>
            <w:tcBorders/>
            <w:shd w:fill="CCEEFF" w:val="clear"/>
            <w:vAlign w:val="center"/>
          </w:tcPr>
          <w:p>
            <w:pPr>
              <w:pStyle w:val="TableContents"/>
              <w:spacing w:before="0" w:after="283"/>
              <w:rPr/>
            </w:pPr>
            <w:r>
              <w:rPr/>
              <w:t> </w:t>
            </w:r>
          </w:p>
        </w:tc>
      </w:tr>
      <w:tr>
        <w:trPr/>
        <w:tc>
          <w:tcPr>
            <w:tcW w:w="34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Increase in inventories of finished goods</w:t>
            </w:r>
          </w:p>
        </w:tc>
        <w:tc>
          <w:tcPr>
            <w:tcW w:w="12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732" w:type="dxa"/>
            <w:tcBorders/>
            <w:shd w:fill="auto" w:val="clear"/>
            <w:vAlign w:val="center"/>
          </w:tcPr>
          <w:p>
            <w:pPr>
              <w:pStyle w:val="TableContents"/>
              <w:spacing w:before="0" w:after="283"/>
              <w:jc w:val="right"/>
              <w:rPr/>
            </w:pPr>
            <w:r>
              <w:rPr/>
              <w:t>542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675" w:type="dxa"/>
            <w:tcBorders/>
            <w:shd w:fill="auto" w:val="clear"/>
            <w:vAlign w:val="center"/>
          </w:tcPr>
          <w:p>
            <w:pPr>
              <w:pStyle w:val="TableContents"/>
              <w:spacing w:before="0" w:after="283"/>
              <w:jc w:val="right"/>
              <w:rPr/>
            </w:pPr>
            <w:r>
              <w:rPr/>
              <w:t>616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675" w:type="dxa"/>
            <w:tcBorders/>
            <w:shd w:fill="auto" w:val="clear"/>
            <w:vAlign w:val="center"/>
          </w:tcPr>
          <w:p>
            <w:pPr>
              <w:pStyle w:val="TableContents"/>
              <w:spacing w:before="0" w:after="283"/>
              <w:jc w:val="right"/>
              <w:rPr/>
            </w:pPr>
            <w:r>
              <w:rPr/>
              <w:t>0</w:t>
            </w:r>
          </w:p>
        </w:tc>
        <w:tc>
          <w:tcPr>
            <w:tcW w:w="75" w:type="dxa"/>
            <w:tcBorders/>
            <w:shd w:fill="auto" w:val="clear"/>
            <w:vAlign w:val="center"/>
          </w:tcPr>
          <w:p>
            <w:pPr>
              <w:pStyle w:val="TableContents"/>
              <w:spacing w:before="0" w:after="283"/>
              <w:rPr/>
            </w:pPr>
            <w:r>
              <w:rPr/>
              <w:t> </w:t>
            </w:r>
          </w:p>
        </w:tc>
      </w:tr>
      <w:tr>
        <w:trPr/>
        <w:tc>
          <w:tcPr>
            <w:tcW w:w="34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Write-downs</w:t>
            </w:r>
          </w:p>
        </w:tc>
        <w:tc>
          <w:tcPr>
            <w:tcW w:w="12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1732" w:type="dxa"/>
            <w:tcBorders/>
            <w:shd w:fill="CCEEFF" w:val="clear"/>
            <w:vAlign w:val="center"/>
          </w:tcPr>
          <w:p>
            <w:pPr>
              <w:pStyle w:val="TableContents"/>
              <w:spacing w:before="0" w:after="283"/>
              <w:jc w:val="right"/>
              <w:rPr/>
            </w:pPr>
            <w:r>
              <w:rPr/>
              <w:t>-1,882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rPr/>
            </w:pPr>
            <w:r>
              <w:rPr/>
              <w:t> </w:t>
            </w:r>
          </w:p>
        </w:tc>
        <w:tc>
          <w:tcPr>
            <w:tcW w:w="1675" w:type="dxa"/>
            <w:tcBorders/>
            <w:shd w:fill="CCEEFF" w:val="clear"/>
            <w:vAlign w:val="center"/>
          </w:tcPr>
          <w:p>
            <w:pPr>
              <w:pStyle w:val="TableContents"/>
              <w:spacing w:before="0" w:after="283"/>
              <w:jc w:val="right"/>
              <w:rPr/>
            </w:pPr>
            <w:r>
              <w:rPr/>
              <w:t>-462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rPr/>
            </w:pPr>
            <w:r>
              <w:rPr/>
              <w:t> </w:t>
            </w:r>
          </w:p>
        </w:tc>
        <w:tc>
          <w:tcPr>
            <w:tcW w:w="1675" w:type="dxa"/>
            <w:tcBorders/>
            <w:shd w:fill="CCEEFF" w:val="clear"/>
            <w:vAlign w:val="center"/>
          </w:tcPr>
          <w:p>
            <w:pPr>
              <w:pStyle w:val="TableContents"/>
              <w:spacing w:before="0" w:after="283"/>
              <w:jc w:val="right"/>
              <w:rPr/>
            </w:pPr>
            <w:r>
              <w:rPr/>
              <w:t>-120</w:t>
            </w:r>
          </w:p>
        </w:tc>
        <w:tc>
          <w:tcPr>
            <w:tcW w:w="75" w:type="dxa"/>
            <w:tcBorders/>
            <w:shd w:fill="CCEEFF" w:val="clear"/>
            <w:vAlign w:val="center"/>
          </w:tcPr>
          <w:p>
            <w:pPr>
              <w:pStyle w:val="TableContents"/>
              <w:spacing w:before="0" w:after="283"/>
              <w:rPr/>
            </w:pPr>
            <w:r>
              <w:rPr/>
              <w:t> </w:t>
            </w:r>
          </w:p>
        </w:tc>
      </w:tr>
      <w:tr>
        <w:trPr/>
        <w:tc>
          <w:tcPr>
            <w:tcW w:w="34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732" w:type="dxa"/>
            <w:tcBorders/>
            <w:shd w:fill="auto" w:val="clear"/>
            <w:vAlign w:val="center"/>
          </w:tcPr>
          <w:p>
            <w:pPr>
              <w:pStyle w:val="TableContents"/>
              <w:spacing w:before="0" w:after="283"/>
              <w:jc w:val="right"/>
              <w:rPr/>
            </w:pPr>
            <w:r>
              <w:rPr/>
              <w:t>760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675" w:type="dxa"/>
            <w:tcBorders/>
            <w:shd w:fill="auto" w:val="clear"/>
            <w:vAlign w:val="center"/>
          </w:tcPr>
          <w:p>
            <w:pPr>
              <w:pStyle w:val="TableContents"/>
              <w:spacing w:before="0" w:after="283"/>
              <w:jc w:val="right"/>
              <w:rPr/>
            </w:pPr>
            <w:r>
              <w:rPr/>
              <w:t>568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675" w:type="dxa"/>
            <w:tcBorders/>
            <w:shd w:fill="auto" w:val="clear"/>
            <w:vAlign w:val="center"/>
          </w:tcPr>
          <w:p>
            <w:pPr>
              <w:pStyle w:val="TableContents"/>
              <w:spacing w:before="0" w:after="283"/>
              <w:jc w:val="right"/>
              <w:rPr/>
            </w:pPr>
            <w:r>
              <w:rPr/>
              <w:t>637</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The write-downs refer to CONDOR Mk2 and Mk1 terminals that were written down to t</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 xml:space="preserve">heir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net realizable value.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F-2</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6</w:t>
      </w:r>
    </w:p>
    <w:p>
      <w:pPr>
        <w:pStyle w:val="HorizontalLine"/>
        <w:rPr/>
      </w:pPr>
      <w:r>
        <w:rPr/>
      </w:r>
    </w:p>
    <w:p>
      <w:pPr>
        <w:pStyle w:val="TextBody"/>
        <w:spacing w:before="0" w:after="0"/>
        <w:rPr/>
      </w:pPr>
      <w:hyperlink w:anchor="toc">
        <w:r>
          <w:rPr>
            <w:rStyle w:val="InternetLink"/>
            <w:highlight w:val="white"/>
          </w:rPr>
          <w:t>Table of Contents</w:t>
        </w:r>
      </w:hyperlink>
    </w:p>
    <w:tbl>
      <w:tblPr>
        <w:tblW w:w="2365" w:type="dxa"/>
        <w:jc w:val="left"/>
        <w:tblInd w:w="0" w:type="dxa"/>
        <w:tblCellMar>
          <w:top w:w="0" w:type="dxa"/>
          <w:left w:w="0" w:type="dxa"/>
          <w:bottom w:w="0" w:type="dxa"/>
          <w:right w:w="0" w:type="dxa"/>
        </w:tblCellMar>
      </w:tblPr>
      <w:tblGrid>
        <w:gridCol w:w="335"/>
        <w:gridCol w:w="2030"/>
      </w:tblGrid>
      <w:tr>
        <w:trPr/>
        <w:tc>
          <w:tcPr>
            <w:tcW w:w="335" w:type="dxa"/>
            <w:tcBorders/>
            <w:shd w:fill="auto" w:val="clear"/>
            <w:vAlign w:val="center"/>
          </w:tcPr>
          <w:p>
            <w:pPr>
              <w:pStyle w:val="TableContents"/>
              <w:spacing w:before="0" w:after="0"/>
              <w:jc w:val="both"/>
              <w:rPr>
                <w:b/>
                <w:spacing w:val="0"/>
              </w:rPr>
            </w:pPr>
            <w:r>
              <w:rPr>
                <w:b/>
                <w:spacing w:val="0"/>
              </w:rPr>
              <w:t>13.</w:t>
            </w:r>
          </w:p>
        </w:tc>
        <w:tc>
          <w:tcPr>
            <w:tcW w:w="2030"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Own Work Capitalized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Own work capitalized consists of costs that are used to construct property, plant and equipment or develop intangible assets. This line item is a contra account to other profit and loss statement captions presented below. For a determination of the net basis of those costs the amounts in the table below needs to be deducted from the respective line items. </w:t>
      </w:r>
    </w:p>
    <w:p>
      <w:pPr>
        <w:pStyle w:val="TextBody"/>
        <w:spacing w:before="0" w:after="0"/>
        <w:jc w:val="left"/>
        <w:rPr>
          <w:highlight w:val="white"/>
        </w:rPr>
      </w:pPr>
      <w:r>
        <w:rPr>
          <w:highlight w:val="white"/>
        </w:rPr>
        <w:t> </w:t>
      </w:r>
    </w:p>
    <w:tbl>
      <w:tblPr>
        <w:tblW w:w="8795" w:type="dxa"/>
        <w:jc w:val="left"/>
        <w:tblInd w:w="0" w:type="dxa"/>
        <w:tblCellMar>
          <w:top w:w="0" w:type="dxa"/>
          <w:left w:w="0" w:type="dxa"/>
          <w:bottom w:w="0" w:type="dxa"/>
          <w:right w:w="0" w:type="dxa"/>
        </w:tblCellMar>
      </w:tblPr>
      <w:tblGrid>
        <w:gridCol w:w="2555"/>
        <w:gridCol w:w="120"/>
        <w:gridCol w:w="183"/>
        <w:gridCol w:w="1712"/>
        <w:gridCol w:w="60"/>
        <w:gridCol w:w="120"/>
        <w:gridCol w:w="183"/>
        <w:gridCol w:w="1712"/>
        <w:gridCol w:w="60"/>
        <w:gridCol w:w="120"/>
        <w:gridCol w:w="183"/>
        <w:gridCol w:w="1712"/>
        <w:gridCol w:w="75"/>
      </w:tblGrid>
      <w:tr>
        <w:trPr/>
        <w:tc>
          <w:tcPr>
            <w:tcW w:w="25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45" w:type="dxa"/>
            <w:gridSpan w:val="10"/>
            <w:tcBorders/>
            <w:shd w:fill="auto" w:val="clear"/>
            <w:vAlign w:val="center"/>
          </w:tcPr>
          <w:p>
            <w:pPr>
              <w:pStyle w:val="TableContents"/>
              <w:spacing w:before="0" w:after="283"/>
              <w:jc w:val="center"/>
              <w:rPr/>
            </w:pPr>
            <w:r>
              <w:rPr/>
              <w:t>For the years ended</w:t>
            </w:r>
          </w:p>
        </w:tc>
        <w:tc>
          <w:tcPr>
            <w:tcW w:w="75" w:type="dxa"/>
            <w:tcBorders/>
            <w:shd w:fill="auto"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2020</w:t>
            </w:r>
          </w:p>
        </w:tc>
        <w:tc>
          <w:tcPr>
            <w:tcW w:w="75" w:type="dxa"/>
            <w:tcBorders/>
            <w:shd w:fill="auto"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Cost of materials</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689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1,995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4,073</w:t>
            </w:r>
          </w:p>
        </w:tc>
        <w:tc>
          <w:tcPr>
            <w:tcW w:w="75" w:type="dxa"/>
            <w:tcBorders/>
            <w:shd w:fill="CCEEFF"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Personnel expenses</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665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1,906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3,921</w:t>
            </w:r>
          </w:p>
        </w:tc>
        <w:tc>
          <w:tcPr>
            <w:tcW w:w="75" w:type="dxa"/>
            <w:tcBorders/>
            <w:shd w:fill="auto"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Depreciation and Amortization</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112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287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802</w:t>
            </w:r>
          </w:p>
        </w:tc>
        <w:tc>
          <w:tcPr>
            <w:tcW w:w="75" w:type="dxa"/>
            <w:tcBorders/>
            <w:shd w:fill="CCEEFF"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operating expenses</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101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427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579</w:t>
            </w:r>
          </w:p>
        </w:tc>
        <w:tc>
          <w:tcPr>
            <w:tcW w:w="75" w:type="dxa"/>
            <w:tcBorders/>
            <w:shd w:fill="auto"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1,567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4,615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9,375</w:t>
            </w:r>
          </w:p>
        </w:tc>
        <w:tc>
          <w:tcPr>
            <w:tcW w:w="75" w:type="dxa"/>
            <w:tcBorders/>
            <w:shd w:fill="CCEEFF"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following table shows the breakdown of own work capitalized: </w:t>
      </w:r>
    </w:p>
    <w:p>
      <w:pPr>
        <w:pStyle w:val="TextBody"/>
        <w:spacing w:before="0" w:after="0"/>
        <w:jc w:val="left"/>
        <w:rPr>
          <w:highlight w:val="white"/>
        </w:rPr>
      </w:pPr>
      <w:r>
        <w:rPr>
          <w:highlight w:val="white"/>
        </w:rPr>
        <w:t> </w:t>
      </w:r>
    </w:p>
    <w:tbl>
      <w:tblPr>
        <w:tblW w:w="8735" w:type="dxa"/>
        <w:jc w:val="left"/>
        <w:tblInd w:w="0" w:type="dxa"/>
        <w:tblCellMar>
          <w:top w:w="0" w:type="dxa"/>
          <w:left w:w="0" w:type="dxa"/>
          <w:bottom w:w="0" w:type="dxa"/>
          <w:right w:w="0" w:type="dxa"/>
        </w:tblCellMar>
      </w:tblPr>
      <w:tblGrid>
        <w:gridCol w:w="2495"/>
        <w:gridCol w:w="120"/>
        <w:gridCol w:w="183"/>
        <w:gridCol w:w="1712"/>
        <w:gridCol w:w="60"/>
        <w:gridCol w:w="120"/>
        <w:gridCol w:w="183"/>
        <w:gridCol w:w="1712"/>
        <w:gridCol w:w="60"/>
        <w:gridCol w:w="120"/>
        <w:gridCol w:w="183"/>
        <w:gridCol w:w="1712"/>
        <w:gridCol w:w="75"/>
      </w:tblGrid>
      <w:tr>
        <w:trPr/>
        <w:tc>
          <w:tcPr>
            <w:tcW w:w="24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4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45" w:type="dxa"/>
            <w:gridSpan w:val="10"/>
            <w:tcBorders/>
            <w:shd w:fill="auto" w:val="clear"/>
            <w:vAlign w:val="center"/>
          </w:tcPr>
          <w:p>
            <w:pPr>
              <w:pStyle w:val="TableContents"/>
              <w:spacing w:before="0" w:after="283"/>
              <w:jc w:val="center"/>
              <w:rPr/>
            </w:pPr>
            <w:r>
              <w:rPr/>
              <w:t>For the years ended</w:t>
            </w:r>
          </w:p>
        </w:tc>
        <w:tc>
          <w:tcPr>
            <w:tcW w:w="75" w:type="dxa"/>
            <w:tcBorders/>
            <w:shd w:fill="auto" w:val="clear"/>
            <w:vAlign w:val="center"/>
          </w:tcPr>
          <w:p>
            <w:pPr>
              <w:pStyle w:val="TableContents"/>
              <w:spacing w:before="0" w:after="283"/>
              <w:rPr/>
            </w:pPr>
            <w:r>
              <w:rPr/>
              <w:t> </w:t>
            </w:r>
          </w:p>
        </w:tc>
      </w:tr>
      <w:tr>
        <w:trPr/>
        <w:tc>
          <w:tcPr>
            <w:tcW w:w="2495"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2020</w:t>
            </w:r>
          </w:p>
        </w:tc>
        <w:tc>
          <w:tcPr>
            <w:tcW w:w="75" w:type="dxa"/>
            <w:tcBorders/>
            <w:shd w:fill="auto" w:val="clear"/>
            <w:vAlign w:val="center"/>
          </w:tcPr>
          <w:p>
            <w:pPr>
              <w:pStyle w:val="TableContents"/>
              <w:spacing w:before="0" w:after="283"/>
              <w:rPr/>
            </w:pPr>
            <w:r>
              <w:rPr/>
              <w:t> </w:t>
            </w:r>
          </w:p>
        </w:tc>
      </w:tr>
      <w:tr>
        <w:trPr/>
        <w:tc>
          <w:tcPr>
            <w:tcW w:w="24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Development costs</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968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2,845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8,248</w:t>
            </w:r>
          </w:p>
        </w:tc>
        <w:tc>
          <w:tcPr>
            <w:tcW w:w="75" w:type="dxa"/>
            <w:tcBorders/>
            <w:shd w:fill="CCEEFF" w:val="clear"/>
            <w:vAlign w:val="center"/>
          </w:tcPr>
          <w:p>
            <w:pPr>
              <w:pStyle w:val="TableContents"/>
              <w:spacing w:before="0" w:after="283"/>
              <w:rPr/>
            </w:pPr>
            <w:r>
              <w:rPr/>
              <w:t> </w:t>
            </w:r>
          </w:p>
        </w:tc>
      </w:tr>
      <w:tr>
        <w:trPr/>
        <w:tc>
          <w:tcPr>
            <w:tcW w:w="24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Property, plant and equipment</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599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1,770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1,127</w:t>
            </w:r>
          </w:p>
        </w:tc>
        <w:tc>
          <w:tcPr>
            <w:tcW w:w="75" w:type="dxa"/>
            <w:tcBorders/>
            <w:shd w:fill="auto" w:val="clear"/>
            <w:vAlign w:val="center"/>
          </w:tcPr>
          <w:p>
            <w:pPr>
              <w:pStyle w:val="TableContents"/>
              <w:spacing w:before="0" w:after="283"/>
              <w:rPr/>
            </w:pPr>
            <w:r>
              <w:rPr/>
              <w:t> </w:t>
            </w:r>
          </w:p>
        </w:tc>
      </w:tr>
      <w:tr>
        <w:trPr/>
        <w:tc>
          <w:tcPr>
            <w:tcW w:w="24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1,567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4,615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9,375</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1915" w:type="dxa"/>
        <w:jc w:val="left"/>
        <w:tblInd w:w="0" w:type="dxa"/>
        <w:tblCellMar>
          <w:top w:w="0" w:type="dxa"/>
          <w:left w:w="0" w:type="dxa"/>
          <w:bottom w:w="0" w:type="dxa"/>
          <w:right w:w="0" w:type="dxa"/>
        </w:tblCellMar>
      </w:tblPr>
      <w:tblGrid>
        <w:gridCol w:w="335"/>
        <w:gridCol w:w="1580"/>
      </w:tblGrid>
      <w:tr>
        <w:trPr/>
        <w:tc>
          <w:tcPr>
            <w:tcW w:w="335" w:type="dxa"/>
            <w:tcBorders/>
            <w:shd w:fill="auto" w:val="clear"/>
            <w:vAlign w:val="center"/>
          </w:tcPr>
          <w:p>
            <w:pPr>
              <w:pStyle w:val="TableContents"/>
              <w:spacing w:before="0" w:after="0"/>
              <w:jc w:val="left"/>
              <w:rPr>
                <w:b/>
                <w:spacing w:val="0"/>
              </w:rPr>
            </w:pPr>
            <w:r>
              <w:rPr>
                <w:b/>
                <w:spacing w:val="0"/>
              </w:rPr>
              <w:t>14.</w:t>
            </w:r>
          </w:p>
        </w:tc>
        <w:tc>
          <w:tcPr>
            <w:tcW w:w="158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Net Finance Costs </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financial result is calculated as follows: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3965"/>
        <w:gridCol w:w="120"/>
        <w:gridCol w:w="163"/>
        <w:gridCol w:w="1732"/>
        <w:gridCol w:w="60"/>
        <w:gridCol w:w="120"/>
        <w:gridCol w:w="163"/>
        <w:gridCol w:w="1732"/>
        <w:gridCol w:w="60"/>
        <w:gridCol w:w="120"/>
        <w:gridCol w:w="183"/>
        <w:gridCol w:w="1712"/>
        <w:gridCol w:w="75"/>
      </w:tblGrid>
      <w:tr>
        <w:trPr/>
        <w:tc>
          <w:tcPr>
            <w:tcW w:w="39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7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7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9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45" w:type="dxa"/>
            <w:gridSpan w:val="10"/>
            <w:tcBorders/>
            <w:shd w:fill="auto" w:val="clear"/>
            <w:vAlign w:val="center"/>
          </w:tcPr>
          <w:p>
            <w:pPr>
              <w:pStyle w:val="TableContents"/>
              <w:spacing w:before="0" w:after="283"/>
              <w:jc w:val="center"/>
              <w:rPr/>
            </w:pPr>
            <w:r>
              <w:rPr/>
              <w:t>For the years ended</w:t>
            </w:r>
          </w:p>
        </w:tc>
        <w:tc>
          <w:tcPr>
            <w:tcW w:w="75" w:type="dxa"/>
            <w:tcBorders/>
            <w:shd w:fill="auto" w:val="clear"/>
            <w:vAlign w:val="center"/>
          </w:tcPr>
          <w:p>
            <w:pPr>
              <w:pStyle w:val="TableContents"/>
              <w:spacing w:before="0" w:after="283"/>
              <w:rPr/>
            </w:pPr>
            <w:r>
              <w:rPr/>
              <w:t> </w:t>
            </w:r>
          </w:p>
        </w:tc>
      </w:tr>
      <w:tr>
        <w:trPr/>
        <w:tc>
          <w:tcPr>
            <w:tcW w:w="3965"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2020</w:t>
            </w:r>
          </w:p>
        </w:tc>
        <w:tc>
          <w:tcPr>
            <w:tcW w:w="75" w:type="dxa"/>
            <w:tcBorders/>
            <w:shd w:fill="auto" w:val="clear"/>
            <w:vAlign w:val="center"/>
          </w:tcPr>
          <w:p>
            <w:pPr>
              <w:pStyle w:val="TableContents"/>
              <w:spacing w:before="0" w:after="283"/>
              <w:rPr/>
            </w:pPr>
            <w:r>
              <w:rPr/>
              <w:t> </w:t>
            </w:r>
          </w:p>
        </w:tc>
      </w:tr>
      <w:tr>
        <w:trPr/>
        <w:tc>
          <w:tcPr>
            <w:tcW w:w="39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FINANCIAL INCOME</w:t>
            </w:r>
          </w:p>
        </w:tc>
        <w:tc>
          <w:tcPr>
            <w:tcW w:w="12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173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173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39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interest income from loans and receivables</w:t>
            </w:r>
          </w:p>
        </w:tc>
        <w:tc>
          <w:tcPr>
            <w:tcW w:w="12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732"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732"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18</w:t>
            </w:r>
          </w:p>
        </w:tc>
        <w:tc>
          <w:tcPr>
            <w:tcW w:w="75" w:type="dxa"/>
            <w:tcBorders/>
            <w:shd w:fill="auto" w:val="clear"/>
            <w:vAlign w:val="center"/>
          </w:tcPr>
          <w:p>
            <w:pPr>
              <w:pStyle w:val="TableContents"/>
              <w:spacing w:before="0" w:after="283"/>
              <w:rPr/>
            </w:pPr>
            <w:r>
              <w:rPr/>
              <w:t> </w:t>
            </w:r>
          </w:p>
        </w:tc>
      </w:tr>
      <w:tr>
        <w:trPr/>
        <w:tc>
          <w:tcPr>
            <w:tcW w:w="396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0"/>
              <w:rPr>
                <w:spacing w:val="0"/>
              </w:rPr>
            </w:pPr>
            <w:r>
              <w:rPr>
                <w:spacing w:val="0"/>
              </w:rPr>
              <w:t> </w:t>
            </w:r>
          </w:p>
        </w:tc>
        <w:tc>
          <w:tcPr>
            <w:tcW w:w="1732" w:type="dxa"/>
            <w:tcBorders/>
            <w:shd w:fill="CCEEFF" w:val="clear"/>
            <w:vAlign w:val="center"/>
          </w:tcPr>
          <w:p>
            <w:pPr>
              <w:pStyle w:val="TableContents"/>
              <w:spacing w:before="0" w:after="0"/>
              <w:jc w:val="right"/>
              <w:rPr>
                <w:b/>
                <w:spacing w:val="0"/>
              </w:rPr>
            </w:pPr>
            <w:r>
              <w:rPr>
                <w:b/>
                <w:spacing w:val="0"/>
              </w:rPr>
              <w:t>0</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0"/>
              <w:rPr>
                <w:spacing w:val="0"/>
              </w:rPr>
            </w:pPr>
            <w:r>
              <w:rPr>
                <w:spacing w:val="0"/>
              </w:rPr>
              <w:t> </w:t>
            </w:r>
          </w:p>
        </w:tc>
        <w:tc>
          <w:tcPr>
            <w:tcW w:w="1732" w:type="dxa"/>
            <w:tcBorders/>
            <w:shd w:fill="CCEEFF" w:val="clear"/>
            <w:vAlign w:val="center"/>
          </w:tcPr>
          <w:p>
            <w:pPr>
              <w:pStyle w:val="TableContents"/>
              <w:spacing w:before="0" w:after="0"/>
              <w:jc w:val="right"/>
              <w:rPr>
                <w:b/>
                <w:spacing w:val="0"/>
              </w:rPr>
            </w:pPr>
            <w:r>
              <w:rPr>
                <w:b/>
                <w:spacing w:val="0"/>
              </w:rPr>
              <w:t>0</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0"/>
              <w:rPr>
                <w:spacing w:val="0"/>
              </w:rPr>
            </w:pPr>
            <w:r>
              <w:rPr>
                <w:spacing w:val="0"/>
              </w:rPr>
              <w:t> </w:t>
            </w:r>
          </w:p>
        </w:tc>
        <w:tc>
          <w:tcPr>
            <w:tcW w:w="1712" w:type="dxa"/>
            <w:tcBorders/>
            <w:shd w:fill="CCEEFF" w:val="clear"/>
            <w:vAlign w:val="center"/>
          </w:tcPr>
          <w:p>
            <w:pPr>
              <w:pStyle w:val="TableContents"/>
              <w:spacing w:before="0" w:after="0"/>
              <w:jc w:val="right"/>
              <w:rPr>
                <w:b/>
                <w:spacing w:val="0"/>
              </w:rPr>
            </w:pPr>
            <w:r>
              <w:rPr>
                <w:b/>
                <w:spacing w:val="0"/>
              </w:rPr>
              <w:t>18</w:t>
            </w:r>
          </w:p>
        </w:tc>
        <w:tc>
          <w:tcPr>
            <w:tcW w:w="75" w:type="dxa"/>
            <w:tcBorders/>
            <w:shd w:fill="CCEEFF" w:val="clear"/>
            <w:vAlign w:val="center"/>
          </w:tcPr>
          <w:p>
            <w:pPr>
              <w:pStyle w:val="TableContents"/>
              <w:spacing w:before="0" w:after="0"/>
              <w:rPr>
                <w:spacing w:val="0"/>
              </w:rPr>
            </w:pPr>
            <w:r>
              <w:rPr>
                <w:spacing w:val="0"/>
              </w:rPr>
              <w:t> </w:t>
            </w:r>
          </w:p>
        </w:tc>
      </w:tr>
      <w:tr>
        <w:trPr/>
        <w:tc>
          <w:tcPr>
            <w:tcW w:w="39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FINANCIAL EXPENSES</w:t>
            </w:r>
          </w:p>
        </w:tc>
        <w:tc>
          <w:tcPr>
            <w:tcW w:w="12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73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73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9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Interest and similar expenses on loans</w:t>
            </w:r>
          </w:p>
        </w:tc>
        <w:tc>
          <w:tcPr>
            <w:tcW w:w="12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1732" w:type="dxa"/>
            <w:tcBorders/>
            <w:shd w:fill="CCEEFF" w:val="clear"/>
            <w:vAlign w:val="center"/>
          </w:tcPr>
          <w:p>
            <w:pPr>
              <w:pStyle w:val="TableContents"/>
              <w:spacing w:before="0" w:after="283"/>
              <w:jc w:val="right"/>
              <w:rPr/>
            </w:pPr>
            <w:r>
              <w:rPr/>
              <w:t>-2,403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1732" w:type="dxa"/>
            <w:tcBorders/>
            <w:shd w:fill="CCEEFF" w:val="clear"/>
            <w:vAlign w:val="center"/>
          </w:tcPr>
          <w:p>
            <w:pPr>
              <w:pStyle w:val="TableContents"/>
              <w:spacing w:before="0" w:after="283"/>
              <w:jc w:val="right"/>
              <w:rPr/>
            </w:pPr>
            <w:r>
              <w:rPr/>
              <w:t>-2,196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-918</w:t>
            </w:r>
          </w:p>
        </w:tc>
        <w:tc>
          <w:tcPr>
            <w:tcW w:w="75" w:type="dxa"/>
            <w:tcBorders/>
            <w:shd w:fill="CCEEFF" w:val="clear"/>
            <w:vAlign w:val="center"/>
          </w:tcPr>
          <w:p>
            <w:pPr>
              <w:pStyle w:val="TableContents"/>
              <w:spacing w:before="0" w:after="283"/>
              <w:rPr/>
            </w:pPr>
            <w:r>
              <w:rPr/>
              <w:t> </w:t>
            </w:r>
          </w:p>
        </w:tc>
      </w:tr>
      <w:tr>
        <w:trPr/>
        <w:tc>
          <w:tcPr>
            <w:tcW w:w="39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Interest on lease obligations</w:t>
            </w:r>
          </w:p>
        </w:tc>
        <w:tc>
          <w:tcPr>
            <w:tcW w:w="12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732" w:type="dxa"/>
            <w:tcBorders/>
            <w:shd w:fill="auto" w:val="clear"/>
            <w:vAlign w:val="center"/>
          </w:tcPr>
          <w:p>
            <w:pPr>
              <w:pStyle w:val="TableContents"/>
              <w:spacing w:before="0" w:after="283"/>
              <w:jc w:val="right"/>
              <w:rPr/>
            </w:pPr>
            <w:r>
              <w:rPr/>
              <w:t>-229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732" w:type="dxa"/>
            <w:tcBorders/>
            <w:shd w:fill="auto" w:val="clear"/>
            <w:vAlign w:val="center"/>
          </w:tcPr>
          <w:p>
            <w:pPr>
              <w:pStyle w:val="TableContents"/>
              <w:spacing w:before="0" w:after="283"/>
              <w:jc w:val="right"/>
              <w:rPr/>
            </w:pPr>
            <w:r>
              <w:rPr/>
              <w:t>-185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-137</w:t>
            </w:r>
          </w:p>
        </w:tc>
        <w:tc>
          <w:tcPr>
            <w:tcW w:w="75" w:type="dxa"/>
            <w:tcBorders/>
            <w:shd w:fill="auto" w:val="clear"/>
            <w:vAlign w:val="center"/>
          </w:tcPr>
          <w:p>
            <w:pPr>
              <w:pStyle w:val="TableContents"/>
              <w:spacing w:before="0" w:after="283"/>
              <w:rPr/>
            </w:pPr>
            <w:r>
              <w:rPr/>
              <w:t> </w:t>
            </w:r>
          </w:p>
        </w:tc>
      </w:tr>
      <w:tr>
        <w:trPr/>
        <w:tc>
          <w:tcPr>
            <w:tcW w:w="39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Borrowing costs capitalized in accordance with IAS 23</w:t>
            </w:r>
          </w:p>
        </w:tc>
        <w:tc>
          <w:tcPr>
            <w:tcW w:w="12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1732" w:type="dxa"/>
            <w:tcBorders/>
            <w:shd w:fill="CCEEFF" w:val="clear"/>
            <w:vAlign w:val="center"/>
          </w:tcPr>
          <w:p>
            <w:pPr>
              <w:pStyle w:val="TableContents"/>
              <w:spacing w:before="0" w:after="283"/>
              <w:jc w:val="right"/>
              <w:rPr/>
            </w:pPr>
            <w:r>
              <w:rPr/>
              <w:t>87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1732" w:type="dxa"/>
            <w:tcBorders/>
            <w:shd w:fill="CCEEFF" w:val="clear"/>
            <w:vAlign w:val="center"/>
          </w:tcPr>
          <w:p>
            <w:pPr>
              <w:pStyle w:val="TableContents"/>
              <w:spacing w:before="0" w:after="283"/>
              <w:jc w:val="right"/>
              <w:rPr/>
            </w:pPr>
            <w:r>
              <w:rPr/>
              <w:t>233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1,055</w:t>
            </w:r>
          </w:p>
        </w:tc>
        <w:tc>
          <w:tcPr>
            <w:tcW w:w="75" w:type="dxa"/>
            <w:tcBorders/>
            <w:shd w:fill="CCEEFF" w:val="clear"/>
            <w:vAlign w:val="center"/>
          </w:tcPr>
          <w:p>
            <w:pPr>
              <w:pStyle w:val="TableContents"/>
              <w:spacing w:before="0" w:after="283"/>
              <w:rPr/>
            </w:pPr>
            <w:r>
              <w:rPr/>
              <w:t> </w:t>
            </w:r>
          </w:p>
        </w:tc>
      </w:tr>
      <w:tr>
        <w:trPr/>
        <w:tc>
          <w:tcPr>
            <w:tcW w:w="396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0"/>
              <w:rPr>
                <w:spacing w:val="0"/>
              </w:rPr>
            </w:pPr>
            <w:r>
              <w:rPr>
                <w:spacing w:val="0"/>
              </w:rPr>
              <w:t> </w:t>
            </w:r>
          </w:p>
        </w:tc>
        <w:tc>
          <w:tcPr>
            <w:tcW w:w="1732" w:type="dxa"/>
            <w:tcBorders/>
            <w:shd w:fill="auto" w:val="clear"/>
            <w:vAlign w:val="center"/>
          </w:tcPr>
          <w:p>
            <w:pPr>
              <w:pStyle w:val="TableContents"/>
              <w:spacing w:before="0" w:after="0"/>
              <w:jc w:val="right"/>
              <w:rPr>
                <w:b/>
                <w:spacing w:val="0"/>
              </w:rPr>
            </w:pPr>
            <w:r>
              <w:rPr>
                <w:b/>
                <w:spacing w:val="0"/>
              </w:rPr>
              <w:t>-2,545</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0"/>
              <w:rPr>
                <w:spacing w:val="0"/>
              </w:rPr>
            </w:pPr>
            <w:r>
              <w:rPr>
                <w:spacing w:val="0"/>
              </w:rPr>
              <w:t> </w:t>
            </w:r>
          </w:p>
        </w:tc>
        <w:tc>
          <w:tcPr>
            <w:tcW w:w="1732" w:type="dxa"/>
            <w:tcBorders/>
            <w:shd w:fill="auto" w:val="clear"/>
            <w:vAlign w:val="center"/>
          </w:tcPr>
          <w:p>
            <w:pPr>
              <w:pStyle w:val="TableContents"/>
              <w:spacing w:before="0" w:after="0"/>
              <w:jc w:val="right"/>
              <w:rPr>
                <w:b/>
                <w:spacing w:val="0"/>
              </w:rPr>
            </w:pPr>
            <w:r>
              <w:rPr>
                <w:b/>
                <w:spacing w:val="0"/>
              </w:rPr>
              <w:t>-2,148</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0"/>
              <w:rPr>
                <w:spacing w:val="0"/>
              </w:rPr>
            </w:pPr>
            <w:r>
              <w:rPr>
                <w:spacing w:val="0"/>
              </w:rPr>
              <w:t> </w:t>
            </w:r>
          </w:p>
        </w:tc>
        <w:tc>
          <w:tcPr>
            <w:tcW w:w="1712" w:type="dxa"/>
            <w:tcBorders/>
            <w:shd w:fill="auto" w:val="clear"/>
            <w:vAlign w:val="center"/>
          </w:tcPr>
          <w:p>
            <w:pPr>
              <w:pStyle w:val="TableContents"/>
              <w:spacing w:before="0" w:after="0"/>
              <w:jc w:val="right"/>
              <w:rPr>
                <w:b/>
                <w:spacing w:val="0"/>
              </w:rPr>
            </w:pPr>
            <w:r>
              <w:rPr>
                <w:b/>
                <w:spacing w:val="0"/>
              </w:rPr>
              <w:t>0</w:t>
            </w:r>
          </w:p>
        </w:tc>
        <w:tc>
          <w:tcPr>
            <w:tcW w:w="75" w:type="dxa"/>
            <w:tcBorders/>
            <w:shd w:fill="auto" w:val="clear"/>
            <w:vAlign w:val="center"/>
          </w:tcPr>
          <w:p>
            <w:pPr>
              <w:pStyle w:val="TableContents"/>
              <w:spacing w:before="0" w:after="0"/>
              <w:rPr>
                <w:spacing w:val="0"/>
              </w:rPr>
            </w:pPr>
            <w:r>
              <w:rPr>
                <w:spacing w:val="0"/>
              </w:rPr>
              <w:t> </w:t>
            </w:r>
          </w:p>
        </w:tc>
      </w:tr>
      <w:tr>
        <w:trPr/>
        <w:tc>
          <w:tcPr>
            <w:tcW w:w="39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foreign exchange gain (loss)</w:t>
            </w:r>
          </w:p>
        </w:tc>
        <w:tc>
          <w:tcPr>
            <w:tcW w:w="12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1732" w:type="dxa"/>
            <w:tcBorders/>
            <w:shd w:fill="CCEEFF" w:val="clear"/>
            <w:vAlign w:val="center"/>
          </w:tcPr>
          <w:p>
            <w:pPr>
              <w:pStyle w:val="TableContents"/>
              <w:spacing w:before="0" w:after="283"/>
              <w:jc w:val="right"/>
              <w:rPr/>
            </w:pPr>
            <w:r>
              <w:rPr/>
              <w:t>2,574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1732" w:type="dxa"/>
            <w:tcBorders/>
            <w:shd w:fill="CCEEFF" w:val="clear"/>
            <w:vAlign w:val="center"/>
          </w:tcPr>
          <w:p>
            <w:pPr>
              <w:pStyle w:val="TableContents"/>
              <w:spacing w:before="0" w:after="283"/>
              <w:jc w:val="right"/>
              <w:rPr/>
            </w:pPr>
            <w:r>
              <w:rPr/>
              <w:t>826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-531</w:t>
            </w:r>
          </w:p>
        </w:tc>
        <w:tc>
          <w:tcPr>
            <w:tcW w:w="75" w:type="dxa"/>
            <w:tcBorders/>
            <w:shd w:fill="CCEEFF" w:val="clear"/>
            <w:vAlign w:val="center"/>
          </w:tcPr>
          <w:p>
            <w:pPr>
              <w:pStyle w:val="TableContents"/>
              <w:spacing w:before="0" w:after="283"/>
              <w:rPr/>
            </w:pPr>
            <w:r>
              <w:rPr/>
              <w:t> </w:t>
            </w:r>
          </w:p>
        </w:tc>
      </w:tr>
      <w:tr>
        <w:trPr/>
        <w:tc>
          <w:tcPr>
            <w:tcW w:w="396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0"/>
              <w:rPr>
                <w:spacing w:val="0"/>
              </w:rPr>
            </w:pPr>
            <w:r>
              <w:rPr>
                <w:spacing w:val="0"/>
              </w:rPr>
              <w:t> </w:t>
            </w:r>
          </w:p>
        </w:tc>
        <w:tc>
          <w:tcPr>
            <w:tcW w:w="1732" w:type="dxa"/>
            <w:tcBorders/>
            <w:shd w:fill="auto" w:val="clear"/>
            <w:vAlign w:val="center"/>
          </w:tcPr>
          <w:p>
            <w:pPr>
              <w:pStyle w:val="TableContents"/>
              <w:spacing w:before="0" w:after="0"/>
              <w:jc w:val="right"/>
              <w:rPr>
                <w:b/>
                <w:spacing w:val="0"/>
              </w:rPr>
            </w:pPr>
            <w:r>
              <w:rPr>
                <w:b/>
                <w:spacing w:val="0"/>
              </w:rPr>
              <w:t>29</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0"/>
              <w:rPr>
                <w:spacing w:val="0"/>
              </w:rPr>
            </w:pPr>
            <w:r>
              <w:rPr>
                <w:spacing w:val="0"/>
              </w:rPr>
              <w:t> </w:t>
            </w:r>
          </w:p>
        </w:tc>
        <w:tc>
          <w:tcPr>
            <w:tcW w:w="1732" w:type="dxa"/>
            <w:tcBorders/>
            <w:shd w:fill="auto" w:val="clear"/>
            <w:vAlign w:val="center"/>
          </w:tcPr>
          <w:p>
            <w:pPr>
              <w:pStyle w:val="TableContents"/>
              <w:spacing w:before="0" w:after="0"/>
              <w:jc w:val="right"/>
              <w:rPr>
                <w:b/>
                <w:spacing w:val="0"/>
              </w:rPr>
            </w:pPr>
            <w:r>
              <w:rPr>
                <w:b/>
                <w:spacing w:val="0"/>
              </w:rPr>
              <w:t>-1,322</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0"/>
              <w:rPr>
                <w:spacing w:val="0"/>
              </w:rPr>
            </w:pPr>
            <w:r>
              <w:rPr>
                <w:spacing w:val="0"/>
              </w:rPr>
              <w:t> </w:t>
            </w:r>
          </w:p>
        </w:tc>
        <w:tc>
          <w:tcPr>
            <w:tcW w:w="1712" w:type="dxa"/>
            <w:tcBorders/>
            <w:shd w:fill="auto" w:val="clear"/>
            <w:vAlign w:val="center"/>
          </w:tcPr>
          <w:p>
            <w:pPr>
              <w:pStyle w:val="TableContents"/>
              <w:spacing w:before="0" w:after="0"/>
              <w:jc w:val="right"/>
              <w:rPr>
                <w:b/>
                <w:spacing w:val="0"/>
              </w:rPr>
            </w:pPr>
            <w:r>
              <w:rPr>
                <w:b/>
                <w:spacing w:val="0"/>
              </w:rPr>
              <w:t>-513</w:t>
            </w:r>
          </w:p>
        </w:tc>
        <w:tc>
          <w:tcPr>
            <w:tcW w:w="75" w:type="dxa"/>
            <w:tcBorders/>
            <w:shd w:fill="auto" w:val="clear"/>
            <w:vAlign w:val="center"/>
          </w:tcPr>
          <w:p>
            <w:pPr>
              <w:pStyle w:val="TableContents"/>
              <w:spacing w:before="0" w:after="0"/>
              <w:rPr>
                <w:spacing w:val="0"/>
              </w:rPr>
            </w:pPr>
            <w:r>
              <w:rPr>
                <w:spacing w:val="0"/>
              </w:rPr>
              <w:t>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Borrowing costs capitalized as the cost in accordance with IAS 23 are as follows: </w:t>
      </w:r>
    </w:p>
    <w:p>
      <w:pPr>
        <w:pStyle w:val="TextBody"/>
        <w:spacing w:before="0" w:after="0"/>
        <w:jc w:val="left"/>
        <w:rPr>
          <w:highlight w:val="white"/>
        </w:rPr>
      </w:pPr>
      <w:r>
        <w:rPr>
          <w:highlight w:val="white"/>
        </w:rPr>
        <w:t> </w:t>
      </w:r>
    </w:p>
    <w:tbl>
      <w:tblPr>
        <w:tblW w:w="9470" w:type="dxa"/>
        <w:jc w:val="left"/>
        <w:tblInd w:w="0" w:type="dxa"/>
        <w:tblCellMar>
          <w:top w:w="0" w:type="dxa"/>
          <w:left w:w="0" w:type="dxa"/>
          <w:bottom w:w="0" w:type="dxa"/>
          <w:right w:w="0" w:type="dxa"/>
        </w:tblCellMar>
      </w:tblPr>
      <w:tblGrid>
        <w:gridCol w:w="2705"/>
        <w:gridCol w:w="120"/>
        <w:gridCol w:w="183"/>
        <w:gridCol w:w="1712"/>
        <w:gridCol w:w="275"/>
        <w:gridCol w:w="60"/>
        <w:gridCol w:w="183"/>
        <w:gridCol w:w="1712"/>
        <w:gridCol w:w="275"/>
        <w:gridCol w:w="60"/>
        <w:gridCol w:w="183"/>
        <w:gridCol w:w="1712"/>
        <w:gridCol w:w="290"/>
      </w:tblGrid>
      <w:tr>
        <w:trPr/>
        <w:tc>
          <w:tcPr>
            <w:tcW w:w="27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27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355" w:type="dxa"/>
            <w:gridSpan w:val="10"/>
            <w:tcBorders/>
            <w:shd w:fill="auto" w:val="clear"/>
            <w:vAlign w:val="center"/>
          </w:tcPr>
          <w:p>
            <w:pPr>
              <w:pStyle w:val="TableContents"/>
              <w:spacing w:before="0" w:after="283"/>
              <w:jc w:val="center"/>
              <w:rPr/>
            </w:pPr>
            <w:r>
              <w:rPr/>
              <w:t>For the years ended</w:t>
            </w:r>
          </w:p>
        </w:tc>
        <w:tc>
          <w:tcPr>
            <w:tcW w:w="290" w:type="dxa"/>
            <w:tcBorders/>
            <w:shd w:fill="auto" w:val="clear"/>
            <w:vAlign w:val="center"/>
          </w:tcPr>
          <w:p>
            <w:pPr>
              <w:pStyle w:val="TableContents"/>
              <w:spacing w:before="0" w:after="283"/>
              <w:rPr/>
            </w:pPr>
            <w:r>
              <w:rPr/>
              <w:t> </w:t>
            </w:r>
          </w:p>
        </w:tc>
      </w:tr>
      <w:tr>
        <w:trPr/>
        <w:tc>
          <w:tcPr>
            <w:tcW w:w="2705"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2020</w:t>
            </w:r>
          </w:p>
        </w:tc>
        <w:tc>
          <w:tcPr>
            <w:tcW w:w="290" w:type="dxa"/>
            <w:tcBorders/>
            <w:shd w:fill="auto" w:val="clear"/>
            <w:vAlign w:val="center"/>
          </w:tcPr>
          <w:p>
            <w:pPr>
              <w:pStyle w:val="TableContents"/>
              <w:spacing w:before="0" w:after="283"/>
              <w:rPr/>
            </w:pPr>
            <w:r>
              <w:rPr/>
              <w:t> </w:t>
            </w:r>
          </w:p>
        </w:tc>
      </w:tr>
      <w:tr>
        <w:trPr/>
        <w:tc>
          <w:tcPr>
            <w:tcW w:w="27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finance expenses</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2,632</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2,381</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1,055</w:t>
            </w:r>
          </w:p>
        </w:tc>
        <w:tc>
          <w:tcPr>
            <w:tcW w:w="290" w:type="dxa"/>
            <w:tcBorders/>
            <w:shd w:fill="CCEEFF" w:val="clear"/>
            <w:vAlign w:val="center"/>
          </w:tcPr>
          <w:p>
            <w:pPr>
              <w:pStyle w:val="TableContents"/>
              <w:spacing w:before="0" w:after="283"/>
              <w:rPr/>
            </w:pPr>
            <w:r>
              <w:rPr/>
              <w:t> </w:t>
            </w:r>
          </w:p>
        </w:tc>
      </w:tr>
      <w:tr>
        <w:trPr/>
        <w:tc>
          <w:tcPr>
            <w:tcW w:w="27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Thereof capitalized as the cost of</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r>
      <w:tr>
        <w:trPr/>
        <w:tc>
          <w:tcPr>
            <w:tcW w:w="27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Development projects</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56</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79</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1,010</w:t>
            </w:r>
          </w:p>
        </w:tc>
        <w:tc>
          <w:tcPr>
            <w:tcW w:w="290" w:type="dxa"/>
            <w:tcBorders/>
            <w:shd w:fill="CCEEFF" w:val="clear"/>
            <w:vAlign w:val="center"/>
          </w:tcPr>
          <w:p>
            <w:pPr>
              <w:pStyle w:val="TableContents"/>
              <w:spacing w:before="0" w:after="283"/>
              <w:rPr/>
            </w:pPr>
            <w:r>
              <w:rPr/>
              <w:t> </w:t>
            </w:r>
          </w:p>
        </w:tc>
      </w:tr>
      <w:tr>
        <w:trPr/>
        <w:tc>
          <w:tcPr>
            <w:tcW w:w="27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Construction in progress</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32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154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45</w:t>
            </w:r>
          </w:p>
        </w:tc>
        <w:tc>
          <w:tcPr>
            <w:tcW w:w="290" w:type="dxa"/>
            <w:tcBorders/>
            <w:shd w:fill="auto" w:val="clear"/>
            <w:vAlign w:val="center"/>
          </w:tcPr>
          <w:p>
            <w:pPr>
              <w:pStyle w:val="TableContents"/>
              <w:spacing w:before="0" w:after="283"/>
              <w:rPr/>
            </w:pPr>
            <w:r>
              <w:rPr/>
              <w:t> </w:t>
            </w:r>
          </w:p>
        </w:tc>
      </w:tr>
      <w:tr>
        <w:trPr/>
        <w:tc>
          <w:tcPr>
            <w:tcW w:w="27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Capitalization rate p.a.</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9.08</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22.06</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10.69</w:t>
            </w:r>
          </w:p>
        </w:tc>
        <w:tc>
          <w:tcPr>
            <w:tcW w:w="290" w:type="dxa"/>
            <w:tcBorders/>
            <w:shd w:fill="CCEEFF"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F-2</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7</w:t>
      </w:r>
    </w:p>
    <w:p>
      <w:pPr>
        <w:pStyle w:val="HorizontalLine"/>
        <w:rPr/>
      </w:pPr>
      <w:r>
        <w:rPr/>
      </w:r>
    </w:p>
    <w:p>
      <w:pPr>
        <w:pStyle w:val="TextBody"/>
        <w:spacing w:before="0" w:after="0"/>
        <w:rPr/>
      </w:pPr>
      <w:hyperlink w:anchor="toc">
        <w:r>
          <w:rPr>
            <w:rStyle w:val="InternetLink"/>
            <w:highlight w:val="white"/>
          </w:rPr>
          <w:t>Table of Contents</w:t>
        </w:r>
      </w:hyperlink>
    </w:p>
    <w:tbl>
      <w:tblPr>
        <w:tblW w:w="1600" w:type="dxa"/>
        <w:jc w:val="left"/>
        <w:tblInd w:w="0" w:type="dxa"/>
        <w:tblCellMar>
          <w:top w:w="0" w:type="dxa"/>
          <w:left w:w="0" w:type="dxa"/>
          <w:bottom w:w="0" w:type="dxa"/>
          <w:right w:w="0" w:type="dxa"/>
        </w:tblCellMar>
      </w:tblPr>
      <w:tblGrid>
        <w:gridCol w:w="335"/>
        <w:gridCol w:w="1265"/>
      </w:tblGrid>
      <w:tr>
        <w:trPr/>
        <w:tc>
          <w:tcPr>
            <w:tcW w:w="335" w:type="dxa"/>
            <w:tcBorders/>
            <w:shd w:fill="auto" w:val="clear"/>
            <w:vAlign w:val="center"/>
          </w:tcPr>
          <w:p>
            <w:pPr>
              <w:pStyle w:val="TableContents"/>
              <w:spacing w:before="0" w:after="0"/>
              <w:jc w:val="left"/>
              <w:rPr>
                <w:b/>
                <w:spacing w:val="0"/>
              </w:rPr>
            </w:pPr>
            <w:r>
              <w:rPr>
                <w:b/>
                <w:spacing w:val="0"/>
              </w:rPr>
              <w:t>15.</w:t>
            </w:r>
          </w:p>
        </w:tc>
        <w:tc>
          <w:tcPr>
            <w:tcW w:w="126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6158"/>
        <w:gridCol w:w="60"/>
        <w:gridCol w:w="139"/>
        <w:gridCol w:w="1756"/>
        <w:gridCol w:w="60"/>
        <w:gridCol w:w="60"/>
        <w:gridCol w:w="139"/>
        <w:gridCol w:w="1756"/>
        <w:gridCol w:w="77"/>
      </w:tblGrid>
      <w:tr>
        <w:trPr/>
        <w:tc>
          <w:tcPr>
            <w:tcW w:w="61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615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910" w:type="dxa"/>
            <w:gridSpan w:val="6"/>
            <w:tcBorders/>
            <w:shd w:fill="auto" w:val="clear"/>
            <w:vAlign w:val="center"/>
          </w:tcPr>
          <w:p>
            <w:pPr>
              <w:pStyle w:val="TableContents"/>
              <w:spacing w:before="0" w:after="283"/>
              <w:jc w:val="center"/>
              <w:rPr/>
            </w:pPr>
            <w:r>
              <w:rPr/>
              <w:t>For the years ended</w:t>
            </w:r>
          </w:p>
        </w:tc>
        <w:tc>
          <w:tcPr>
            <w:tcW w:w="77" w:type="dxa"/>
            <w:tcBorders/>
            <w:shd w:fill="auto" w:val="clear"/>
            <w:vAlign w:val="center"/>
          </w:tcPr>
          <w:p>
            <w:pPr>
              <w:pStyle w:val="TableContents"/>
              <w:spacing w:before="0" w:after="283"/>
              <w:rPr/>
            </w:pPr>
            <w:r>
              <w:rPr/>
              <w:t> </w:t>
            </w:r>
          </w:p>
        </w:tc>
      </w:tr>
      <w:tr>
        <w:trPr/>
        <w:tc>
          <w:tcPr>
            <w:tcW w:w="6158" w:type="dxa"/>
            <w:tcBorders/>
            <w:shd w:fill="auto" w:val="clear"/>
            <w:vAlign w:val="center"/>
          </w:tcPr>
          <w:p>
            <w:pPr>
              <w:pStyle w:val="TableContents"/>
              <w:spacing w:before="0" w:after="283"/>
              <w:rPr/>
            </w:pPr>
            <w:r>
              <w:rPr/>
              <w:t xml:space="preserve">€ </w:t>
            </w:r>
            <w:r>
              <w:rPr/>
              <w:t>thousand</w:t>
            </w:r>
          </w:p>
        </w:tc>
        <w:tc>
          <w:tcPr>
            <w:tcW w:w="6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2021</w:t>
            </w:r>
          </w:p>
        </w:tc>
        <w:tc>
          <w:tcPr>
            <w:tcW w:w="77" w:type="dxa"/>
            <w:tcBorders/>
            <w:shd w:fill="auto" w:val="clear"/>
            <w:vAlign w:val="center"/>
          </w:tcPr>
          <w:p>
            <w:pPr>
              <w:pStyle w:val="TableContents"/>
              <w:spacing w:before="0" w:after="283"/>
              <w:rPr/>
            </w:pPr>
            <w:r>
              <w:rPr/>
              <w:t> </w:t>
            </w:r>
          </w:p>
        </w:tc>
      </w:tr>
      <w:tr>
        <w:trPr/>
        <w:tc>
          <w:tcPr>
            <w:tcW w:w="6158"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Loss before taxes</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1756" w:type="dxa"/>
            <w:tcBorders/>
            <w:shd w:fill="CCEEFF" w:val="clear"/>
            <w:vAlign w:val="center"/>
          </w:tcPr>
          <w:p>
            <w:pPr>
              <w:pStyle w:val="TableContents"/>
              <w:spacing w:before="0" w:after="283"/>
              <w:jc w:val="right"/>
              <w:rPr/>
            </w:pPr>
            <w:r>
              <w:rPr/>
              <w:t>-73,806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1756" w:type="dxa"/>
            <w:tcBorders/>
            <w:shd w:fill="CCEEFF" w:val="clear"/>
            <w:vAlign w:val="center"/>
          </w:tcPr>
          <w:p>
            <w:pPr>
              <w:pStyle w:val="TableContents"/>
              <w:spacing w:before="0" w:after="283"/>
              <w:jc w:val="right"/>
              <w:rPr/>
            </w:pPr>
            <w:r>
              <w:rPr/>
              <w:t>-43,686</w:t>
            </w:r>
          </w:p>
        </w:tc>
        <w:tc>
          <w:tcPr>
            <w:tcW w:w="77" w:type="dxa"/>
            <w:tcBorders/>
            <w:shd w:fill="CCEEFF" w:val="clear"/>
            <w:vAlign w:val="center"/>
          </w:tcPr>
          <w:p>
            <w:pPr>
              <w:pStyle w:val="TableContents"/>
              <w:spacing w:before="0" w:after="283"/>
              <w:rPr/>
            </w:pPr>
            <w:r>
              <w:rPr/>
              <w:t> </w:t>
            </w:r>
          </w:p>
        </w:tc>
      </w:tr>
      <w:tr>
        <w:trPr/>
        <w:tc>
          <w:tcPr>
            <w:tcW w:w="6158"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Expected taxes applying the domestic tax rate of 27.725% (previous year: 27.725%)</w:t>
            </w:r>
          </w:p>
        </w:tc>
        <w:tc>
          <w:tcPr>
            <w:tcW w:w="6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756" w:type="dxa"/>
            <w:tcBorders/>
            <w:shd w:fill="auto" w:val="clear"/>
            <w:vAlign w:val="center"/>
          </w:tcPr>
          <w:p>
            <w:pPr>
              <w:pStyle w:val="TableContents"/>
              <w:spacing w:before="0" w:after="283"/>
              <w:jc w:val="right"/>
              <w:rPr/>
            </w:pPr>
            <w:r>
              <w:rPr/>
              <w:t>-20,463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756" w:type="dxa"/>
            <w:tcBorders/>
            <w:shd w:fill="auto" w:val="clear"/>
            <w:vAlign w:val="center"/>
          </w:tcPr>
          <w:p>
            <w:pPr>
              <w:pStyle w:val="TableContents"/>
              <w:spacing w:before="0" w:after="283"/>
              <w:jc w:val="right"/>
              <w:rPr/>
            </w:pPr>
            <w:r>
              <w:rPr/>
              <w:t>-12,112</w:t>
            </w:r>
          </w:p>
        </w:tc>
        <w:tc>
          <w:tcPr>
            <w:tcW w:w="77" w:type="dxa"/>
            <w:tcBorders/>
            <w:shd w:fill="auto" w:val="clear"/>
            <w:vAlign w:val="center"/>
          </w:tcPr>
          <w:p>
            <w:pPr>
              <w:pStyle w:val="TableContents"/>
              <w:spacing w:before="0" w:after="283"/>
              <w:rPr/>
            </w:pPr>
            <w:r>
              <w:rPr/>
              <w:t> </w:t>
            </w:r>
          </w:p>
        </w:tc>
      </w:tr>
      <w:tr>
        <w:trPr/>
        <w:tc>
          <w:tcPr>
            <w:tcW w:w="6158"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Foreign tax rate differential</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1756" w:type="dxa"/>
            <w:tcBorders/>
            <w:shd w:fill="CCEEFF" w:val="clear"/>
            <w:vAlign w:val="center"/>
          </w:tcPr>
          <w:p>
            <w:pPr>
              <w:pStyle w:val="TableContents"/>
              <w:spacing w:before="0" w:after="283"/>
              <w:jc w:val="right"/>
              <w:rPr/>
            </w:pPr>
            <w:r>
              <w:rPr/>
              <w:t>-19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1756" w:type="dxa"/>
            <w:tcBorders/>
            <w:shd w:fill="CCEEFF" w:val="clear"/>
            <w:vAlign w:val="center"/>
          </w:tcPr>
          <w:p>
            <w:pPr>
              <w:pStyle w:val="TableContents"/>
              <w:spacing w:before="0" w:after="283"/>
              <w:jc w:val="right"/>
              <w:rPr/>
            </w:pPr>
            <w:r>
              <w:rPr/>
              <w:t>-85</w:t>
            </w:r>
          </w:p>
        </w:tc>
        <w:tc>
          <w:tcPr>
            <w:tcW w:w="77" w:type="dxa"/>
            <w:tcBorders/>
            <w:shd w:fill="CCEEFF" w:val="clear"/>
            <w:vAlign w:val="center"/>
          </w:tcPr>
          <w:p>
            <w:pPr>
              <w:pStyle w:val="TableContents"/>
              <w:spacing w:before="0" w:after="283"/>
              <w:rPr/>
            </w:pPr>
            <w:r>
              <w:rPr/>
              <w:t> </w:t>
            </w:r>
          </w:p>
        </w:tc>
      </w:tr>
      <w:tr>
        <w:trPr/>
        <w:tc>
          <w:tcPr>
            <w:tcW w:w="6158"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Tax effect of expenses that are not deductible for tax purposes / tax adjustments</w:t>
            </w:r>
          </w:p>
        </w:tc>
        <w:tc>
          <w:tcPr>
            <w:tcW w:w="6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756" w:type="dxa"/>
            <w:tcBorders/>
            <w:shd w:fill="auto" w:val="clear"/>
            <w:vAlign w:val="center"/>
          </w:tcPr>
          <w:p>
            <w:pPr>
              <w:pStyle w:val="TableContents"/>
              <w:spacing w:before="0" w:after="283"/>
              <w:jc w:val="right"/>
              <w:rPr/>
            </w:pPr>
            <w:r>
              <w:rPr/>
              <w:t>267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756" w:type="dxa"/>
            <w:tcBorders/>
            <w:shd w:fill="auto" w:val="clear"/>
            <w:vAlign w:val="center"/>
          </w:tcPr>
          <w:p>
            <w:pPr>
              <w:pStyle w:val="TableContents"/>
              <w:spacing w:before="0" w:after="283"/>
              <w:jc w:val="right"/>
              <w:rPr/>
            </w:pPr>
            <w:r>
              <w:rPr/>
              <w:t>192</w:t>
            </w:r>
          </w:p>
        </w:tc>
        <w:tc>
          <w:tcPr>
            <w:tcW w:w="77" w:type="dxa"/>
            <w:tcBorders/>
            <w:shd w:fill="auto" w:val="clear"/>
            <w:vAlign w:val="center"/>
          </w:tcPr>
          <w:p>
            <w:pPr>
              <w:pStyle w:val="TableContents"/>
              <w:spacing w:before="0" w:after="283"/>
              <w:rPr/>
            </w:pPr>
            <w:r>
              <w:rPr/>
              <w:t> </w:t>
            </w:r>
          </w:p>
        </w:tc>
      </w:tr>
      <w:tr>
        <w:trPr/>
        <w:tc>
          <w:tcPr>
            <w:tcW w:w="6158"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Tax effect from losses incurred in the current year and deductible temporary differences for which no deferred taxes were recognized</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1756" w:type="dxa"/>
            <w:tcBorders/>
            <w:shd w:fill="CCEEFF" w:val="clear"/>
            <w:vAlign w:val="center"/>
          </w:tcPr>
          <w:p>
            <w:pPr>
              <w:pStyle w:val="TableContents"/>
              <w:spacing w:before="0" w:after="283"/>
              <w:jc w:val="right"/>
              <w:rPr/>
            </w:pPr>
            <w:r>
              <w:rPr/>
              <w:t>18,160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1756" w:type="dxa"/>
            <w:tcBorders/>
            <w:shd w:fill="CCEEFF" w:val="clear"/>
            <w:vAlign w:val="center"/>
          </w:tcPr>
          <w:p>
            <w:pPr>
              <w:pStyle w:val="TableContents"/>
              <w:spacing w:before="0" w:after="283"/>
              <w:jc w:val="right"/>
              <w:rPr/>
            </w:pPr>
            <w:r>
              <w:rPr/>
              <w:t>15,650</w:t>
            </w:r>
          </w:p>
        </w:tc>
        <w:tc>
          <w:tcPr>
            <w:tcW w:w="77" w:type="dxa"/>
            <w:tcBorders/>
            <w:shd w:fill="CCEEFF" w:val="clear"/>
            <w:vAlign w:val="center"/>
          </w:tcPr>
          <w:p>
            <w:pPr>
              <w:pStyle w:val="TableContents"/>
              <w:spacing w:before="0" w:after="283"/>
              <w:rPr/>
            </w:pPr>
            <w:r>
              <w:rPr/>
              <w:t> </w:t>
            </w:r>
          </w:p>
        </w:tc>
      </w:tr>
      <w:tr>
        <w:trPr/>
        <w:tc>
          <w:tcPr>
            <w:tcW w:w="6158"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Recognition of previously unrecognized deferred tax assets from deductible temporary differences and on loss carryforwards and reversal of deductible temporary differences / utilization of loss carryforwards for which no deferred taxes were previously recognized</w:t>
            </w:r>
          </w:p>
        </w:tc>
        <w:tc>
          <w:tcPr>
            <w:tcW w:w="6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756" w:type="dxa"/>
            <w:tcBorders/>
            <w:shd w:fill="auto" w:val="clear"/>
            <w:vAlign w:val="center"/>
          </w:tcPr>
          <w:p>
            <w:pPr>
              <w:pStyle w:val="TableContents"/>
              <w:spacing w:before="0" w:after="283"/>
              <w:jc w:val="right"/>
              <w:rPr/>
            </w:pPr>
            <w:r>
              <w:rPr/>
              <w:t>-448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756" w:type="dxa"/>
            <w:tcBorders/>
            <w:shd w:fill="auto" w:val="clear"/>
            <w:vAlign w:val="center"/>
          </w:tcPr>
          <w:p>
            <w:pPr>
              <w:pStyle w:val="TableContents"/>
              <w:spacing w:before="0" w:after="283"/>
              <w:jc w:val="right"/>
              <w:rPr/>
            </w:pPr>
            <w:r>
              <w:rPr/>
              <w:t>0</w:t>
            </w:r>
          </w:p>
        </w:tc>
        <w:tc>
          <w:tcPr>
            <w:tcW w:w="77" w:type="dxa"/>
            <w:tcBorders/>
            <w:shd w:fill="auto" w:val="clear"/>
            <w:vAlign w:val="center"/>
          </w:tcPr>
          <w:p>
            <w:pPr>
              <w:pStyle w:val="TableContents"/>
              <w:spacing w:before="0" w:after="283"/>
              <w:rPr/>
            </w:pPr>
            <w:r>
              <w:rPr/>
              <w:t> </w:t>
            </w:r>
          </w:p>
        </w:tc>
      </w:tr>
      <w:tr>
        <w:trPr/>
        <w:tc>
          <w:tcPr>
            <w:tcW w:w="6158"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Write-up/-down of deferred tax assets</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1756" w:type="dxa"/>
            <w:tcBorders/>
            <w:shd w:fill="CCEEFF" w:val="clear"/>
            <w:vAlign w:val="center"/>
          </w:tcPr>
          <w:p>
            <w:pPr>
              <w:pStyle w:val="TableContents"/>
              <w:spacing w:before="0" w:after="283"/>
              <w:jc w:val="right"/>
              <w:rPr/>
            </w:pPr>
            <w:r>
              <w:rPr/>
              <w:t>451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1756" w:type="dxa"/>
            <w:tcBorders/>
            <w:shd w:fill="CCEEFF" w:val="clear"/>
            <w:vAlign w:val="center"/>
          </w:tcPr>
          <w:p>
            <w:pPr>
              <w:pStyle w:val="TableContents"/>
              <w:spacing w:before="0" w:after="283"/>
              <w:jc w:val="right"/>
              <w:rPr/>
            </w:pPr>
            <w:r>
              <w:rPr/>
              <w:t>-2,123</w:t>
            </w:r>
          </w:p>
        </w:tc>
        <w:tc>
          <w:tcPr>
            <w:tcW w:w="77" w:type="dxa"/>
            <w:tcBorders/>
            <w:shd w:fill="CCEEFF" w:val="clear"/>
            <w:vAlign w:val="center"/>
          </w:tcPr>
          <w:p>
            <w:pPr>
              <w:pStyle w:val="TableContents"/>
              <w:spacing w:before="0" w:after="283"/>
              <w:rPr/>
            </w:pPr>
            <w:r>
              <w:rPr/>
              <w:t> </w:t>
            </w:r>
          </w:p>
        </w:tc>
      </w:tr>
      <w:tr>
        <w:trPr/>
        <w:tc>
          <w:tcPr>
            <w:tcW w:w="6158"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Effect of equity-settled share-based payments</w:t>
            </w:r>
          </w:p>
        </w:tc>
        <w:tc>
          <w:tcPr>
            <w:tcW w:w="6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756" w:type="dxa"/>
            <w:tcBorders/>
            <w:shd w:fill="auto" w:val="clear"/>
            <w:vAlign w:val="center"/>
          </w:tcPr>
          <w:p>
            <w:pPr>
              <w:pStyle w:val="TableContents"/>
              <w:spacing w:before="0" w:after="283"/>
              <w:jc w:val="right"/>
              <w:rPr/>
            </w:pPr>
            <w:r>
              <w:rPr/>
              <w:t>1,629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756" w:type="dxa"/>
            <w:tcBorders/>
            <w:shd w:fill="auto" w:val="clear"/>
            <w:vAlign w:val="center"/>
          </w:tcPr>
          <w:p>
            <w:pPr>
              <w:pStyle w:val="TableContents"/>
              <w:spacing w:before="0" w:after="283"/>
              <w:jc w:val="right"/>
              <w:rPr/>
            </w:pPr>
            <w:r>
              <w:rPr/>
              <w:t>233</w:t>
            </w:r>
          </w:p>
        </w:tc>
        <w:tc>
          <w:tcPr>
            <w:tcW w:w="77" w:type="dxa"/>
            <w:tcBorders/>
            <w:shd w:fill="auto" w:val="clear"/>
            <w:vAlign w:val="center"/>
          </w:tcPr>
          <w:p>
            <w:pPr>
              <w:pStyle w:val="TableContents"/>
              <w:spacing w:before="0" w:after="283"/>
              <w:rPr/>
            </w:pPr>
            <w:r>
              <w:rPr/>
              <w:t> </w:t>
            </w:r>
          </w:p>
        </w:tc>
      </w:tr>
      <w:tr>
        <w:trPr/>
        <w:tc>
          <w:tcPr>
            <w:tcW w:w="6158"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1756" w:type="dxa"/>
            <w:tcBorders/>
            <w:shd w:fill="CCEEFF" w:val="clear"/>
            <w:vAlign w:val="center"/>
          </w:tcPr>
          <w:p>
            <w:pPr>
              <w:pStyle w:val="TableContents"/>
              <w:spacing w:before="0" w:after="283"/>
              <w:jc w:val="right"/>
              <w:rPr/>
            </w:pPr>
            <w:r>
              <w:rPr/>
              <w:t>399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1756" w:type="dxa"/>
            <w:tcBorders/>
            <w:shd w:fill="CCEEFF" w:val="clear"/>
            <w:vAlign w:val="center"/>
          </w:tcPr>
          <w:p>
            <w:pPr>
              <w:pStyle w:val="TableContents"/>
              <w:spacing w:before="0" w:after="283"/>
              <w:jc w:val="right"/>
              <w:rPr/>
            </w:pPr>
            <w:r>
              <w:rPr/>
              <w:t>37</w:t>
            </w:r>
          </w:p>
        </w:tc>
        <w:tc>
          <w:tcPr>
            <w:tcW w:w="77" w:type="dxa"/>
            <w:tcBorders/>
            <w:shd w:fill="CCEEFF" w:val="clear"/>
            <w:vAlign w:val="center"/>
          </w:tcPr>
          <w:p>
            <w:pPr>
              <w:pStyle w:val="TableContents"/>
              <w:spacing w:before="0" w:after="283"/>
              <w:rPr/>
            </w:pPr>
            <w:r>
              <w:rPr/>
              <w:t> </w:t>
            </w:r>
          </w:p>
        </w:tc>
      </w:tr>
      <w:tr>
        <w:trPr/>
        <w:tc>
          <w:tcPr>
            <w:tcW w:w="6158"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Tax expense for the fiscal year</w:t>
            </w:r>
          </w:p>
        </w:tc>
        <w:tc>
          <w:tcPr>
            <w:tcW w:w="6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756" w:type="dxa"/>
            <w:tcBorders/>
            <w:shd w:fill="auto" w:val="clear"/>
            <w:vAlign w:val="center"/>
          </w:tcPr>
          <w:p>
            <w:pPr>
              <w:pStyle w:val="TableContents"/>
              <w:spacing w:before="0" w:after="283"/>
              <w:jc w:val="right"/>
              <w:rPr/>
            </w:pPr>
            <w:r>
              <w:rPr/>
              <w:t>-24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1756" w:type="dxa"/>
            <w:tcBorders/>
            <w:shd w:fill="auto" w:val="clear"/>
            <w:vAlign w:val="center"/>
          </w:tcPr>
          <w:p>
            <w:pPr>
              <w:pStyle w:val="TableContents"/>
              <w:spacing w:before="0" w:after="283"/>
              <w:jc w:val="right"/>
              <w:rPr/>
            </w:pPr>
            <w:r>
              <w:rPr/>
              <w:t>1,791</w:t>
            </w:r>
          </w:p>
        </w:tc>
        <w:tc>
          <w:tcPr>
            <w:tcW w:w="77" w:type="dxa"/>
            <w:tcBorders/>
            <w:shd w:fill="auto" w:val="clear"/>
            <w:vAlign w:val="center"/>
          </w:tcPr>
          <w:p>
            <w:pPr>
              <w:pStyle w:val="TableContents"/>
              <w:spacing w:before="0" w:after="283"/>
              <w:rPr/>
            </w:pPr>
            <w:r>
              <w:rPr/>
              <w:t>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Due to the previous </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start-up</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losses, deferred tax assets were recognized, only to the extent of taxable temporary differences. Accordingly, no deferred taxes were recognized for corporation tax loss carryforwards in Germany in the amount of €157,043 thousand (2021: €97,469 thousand) and for trade tax loss carryforwards in Germany in the amount of €154,986 thousand (2021: €96,320 thousand). The same applies to foreign tax loss carryforwards in the amount of €17,552 thousand (2021: €6,843 thousand). Deductible temporary differences were not recognized in the amount of €1,699 thousand (2021: €1,519 thousand). The utilization of the tax loss carryforwards and deductible temporary differences is ensured to the extent that sufficient taxable temporary differences will be available after the deduction of amounts corresponding to minimum taxation legislation in Germany for each particular year of usage. </w:t>
      </w:r>
    </w:p>
    <w:p>
      <w:pPr>
        <w:pStyle w:val="TextBody"/>
        <w:spacing w:before="240" w:after="0"/>
        <w:jc w:val="both"/>
        <w:rPr>
          <w:rFonts w:ascii="Times New Roman" w:hAnsi="Times New Roman"/>
          <w:sz w:val="20"/>
          <w:highlight w:val="white"/>
        </w:rPr>
      </w:pPr>
      <w:r>
        <w:rPr>
          <w:rFonts w:ascii="Times New Roman" w:hAnsi="Times New Roman"/>
          <w:sz w:val="20"/>
          <w:highlight w:val="white"/>
        </w:rPr>
        <w:t>As of Dec</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ember</w:t>
      </w:r>
    </w:p>
    <w:p>
      <w:pPr>
        <w:pStyle w:val="TextBody"/>
        <w:spacing w:before="240" w:after="0"/>
        <w:jc w:val="both"/>
        <w:rPr>
          <w:rFonts w:ascii="Times New Roman" w:hAnsi="Times New Roman"/>
          <w:sz w:val="20"/>
          <w:highlight w:val="white"/>
        </w:rPr>
      </w:pPr>
      <w:r>
        <w:rPr>
          <w:rFonts w:ascii="Times New Roman" w:hAnsi="Times New Roman"/>
          <w:sz w:val="20"/>
          <w:highlight w:val="white"/>
        </w:rPr>
        <w:t>31, 2022, domestic loss carryforwards totaled €168,538 thousand for corporation tax and €166,481 thousand for trade tax (2021: €109,662 thousand and €108,514 thousand, respectively). These loss carryforwards do not expire. Foreign tax loss carryforwards in the amount of €648 thousand will expire in 2037 if not used (2021: €</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 xml:space="preserve">648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thousand). Foreign tax loss carryforwards in the amount of €16,904 thousand (2021: €6,195 thousand) do not expire.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Balance of deferred tax assets and liabilities: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019"/>
        <w:gridCol w:w="120"/>
        <w:gridCol w:w="104"/>
        <w:gridCol w:w="1101"/>
        <w:gridCol w:w="60"/>
        <w:gridCol w:w="120"/>
        <w:gridCol w:w="104"/>
        <w:gridCol w:w="1101"/>
        <w:gridCol w:w="60"/>
        <w:gridCol w:w="120"/>
        <w:gridCol w:w="104"/>
        <w:gridCol w:w="1101"/>
        <w:gridCol w:w="60"/>
        <w:gridCol w:w="120"/>
        <w:gridCol w:w="104"/>
        <w:gridCol w:w="1101"/>
        <w:gridCol w:w="60"/>
        <w:gridCol w:w="120"/>
        <w:gridCol w:w="130"/>
        <w:gridCol w:w="994"/>
        <w:gridCol w:w="66"/>
        <w:gridCol w:w="133"/>
        <w:gridCol w:w="96"/>
        <w:gridCol w:w="1027"/>
        <w:gridCol w:w="80"/>
      </w:tblGrid>
      <w:tr>
        <w:trPr/>
        <w:tc>
          <w:tcPr>
            <w:tcW w:w="201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r>
      <w:tr>
        <w:trPr/>
        <w:tc>
          <w:tcPr>
            <w:tcW w:w="2019"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90" w:type="dxa"/>
            <w:gridSpan w:val="6"/>
            <w:tcBorders/>
            <w:shd w:fill="auto" w:val="clear"/>
            <w:vAlign w:val="center"/>
          </w:tcPr>
          <w:p>
            <w:pPr>
              <w:pStyle w:val="TableContents"/>
              <w:spacing w:before="0" w:after="283"/>
              <w:jc w:val="center"/>
              <w:rPr/>
            </w:pPr>
            <w:r>
              <w:rPr/>
              <w:t>Dec. 31,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90" w:type="dxa"/>
            <w:gridSpan w:val="6"/>
            <w:tcBorders/>
            <w:shd w:fill="auto" w:val="clear"/>
            <w:vAlign w:val="center"/>
          </w:tcPr>
          <w:p>
            <w:pPr>
              <w:pStyle w:val="TableContents"/>
              <w:spacing w:before="0" w:after="283"/>
              <w:jc w:val="center"/>
              <w:rPr/>
            </w:pPr>
            <w:r>
              <w:rPr/>
              <w:t>Dec. 31, 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24" w:type="dxa"/>
            <w:gridSpan w:val="2"/>
            <w:tcBorders/>
            <w:shd w:fill="auto" w:val="clear"/>
            <w:vAlign w:val="center"/>
          </w:tcPr>
          <w:p>
            <w:pPr>
              <w:pStyle w:val="TableContents"/>
              <w:spacing w:before="0" w:after="0"/>
              <w:jc w:val="center"/>
              <w:rPr>
                <w:rFonts w:ascii="Times New Roman" w:hAnsi="Times New Roman"/>
                <w:sz w:val="16"/>
              </w:rPr>
            </w:pPr>
            <w:r>
              <w:rPr>
                <w:rFonts w:ascii="Times New Roman" w:hAnsi="Times New Roman"/>
                <w:sz w:val="16"/>
              </w:rPr>
              <w:t>Jan. 1 –</w:t>
            </w:r>
          </w:p>
          <w:p>
            <w:pPr>
              <w:pStyle w:val="TableContents"/>
              <w:spacing w:before="0" w:after="20"/>
              <w:jc w:val="center"/>
              <w:rPr>
                <w:rFonts w:ascii="Times New Roman" w:hAnsi="Times New Roman"/>
                <w:sz w:val="16"/>
              </w:rPr>
            </w:pPr>
            <w:r>
              <w:rPr>
                <w:rFonts w:ascii="Times New Roman" w:hAnsi="Times New Roman"/>
                <w:sz w:val="16"/>
              </w:rPr>
              <w:t>Dec. 31, 2022</w:t>
            </w:r>
          </w:p>
        </w:tc>
        <w:tc>
          <w:tcPr>
            <w:tcW w:w="66"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1123" w:type="dxa"/>
            <w:gridSpan w:val="2"/>
            <w:tcBorders/>
            <w:shd w:fill="auto" w:val="clear"/>
            <w:vAlign w:val="center"/>
          </w:tcPr>
          <w:p>
            <w:pPr>
              <w:pStyle w:val="TableContents"/>
              <w:spacing w:before="0" w:after="0"/>
              <w:jc w:val="center"/>
              <w:rPr>
                <w:rFonts w:ascii="Times New Roman" w:hAnsi="Times New Roman"/>
                <w:sz w:val="16"/>
              </w:rPr>
            </w:pPr>
            <w:r>
              <w:rPr>
                <w:rFonts w:ascii="Times New Roman" w:hAnsi="Times New Roman"/>
                <w:sz w:val="16"/>
              </w:rPr>
              <w:t>Jan. 1 –</w:t>
            </w:r>
          </w:p>
          <w:p>
            <w:pPr>
              <w:pStyle w:val="TableContents"/>
              <w:spacing w:before="0" w:after="20"/>
              <w:jc w:val="center"/>
              <w:rPr>
                <w:rFonts w:ascii="Times New Roman" w:hAnsi="Times New Roman"/>
                <w:sz w:val="16"/>
              </w:rPr>
            </w:pPr>
            <w:r>
              <w:rPr>
                <w:rFonts w:ascii="Times New Roman" w:hAnsi="Times New Roman"/>
                <w:sz w:val="16"/>
              </w:rPr>
              <w:t>Dec. 31, 2021</w:t>
            </w:r>
          </w:p>
        </w:tc>
        <w:tc>
          <w:tcPr>
            <w:tcW w:w="80" w:type="dxa"/>
            <w:tcBorders/>
            <w:shd w:fill="auto" w:val="clear"/>
            <w:vAlign w:val="center"/>
          </w:tcPr>
          <w:p>
            <w:pPr>
              <w:pStyle w:val="TableContents"/>
              <w:spacing w:before="0" w:after="283"/>
              <w:rPr/>
            </w:pPr>
            <w:r>
              <w:rPr/>
              <w:t> </w:t>
            </w:r>
          </w:p>
        </w:tc>
      </w:tr>
      <w:tr>
        <w:trPr/>
        <w:tc>
          <w:tcPr>
            <w:tcW w:w="2019"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205" w:type="dxa"/>
            <w:gridSpan w:val="2"/>
            <w:tcBorders/>
            <w:shd w:fill="auto" w:val="clear"/>
            <w:vAlign w:val="center"/>
          </w:tcPr>
          <w:p>
            <w:pPr>
              <w:pStyle w:val="TableContents"/>
              <w:spacing w:before="0" w:after="283"/>
              <w:jc w:val="center"/>
              <w:rPr/>
            </w:pPr>
            <w:r>
              <w:rPr/>
              <w:t>Deferred tax</w:t>
              <w:br/>
              <w:t>assets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05" w:type="dxa"/>
            <w:gridSpan w:val="2"/>
            <w:tcBorders/>
            <w:shd w:fill="auto" w:val="clear"/>
            <w:vAlign w:val="center"/>
          </w:tcPr>
          <w:p>
            <w:pPr>
              <w:pStyle w:val="TableContents"/>
              <w:spacing w:before="0" w:after="283"/>
              <w:jc w:val="center"/>
              <w:rPr/>
            </w:pPr>
            <w:r>
              <w:rPr/>
              <w:t>Deferred tax</w:t>
              <w:br/>
              <w:t>liabilities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05" w:type="dxa"/>
            <w:gridSpan w:val="2"/>
            <w:tcBorders/>
            <w:shd w:fill="auto" w:val="clear"/>
            <w:vAlign w:val="center"/>
          </w:tcPr>
          <w:p>
            <w:pPr>
              <w:pStyle w:val="TableContents"/>
              <w:spacing w:before="0" w:after="283"/>
              <w:jc w:val="center"/>
              <w:rPr/>
            </w:pPr>
            <w:r>
              <w:rPr/>
              <w:t>Deferred tax</w:t>
              <w:br/>
              <w:t>assets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05" w:type="dxa"/>
            <w:gridSpan w:val="2"/>
            <w:tcBorders/>
            <w:shd w:fill="auto" w:val="clear"/>
            <w:vAlign w:val="center"/>
          </w:tcPr>
          <w:p>
            <w:pPr>
              <w:pStyle w:val="TableContents"/>
              <w:spacing w:before="0" w:after="283"/>
              <w:jc w:val="center"/>
              <w:rPr/>
            </w:pPr>
            <w:r>
              <w:rPr/>
              <w:t>Deferred tax</w:t>
              <w:br/>
              <w:t>liabilities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46" w:type="dxa"/>
            <w:gridSpan w:val="6"/>
            <w:tcBorders/>
            <w:shd w:fill="auto" w:val="clear"/>
            <w:vAlign w:val="center"/>
          </w:tcPr>
          <w:p>
            <w:pPr>
              <w:pStyle w:val="TableContents"/>
              <w:spacing w:before="0" w:after="283"/>
              <w:jc w:val="center"/>
              <w:rPr/>
            </w:pPr>
            <w:r>
              <w:rPr/>
              <w:t>Changes recognized in profit</w:t>
              <w:br/>
              <w:t>or loss</w:t>
            </w:r>
          </w:p>
        </w:tc>
        <w:tc>
          <w:tcPr>
            <w:tcW w:w="80" w:type="dxa"/>
            <w:tcBorders/>
            <w:shd w:fill="auto" w:val="clear"/>
            <w:vAlign w:val="center"/>
          </w:tcPr>
          <w:p>
            <w:pPr>
              <w:pStyle w:val="TableContents"/>
              <w:spacing w:before="0" w:after="283"/>
              <w:rPr/>
            </w:pPr>
            <w:r>
              <w:rPr/>
              <w:t> </w:t>
            </w:r>
          </w:p>
        </w:tc>
      </w:tr>
      <w:tr>
        <w:trPr/>
        <w:tc>
          <w:tcPr>
            <w:tcW w:w="2019"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Intangible assets</w:t>
            </w:r>
          </w:p>
        </w:tc>
        <w:tc>
          <w:tcPr>
            <w:tcW w:w="120"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1101" w:type="dxa"/>
            <w:tcBorders/>
            <w:shd w:fill="CCEEFF" w:val="clear"/>
            <w:vAlign w:val="center"/>
          </w:tcPr>
          <w:p>
            <w:pPr>
              <w:pStyle w:val="TableContents"/>
              <w:spacing w:before="0" w:after="283"/>
              <w:jc w:val="right"/>
              <w:rPr/>
            </w:pPr>
            <w:r>
              <w:rPr/>
              <w:t>12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1101" w:type="dxa"/>
            <w:tcBorders/>
            <w:shd w:fill="CCEEFF" w:val="clear"/>
            <w:vAlign w:val="center"/>
          </w:tcPr>
          <w:p>
            <w:pPr>
              <w:pStyle w:val="TableContents"/>
              <w:spacing w:before="0" w:after="283"/>
              <w:jc w:val="right"/>
              <w:rPr/>
            </w:pPr>
            <w:r>
              <w:rPr/>
              <w:t>4,901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1101" w:type="dxa"/>
            <w:tcBorders/>
            <w:shd w:fill="CCEEFF" w:val="clear"/>
            <w:vAlign w:val="center"/>
          </w:tcPr>
          <w:p>
            <w:pPr>
              <w:pStyle w:val="TableContents"/>
              <w:spacing w:before="0" w:after="283"/>
              <w:jc w:val="right"/>
              <w:rPr/>
            </w:pPr>
            <w:r>
              <w:rPr/>
              <w:t>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1101" w:type="dxa"/>
            <w:tcBorders/>
            <w:shd w:fill="CCEEFF" w:val="clear"/>
            <w:vAlign w:val="center"/>
          </w:tcPr>
          <w:p>
            <w:pPr>
              <w:pStyle w:val="TableContents"/>
              <w:spacing w:before="0" w:after="283"/>
              <w:jc w:val="right"/>
              <w:rPr/>
            </w:pPr>
            <w:r>
              <w:rPr/>
              <w:t>5,419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994" w:type="dxa"/>
            <w:tcBorders/>
            <w:shd w:fill="CCEEFF" w:val="clear"/>
            <w:vAlign w:val="center"/>
          </w:tcPr>
          <w:p>
            <w:pPr>
              <w:pStyle w:val="TableContents"/>
              <w:spacing w:before="0" w:after="283"/>
              <w:jc w:val="right"/>
              <w:rPr/>
            </w:pPr>
            <w:r>
              <w:rPr/>
              <w:t>529</w:t>
            </w:r>
          </w:p>
        </w:tc>
        <w:tc>
          <w:tcPr>
            <w:tcW w:w="66"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rPr/>
            </w:pPr>
            <w:r>
              <w:rPr/>
              <w:t>  </w:t>
            </w:r>
          </w:p>
        </w:tc>
        <w:tc>
          <w:tcPr>
            <w:tcW w:w="96" w:type="dxa"/>
            <w:tcBorders/>
            <w:shd w:fill="CCEEFF" w:val="clear"/>
            <w:vAlign w:val="center"/>
          </w:tcPr>
          <w:p>
            <w:pPr>
              <w:pStyle w:val="TableContents"/>
              <w:spacing w:before="0" w:after="283"/>
              <w:rPr/>
            </w:pPr>
            <w:r>
              <w:rPr/>
              <w:t> </w:t>
            </w:r>
          </w:p>
        </w:tc>
        <w:tc>
          <w:tcPr>
            <w:tcW w:w="1027" w:type="dxa"/>
            <w:tcBorders/>
            <w:shd w:fill="CCEEFF" w:val="clear"/>
            <w:vAlign w:val="center"/>
          </w:tcPr>
          <w:p>
            <w:pPr>
              <w:pStyle w:val="TableContents"/>
              <w:spacing w:before="0" w:after="283"/>
              <w:jc w:val="right"/>
              <w:rPr/>
            </w:pPr>
            <w:r>
              <w:rPr/>
              <w:t>-486</w:t>
            </w:r>
          </w:p>
        </w:tc>
        <w:tc>
          <w:tcPr>
            <w:tcW w:w="80" w:type="dxa"/>
            <w:tcBorders/>
            <w:shd w:fill="CCEEFF" w:val="clear"/>
            <w:vAlign w:val="center"/>
          </w:tcPr>
          <w:p>
            <w:pPr>
              <w:pStyle w:val="TableContents"/>
              <w:spacing w:before="0" w:after="283"/>
              <w:rPr/>
            </w:pPr>
            <w:r>
              <w:rPr/>
              <w:t> </w:t>
            </w:r>
          </w:p>
        </w:tc>
      </w:tr>
      <w:tr>
        <w:trPr/>
        <w:tc>
          <w:tcPr>
            <w:tcW w:w="2019"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Leases</w:t>
            </w:r>
          </w:p>
        </w:tc>
        <w:tc>
          <w:tcPr>
            <w:tcW w:w="120"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1101" w:type="dxa"/>
            <w:tcBorders/>
            <w:shd w:fill="auto" w:val="clear"/>
            <w:vAlign w:val="center"/>
          </w:tcPr>
          <w:p>
            <w:pPr>
              <w:pStyle w:val="TableContents"/>
              <w:spacing w:before="0" w:after="283"/>
              <w:jc w:val="right"/>
              <w:rPr/>
            </w:pPr>
            <w:r>
              <w:rPr/>
              <w:t>29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1101"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1101" w:type="dxa"/>
            <w:tcBorders/>
            <w:shd w:fill="auto" w:val="clear"/>
            <w:vAlign w:val="center"/>
          </w:tcPr>
          <w:p>
            <w:pPr>
              <w:pStyle w:val="TableContents"/>
              <w:spacing w:before="0" w:after="283"/>
              <w:jc w:val="right"/>
              <w:rPr/>
            </w:pPr>
            <w:r>
              <w:rPr/>
              <w:t>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1101"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994" w:type="dxa"/>
            <w:tcBorders/>
            <w:shd w:fill="auto" w:val="clear"/>
            <w:vAlign w:val="center"/>
          </w:tcPr>
          <w:p>
            <w:pPr>
              <w:pStyle w:val="TableContents"/>
              <w:spacing w:before="0" w:after="283"/>
              <w:jc w:val="right"/>
              <w:rPr/>
            </w:pPr>
            <w:r>
              <w:rPr/>
              <w:t>27</w:t>
            </w:r>
          </w:p>
        </w:tc>
        <w:tc>
          <w:tcPr>
            <w:tcW w:w="66"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1027" w:type="dxa"/>
            <w:tcBorders/>
            <w:shd w:fill="auto" w:val="clear"/>
            <w:vAlign w:val="center"/>
          </w:tcPr>
          <w:p>
            <w:pPr>
              <w:pStyle w:val="TableContents"/>
              <w:spacing w:before="0" w:after="283"/>
              <w:jc w:val="right"/>
              <w:rPr/>
            </w:pPr>
            <w:r>
              <w:rPr/>
              <w:t>8</w:t>
            </w:r>
          </w:p>
        </w:tc>
        <w:tc>
          <w:tcPr>
            <w:tcW w:w="80" w:type="dxa"/>
            <w:tcBorders/>
            <w:shd w:fill="auto" w:val="clear"/>
            <w:vAlign w:val="center"/>
          </w:tcPr>
          <w:p>
            <w:pPr>
              <w:pStyle w:val="TableContents"/>
              <w:spacing w:before="0" w:after="283"/>
              <w:rPr/>
            </w:pPr>
            <w:r>
              <w:rPr/>
              <w:t> </w:t>
            </w:r>
          </w:p>
        </w:tc>
      </w:tr>
      <w:tr>
        <w:trPr/>
        <w:tc>
          <w:tcPr>
            <w:tcW w:w="2019"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Property, plant, and equipment</w:t>
            </w:r>
          </w:p>
        </w:tc>
        <w:tc>
          <w:tcPr>
            <w:tcW w:w="120"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1101" w:type="dxa"/>
            <w:tcBorders/>
            <w:shd w:fill="CCEEFF" w:val="clear"/>
            <w:vAlign w:val="center"/>
          </w:tcPr>
          <w:p>
            <w:pPr>
              <w:pStyle w:val="TableContents"/>
              <w:spacing w:before="0" w:after="283"/>
              <w:jc w:val="right"/>
              <w:rPr/>
            </w:pPr>
            <w:r>
              <w:rPr/>
              <w:t>292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1101"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1101" w:type="dxa"/>
            <w:tcBorders/>
            <w:shd w:fill="CCEEFF" w:val="clear"/>
            <w:vAlign w:val="center"/>
          </w:tcPr>
          <w:p>
            <w:pPr>
              <w:pStyle w:val="TableContents"/>
              <w:spacing w:before="0" w:after="283"/>
              <w:jc w:val="right"/>
              <w:rPr/>
            </w:pPr>
            <w:r>
              <w:rPr/>
              <w:t>101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1101"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994" w:type="dxa"/>
            <w:tcBorders/>
            <w:shd w:fill="CCEEFF" w:val="clear"/>
            <w:vAlign w:val="center"/>
          </w:tcPr>
          <w:p>
            <w:pPr>
              <w:pStyle w:val="TableContents"/>
              <w:spacing w:before="0" w:after="283"/>
              <w:jc w:val="right"/>
              <w:rPr/>
            </w:pPr>
            <w:r>
              <w:rPr/>
              <w:t>191</w:t>
            </w:r>
          </w:p>
        </w:tc>
        <w:tc>
          <w:tcPr>
            <w:tcW w:w="66"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rPr/>
            </w:pPr>
            <w:r>
              <w:rPr/>
              <w:t>  </w:t>
            </w:r>
          </w:p>
        </w:tc>
        <w:tc>
          <w:tcPr>
            <w:tcW w:w="96" w:type="dxa"/>
            <w:tcBorders/>
            <w:shd w:fill="CCEEFF" w:val="clear"/>
            <w:vAlign w:val="center"/>
          </w:tcPr>
          <w:p>
            <w:pPr>
              <w:pStyle w:val="TableContents"/>
              <w:spacing w:before="0" w:after="283"/>
              <w:rPr/>
            </w:pPr>
            <w:r>
              <w:rPr/>
              <w:t> </w:t>
            </w:r>
          </w:p>
        </w:tc>
        <w:tc>
          <w:tcPr>
            <w:tcW w:w="1027" w:type="dxa"/>
            <w:tcBorders/>
            <w:shd w:fill="CCEEFF" w:val="clear"/>
            <w:vAlign w:val="center"/>
          </w:tcPr>
          <w:p>
            <w:pPr>
              <w:pStyle w:val="TableContents"/>
              <w:spacing w:before="0" w:after="283"/>
              <w:jc w:val="right"/>
              <w:rPr/>
            </w:pPr>
            <w:r>
              <w:rPr/>
              <w:t>59</w:t>
            </w:r>
          </w:p>
        </w:tc>
        <w:tc>
          <w:tcPr>
            <w:tcW w:w="80" w:type="dxa"/>
            <w:tcBorders/>
            <w:shd w:fill="CCEEFF" w:val="clear"/>
            <w:vAlign w:val="center"/>
          </w:tcPr>
          <w:p>
            <w:pPr>
              <w:pStyle w:val="TableContents"/>
              <w:spacing w:before="0" w:after="283"/>
              <w:rPr/>
            </w:pPr>
            <w:r>
              <w:rPr/>
              <w:t> </w:t>
            </w:r>
          </w:p>
        </w:tc>
      </w:tr>
      <w:tr>
        <w:trPr/>
        <w:tc>
          <w:tcPr>
            <w:tcW w:w="2019"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Other </w:t>
            </w:r>
          </w:p>
          <w:p>
            <w:pPr>
              <w:pStyle w:val="TableContents"/>
              <w:spacing w:before="0" w:after="0"/>
              <w:rPr>
                <w:rFonts w:ascii="Times New Roman" w:hAnsi="Times New Roman"/>
                <w:spacing w:val="0"/>
                <w:sz w:val="20"/>
              </w:rPr>
            </w:pPr>
            <w:r>
              <w:rPr>
                <w:rFonts w:ascii="Times New Roman" w:hAnsi="Times New Roman"/>
                <w:spacing w:val="0"/>
                <w:sz w:val="20"/>
              </w:rPr>
              <w:t>non-financial</w:t>
            </w:r>
          </w:p>
          <w:p>
            <w:pPr>
              <w:pStyle w:val="TableContents"/>
              <w:spacing w:before="0" w:after="0"/>
              <w:rPr>
                <w:rFonts w:ascii="Times New Roman" w:hAnsi="Times New Roman"/>
                <w:sz w:val="20"/>
              </w:rPr>
            </w:pPr>
            <w:r>
              <w:rPr>
                <w:rFonts w:ascii="Times New Roman" w:hAnsi="Times New Roman"/>
                <w:sz w:val="20"/>
              </w:rPr>
              <w:t>assets</w:t>
            </w:r>
          </w:p>
        </w:tc>
        <w:tc>
          <w:tcPr>
            <w:tcW w:w="120"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1101"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1101" w:type="dxa"/>
            <w:tcBorders/>
            <w:shd w:fill="auto" w:val="clear"/>
            <w:vAlign w:val="center"/>
          </w:tcPr>
          <w:p>
            <w:pPr>
              <w:pStyle w:val="TableContents"/>
              <w:spacing w:before="0" w:after="283"/>
              <w:jc w:val="right"/>
              <w:rPr/>
            </w:pPr>
            <w:r>
              <w:rPr/>
              <w:t>48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1101"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1101"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994" w:type="dxa"/>
            <w:tcBorders/>
            <w:shd w:fill="auto" w:val="clear"/>
            <w:vAlign w:val="center"/>
          </w:tcPr>
          <w:p>
            <w:pPr>
              <w:pStyle w:val="TableContents"/>
              <w:spacing w:before="0" w:after="283"/>
              <w:jc w:val="right"/>
              <w:rPr/>
            </w:pPr>
            <w:r>
              <w:rPr/>
              <w:t>-48</w:t>
            </w:r>
          </w:p>
        </w:tc>
        <w:tc>
          <w:tcPr>
            <w:tcW w:w="66"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1027" w:type="dxa"/>
            <w:tcBorders/>
            <w:shd w:fill="auto" w:val="clear"/>
            <w:vAlign w:val="center"/>
          </w:tcPr>
          <w:p>
            <w:pPr>
              <w:pStyle w:val="TableContents"/>
              <w:spacing w:before="0" w:after="283"/>
              <w:jc w:val="right"/>
              <w:rPr/>
            </w:pPr>
            <w:r>
              <w:rPr/>
              <w:t>0</w:t>
            </w:r>
          </w:p>
        </w:tc>
        <w:tc>
          <w:tcPr>
            <w:tcW w:w="80" w:type="dxa"/>
            <w:tcBorders/>
            <w:shd w:fill="auto" w:val="clear"/>
            <w:vAlign w:val="center"/>
          </w:tcPr>
          <w:p>
            <w:pPr>
              <w:pStyle w:val="TableContents"/>
              <w:spacing w:before="0" w:after="283"/>
              <w:rPr/>
            </w:pPr>
            <w:r>
              <w:rPr/>
              <w:t> </w:t>
            </w:r>
          </w:p>
        </w:tc>
      </w:tr>
      <w:tr>
        <w:trPr/>
        <w:tc>
          <w:tcPr>
            <w:tcW w:w="2019"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Inventories</w:t>
            </w:r>
          </w:p>
        </w:tc>
        <w:tc>
          <w:tcPr>
            <w:tcW w:w="120"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1101"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1101" w:type="dxa"/>
            <w:tcBorders/>
            <w:shd w:fill="CCEEFF" w:val="clear"/>
            <w:vAlign w:val="center"/>
          </w:tcPr>
          <w:p>
            <w:pPr>
              <w:pStyle w:val="TableContents"/>
              <w:spacing w:before="0" w:after="283"/>
              <w:jc w:val="right"/>
              <w:rPr/>
            </w:pPr>
            <w:r>
              <w:rPr/>
              <w:t>121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1101" w:type="dxa"/>
            <w:tcBorders/>
            <w:shd w:fill="CCEEFF" w:val="clear"/>
            <w:vAlign w:val="center"/>
          </w:tcPr>
          <w:p>
            <w:pPr>
              <w:pStyle w:val="TableContents"/>
              <w:spacing w:before="0" w:after="283"/>
              <w:jc w:val="right"/>
              <w:rPr/>
            </w:pPr>
            <w:r>
              <w:rPr/>
              <w:t>79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1101"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994" w:type="dxa"/>
            <w:tcBorders/>
            <w:shd w:fill="CCEEFF" w:val="clear"/>
            <w:vAlign w:val="center"/>
          </w:tcPr>
          <w:p>
            <w:pPr>
              <w:pStyle w:val="TableContents"/>
              <w:spacing w:before="0" w:after="283"/>
              <w:jc w:val="right"/>
              <w:rPr/>
            </w:pPr>
            <w:r>
              <w:rPr/>
              <w:t>-200</w:t>
            </w:r>
          </w:p>
        </w:tc>
        <w:tc>
          <w:tcPr>
            <w:tcW w:w="66"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rPr/>
            </w:pPr>
            <w:r>
              <w:rPr/>
              <w:t>  </w:t>
            </w:r>
          </w:p>
        </w:tc>
        <w:tc>
          <w:tcPr>
            <w:tcW w:w="96" w:type="dxa"/>
            <w:tcBorders/>
            <w:shd w:fill="CCEEFF" w:val="clear"/>
            <w:vAlign w:val="center"/>
          </w:tcPr>
          <w:p>
            <w:pPr>
              <w:pStyle w:val="TableContents"/>
              <w:spacing w:before="0" w:after="283"/>
              <w:rPr/>
            </w:pPr>
            <w:r>
              <w:rPr/>
              <w:t> </w:t>
            </w:r>
          </w:p>
        </w:tc>
        <w:tc>
          <w:tcPr>
            <w:tcW w:w="1027" w:type="dxa"/>
            <w:tcBorders/>
            <w:shd w:fill="CCEEFF" w:val="clear"/>
            <w:vAlign w:val="center"/>
          </w:tcPr>
          <w:p>
            <w:pPr>
              <w:pStyle w:val="TableContents"/>
              <w:spacing w:before="0" w:after="283"/>
              <w:jc w:val="right"/>
              <w:rPr/>
            </w:pPr>
            <w:r>
              <w:rPr/>
              <w:t>71</w:t>
            </w:r>
          </w:p>
        </w:tc>
        <w:tc>
          <w:tcPr>
            <w:tcW w:w="80" w:type="dxa"/>
            <w:tcBorders/>
            <w:shd w:fill="CCEEFF" w:val="clear"/>
            <w:vAlign w:val="center"/>
          </w:tcPr>
          <w:p>
            <w:pPr>
              <w:pStyle w:val="TableContents"/>
              <w:spacing w:before="0" w:after="283"/>
              <w:rPr/>
            </w:pPr>
            <w:r>
              <w:rPr/>
              <w:t> </w:t>
            </w:r>
          </w:p>
        </w:tc>
      </w:tr>
      <w:tr>
        <w:trPr/>
        <w:tc>
          <w:tcPr>
            <w:tcW w:w="2019"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Provisions</w:t>
            </w:r>
          </w:p>
        </w:tc>
        <w:tc>
          <w:tcPr>
            <w:tcW w:w="120"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1101" w:type="dxa"/>
            <w:tcBorders/>
            <w:shd w:fill="auto" w:val="clear"/>
            <w:vAlign w:val="center"/>
          </w:tcPr>
          <w:p>
            <w:pPr>
              <w:pStyle w:val="TableContents"/>
              <w:spacing w:before="0" w:after="283"/>
              <w:jc w:val="right"/>
              <w:rPr/>
            </w:pPr>
            <w:r>
              <w:rPr/>
              <w:t>56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1101" w:type="dxa"/>
            <w:tcBorders/>
            <w:shd w:fill="auto" w:val="clear"/>
            <w:vAlign w:val="center"/>
          </w:tcPr>
          <w:p>
            <w:pPr>
              <w:pStyle w:val="TableContents"/>
              <w:spacing w:before="0" w:after="283"/>
              <w:jc w:val="right"/>
              <w:rPr/>
            </w:pPr>
            <w:r>
              <w:rPr/>
              <w:t>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1101" w:type="dxa"/>
            <w:tcBorders/>
            <w:shd w:fill="auto" w:val="clear"/>
            <w:vAlign w:val="center"/>
          </w:tcPr>
          <w:p>
            <w:pPr>
              <w:pStyle w:val="TableContents"/>
              <w:spacing w:before="0" w:after="283"/>
              <w:jc w:val="right"/>
              <w:rPr/>
            </w:pPr>
            <w:r>
              <w:rPr/>
              <w:t>110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1101" w:type="dxa"/>
            <w:tcBorders/>
            <w:shd w:fill="auto" w:val="clear"/>
            <w:vAlign w:val="center"/>
          </w:tcPr>
          <w:p>
            <w:pPr>
              <w:pStyle w:val="TableContents"/>
              <w:spacing w:before="0" w:after="283"/>
              <w:jc w:val="right"/>
              <w:rPr/>
            </w:pPr>
            <w:r>
              <w:rPr/>
              <w:t>23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994" w:type="dxa"/>
            <w:tcBorders/>
            <w:shd w:fill="auto" w:val="clear"/>
            <w:vAlign w:val="center"/>
          </w:tcPr>
          <w:p>
            <w:pPr>
              <w:pStyle w:val="TableContents"/>
              <w:spacing w:before="0" w:after="283"/>
              <w:jc w:val="right"/>
              <w:rPr/>
            </w:pPr>
            <w:r>
              <w:rPr/>
              <w:t>-32</w:t>
            </w:r>
          </w:p>
        </w:tc>
        <w:tc>
          <w:tcPr>
            <w:tcW w:w="66"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1027" w:type="dxa"/>
            <w:tcBorders/>
            <w:shd w:fill="auto" w:val="clear"/>
            <w:vAlign w:val="center"/>
          </w:tcPr>
          <w:p>
            <w:pPr>
              <w:pStyle w:val="TableContents"/>
              <w:spacing w:before="0" w:after="283"/>
              <w:jc w:val="right"/>
              <w:rPr/>
            </w:pPr>
            <w:r>
              <w:rPr/>
              <w:t>82</w:t>
            </w:r>
          </w:p>
        </w:tc>
        <w:tc>
          <w:tcPr>
            <w:tcW w:w="80" w:type="dxa"/>
            <w:tcBorders/>
            <w:shd w:fill="auto" w:val="clear"/>
            <w:vAlign w:val="center"/>
          </w:tcPr>
          <w:p>
            <w:pPr>
              <w:pStyle w:val="TableContents"/>
              <w:spacing w:before="0" w:after="283"/>
              <w:rPr/>
            </w:pPr>
            <w:r>
              <w:rPr/>
              <w:t> </w:t>
            </w:r>
          </w:p>
        </w:tc>
      </w:tr>
      <w:tr>
        <w:trPr/>
        <w:tc>
          <w:tcPr>
            <w:tcW w:w="2019"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 financial and</w:t>
            </w:r>
          </w:p>
          <w:p>
            <w:pPr>
              <w:pStyle w:val="TableContents"/>
              <w:spacing w:before="0" w:after="20"/>
              <w:rPr>
                <w:rFonts w:ascii="Times New Roman" w:hAnsi="Times New Roman"/>
                <w:spacing w:val="0"/>
                <w:sz w:val="20"/>
              </w:rPr>
            </w:pPr>
            <w:r>
              <w:rPr>
                <w:rFonts w:ascii="Times New Roman" w:hAnsi="Times New Roman"/>
                <w:spacing w:val="0"/>
                <w:sz w:val="20"/>
              </w:rPr>
              <w:t>non-financial</w:t>
            </w:r>
          </w:p>
          <w:p>
            <w:pPr>
              <w:pStyle w:val="TableContents"/>
              <w:spacing w:before="0" w:after="20"/>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1101"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1101" w:type="dxa"/>
            <w:tcBorders/>
            <w:shd w:fill="CCEEFF" w:val="clear"/>
            <w:vAlign w:val="center"/>
          </w:tcPr>
          <w:p>
            <w:pPr>
              <w:pStyle w:val="TableContents"/>
              <w:spacing w:before="0" w:after="283"/>
              <w:jc w:val="right"/>
              <w:rPr/>
            </w:pPr>
            <w:r>
              <w:rPr/>
              <w:t>273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1101"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1101" w:type="dxa"/>
            <w:tcBorders/>
            <w:shd w:fill="CCEEFF" w:val="clear"/>
            <w:vAlign w:val="center"/>
          </w:tcPr>
          <w:p>
            <w:pPr>
              <w:pStyle w:val="TableContents"/>
              <w:spacing w:before="0" w:after="283"/>
              <w:jc w:val="right"/>
              <w:rPr/>
            </w:pPr>
            <w:r>
              <w:rPr/>
              <w:t>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994" w:type="dxa"/>
            <w:tcBorders/>
            <w:shd w:fill="CCEEFF" w:val="clear"/>
            <w:vAlign w:val="center"/>
          </w:tcPr>
          <w:p>
            <w:pPr>
              <w:pStyle w:val="TableContents"/>
              <w:spacing w:before="0" w:after="283"/>
              <w:jc w:val="right"/>
              <w:rPr/>
            </w:pPr>
            <w:r>
              <w:rPr/>
              <w:t>-251</w:t>
            </w:r>
          </w:p>
        </w:tc>
        <w:tc>
          <w:tcPr>
            <w:tcW w:w="66"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rPr/>
            </w:pPr>
            <w:r>
              <w:rPr/>
              <w:t>  </w:t>
            </w:r>
          </w:p>
        </w:tc>
        <w:tc>
          <w:tcPr>
            <w:tcW w:w="96" w:type="dxa"/>
            <w:tcBorders/>
            <w:shd w:fill="CCEEFF" w:val="clear"/>
            <w:vAlign w:val="center"/>
          </w:tcPr>
          <w:p>
            <w:pPr>
              <w:pStyle w:val="TableContents"/>
              <w:spacing w:before="0" w:after="283"/>
              <w:rPr/>
            </w:pPr>
            <w:r>
              <w:rPr/>
              <w:t> </w:t>
            </w:r>
          </w:p>
        </w:tc>
        <w:tc>
          <w:tcPr>
            <w:tcW w:w="1027" w:type="dxa"/>
            <w:tcBorders/>
            <w:shd w:fill="CCEEFF" w:val="clear"/>
            <w:vAlign w:val="center"/>
          </w:tcPr>
          <w:p>
            <w:pPr>
              <w:pStyle w:val="TableContents"/>
              <w:spacing w:before="0" w:after="283"/>
              <w:jc w:val="right"/>
              <w:rPr/>
            </w:pPr>
            <w:r>
              <w:rPr/>
              <w:t>-28</w:t>
            </w:r>
          </w:p>
        </w:tc>
        <w:tc>
          <w:tcPr>
            <w:tcW w:w="80" w:type="dxa"/>
            <w:tcBorders/>
            <w:shd w:fill="CCEEFF" w:val="clear"/>
            <w:vAlign w:val="center"/>
          </w:tcPr>
          <w:p>
            <w:pPr>
              <w:pStyle w:val="TableContents"/>
              <w:spacing w:before="0" w:after="283"/>
              <w:rPr/>
            </w:pPr>
            <w:r>
              <w:rPr/>
              <w:t> </w:t>
            </w:r>
          </w:p>
        </w:tc>
      </w:tr>
      <w:tr>
        <w:trPr/>
        <w:tc>
          <w:tcPr>
            <w:tcW w:w="2019"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Tax loss carryforwards and tax credits</w:t>
            </w:r>
          </w:p>
        </w:tc>
        <w:tc>
          <w:tcPr>
            <w:tcW w:w="120"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1101" w:type="dxa"/>
            <w:tcBorders/>
            <w:shd w:fill="auto" w:val="clear"/>
            <w:vAlign w:val="center"/>
          </w:tcPr>
          <w:p>
            <w:pPr>
              <w:pStyle w:val="TableContents"/>
              <w:spacing w:before="0" w:after="283"/>
              <w:jc w:val="right"/>
              <w:rPr/>
            </w:pPr>
            <w:r>
              <w:rPr/>
              <w:t>3,187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1101"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1101" w:type="dxa"/>
            <w:tcBorders/>
            <w:shd w:fill="auto" w:val="clear"/>
            <w:vAlign w:val="center"/>
          </w:tcPr>
          <w:p>
            <w:pPr>
              <w:pStyle w:val="TableContents"/>
              <w:spacing w:before="0" w:after="283"/>
              <w:jc w:val="right"/>
              <w:rPr/>
            </w:pPr>
            <w:r>
              <w:rPr/>
              <w:t>3,380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1101"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994" w:type="dxa"/>
            <w:tcBorders/>
            <w:shd w:fill="auto" w:val="clear"/>
            <w:vAlign w:val="center"/>
          </w:tcPr>
          <w:p>
            <w:pPr>
              <w:pStyle w:val="TableContents"/>
              <w:spacing w:before="0" w:after="283"/>
              <w:jc w:val="right"/>
              <w:rPr/>
            </w:pPr>
            <w:r>
              <w:rPr/>
              <w:t>-193</w:t>
            </w:r>
          </w:p>
        </w:tc>
        <w:tc>
          <w:tcPr>
            <w:tcW w:w="66"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1027" w:type="dxa"/>
            <w:tcBorders/>
            <w:shd w:fill="auto" w:val="clear"/>
            <w:vAlign w:val="center"/>
          </w:tcPr>
          <w:p>
            <w:pPr>
              <w:pStyle w:val="TableContents"/>
              <w:spacing w:before="0" w:after="283"/>
              <w:jc w:val="right"/>
              <w:rPr/>
            </w:pPr>
            <w:r>
              <w:rPr/>
              <w:t>-1,497</w:t>
            </w:r>
          </w:p>
        </w:tc>
        <w:tc>
          <w:tcPr>
            <w:tcW w:w="80" w:type="dxa"/>
            <w:tcBorders/>
            <w:shd w:fill="auto" w:val="clear"/>
            <w:vAlign w:val="center"/>
          </w:tcPr>
          <w:p>
            <w:pPr>
              <w:pStyle w:val="TableContents"/>
              <w:spacing w:before="0" w:after="283"/>
              <w:rPr/>
            </w:pPr>
            <w:r>
              <w:rPr/>
              <w:t> </w:t>
            </w:r>
          </w:p>
        </w:tc>
      </w:tr>
      <w:tr>
        <w:trPr/>
        <w:tc>
          <w:tcPr>
            <w:tcW w:w="2019"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Offsetting</w:t>
            </w:r>
          </w:p>
        </w:tc>
        <w:tc>
          <w:tcPr>
            <w:tcW w:w="120"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1101" w:type="dxa"/>
            <w:tcBorders/>
            <w:shd w:fill="CCEEFF" w:val="clear"/>
            <w:vAlign w:val="center"/>
          </w:tcPr>
          <w:p>
            <w:pPr>
              <w:pStyle w:val="TableContents"/>
              <w:spacing w:before="0" w:after="283"/>
              <w:jc w:val="right"/>
              <w:rPr/>
            </w:pPr>
            <w:r>
              <w:rPr/>
              <w:t>-3,577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1101" w:type="dxa"/>
            <w:tcBorders/>
            <w:shd w:fill="CCEEFF" w:val="clear"/>
            <w:vAlign w:val="center"/>
          </w:tcPr>
          <w:p>
            <w:pPr>
              <w:pStyle w:val="TableContents"/>
              <w:spacing w:before="0" w:after="283"/>
              <w:jc w:val="right"/>
              <w:rPr/>
            </w:pPr>
            <w:r>
              <w:rPr/>
              <w:t>-3,577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1101" w:type="dxa"/>
            <w:tcBorders/>
            <w:shd w:fill="CCEEFF" w:val="clear"/>
            <w:vAlign w:val="center"/>
          </w:tcPr>
          <w:p>
            <w:pPr>
              <w:pStyle w:val="TableContents"/>
              <w:spacing w:before="0" w:after="283"/>
              <w:jc w:val="right"/>
              <w:rPr/>
            </w:pPr>
            <w:r>
              <w:rPr/>
              <w:t>-3,673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4" w:type="dxa"/>
            <w:tcBorders/>
            <w:shd w:fill="CCEEFF" w:val="clear"/>
            <w:vAlign w:val="center"/>
          </w:tcPr>
          <w:p>
            <w:pPr>
              <w:pStyle w:val="TableContents"/>
              <w:spacing w:before="0" w:after="283"/>
              <w:rPr/>
            </w:pPr>
            <w:r>
              <w:rPr/>
              <w:t> </w:t>
            </w:r>
          </w:p>
        </w:tc>
        <w:tc>
          <w:tcPr>
            <w:tcW w:w="1101" w:type="dxa"/>
            <w:tcBorders/>
            <w:shd w:fill="CCEEFF" w:val="clear"/>
            <w:vAlign w:val="center"/>
          </w:tcPr>
          <w:p>
            <w:pPr>
              <w:pStyle w:val="TableContents"/>
              <w:spacing w:before="0" w:after="283"/>
              <w:jc w:val="right"/>
              <w:rPr/>
            </w:pPr>
            <w:r>
              <w:rPr/>
              <w:t>-3,673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rPr/>
            </w:pPr>
            <w:r>
              <w:rPr/>
              <w:t> </w:t>
            </w:r>
          </w:p>
        </w:tc>
        <w:tc>
          <w:tcPr>
            <w:tcW w:w="994" w:type="dxa"/>
            <w:tcBorders/>
            <w:shd w:fill="CCEEFF" w:val="clear"/>
            <w:vAlign w:val="center"/>
          </w:tcPr>
          <w:p>
            <w:pPr>
              <w:pStyle w:val="TableContents"/>
              <w:spacing w:before="0" w:after="283"/>
              <w:jc w:val="right"/>
              <w:rPr/>
            </w:pPr>
            <w:r>
              <w:rPr/>
              <w:t>0</w:t>
            </w:r>
          </w:p>
        </w:tc>
        <w:tc>
          <w:tcPr>
            <w:tcW w:w="66"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rPr/>
            </w:pPr>
            <w:r>
              <w:rPr/>
              <w:t>  </w:t>
            </w:r>
          </w:p>
        </w:tc>
        <w:tc>
          <w:tcPr>
            <w:tcW w:w="96" w:type="dxa"/>
            <w:tcBorders/>
            <w:shd w:fill="CCEEFF" w:val="clear"/>
            <w:vAlign w:val="center"/>
          </w:tcPr>
          <w:p>
            <w:pPr>
              <w:pStyle w:val="TableContents"/>
              <w:spacing w:before="0" w:after="283"/>
              <w:rPr/>
            </w:pPr>
            <w:r>
              <w:rPr/>
              <w:t> </w:t>
            </w:r>
          </w:p>
        </w:tc>
        <w:tc>
          <w:tcPr>
            <w:tcW w:w="1027" w:type="dxa"/>
            <w:tcBorders/>
            <w:shd w:fill="CCEEFF" w:val="clear"/>
            <w:vAlign w:val="center"/>
          </w:tcPr>
          <w:p>
            <w:pPr>
              <w:pStyle w:val="TableContents"/>
              <w:spacing w:before="0" w:after="283"/>
              <w:jc w:val="right"/>
              <w:rPr/>
            </w:pPr>
            <w:r>
              <w:rPr/>
              <w:t>0</w:t>
            </w:r>
          </w:p>
        </w:tc>
        <w:tc>
          <w:tcPr>
            <w:tcW w:w="80" w:type="dxa"/>
            <w:tcBorders/>
            <w:shd w:fill="CCEEFF" w:val="clear"/>
            <w:vAlign w:val="center"/>
          </w:tcPr>
          <w:p>
            <w:pPr>
              <w:pStyle w:val="TableContents"/>
              <w:spacing w:before="0" w:after="283"/>
              <w:rPr/>
            </w:pPr>
            <w:r>
              <w:rPr/>
              <w:t> </w:t>
            </w:r>
          </w:p>
        </w:tc>
      </w:tr>
      <w:tr>
        <w:trPr/>
        <w:tc>
          <w:tcPr>
            <w:tcW w:w="2019"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1101"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1101" w:type="dxa"/>
            <w:tcBorders/>
            <w:shd w:fill="auto" w:val="clear"/>
            <w:vAlign w:val="center"/>
          </w:tcPr>
          <w:p>
            <w:pPr>
              <w:pStyle w:val="TableContents"/>
              <w:spacing w:before="0" w:after="283"/>
              <w:jc w:val="right"/>
              <w:rPr/>
            </w:pPr>
            <w:r>
              <w:rPr/>
              <w:t>1,767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1101"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1101" w:type="dxa"/>
            <w:tcBorders/>
            <w:shd w:fill="auto" w:val="clear"/>
            <w:vAlign w:val="center"/>
          </w:tcPr>
          <w:p>
            <w:pPr>
              <w:pStyle w:val="TableContents"/>
              <w:spacing w:before="0" w:after="283"/>
              <w:jc w:val="right"/>
              <w:rPr/>
            </w:pPr>
            <w:r>
              <w:rPr/>
              <w:t>1,791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994" w:type="dxa"/>
            <w:tcBorders/>
            <w:shd w:fill="auto" w:val="clear"/>
            <w:vAlign w:val="center"/>
          </w:tcPr>
          <w:p>
            <w:pPr>
              <w:pStyle w:val="TableContents"/>
              <w:spacing w:before="0" w:after="283"/>
              <w:jc w:val="right"/>
              <w:rPr/>
            </w:pPr>
            <w:r>
              <w:rPr/>
              <w:t>24</w:t>
            </w:r>
          </w:p>
        </w:tc>
        <w:tc>
          <w:tcPr>
            <w:tcW w:w="66"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1027" w:type="dxa"/>
            <w:tcBorders/>
            <w:shd w:fill="auto" w:val="clear"/>
            <w:vAlign w:val="center"/>
          </w:tcPr>
          <w:p>
            <w:pPr>
              <w:pStyle w:val="TableContents"/>
              <w:spacing w:before="0" w:after="283"/>
              <w:jc w:val="right"/>
              <w:rPr/>
            </w:pPr>
            <w:r>
              <w:rPr/>
              <w:t>-1,791</w:t>
            </w:r>
          </w:p>
        </w:tc>
        <w:tc>
          <w:tcPr>
            <w:tcW w:w="80" w:type="dxa"/>
            <w:tcBorders/>
            <w:shd w:fill="auto" w:val="clear"/>
            <w:vAlign w:val="center"/>
          </w:tcPr>
          <w:p>
            <w:pPr>
              <w:pStyle w:val="TableContents"/>
              <w:spacing w:before="0" w:after="283"/>
              <w:rPr/>
            </w:pPr>
            <w:r>
              <w:rPr/>
              <w:t> </w:t>
            </w:r>
          </w:p>
        </w:tc>
      </w:tr>
    </w:tbl>
    <w:p>
      <w:pPr>
        <w:pStyle w:val="TextBody"/>
        <w:spacing w:before="0" w:after="0"/>
        <w:jc w:val="both"/>
        <w:rPr>
          <w:highlight w:val="white"/>
        </w:rPr>
      </w:pPr>
      <w:r>
        <w:rPr>
          <w:highlight w:val="white"/>
        </w:rPr>
        <w:t> </w:t>
      </w:r>
    </w:p>
    <w:tbl>
      <w:tblPr>
        <w:tblW w:w="2065" w:type="dxa"/>
        <w:jc w:val="left"/>
        <w:tblInd w:w="0" w:type="dxa"/>
        <w:tblCellMar>
          <w:top w:w="0" w:type="dxa"/>
          <w:left w:w="0" w:type="dxa"/>
          <w:bottom w:w="0" w:type="dxa"/>
          <w:right w:w="0" w:type="dxa"/>
        </w:tblCellMar>
      </w:tblPr>
      <w:tblGrid>
        <w:gridCol w:w="335"/>
        <w:gridCol w:w="1730"/>
      </w:tblGrid>
      <w:tr>
        <w:trPr/>
        <w:tc>
          <w:tcPr>
            <w:tcW w:w="335" w:type="dxa"/>
            <w:tcBorders/>
            <w:shd w:fill="auto" w:val="clear"/>
            <w:vAlign w:val="center"/>
          </w:tcPr>
          <w:p>
            <w:pPr>
              <w:pStyle w:val="TableContents"/>
              <w:spacing w:before="0" w:after="0"/>
              <w:jc w:val="both"/>
              <w:rPr>
                <w:b/>
                <w:spacing w:val="0"/>
              </w:rPr>
            </w:pPr>
            <w:r>
              <w:rPr>
                <w:b/>
                <w:spacing w:val="0"/>
              </w:rPr>
              <w:t>16.</w:t>
            </w:r>
          </w:p>
        </w:tc>
        <w:tc>
          <w:tcPr>
            <w:tcW w:w="1730"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Earnings per Share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Basic earnings per share is calculated by dividing earnings after taxes attributable to the shares by the number of participating shares. Diluted earnings per share is calculated by considering the potential increase in the Group’s ordinary shares as the result of granted stock options, restricted stock units and convertible bonds. </w:t>
      </w:r>
    </w:p>
    <w:p>
      <w:pPr>
        <w:pStyle w:val="TextBody"/>
        <w:spacing w:before="0" w:after="0"/>
        <w:jc w:val="both"/>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F-2</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8</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ind w:left="0" w:right="0" w:hanging="0"/>
        <w:jc w:val="left"/>
        <w:rPr>
          <w:rFonts w:ascii="Times New Roman" w:hAnsi="Times New Roman"/>
          <w:sz w:val="20"/>
          <w:highlight w:val="white"/>
        </w:rPr>
      </w:pPr>
      <w:r>
        <w:rPr>
          <w:rFonts w:ascii="Times New Roman" w:hAnsi="Times New Roman"/>
          <w:sz w:val="20"/>
          <w:highlight w:val="white"/>
        </w:rPr>
        <w:t xml:space="preserve">Earnings per share were as follows: </w:t>
      </w:r>
    </w:p>
    <w:p>
      <w:pPr>
        <w:pStyle w:val="TextBody"/>
        <w:spacing w:before="0" w:after="0"/>
        <w:ind w:left="0" w:right="0" w:hanging="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3965"/>
        <w:gridCol w:w="120"/>
        <w:gridCol w:w="109"/>
        <w:gridCol w:w="1786"/>
        <w:gridCol w:w="60"/>
        <w:gridCol w:w="120"/>
        <w:gridCol w:w="109"/>
        <w:gridCol w:w="1786"/>
        <w:gridCol w:w="60"/>
        <w:gridCol w:w="120"/>
        <w:gridCol w:w="109"/>
        <w:gridCol w:w="1786"/>
        <w:gridCol w:w="75"/>
      </w:tblGrid>
      <w:tr>
        <w:trPr/>
        <w:tc>
          <w:tcPr>
            <w:tcW w:w="39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6"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9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45" w:type="dxa"/>
            <w:gridSpan w:val="10"/>
            <w:tcBorders/>
            <w:shd w:fill="auto" w:val="clear"/>
            <w:vAlign w:val="center"/>
          </w:tcPr>
          <w:p>
            <w:pPr>
              <w:pStyle w:val="TableContents"/>
              <w:spacing w:before="0" w:after="283"/>
              <w:jc w:val="center"/>
              <w:rPr/>
            </w:pPr>
            <w:r>
              <w:rPr/>
              <w:t>for the years ended</w:t>
            </w:r>
          </w:p>
        </w:tc>
        <w:tc>
          <w:tcPr>
            <w:tcW w:w="75" w:type="dxa"/>
            <w:tcBorders/>
            <w:shd w:fill="auto" w:val="clear"/>
            <w:vAlign w:val="center"/>
          </w:tcPr>
          <w:p>
            <w:pPr>
              <w:pStyle w:val="TableContents"/>
              <w:spacing w:before="0" w:after="283"/>
              <w:rPr/>
            </w:pPr>
            <w:r>
              <w:rPr/>
              <w:t> </w:t>
            </w:r>
          </w:p>
        </w:tc>
      </w:tr>
      <w:tr>
        <w:trPr/>
        <w:tc>
          <w:tcPr>
            <w:tcW w:w="39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2020</w:t>
            </w:r>
          </w:p>
        </w:tc>
        <w:tc>
          <w:tcPr>
            <w:tcW w:w="75" w:type="dxa"/>
            <w:tcBorders/>
            <w:shd w:fill="auto" w:val="clear"/>
            <w:vAlign w:val="center"/>
          </w:tcPr>
          <w:p>
            <w:pPr>
              <w:pStyle w:val="TableContents"/>
              <w:spacing w:before="0" w:after="283"/>
              <w:rPr/>
            </w:pPr>
            <w:r>
              <w:rPr/>
              <w:t> </w:t>
            </w:r>
          </w:p>
        </w:tc>
      </w:tr>
      <w:tr>
        <w:trPr/>
        <w:tc>
          <w:tcPr>
            <w:tcW w:w="39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Consolidated net profit/loss in € thousand</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1786" w:type="dxa"/>
            <w:tcBorders/>
            <w:shd w:fill="CCEEFF" w:val="clear"/>
            <w:vAlign w:val="center"/>
          </w:tcPr>
          <w:p>
            <w:pPr>
              <w:pStyle w:val="TableContents"/>
              <w:spacing w:before="0" w:after="283"/>
              <w:jc w:val="right"/>
              <w:rPr/>
            </w:pPr>
            <w:r>
              <w:rPr/>
              <w:t>-73,782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1786" w:type="dxa"/>
            <w:tcBorders/>
            <w:shd w:fill="CCEEFF" w:val="clear"/>
            <w:vAlign w:val="center"/>
          </w:tcPr>
          <w:p>
            <w:pPr>
              <w:pStyle w:val="TableContents"/>
              <w:spacing w:before="0" w:after="283"/>
              <w:jc w:val="right"/>
              <w:rPr/>
            </w:pPr>
            <w:r>
              <w:rPr/>
              <w:t>-45,477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1786" w:type="dxa"/>
            <w:tcBorders/>
            <w:shd w:fill="CCEEFF" w:val="clear"/>
            <w:vAlign w:val="center"/>
          </w:tcPr>
          <w:p>
            <w:pPr>
              <w:pStyle w:val="TableContents"/>
              <w:spacing w:before="0" w:after="283"/>
              <w:jc w:val="right"/>
              <w:rPr/>
            </w:pPr>
            <w:r>
              <w:rPr/>
              <w:t>-19,770</w:t>
            </w:r>
          </w:p>
        </w:tc>
        <w:tc>
          <w:tcPr>
            <w:tcW w:w="75" w:type="dxa"/>
            <w:tcBorders/>
            <w:shd w:fill="CCEEFF" w:val="clear"/>
            <w:vAlign w:val="center"/>
          </w:tcPr>
          <w:p>
            <w:pPr>
              <w:pStyle w:val="TableContents"/>
              <w:spacing w:before="0" w:after="283"/>
              <w:rPr/>
            </w:pPr>
            <w:r>
              <w:rPr/>
              <w:t> </w:t>
            </w:r>
          </w:p>
        </w:tc>
      </w:tr>
      <w:tr>
        <w:trPr/>
        <w:tc>
          <w:tcPr>
            <w:tcW w:w="39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Weighted-average number of ordinary shares, basic and diluted</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jc w:val="right"/>
              <w:rPr/>
            </w:pPr>
            <w:r>
              <w:rPr/>
              <w:t>5,435,839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jc w:val="right"/>
              <w:rPr/>
            </w:pPr>
            <w:r>
              <w:rPr/>
              <w:t>4,250,135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jc w:val="right"/>
              <w:rPr/>
            </w:pPr>
            <w:r>
              <w:rPr/>
              <w:t>3,349,403</w:t>
            </w:r>
          </w:p>
        </w:tc>
        <w:tc>
          <w:tcPr>
            <w:tcW w:w="75" w:type="dxa"/>
            <w:tcBorders/>
            <w:shd w:fill="auto" w:val="clear"/>
            <w:vAlign w:val="center"/>
          </w:tcPr>
          <w:p>
            <w:pPr>
              <w:pStyle w:val="TableContents"/>
              <w:spacing w:before="0" w:after="283"/>
              <w:rPr/>
            </w:pPr>
            <w:r>
              <w:rPr/>
              <w:t> </w:t>
            </w:r>
          </w:p>
        </w:tc>
      </w:tr>
      <w:tr>
        <w:trPr/>
        <w:tc>
          <w:tcPr>
            <w:tcW w:w="39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Basic and diluted earnings per share in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1786" w:type="dxa"/>
            <w:tcBorders/>
            <w:shd w:fill="CCEEFF" w:val="clear"/>
            <w:vAlign w:val="center"/>
          </w:tcPr>
          <w:p>
            <w:pPr>
              <w:pStyle w:val="TableContents"/>
              <w:spacing w:before="0" w:after="283"/>
              <w:jc w:val="right"/>
              <w:rPr/>
            </w:pPr>
            <w:r>
              <w:rPr/>
              <w:t>-13.57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1786" w:type="dxa"/>
            <w:tcBorders/>
            <w:shd w:fill="CCEEFF" w:val="clear"/>
            <w:vAlign w:val="center"/>
          </w:tcPr>
          <w:p>
            <w:pPr>
              <w:pStyle w:val="TableContents"/>
              <w:spacing w:before="0" w:after="283"/>
              <w:jc w:val="right"/>
              <w:rPr/>
            </w:pPr>
            <w:r>
              <w:rPr/>
              <w:t>-10.70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1786" w:type="dxa"/>
            <w:tcBorders/>
            <w:shd w:fill="CCEEFF" w:val="clear"/>
            <w:vAlign w:val="center"/>
          </w:tcPr>
          <w:p>
            <w:pPr>
              <w:pStyle w:val="TableContents"/>
              <w:spacing w:before="0" w:after="283"/>
              <w:jc w:val="right"/>
              <w:rPr/>
            </w:pPr>
            <w:r>
              <w:rPr/>
              <w:t>-5.90</w:t>
            </w:r>
          </w:p>
        </w:tc>
        <w:tc>
          <w:tcPr>
            <w:tcW w:w="75" w:type="dxa"/>
            <w:tcBorders/>
            <w:shd w:fill="CCEEFF" w:val="clear"/>
            <w:vAlign w:val="center"/>
          </w:tcPr>
          <w:p>
            <w:pPr>
              <w:pStyle w:val="TableContents"/>
              <w:spacing w:before="0" w:after="283"/>
              <w:rPr/>
            </w:pPr>
            <w:r>
              <w:rPr/>
              <w:t> </w:t>
            </w:r>
          </w:p>
        </w:tc>
      </w:tr>
    </w:tbl>
    <w:p>
      <w:pPr>
        <w:pStyle w:val="TextBody"/>
        <w:spacing w:before="240" w:after="0"/>
        <w:ind w:left="0" w:right="0" w:hanging="0"/>
        <w:jc w:val="both"/>
        <w:rPr>
          <w:rFonts w:ascii="Times New Roman" w:hAnsi="Times New Roman"/>
          <w:sz w:val="20"/>
          <w:highlight w:val="white"/>
        </w:rPr>
      </w:pPr>
      <w:r>
        <w:rPr>
          <w:rFonts w:ascii="Times New Roman" w:hAnsi="Times New Roman"/>
          <w:sz w:val="20"/>
          <w:highlight w:val="white"/>
        </w:rPr>
        <w:t xml:space="preserve">As of December 31, 2022, 45,794 RSU´s (2021: 4,289 </w:t>
      </w:r>
    </w:p>
    <w:p>
      <w:pPr>
        <w:pStyle w:val="TextBody"/>
        <w:spacing w:before="24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RSU´s, 2020: 0 RSU’s) and no stock options (2021: 152,610 stock options, 2020:</w:t>
      </w:r>
    </w:p>
    <w:p>
      <w:pPr>
        <w:pStyle w:val="TextBody"/>
        <w:spacing w:before="240" w:after="0"/>
        <w:jc w:val="both"/>
        <w:rPr>
          <w:spacing w:val="0"/>
          <w:highlight w:val="white"/>
        </w:rPr>
      </w:pPr>
      <w:r>
        <w:rPr>
          <w:spacing w:val="0"/>
          <w:highlight w:val="white"/>
        </w:rPr>
        <w:t>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104,831 </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stock options) were excluded from the diluted weighted average number of ordinary shares calculation because their effect would have been anti-dilutive.</w:t>
      </w:r>
    </w:p>
    <w:p>
      <w:pPr>
        <w:pStyle w:val="TextBody"/>
        <w:spacing w:before="240" w:after="0"/>
        <w:ind w:left="0" w:right="0" w:hanging="0"/>
        <w:jc w:val="both"/>
        <w:rPr>
          <w:rFonts w:ascii="Times New Roman" w:hAnsi="Times New Roman"/>
          <w:sz w:val="20"/>
          <w:highlight w:val="white"/>
        </w:rPr>
      </w:pPr>
      <w:r>
        <w:rPr>
          <w:rFonts w:ascii="Times New Roman" w:hAnsi="Times New Roman"/>
          <w:sz w:val="20"/>
          <w:highlight w:val="white"/>
        </w:rPr>
        <w:t>The average market value of the Company’s shares for the purpose of calculating the dilutive effect of share options was based on quoted market prices for the year during which the options were outstanding.</w:t>
      </w:r>
    </w:p>
    <w:p>
      <w:pPr>
        <w:pStyle w:val="TextBody"/>
        <w:spacing w:before="0" w:after="0"/>
        <w:ind w:left="0" w:right="0" w:hanging="0"/>
        <w:jc w:val="left"/>
        <w:rPr>
          <w:sz w:val="36"/>
        </w:rPr>
      </w:pPr>
      <w:r>
        <w:rPr>
          <w:sz w:val="36"/>
        </w:rPr>
      </w:r>
    </w:p>
    <w:tbl>
      <w:tblPr>
        <w:tblW w:w="1840" w:type="dxa"/>
        <w:jc w:val="left"/>
        <w:tblInd w:w="0" w:type="dxa"/>
        <w:tblCellMar>
          <w:top w:w="0" w:type="dxa"/>
          <w:left w:w="0" w:type="dxa"/>
          <w:bottom w:w="0" w:type="dxa"/>
          <w:right w:w="0" w:type="dxa"/>
        </w:tblCellMar>
      </w:tblPr>
      <w:tblGrid>
        <w:gridCol w:w="335"/>
        <w:gridCol w:w="1505"/>
      </w:tblGrid>
      <w:tr>
        <w:trPr/>
        <w:tc>
          <w:tcPr>
            <w:tcW w:w="335" w:type="dxa"/>
            <w:tcBorders/>
            <w:shd w:fill="auto" w:val="clear"/>
            <w:vAlign w:val="center"/>
          </w:tcPr>
          <w:p>
            <w:pPr>
              <w:pStyle w:val="TableContents"/>
              <w:spacing w:before="0" w:after="0"/>
              <w:jc w:val="left"/>
              <w:rPr>
                <w:b/>
                <w:spacing w:val="0"/>
              </w:rPr>
            </w:pPr>
            <w:r>
              <w:rPr>
                <w:b/>
                <w:spacing w:val="0"/>
              </w:rPr>
              <w:t>17.</w:t>
            </w:r>
          </w:p>
        </w:tc>
        <w:tc>
          <w:tcPr>
            <w:tcW w:w="150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Intangible Assets </w:t>
            </w:r>
          </w:p>
        </w:tc>
      </w:tr>
    </w:tbl>
    <w:p>
      <w:pPr>
        <w:pStyle w:val="TextBody"/>
        <w:spacing w:before="120" w:after="0"/>
        <w:ind w:left="0" w:right="0" w:hanging="0"/>
        <w:jc w:val="left"/>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Cost </w:t>
      </w:r>
    </w:p>
    <w:p>
      <w:pPr>
        <w:pStyle w:val="TextBody"/>
        <w:spacing w:before="0" w:after="0"/>
        <w:ind w:left="0" w:right="0" w:hanging="0"/>
        <w:jc w:val="left"/>
        <w:rPr>
          <w:highlight w:val="white"/>
        </w:rPr>
      </w:pPr>
      <w:r>
        <w:rPr>
          <w:highlight w:val="white"/>
        </w:rPr>
        <w:t> </w:t>
      </w:r>
    </w:p>
    <w:tbl>
      <w:tblPr>
        <w:tblW w:w="6155" w:type="dxa"/>
        <w:jc w:val="left"/>
        <w:tblInd w:w="0" w:type="dxa"/>
        <w:tblCellMar>
          <w:top w:w="0" w:type="dxa"/>
          <w:left w:w="0" w:type="dxa"/>
          <w:bottom w:w="0" w:type="dxa"/>
          <w:right w:w="0" w:type="dxa"/>
        </w:tblCellMar>
      </w:tblPr>
      <w:tblGrid>
        <w:gridCol w:w="2285"/>
        <w:gridCol w:w="120"/>
        <w:gridCol w:w="105"/>
        <w:gridCol w:w="1190"/>
        <w:gridCol w:w="60"/>
        <w:gridCol w:w="120"/>
        <w:gridCol w:w="174"/>
        <w:gridCol w:w="1106"/>
        <w:gridCol w:w="60"/>
        <w:gridCol w:w="120"/>
        <w:gridCol w:w="60"/>
        <w:gridCol w:w="680"/>
        <w:gridCol w:w="75"/>
      </w:tblGrid>
      <w:tr>
        <w:trPr/>
        <w:tc>
          <w:tcPr>
            <w:tcW w:w="22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285"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295" w:type="dxa"/>
            <w:gridSpan w:val="2"/>
            <w:tcBorders/>
            <w:shd w:fill="auto" w:val="clear"/>
            <w:vAlign w:val="center"/>
          </w:tcPr>
          <w:p>
            <w:pPr>
              <w:pStyle w:val="TableContents"/>
              <w:spacing w:before="0" w:after="283"/>
              <w:jc w:val="center"/>
              <w:rPr/>
            </w:pPr>
            <w:r>
              <w:rPr/>
              <w:t>Development</w:t>
              <w:br/>
              <w:t>costs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283"/>
              <w:jc w:val="center"/>
              <w:rPr/>
            </w:pPr>
            <w:r>
              <w:rPr/>
              <w:t>Software and</w:t>
              <w:br/>
              <w:t>licenses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0" w:type="dxa"/>
            <w:gridSpan w:val="2"/>
            <w:tcBorders/>
            <w:shd w:fill="auto" w:val="clear"/>
            <w:vAlign w:val="center"/>
          </w:tcPr>
          <w:p>
            <w:pPr>
              <w:pStyle w:val="TableContents"/>
              <w:spacing w:before="0" w:after="283"/>
              <w:jc w:val="center"/>
              <w:rPr/>
            </w:pPr>
            <w:r>
              <w:rPr/>
              <w:t>Total</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Balance as of Jan. 1, 2020</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1190" w:type="dxa"/>
            <w:tcBorders/>
            <w:shd w:fill="CCEEFF" w:val="clear"/>
            <w:vAlign w:val="center"/>
          </w:tcPr>
          <w:p>
            <w:pPr>
              <w:pStyle w:val="TableContents"/>
              <w:spacing w:before="0" w:after="283"/>
              <w:jc w:val="right"/>
              <w:rPr/>
            </w:pPr>
            <w:r>
              <w:rPr/>
              <w:t>8,695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106" w:type="dxa"/>
            <w:tcBorders/>
            <w:shd w:fill="CCEEFF" w:val="clear"/>
            <w:vAlign w:val="center"/>
          </w:tcPr>
          <w:p>
            <w:pPr>
              <w:pStyle w:val="TableContents"/>
              <w:spacing w:before="0" w:after="283"/>
              <w:jc w:val="right"/>
              <w:rPr/>
            </w:pPr>
            <w:r>
              <w:rPr/>
              <w:t>286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8,981</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Additions</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1190" w:type="dxa"/>
            <w:tcBorders/>
            <w:shd w:fill="auto" w:val="clear"/>
            <w:vAlign w:val="center"/>
          </w:tcPr>
          <w:p>
            <w:pPr>
              <w:pStyle w:val="TableContents"/>
              <w:spacing w:before="0" w:after="283"/>
              <w:jc w:val="right"/>
              <w:rPr/>
            </w:pPr>
            <w:r>
              <w:rPr/>
              <w:t>9,258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106" w:type="dxa"/>
            <w:tcBorders/>
            <w:shd w:fill="auto" w:val="clear"/>
            <w:vAlign w:val="center"/>
          </w:tcPr>
          <w:p>
            <w:pPr>
              <w:pStyle w:val="TableContents"/>
              <w:spacing w:before="0" w:after="283"/>
              <w:jc w:val="right"/>
              <w:rPr/>
            </w:pPr>
            <w:r>
              <w:rPr/>
              <w:t>61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9,319</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Balance as of Dec. 31, 2020</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1190" w:type="dxa"/>
            <w:tcBorders/>
            <w:shd w:fill="CCEEFF" w:val="clear"/>
            <w:vAlign w:val="center"/>
          </w:tcPr>
          <w:p>
            <w:pPr>
              <w:pStyle w:val="TableContents"/>
              <w:spacing w:before="0" w:after="283"/>
              <w:jc w:val="right"/>
              <w:rPr/>
            </w:pPr>
            <w:r>
              <w:rPr/>
              <w:t>17,953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106" w:type="dxa"/>
            <w:tcBorders/>
            <w:shd w:fill="CCEEFF" w:val="clear"/>
            <w:vAlign w:val="center"/>
          </w:tcPr>
          <w:p>
            <w:pPr>
              <w:pStyle w:val="TableContents"/>
              <w:spacing w:before="0" w:after="283"/>
              <w:jc w:val="right"/>
              <w:rPr/>
            </w:pPr>
            <w:r>
              <w:rPr/>
              <w:t>347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18,300</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Additions</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1190" w:type="dxa"/>
            <w:tcBorders/>
            <w:shd w:fill="auto" w:val="clear"/>
            <w:vAlign w:val="center"/>
          </w:tcPr>
          <w:p>
            <w:pPr>
              <w:pStyle w:val="TableContents"/>
              <w:spacing w:before="0" w:after="283"/>
              <w:jc w:val="right"/>
              <w:rPr/>
            </w:pPr>
            <w:r>
              <w:rPr/>
              <w:t>2,924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106" w:type="dxa"/>
            <w:tcBorders/>
            <w:shd w:fill="auto" w:val="clear"/>
            <w:vAlign w:val="center"/>
          </w:tcPr>
          <w:p>
            <w:pPr>
              <w:pStyle w:val="TableContents"/>
              <w:spacing w:before="0" w:after="283"/>
              <w:jc w:val="right"/>
              <w:rPr/>
            </w:pPr>
            <w:r>
              <w:rPr/>
              <w:t>436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3,360</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Disposals</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1190"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106" w:type="dxa"/>
            <w:tcBorders/>
            <w:shd w:fill="CCEEFF" w:val="clear"/>
            <w:vAlign w:val="center"/>
          </w:tcPr>
          <w:p>
            <w:pPr>
              <w:pStyle w:val="TableContents"/>
              <w:spacing w:before="0" w:after="283"/>
              <w:jc w:val="right"/>
              <w:rPr/>
            </w:pPr>
            <w:r>
              <w:rPr/>
              <w:t>-9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-9</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Balance as of Dec. 31, 2021</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1190" w:type="dxa"/>
            <w:tcBorders/>
            <w:shd w:fill="auto" w:val="clear"/>
            <w:vAlign w:val="center"/>
          </w:tcPr>
          <w:p>
            <w:pPr>
              <w:pStyle w:val="TableContents"/>
              <w:spacing w:before="0" w:after="283"/>
              <w:jc w:val="right"/>
              <w:rPr/>
            </w:pPr>
            <w:r>
              <w:rPr/>
              <w:t>20,877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106" w:type="dxa"/>
            <w:tcBorders/>
            <w:shd w:fill="auto" w:val="clear"/>
            <w:vAlign w:val="center"/>
          </w:tcPr>
          <w:p>
            <w:pPr>
              <w:pStyle w:val="TableContents"/>
              <w:spacing w:before="0" w:after="283"/>
              <w:jc w:val="right"/>
              <w:rPr/>
            </w:pPr>
            <w:r>
              <w:rPr/>
              <w:t>774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21,651</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Additions</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1190" w:type="dxa"/>
            <w:tcBorders/>
            <w:shd w:fill="CCEEFF" w:val="clear"/>
            <w:vAlign w:val="center"/>
          </w:tcPr>
          <w:p>
            <w:pPr>
              <w:pStyle w:val="TableContents"/>
              <w:spacing w:before="0" w:after="283"/>
              <w:jc w:val="right"/>
              <w:rPr/>
            </w:pPr>
            <w:r>
              <w:rPr/>
              <w:t>1,023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106" w:type="dxa"/>
            <w:tcBorders/>
            <w:shd w:fill="CCEEFF" w:val="clear"/>
            <w:vAlign w:val="center"/>
          </w:tcPr>
          <w:p>
            <w:pPr>
              <w:pStyle w:val="TableContents"/>
              <w:spacing w:before="0" w:after="283"/>
              <w:jc w:val="right"/>
              <w:rPr/>
            </w:pPr>
            <w:r>
              <w:rPr/>
              <w:t>142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1,165</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Balance as of Dec. 31, 2022</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1190" w:type="dxa"/>
            <w:tcBorders/>
            <w:shd w:fill="auto" w:val="clear"/>
            <w:vAlign w:val="center"/>
          </w:tcPr>
          <w:p>
            <w:pPr>
              <w:pStyle w:val="TableContents"/>
              <w:spacing w:before="0" w:after="283"/>
              <w:jc w:val="right"/>
              <w:rPr/>
            </w:pPr>
            <w:r>
              <w:rPr/>
              <w:t>21,900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106" w:type="dxa"/>
            <w:tcBorders/>
            <w:shd w:fill="auto" w:val="clear"/>
            <w:vAlign w:val="center"/>
          </w:tcPr>
          <w:p>
            <w:pPr>
              <w:pStyle w:val="TableContents"/>
              <w:spacing w:before="0" w:after="283"/>
              <w:jc w:val="right"/>
              <w:rPr/>
            </w:pPr>
            <w:r>
              <w:rPr/>
              <w:t>916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22,816</w:t>
            </w:r>
          </w:p>
        </w:tc>
        <w:tc>
          <w:tcPr>
            <w:tcW w:w="75" w:type="dxa"/>
            <w:tcBorders/>
            <w:shd w:fill="auto" w:val="clear"/>
            <w:vAlign w:val="center"/>
          </w:tcPr>
          <w:p>
            <w:pPr>
              <w:pStyle w:val="TableContents"/>
              <w:spacing w:before="0" w:after="283"/>
              <w:rPr/>
            </w:pPr>
            <w:r>
              <w:rPr/>
              <w:t> </w:t>
            </w:r>
          </w:p>
        </w:tc>
      </w:tr>
    </w:tbl>
    <w:p>
      <w:pPr>
        <w:pStyle w:val="TextBody"/>
        <w:spacing w:before="360" w:after="0"/>
        <w:ind w:left="0" w:right="0" w:hanging="0"/>
        <w:jc w:val="left"/>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Amortization and Impairment </w:t>
      </w:r>
    </w:p>
    <w:p>
      <w:pPr>
        <w:pStyle w:val="TextBody"/>
        <w:spacing w:before="0" w:after="0"/>
        <w:ind w:left="0" w:right="0" w:hanging="0"/>
        <w:jc w:val="left"/>
        <w:rPr>
          <w:highlight w:val="white"/>
        </w:rPr>
      </w:pPr>
      <w:r>
        <w:rPr>
          <w:highlight w:val="white"/>
        </w:rPr>
        <w:t> </w:t>
      </w:r>
    </w:p>
    <w:tbl>
      <w:tblPr>
        <w:tblW w:w="6035" w:type="dxa"/>
        <w:jc w:val="left"/>
        <w:tblInd w:w="0" w:type="dxa"/>
        <w:tblCellMar>
          <w:top w:w="0" w:type="dxa"/>
          <w:left w:w="0" w:type="dxa"/>
          <w:bottom w:w="0" w:type="dxa"/>
          <w:right w:w="0" w:type="dxa"/>
        </w:tblCellMar>
      </w:tblPr>
      <w:tblGrid>
        <w:gridCol w:w="2285"/>
        <w:gridCol w:w="120"/>
        <w:gridCol w:w="125"/>
        <w:gridCol w:w="1170"/>
        <w:gridCol w:w="60"/>
        <w:gridCol w:w="120"/>
        <w:gridCol w:w="174"/>
        <w:gridCol w:w="1106"/>
        <w:gridCol w:w="60"/>
        <w:gridCol w:w="120"/>
        <w:gridCol w:w="60"/>
        <w:gridCol w:w="560"/>
        <w:gridCol w:w="75"/>
      </w:tblGrid>
      <w:tr>
        <w:trPr/>
        <w:tc>
          <w:tcPr>
            <w:tcW w:w="22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285"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295" w:type="dxa"/>
            <w:gridSpan w:val="2"/>
            <w:tcBorders/>
            <w:shd w:fill="auto" w:val="clear"/>
            <w:vAlign w:val="center"/>
          </w:tcPr>
          <w:p>
            <w:pPr>
              <w:pStyle w:val="TableContents"/>
              <w:spacing w:before="0" w:after="283"/>
              <w:jc w:val="center"/>
              <w:rPr/>
            </w:pPr>
            <w:r>
              <w:rPr/>
              <w:t>Development</w:t>
              <w:br/>
              <w:t>costs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283"/>
              <w:jc w:val="center"/>
              <w:rPr/>
            </w:pPr>
            <w:r>
              <w:rPr/>
              <w:t>Software and</w:t>
              <w:br/>
              <w:t>licenses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283"/>
              <w:jc w:val="center"/>
              <w:rPr/>
            </w:pPr>
            <w:r>
              <w:rPr/>
              <w:t>Total</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Balance as of Jan. 1, 2020</w:t>
            </w:r>
          </w:p>
        </w:tc>
        <w:tc>
          <w:tcPr>
            <w:tcW w:w="12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170"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106" w:type="dxa"/>
            <w:tcBorders/>
            <w:shd w:fill="CCEEFF" w:val="clear"/>
            <w:vAlign w:val="center"/>
          </w:tcPr>
          <w:p>
            <w:pPr>
              <w:pStyle w:val="TableContents"/>
              <w:spacing w:before="0" w:after="283"/>
              <w:jc w:val="right"/>
              <w:rPr/>
            </w:pPr>
            <w:r>
              <w:rPr/>
              <w:t>201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201</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Amortization for the year</w:t>
            </w:r>
          </w:p>
        </w:tc>
        <w:tc>
          <w:tcPr>
            <w:tcW w:w="12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170" w:type="dxa"/>
            <w:tcBorders/>
            <w:shd w:fill="auto" w:val="clear"/>
            <w:vAlign w:val="center"/>
          </w:tcPr>
          <w:p>
            <w:pPr>
              <w:pStyle w:val="TableContents"/>
              <w:spacing w:before="0" w:after="283"/>
              <w:jc w:val="right"/>
              <w:rPr/>
            </w:pPr>
            <w:r>
              <w:rPr/>
              <w:t>158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106" w:type="dxa"/>
            <w:tcBorders/>
            <w:shd w:fill="auto" w:val="clear"/>
            <w:vAlign w:val="center"/>
          </w:tcPr>
          <w:p>
            <w:pPr>
              <w:pStyle w:val="TableContents"/>
              <w:spacing w:before="0" w:after="283"/>
              <w:jc w:val="right"/>
              <w:rPr/>
            </w:pPr>
            <w:r>
              <w:rPr/>
              <w:t>57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215</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Balance as of Dec. 31, 2020</w:t>
            </w:r>
          </w:p>
        </w:tc>
        <w:tc>
          <w:tcPr>
            <w:tcW w:w="12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170" w:type="dxa"/>
            <w:tcBorders/>
            <w:shd w:fill="CCEEFF" w:val="clear"/>
            <w:vAlign w:val="center"/>
          </w:tcPr>
          <w:p>
            <w:pPr>
              <w:pStyle w:val="TableContents"/>
              <w:spacing w:before="0" w:after="283"/>
              <w:jc w:val="right"/>
              <w:rPr/>
            </w:pPr>
            <w:r>
              <w:rPr/>
              <w:t>158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106" w:type="dxa"/>
            <w:tcBorders/>
            <w:shd w:fill="CCEEFF" w:val="clear"/>
            <w:vAlign w:val="center"/>
          </w:tcPr>
          <w:p>
            <w:pPr>
              <w:pStyle w:val="TableContents"/>
              <w:spacing w:before="0" w:after="283"/>
              <w:jc w:val="right"/>
              <w:rPr/>
            </w:pPr>
            <w:r>
              <w:rPr/>
              <w:t>258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416</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Amortization for the year</w:t>
            </w:r>
          </w:p>
        </w:tc>
        <w:tc>
          <w:tcPr>
            <w:tcW w:w="12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170" w:type="dxa"/>
            <w:tcBorders/>
            <w:shd w:fill="auto" w:val="clear"/>
            <w:vAlign w:val="center"/>
          </w:tcPr>
          <w:p>
            <w:pPr>
              <w:pStyle w:val="TableContents"/>
              <w:spacing w:before="0" w:after="283"/>
              <w:jc w:val="right"/>
              <w:rPr/>
            </w:pPr>
            <w:r>
              <w:rPr/>
              <w:t>1,174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106" w:type="dxa"/>
            <w:tcBorders/>
            <w:shd w:fill="auto" w:val="clear"/>
            <w:vAlign w:val="center"/>
          </w:tcPr>
          <w:p>
            <w:pPr>
              <w:pStyle w:val="TableContents"/>
              <w:spacing w:before="0" w:after="283"/>
              <w:jc w:val="right"/>
              <w:rPr/>
            </w:pPr>
            <w:r>
              <w:rPr/>
              <w:t>93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1,267</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Disposals</w:t>
            </w:r>
          </w:p>
        </w:tc>
        <w:tc>
          <w:tcPr>
            <w:tcW w:w="12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170"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106" w:type="dxa"/>
            <w:tcBorders/>
            <w:shd w:fill="CCEEFF" w:val="clear"/>
            <w:vAlign w:val="center"/>
          </w:tcPr>
          <w:p>
            <w:pPr>
              <w:pStyle w:val="TableContents"/>
              <w:spacing w:before="0" w:after="283"/>
              <w:jc w:val="right"/>
              <w:rPr/>
            </w:pPr>
            <w:r>
              <w:rPr/>
              <w:t>-1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-1</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Balance as of Dec. 31, 2021</w:t>
            </w:r>
          </w:p>
        </w:tc>
        <w:tc>
          <w:tcPr>
            <w:tcW w:w="12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170" w:type="dxa"/>
            <w:tcBorders/>
            <w:shd w:fill="auto" w:val="clear"/>
            <w:vAlign w:val="center"/>
          </w:tcPr>
          <w:p>
            <w:pPr>
              <w:pStyle w:val="TableContents"/>
              <w:spacing w:before="0" w:after="283"/>
              <w:jc w:val="right"/>
              <w:rPr/>
            </w:pPr>
            <w:r>
              <w:rPr/>
              <w:t>1,332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106" w:type="dxa"/>
            <w:tcBorders/>
            <w:shd w:fill="auto" w:val="clear"/>
            <w:vAlign w:val="center"/>
          </w:tcPr>
          <w:p>
            <w:pPr>
              <w:pStyle w:val="TableContents"/>
              <w:spacing w:before="0" w:after="283"/>
              <w:jc w:val="right"/>
              <w:rPr/>
            </w:pPr>
            <w:r>
              <w:rPr/>
              <w:t>350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1,682</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Amortization for the year</w:t>
            </w:r>
          </w:p>
        </w:tc>
        <w:tc>
          <w:tcPr>
            <w:tcW w:w="12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170" w:type="dxa"/>
            <w:tcBorders/>
            <w:shd w:fill="CCEEFF" w:val="clear"/>
            <w:vAlign w:val="center"/>
          </w:tcPr>
          <w:p>
            <w:pPr>
              <w:pStyle w:val="TableContents"/>
              <w:spacing w:before="0" w:after="283"/>
              <w:jc w:val="right"/>
              <w:rPr/>
            </w:pPr>
            <w:r>
              <w:rPr/>
              <w:t>1,359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106" w:type="dxa"/>
            <w:tcBorders/>
            <w:shd w:fill="CCEEFF" w:val="clear"/>
            <w:vAlign w:val="center"/>
          </w:tcPr>
          <w:p>
            <w:pPr>
              <w:pStyle w:val="TableContents"/>
              <w:spacing w:before="0" w:after="283"/>
              <w:jc w:val="right"/>
              <w:rPr/>
            </w:pPr>
            <w:r>
              <w:rPr/>
              <w:t>186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1,545</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Impairment for the year</w:t>
            </w:r>
          </w:p>
        </w:tc>
        <w:tc>
          <w:tcPr>
            <w:tcW w:w="12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170" w:type="dxa"/>
            <w:tcBorders/>
            <w:shd w:fill="auto" w:val="clear"/>
            <w:vAlign w:val="center"/>
          </w:tcPr>
          <w:p>
            <w:pPr>
              <w:pStyle w:val="TableContents"/>
              <w:spacing w:before="0" w:after="283"/>
              <w:jc w:val="right"/>
              <w:rPr/>
            </w:pPr>
            <w:r>
              <w:rPr/>
              <w:t>1,531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106"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1,531</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Balance as of Dec. 31, 2022</w:t>
            </w:r>
          </w:p>
        </w:tc>
        <w:tc>
          <w:tcPr>
            <w:tcW w:w="12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170" w:type="dxa"/>
            <w:tcBorders/>
            <w:shd w:fill="CCEEFF" w:val="clear"/>
            <w:vAlign w:val="center"/>
          </w:tcPr>
          <w:p>
            <w:pPr>
              <w:pStyle w:val="TableContents"/>
              <w:spacing w:before="0" w:after="283"/>
              <w:jc w:val="right"/>
              <w:rPr/>
            </w:pPr>
            <w:r>
              <w:rPr/>
              <w:t>4,222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106" w:type="dxa"/>
            <w:tcBorders/>
            <w:shd w:fill="CCEEFF" w:val="clear"/>
            <w:vAlign w:val="center"/>
          </w:tcPr>
          <w:p>
            <w:pPr>
              <w:pStyle w:val="TableContents"/>
              <w:spacing w:before="0" w:after="283"/>
              <w:jc w:val="right"/>
              <w:rPr/>
            </w:pPr>
            <w:r>
              <w:rPr/>
              <w:t>536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4,758</w:t>
            </w:r>
          </w:p>
        </w:tc>
        <w:tc>
          <w:tcPr>
            <w:tcW w:w="75" w:type="dxa"/>
            <w:tcBorders/>
            <w:shd w:fill="CCEEFF" w:val="clear"/>
            <w:vAlign w:val="center"/>
          </w:tcPr>
          <w:p>
            <w:pPr>
              <w:pStyle w:val="TableContents"/>
              <w:spacing w:before="0" w:after="283"/>
              <w:rPr/>
            </w:pPr>
            <w:r>
              <w:rPr/>
              <w:t> </w:t>
            </w:r>
          </w:p>
        </w:tc>
      </w:tr>
    </w:tbl>
    <w:p>
      <w:pPr>
        <w:pStyle w:val="TextBody"/>
        <w:spacing w:before="360" w:after="0"/>
        <w:ind w:left="0" w:right="0" w:hanging="0"/>
        <w:jc w:val="left"/>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Carrying amount </w:t>
      </w:r>
    </w:p>
    <w:p>
      <w:pPr>
        <w:pStyle w:val="TextBody"/>
        <w:spacing w:before="0" w:after="0"/>
        <w:ind w:left="0" w:right="0" w:hanging="0"/>
        <w:jc w:val="left"/>
        <w:rPr>
          <w:highlight w:val="white"/>
        </w:rPr>
      </w:pPr>
      <w:r>
        <w:rPr>
          <w:highlight w:val="white"/>
        </w:rPr>
        <w:t> </w:t>
      </w:r>
    </w:p>
    <w:tbl>
      <w:tblPr>
        <w:tblW w:w="6875" w:type="dxa"/>
        <w:jc w:val="left"/>
        <w:tblInd w:w="0" w:type="dxa"/>
        <w:tblCellMar>
          <w:top w:w="0" w:type="dxa"/>
          <w:left w:w="0" w:type="dxa"/>
          <w:bottom w:w="0" w:type="dxa"/>
          <w:right w:w="0" w:type="dxa"/>
        </w:tblCellMar>
      </w:tblPr>
      <w:tblGrid>
        <w:gridCol w:w="3005"/>
        <w:gridCol w:w="120"/>
        <w:gridCol w:w="105"/>
        <w:gridCol w:w="1190"/>
        <w:gridCol w:w="60"/>
        <w:gridCol w:w="120"/>
        <w:gridCol w:w="174"/>
        <w:gridCol w:w="1106"/>
        <w:gridCol w:w="60"/>
        <w:gridCol w:w="120"/>
        <w:gridCol w:w="60"/>
        <w:gridCol w:w="680"/>
        <w:gridCol w:w="75"/>
      </w:tblGrid>
      <w:tr>
        <w:trPr/>
        <w:tc>
          <w:tcPr>
            <w:tcW w:w="30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005"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295" w:type="dxa"/>
            <w:gridSpan w:val="2"/>
            <w:tcBorders/>
            <w:shd w:fill="auto" w:val="clear"/>
            <w:vAlign w:val="center"/>
          </w:tcPr>
          <w:p>
            <w:pPr>
              <w:pStyle w:val="TableContents"/>
              <w:spacing w:before="0" w:after="283"/>
              <w:jc w:val="center"/>
              <w:rPr/>
            </w:pPr>
            <w:r>
              <w:rPr/>
              <w:t>Development</w:t>
              <w:br/>
              <w:t>costs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283"/>
              <w:jc w:val="center"/>
              <w:rPr/>
            </w:pPr>
            <w:r>
              <w:rPr/>
              <w:t>Software and</w:t>
              <w:br/>
              <w:t>licenses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0" w:type="dxa"/>
            <w:gridSpan w:val="2"/>
            <w:tcBorders/>
            <w:shd w:fill="auto" w:val="clear"/>
            <w:vAlign w:val="center"/>
          </w:tcPr>
          <w:p>
            <w:pPr>
              <w:pStyle w:val="TableContents"/>
              <w:spacing w:before="0" w:after="283"/>
              <w:jc w:val="center"/>
              <w:rPr/>
            </w:pPr>
            <w:r>
              <w:rPr/>
              <w:t>Total</w:t>
            </w:r>
          </w:p>
        </w:tc>
        <w:tc>
          <w:tcPr>
            <w:tcW w:w="75" w:type="dxa"/>
            <w:tcBorders/>
            <w:shd w:fill="auto" w:val="clear"/>
            <w:vAlign w:val="center"/>
          </w:tcPr>
          <w:p>
            <w:pPr>
              <w:pStyle w:val="TableContents"/>
              <w:spacing w:before="0" w:after="283"/>
              <w:rPr/>
            </w:pPr>
            <w:r>
              <w:rPr/>
              <w:t> </w:t>
            </w:r>
          </w:p>
        </w:tc>
      </w:tr>
      <w:tr>
        <w:trPr/>
        <w:tc>
          <w:tcPr>
            <w:tcW w:w="30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Carrying amount as of Dec. 31, 2020</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1190" w:type="dxa"/>
            <w:tcBorders/>
            <w:shd w:fill="CCEEFF" w:val="clear"/>
            <w:vAlign w:val="center"/>
          </w:tcPr>
          <w:p>
            <w:pPr>
              <w:pStyle w:val="TableContents"/>
              <w:spacing w:before="0" w:after="283"/>
              <w:jc w:val="right"/>
              <w:rPr/>
            </w:pPr>
            <w:r>
              <w:rPr/>
              <w:t>17,795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106" w:type="dxa"/>
            <w:tcBorders/>
            <w:shd w:fill="CCEEFF" w:val="clear"/>
            <w:vAlign w:val="center"/>
          </w:tcPr>
          <w:p>
            <w:pPr>
              <w:pStyle w:val="TableContents"/>
              <w:spacing w:before="0" w:after="283"/>
              <w:jc w:val="right"/>
              <w:rPr/>
            </w:pPr>
            <w:r>
              <w:rPr/>
              <w:t>89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17,884</w:t>
            </w:r>
          </w:p>
        </w:tc>
        <w:tc>
          <w:tcPr>
            <w:tcW w:w="75" w:type="dxa"/>
            <w:tcBorders/>
            <w:shd w:fill="CCEEFF" w:val="clear"/>
            <w:vAlign w:val="center"/>
          </w:tcPr>
          <w:p>
            <w:pPr>
              <w:pStyle w:val="TableContents"/>
              <w:spacing w:before="0" w:after="283"/>
              <w:rPr/>
            </w:pPr>
            <w:r>
              <w:rPr/>
              <w:t> </w:t>
            </w:r>
          </w:p>
        </w:tc>
      </w:tr>
      <w:tr>
        <w:trPr/>
        <w:tc>
          <w:tcPr>
            <w:tcW w:w="30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Carrying amount as of Dec. 31, 2021</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1190" w:type="dxa"/>
            <w:tcBorders/>
            <w:shd w:fill="auto" w:val="clear"/>
            <w:vAlign w:val="center"/>
          </w:tcPr>
          <w:p>
            <w:pPr>
              <w:pStyle w:val="TableContents"/>
              <w:spacing w:before="0" w:after="283"/>
              <w:jc w:val="right"/>
              <w:rPr/>
            </w:pPr>
            <w:r>
              <w:rPr/>
              <w:t>19,545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106" w:type="dxa"/>
            <w:tcBorders/>
            <w:shd w:fill="auto" w:val="clear"/>
            <w:vAlign w:val="center"/>
          </w:tcPr>
          <w:p>
            <w:pPr>
              <w:pStyle w:val="TableContents"/>
              <w:spacing w:before="0" w:after="283"/>
              <w:jc w:val="right"/>
              <w:rPr/>
            </w:pPr>
            <w:r>
              <w:rPr/>
              <w:t>424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19,969</w:t>
            </w:r>
          </w:p>
        </w:tc>
        <w:tc>
          <w:tcPr>
            <w:tcW w:w="75" w:type="dxa"/>
            <w:tcBorders/>
            <w:shd w:fill="auto" w:val="clear"/>
            <w:vAlign w:val="center"/>
          </w:tcPr>
          <w:p>
            <w:pPr>
              <w:pStyle w:val="TableContents"/>
              <w:spacing w:before="0" w:after="283"/>
              <w:rPr/>
            </w:pPr>
            <w:r>
              <w:rPr/>
              <w:t> </w:t>
            </w:r>
          </w:p>
        </w:tc>
      </w:tr>
      <w:tr>
        <w:trPr/>
        <w:tc>
          <w:tcPr>
            <w:tcW w:w="30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Carrying amount as of Dec. 31, 2022</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1190" w:type="dxa"/>
            <w:tcBorders/>
            <w:shd w:fill="CCEEFF" w:val="clear"/>
            <w:vAlign w:val="center"/>
          </w:tcPr>
          <w:p>
            <w:pPr>
              <w:pStyle w:val="TableContents"/>
              <w:spacing w:before="0" w:after="283"/>
              <w:jc w:val="right"/>
              <w:rPr/>
            </w:pPr>
            <w:r>
              <w:rPr/>
              <w:t>17,678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106" w:type="dxa"/>
            <w:tcBorders/>
            <w:shd w:fill="CCEEFF" w:val="clear"/>
            <w:vAlign w:val="center"/>
          </w:tcPr>
          <w:p>
            <w:pPr>
              <w:pStyle w:val="TableContents"/>
              <w:spacing w:before="0" w:after="283"/>
              <w:jc w:val="right"/>
              <w:rPr/>
            </w:pPr>
            <w:r>
              <w:rPr/>
              <w:t>380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18,058</w:t>
            </w:r>
          </w:p>
        </w:tc>
        <w:tc>
          <w:tcPr>
            <w:tcW w:w="75" w:type="dxa"/>
            <w:tcBorders/>
            <w:shd w:fill="CCEEFF" w:val="clear"/>
            <w:vAlign w:val="center"/>
          </w:tcPr>
          <w:p>
            <w:pPr>
              <w:pStyle w:val="TableContents"/>
              <w:spacing w:before="0" w:after="283"/>
              <w:rPr/>
            </w:pPr>
            <w:r>
              <w:rPr/>
              <w:t> </w:t>
            </w:r>
          </w:p>
        </w:tc>
      </w:tr>
    </w:tbl>
    <w:p>
      <w:pPr>
        <w:pStyle w:val="TextBody"/>
        <w:spacing w:before="240" w:after="0"/>
        <w:ind w:left="0" w:right="0" w:hanging="0"/>
        <w:jc w:val="both"/>
        <w:rPr>
          <w:rFonts w:ascii="Times New Roman" w:hAnsi="Times New Roman"/>
          <w:sz w:val="20"/>
          <w:highlight w:val="white"/>
        </w:rPr>
      </w:pPr>
      <w:r>
        <w:rPr>
          <w:rFonts w:ascii="Times New Roman" w:hAnsi="Times New Roman"/>
          <w:sz w:val="20"/>
          <w:highlight w:val="white"/>
        </w:rPr>
        <w:t xml:space="preserve">During the year ended December 31, 2022, development costs in the amount of €18,019 thousand (2021: €17,830 thousand, 2020: €6,203 thousand) were recognized as an expense since the criteria set out in IAS 38.57 were not met. Of the total amount of €18,986 thousand (2021: €20,675 thousand, 2020: €14,449 thousand), development costs of €967 thousand (2021: €2,845 thousand, 2020: €8,248 thousand) were capitalized. </w:t>
      </w:r>
    </w:p>
    <w:p>
      <w:pPr>
        <w:pStyle w:val="TextBody"/>
        <w:spacing w:before="360" w:after="0"/>
        <w:ind w:left="0" w:right="0" w:hanging="0"/>
        <w:jc w:val="both"/>
        <w:rPr>
          <w:rFonts w:ascii="Times New Roman" w:hAnsi="Times New Roman"/>
          <w:b/>
          <w:sz w:val="20"/>
          <w:highlight w:val="white"/>
        </w:rPr>
      </w:pPr>
      <w:r>
        <w:rPr>
          <w:rFonts w:ascii="Times New Roman" w:hAnsi="Times New Roman"/>
          <w:b/>
          <w:sz w:val="20"/>
          <w:highlight w:val="white"/>
        </w:rPr>
        <w:t xml:space="preserve">Capitalized development costs </w:t>
      </w:r>
    </w:p>
    <w:p>
      <w:pPr>
        <w:pStyle w:val="TextBody"/>
        <w:spacing w:before="120" w:after="0"/>
        <w:ind w:left="0" w:right="0" w:hanging="0"/>
        <w:jc w:val="both"/>
        <w:rPr>
          <w:rFonts w:ascii="Times New Roman" w:hAnsi="Times New Roman"/>
          <w:sz w:val="20"/>
          <w:highlight w:val="white"/>
        </w:rPr>
      </w:pPr>
      <w:r>
        <w:rPr>
          <w:rFonts w:ascii="Times New Roman" w:hAnsi="Times New Roman"/>
          <w:sz w:val="20"/>
          <w:highlight w:val="white"/>
        </w:rPr>
        <w:t xml:space="preserve">The Group mainly capitalized development costs for the development of the CONDOR MEO in the year ended December 31, 2022. However, the CONDOR MEO technology was subsequently impaired in the amount of </w:t>
      </w:r>
    </w:p>
    <w:p>
      <w:pPr>
        <w:pStyle w:val="TextBody"/>
        <w:spacing w:before="0" w:after="0"/>
        <w:ind w:left="0" w:right="0" w:hanging="0"/>
        <w:jc w:val="left"/>
        <w:rPr>
          <w:highlight w:val="white"/>
        </w:rPr>
      </w:pPr>
      <w:r>
        <w:rPr>
          <w:highlight w:val="white"/>
        </w:rPr>
        <w:t> </w:t>
      </w:r>
    </w:p>
    <w:p>
      <w:pPr>
        <w:pStyle w:val="TextBody"/>
        <w:spacing w:before="0" w:after="0"/>
        <w:ind w:left="0" w:right="0" w:hanging="0"/>
        <w:jc w:val="center"/>
        <w:rPr>
          <w:rFonts w:ascii="Times New Roman" w:hAnsi="Times New Roman"/>
          <w:sz w:val="20"/>
          <w:highlight w:val="white"/>
        </w:rPr>
      </w:pPr>
      <w:r>
        <w:rPr>
          <w:rFonts w:ascii="Times New Roman" w:hAnsi="Times New Roman"/>
          <w:sz w:val="20"/>
          <w:highlight w:val="white"/>
        </w:rPr>
        <w:t>F-2</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9</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ind w:left="0" w:right="0" w:hanging="0"/>
        <w:jc w:val="both"/>
        <w:rPr>
          <w:highlight w:val="white"/>
        </w:rPr>
      </w:pPr>
      <w:r>
        <w:rPr>
          <w:highlight w:val="white"/>
        </w:rPr>
        <w:t>€</w:t>
      </w:r>
      <w:r>
        <w:rPr>
          <w:rFonts w:ascii="Times New Roman" w:hAnsi="Times New Roman"/>
          <w:sz w:val="20"/>
          <w:highlight w:val="white"/>
        </w:rPr>
        <w:t xml:space="preserve">1,531 thousand. In the year ended December 31, 2021, the group capitalized costs for the development of the basic SPACE technology, which represent the technological foundation for the CONDOR products, as well as for the development of the CONDOR MEO. </w:t>
      </w:r>
    </w:p>
    <w:p>
      <w:pPr>
        <w:pStyle w:val="TextBody"/>
        <w:spacing w:before="24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 xml:space="preserve">The further development of the CONDOR MEO technology is since October 2022 under </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re-evaluation.</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 xml:space="preserve">The development of this adaption of the CONDOR technology was developed in connection with a customer’s contract. This contract was breached by the customer and therefore terminated by Mynaric. In this context, Mynaric </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re-evaluated</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 xml:space="preserve">the scenarios regarding the technology’s future and the completion of the development of the CONDOR MEO product variant. Result of the </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re-evaluation</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 xml:space="preserve">was to focus the currently available resources on the other products and to prioritize the completion of the development of these existing products and ramp up their serial production. Subsequently, the total capitalized costs in the amount of €1,531 thousand were impaired. </w:t>
      </w:r>
    </w:p>
    <w:p>
      <w:pPr>
        <w:pStyle w:val="TextBody"/>
        <w:spacing w:before="240" w:after="0"/>
        <w:ind w:left="0" w:right="0" w:hanging="0"/>
        <w:jc w:val="both"/>
        <w:rPr>
          <w:rFonts w:ascii="Times New Roman" w:hAnsi="Times New Roman"/>
          <w:sz w:val="20"/>
          <w:highlight w:val="white"/>
        </w:rPr>
      </w:pPr>
      <w:r>
        <w:rPr>
          <w:rFonts w:ascii="Times New Roman" w:hAnsi="Times New Roman"/>
          <w:sz w:val="20"/>
          <w:highlight w:val="white"/>
        </w:rPr>
        <w:t xml:space="preserve">In year ended December 31, 2022, finance expenses in the amount of €56 thousand (2021: €79 thousand, 2020: €1,010 thousand) were capitalized as the cost of the development projects in accordance with IAS 23. </w:t>
      </w:r>
    </w:p>
    <w:p>
      <w:pPr>
        <w:pStyle w:val="TextBody"/>
        <w:spacing w:before="240" w:after="0"/>
        <w:ind w:left="0" w:right="0" w:hanging="0"/>
        <w:jc w:val="both"/>
        <w:rPr>
          <w:rFonts w:ascii="Times New Roman" w:hAnsi="Times New Roman"/>
          <w:sz w:val="20"/>
          <w:highlight w:val="white"/>
        </w:rPr>
      </w:pPr>
      <w:r>
        <w:rPr>
          <w:rFonts w:ascii="Times New Roman" w:hAnsi="Times New Roman"/>
          <w:sz w:val="20"/>
          <w:highlight w:val="white"/>
        </w:rPr>
        <w:t xml:space="preserve">The development activities for the basic technology Space were completed in March 2021. The amortization of the associated capitalized development costs for Space technology started on March 1, 2021, applying the useful life of 15 years. </w:t>
      </w:r>
    </w:p>
    <w:p>
      <w:pPr>
        <w:pStyle w:val="TextBody"/>
        <w:spacing w:before="360" w:after="0"/>
        <w:ind w:left="0" w:right="0" w:hanging="0"/>
        <w:jc w:val="left"/>
        <w:rPr>
          <w:rFonts w:ascii="Times New Roman" w:hAnsi="Times New Roman"/>
          <w:sz w:val="20"/>
          <w:highlight w:val="white"/>
        </w:rPr>
      </w:pPr>
      <w:r>
        <w:rPr>
          <w:rFonts w:ascii="Times New Roman" w:hAnsi="Times New Roman"/>
          <w:sz w:val="20"/>
          <w:highlight w:val="white"/>
        </w:rPr>
        <w:t xml:space="preserve">The carrying amounts of the capitalized development projects were as follows: </w:t>
      </w:r>
    </w:p>
    <w:p>
      <w:pPr>
        <w:pStyle w:val="TextBody"/>
        <w:spacing w:before="0" w:after="0"/>
        <w:ind w:left="0" w:right="0" w:hanging="0"/>
        <w:jc w:val="left"/>
        <w:rPr>
          <w:highlight w:val="white"/>
        </w:rPr>
      </w:pPr>
      <w:r>
        <w:rPr>
          <w:highlight w:val="white"/>
        </w:rPr>
        <w:t> </w:t>
      </w:r>
    </w:p>
    <w:tbl>
      <w:tblPr>
        <w:tblW w:w="7510" w:type="dxa"/>
        <w:jc w:val="left"/>
        <w:tblInd w:w="0" w:type="dxa"/>
        <w:tblCellMar>
          <w:top w:w="0" w:type="dxa"/>
          <w:left w:w="0" w:type="dxa"/>
          <w:bottom w:w="0" w:type="dxa"/>
          <w:right w:w="0" w:type="dxa"/>
        </w:tblCellMar>
      </w:tblPr>
      <w:tblGrid>
        <w:gridCol w:w="3005"/>
        <w:gridCol w:w="120"/>
        <w:gridCol w:w="60"/>
        <w:gridCol w:w="680"/>
        <w:gridCol w:w="60"/>
        <w:gridCol w:w="120"/>
        <w:gridCol w:w="60"/>
        <w:gridCol w:w="560"/>
        <w:gridCol w:w="60"/>
        <w:gridCol w:w="120"/>
        <w:gridCol w:w="227"/>
        <w:gridCol w:w="1443"/>
        <w:gridCol w:w="60"/>
        <w:gridCol w:w="120"/>
        <w:gridCol w:w="60"/>
        <w:gridCol w:w="680"/>
        <w:gridCol w:w="75"/>
      </w:tblGrid>
      <w:tr>
        <w:trPr/>
        <w:tc>
          <w:tcPr>
            <w:tcW w:w="30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44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005"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740" w:type="dxa"/>
            <w:gridSpan w:val="2"/>
            <w:tcBorders/>
            <w:shd w:fill="auto" w:val="clear"/>
            <w:vAlign w:val="center"/>
          </w:tcPr>
          <w:p>
            <w:pPr>
              <w:pStyle w:val="TableContents"/>
              <w:spacing w:before="0" w:after="283"/>
              <w:jc w:val="center"/>
              <w:rPr/>
            </w:pPr>
            <w:r>
              <w:rPr/>
              <w:t>Space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283"/>
              <w:jc w:val="center"/>
              <w:rPr/>
            </w:pPr>
            <w:r>
              <w:rPr/>
              <w:t>Air</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70" w:type="dxa"/>
            <w:gridSpan w:val="2"/>
            <w:tcBorders/>
            <w:shd w:fill="auto" w:val="clear"/>
            <w:vAlign w:val="center"/>
          </w:tcPr>
          <w:p>
            <w:pPr>
              <w:pStyle w:val="TableContents"/>
              <w:spacing w:before="0" w:after="283"/>
              <w:jc w:val="center"/>
              <w:rPr/>
            </w:pPr>
            <w:r>
              <w:rPr/>
              <w:t>CONDOR MEO</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0" w:type="dxa"/>
            <w:gridSpan w:val="2"/>
            <w:tcBorders/>
            <w:shd w:fill="auto" w:val="clear"/>
            <w:vAlign w:val="center"/>
          </w:tcPr>
          <w:p>
            <w:pPr>
              <w:pStyle w:val="TableContents"/>
              <w:spacing w:before="0" w:after="283"/>
              <w:jc w:val="center"/>
              <w:rPr/>
            </w:pPr>
            <w:r>
              <w:rPr/>
              <w:t>Total</w:t>
            </w:r>
          </w:p>
        </w:tc>
        <w:tc>
          <w:tcPr>
            <w:tcW w:w="75" w:type="dxa"/>
            <w:tcBorders/>
            <w:shd w:fill="auto" w:val="clear"/>
            <w:vAlign w:val="center"/>
          </w:tcPr>
          <w:p>
            <w:pPr>
              <w:pStyle w:val="TableContents"/>
              <w:spacing w:before="0" w:after="283"/>
              <w:rPr/>
            </w:pPr>
            <w:r>
              <w:rPr/>
              <w:t> </w:t>
            </w:r>
          </w:p>
        </w:tc>
      </w:tr>
      <w:tr>
        <w:trPr/>
        <w:tc>
          <w:tcPr>
            <w:tcW w:w="30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Carrying amount as of Dec. 31, 2020</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13,552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4,243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rPr/>
            </w:pPr>
            <w:r>
              <w:rPr/>
              <w:t> </w:t>
            </w:r>
          </w:p>
        </w:tc>
        <w:tc>
          <w:tcPr>
            <w:tcW w:w="1443"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17,795</w:t>
            </w:r>
          </w:p>
        </w:tc>
        <w:tc>
          <w:tcPr>
            <w:tcW w:w="75" w:type="dxa"/>
            <w:tcBorders/>
            <w:shd w:fill="CCEEFF" w:val="clear"/>
            <w:vAlign w:val="center"/>
          </w:tcPr>
          <w:p>
            <w:pPr>
              <w:pStyle w:val="TableContents"/>
              <w:spacing w:before="0" w:after="283"/>
              <w:rPr/>
            </w:pPr>
            <w:r>
              <w:rPr/>
              <w:t> </w:t>
            </w:r>
          </w:p>
        </w:tc>
      </w:tr>
      <w:tr>
        <w:trPr/>
        <w:tc>
          <w:tcPr>
            <w:tcW w:w="30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Carrying amount as of Dec. 31, 2021</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15,072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3,965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 </w:t>
            </w:r>
          </w:p>
        </w:tc>
        <w:tc>
          <w:tcPr>
            <w:tcW w:w="1443" w:type="dxa"/>
            <w:tcBorders/>
            <w:shd w:fill="auto" w:val="clear"/>
            <w:vAlign w:val="center"/>
          </w:tcPr>
          <w:p>
            <w:pPr>
              <w:pStyle w:val="TableContents"/>
              <w:spacing w:before="0" w:after="283"/>
              <w:jc w:val="right"/>
              <w:rPr/>
            </w:pPr>
            <w:r>
              <w:rPr/>
              <w:t>508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19,545</w:t>
            </w:r>
          </w:p>
        </w:tc>
        <w:tc>
          <w:tcPr>
            <w:tcW w:w="75" w:type="dxa"/>
            <w:tcBorders/>
            <w:shd w:fill="auto" w:val="clear"/>
            <w:vAlign w:val="center"/>
          </w:tcPr>
          <w:p>
            <w:pPr>
              <w:pStyle w:val="TableContents"/>
              <w:spacing w:before="0" w:after="283"/>
              <w:rPr/>
            </w:pPr>
            <w:r>
              <w:rPr/>
              <w:t> </w:t>
            </w:r>
          </w:p>
        </w:tc>
      </w:tr>
      <w:tr>
        <w:trPr/>
        <w:tc>
          <w:tcPr>
            <w:tcW w:w="30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Carrying amount as of Dec. 31, 2022</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13,998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3,681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rPr/>
            </w:pPr>
            <w:r>
              <w:rPr/>
              <w:t> </w:t>
            </w:r>
          </w:p>
        </w:tc>
        <w:tc>
          <w:tcPr>
            <w:tcW w:w="1443"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17,678</w:t>
            </w:r>
          </w:p>
        </w:tc>
        <w:tc>
          <w:tcPr>
            <w:tcW w:w="75" w:type="dxa"/>
            <w:tcBorders/>
            <w:shd w:fill="CCEEFF" w:val="clear"/>
            <w:vAlign w:val="center"/>
          </w:tcPr>
          <w:p>
            <w:pPr>
              <w:pStyle w:val="TableContents"/>
              <w:spacing w:before="0" w:after="283"/>
              <w:rPr/>
            </w:pPr>
            <w:r>
              <w:rPr/>
              <w:t> </w:t>
            </w:r>
          </w:p>
        </w:tc>
      </w:tr>
    </w:tbl>
    <w:p>
      <w:pPr>
        <w:pStyle w:val="TextBody"/>
        <w:spacing w:before="240" w:after="0"/>
        <w:ind w:left="0" w:right="0" w:hanging="0"/>
        <w:jc w:val="both"/>
        <w:rPr>
          <w:rFonts w:ascii="Times New Roman" w:hAnsi="Times New Roman"/>
          <w:sz w:val="20"/>
          <w:highlight w:val="white"/>
        </w:rPr>
      </w:pPr>
      <w:r>
        <w:rPr>
          <w:rFonts w:ascii="Times New Roman" w:hAnsi="Times New Roman"/>
          <w:sz w:val="20"/>
          <w:highlight w:val="white"/>
        </w:rPr>
        <w:t xml:space="preserve">The remaining useful life of the capitalized development projects were as follows: </w:t>
      </w:r>
    </w:p>
    <w:p>
      <w:pPr>
        <w:pStyle w:val="TextBody"/>
        <w:spacing w:before="0" w:after="0"/>
        <w:ind w:left="0" w:right="0" w:hanging="0"/>
        <w:jc w:val="left"/>
        <w:rPr>
          <w:highlight w:val="white"/>
        </w:rPr>
      </w:pPr>
      <w:r>
        <w:rPr>
          <w:highlight w:val="white"/>
        </w:rPr>
        <w:t> </w:t>
      </w:r>
    </w:p>
    <w:tbl>
      <w:tblPr>
        <w:tblW w:w="6695" w:type="dxa"/>
        <w:jc w:val="left"/>
        <w:tblInd w:w="0" w:type="dxa"/>
        <w:tblCellMar>
          <w:top w:w="0" w:type="dxa"/>
          <w:left w:w="0" w:type="dxa"/>
          <w:bottom w:w="0" w:type="dxa"/>
          <w:right w:w="0" w:type="dxa"/>
        </w:tblCellMar>
      </w:tblPr>
      <w:tblGrid>
        <w:gridCol w:w="3380"/>
        <w:gridCol w:w="120"/>
        <w:gridCol w:w="70"/>
        <w:gridCol w:w="520"/>
        <w:gridCol w:w="60"/>
        <w:gridCol w:w="120"/>
        <w:gridCol w:w="60"/>
        <w:gridCol w:w="440"/>
        <w:gridCol w:w="60"/>
        <w:gridCol w:w="120"/>
        <w:gridCol w:w="385"/>
        <w:gridCol w:w="1285"/>
        <w:gridCol w:w="75"/>
      </w:tblGrid>
      <w:tr>
        <w:trPr/>
        <w:tc>
          <w:tcPr>
            <w:tcW w:w="33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380" w:type="dxa"/>
            <w:tcBorders/>
            <w:shd w:fill="auto" w:val="clear"/>
            <w:vAlign w:val="center"/>
          </w:tcPr>
          <w:p>
            <w:pPr>
              <w:pStyle w:val="TableContents"/>
              <w:spacing w:before="0" w:after="283"/>
              <w:rPr/>
            </w:pPr>
            <w:r>
              <w:rPr/>
              <w:t>in years</w:t>
            </w:r>
          </w:p>
        </w:tc>
        <w:tc>
          <w:tcPr>
            <w:tcW w:w="120" w:type="dxa"/>
            <w:tcBorders/>
            <w:shd w:fill="auto" w:val="clear"/>
            <w:vAlign w:val="center"/>
          </w:tcPr>
          <w:p>
            <w:pPr>
              <w:pStyle w:val="TableContents"/>
              <w:spacing w:before="0" w:after="283"/>
              <w:rPr/>
            </w:pPr>
            <w:r>
              <w:rPr/>
              <w:t>  </w:t>
            </w:r>
          </w:p>
        </w:tc>
        <w:tc>
          <w:tcPr>
            <w:tcW w:w="590" w:type="dxa"/>
            <w:gridSpan w:val="2"/>
            <w:tcBorders/>
            <w:shd w:fill="auto" w:val="clear"/>
            <w:vAlign w:val="center"/>
          </w:tcPr>
          <w:p>
            <w:pPr>
              <w:pStyle w:val="TableContents"/>
              <w:spacing w:before="0" w:after="283"/>
              <w:jc w:val="center"/>
              <w:rPr/>
            </w:pPr>
            <w:r>
              <w:rPr/>
              <w:t>Space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00" w:type="dxa"/>
            <w:gridSpan w:val="2"/>
            <w:tcBorders/>
            <w:shd w:fill="auto" w:val="clear"/>
            <w:vAlign w:val="center"/>
          </w:tcPr>
          <w:p>
            <w:pPr>
              <w:pStyle w:val="TableContents"/>
              <w:spacing w:before="0" w:after="283"/>
              <w:jc w:val="center"/>
              <w:rPr/>
            </w:pPr>
            <w:r>
              <w:rPr/>
              <w:t>Air</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70" w:type="dxa"/>
            <w:gridSpan w:val="2"/>
            <w:tcBorders/>
            <w:shd w:fill="auto" w:val="clear"/>
            <w:vAlign w:val="center"/>
          </w:tcPr>
          <w:p>
            <w:pPr>
              <w:pStyle w:val="TableContents"/>
              <w:spacing w:before="0" w:after="283"/>
              <w:jc w:val="center"/>
              <w:rPr/>
            </w:pPr>
            <w:r>
              <w:rPr/>
              <w:t>CONDOR MEO</w:t>
            </w:r>
          </w:p>
        </w:tc>
        <w:tc>
          <w:tcPr>
            <w:tcW w:w="75" w:type="dxa"/>
            <w:tcBorders/>
            <w:shd w:fill="auto" w:val="clear"/>
            <w:vAlign w:val="center"/>
          </w:tcPr>
          <w:p>
            <w:pPr>
              <w:pStyle w:val="TableContents"/>
              <w:spacing w:before="0" w:after="283"/>
              <w:rPr/>
            </w:pPr>
            <w:r>
              <w:rPr/>
              <w:t> </w:t>
            </w:r>
          </w:p>
        </w:tc>
      </w:tr>
      <w:tr>
        <w:trPr/>
        <w:tc>
          <w:tcPr>
            <w:tcW w:w="33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Remaining useful life as of Dec. 31, 2020</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20" w:type="dxa"/>
            <w:tcBorders/>
            <w:shd w:fill="CCEEFF" w:val="clear"/>
            <w:vAlign w:val="center"/>
          </w:tcPr>
          <w:p>
            <w:pPr>
              <w:pStyle w:val="TableContents"/>
              <w:spacing w:before="0" w:after="283"/>
              <w:jc w:val="right"/>
              <w:rPr/>
            </w:pPr>
            <w:r>
              <w:rPr/>
              <w:t>n/a</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0" w:type="dxa"/>
            <w:tcBorders/>
            <w:shd w:fill="CCEEFF" w:val="clear"/>
            <w:vAlign w:val="center"/>
          </w:tcPr>
          <w:p>
            <w:pPr>
              <w:pStyle w:val="TableContents"/>
              <w:spacing w:before="0" w:after="283"/>
              <w:jc w:val="right"/>
              <w:rPr/>
            </w:pPr>
            <w:r>
              <w:rPr/>
              <w:t>14.5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85" w:type="dxa"/>
            <w:tcBorders/>
            <w:shd w:fill="CCEEFF" w:val="clear"/>
            <w:vAlign w:val="center"/>
          </w:tcPr>
          <w:p>
            <w:pPr>
              <w:pStyle w:val="TableContents"/>
              <w:spacing w:before="0" w:after="283"/>
              <w:rPr/>
            </w:pPr>
            <w:r>
              <w:rPr/>
              <w:t> </w:t>
            </w:r>
          </w:p>
        </w:tc>
        <w:tc>
          <w:tcPr>
            <w:tcW w:w="1285" w:type="dxa"/>
            <w:tcBorders/>
            <w:shd w:fill="CCEEFF" w:val="clear"/>
            <w:vAlign w:val="center"/>
          </w:tcPr>
          <w:p>
            <w:pPr>
              <w:pStyle w:val="TableContents"/>
              <w:spacing w:before="0" w:after="283"/>
              <w:jc w:val="right"/>
              <w:rPr/>
            </w:pPr>
            <w:r>
              <w:rPr/>
              <w:t>n/a</w:t>
            </w:r>
          </w:p>
        </w:tc>
        <w:tc>
          <w:tcPr>
            <w:tcW w:w="75" w:type="dxa"/>
            <w:tcBorders/>
            <w:shd w:fill="CCEEFF" w:val="clear"/>
            <w:vAlign w:val="center"/>
          </w:tcPr>
          <w:p>
            <w:pPr>
              <w:pStyle w:val="TableContents"/>
              <w:spacing w:before="0" w:after="283"/>
              <w:rPr/>
            </w:pPr>
            <w:r>
              <w:rPr/>
              <w:t> </w:t>
            </w:r>
          </w:p>
        </w:tc>
      </w:tr>
      <w:tr>
        <w:trPr/>
        <w:tc>
          <w:tcPr>
            <w:tcW w:w="338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Remaining useful life as of Dec. 31, 2021</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520" w:type="dxa"/>
            <w:tcBorders/>
            <w:shd w:fill="auto" w:val="clear"/>
            <w:vAlign w:val="center"/>
          </w:tcPr>
          <w:p>
            <w:pPr>
              <w:pStyle w:val="TableContents"/>
              <w:spacing w:before="0" w:after="283"/>
              <w:jc w:val="right"/>
              <w:rPr/>
            </w:pPr>
            <w:r>
              <w:rPr/>
              <w:t>14.2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jc w:val="right"/>
              <w:rPr/>
            </w:pPr>
            <w:r>
              <w:rPr/>
              <w:t>13.5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1285" w:type="dxa"/>
            <w:tcBorders/>
            <w:shd w:fill="auto" w:val="clear"/>
            <w:vAlign w:val="center"/>
          </w:tcPr>
          <w:p>
            <w:pPr>
              <w:pStyle w:val="TableContents"/>
              <w:spacing w:before="0" w:after="283"/>
              <w:jc w:val="right"/>
              <w:rPr/>
            </w:pPr>
            <w:r>
              <w:rPr/>
              <w:t>n/a</w:t>
            </w:r>
          </w:p>
        </w:tc>
        <w:tc>
          <w:tcPr>
            <w:tcW w:w="75" w:type="dxa"/>
            <w:tcBorders/>
            <w:shd w:fill="auto" w:val="clear"/>
            <w:vAlign w:val="center"/>
          </w:tcPr>
          <w:p>
            <w:pPr>
              <w:pStyle w:val="TableContents"/>
              <w:spacing w:before="0" w:after="283"/>
              <w:rPr/>
            </w:pPr>
            <w:r>
              <w:rPr/>
              <w:t> </w:t>
            </w:r>
          </w:p>
        </w:tc>
      </w:tr>
      <w:tr>
        <w:trPr/>
        <w:tc>
          <w:tcPr>
            <w:tcW w:w="33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Remaining useful life as of Dec. 31, 2022</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20" w:type="dxa"/>
            <w:tcBorders/>
            <w:shd w:fill="CCEEFF" w:val="clear"/>
            <w:vAlign w:val="center"/>
          </w:tcPr>
          <w:p>
            <w:pPr>
              <w:pStyle w:val="TableContents"/>
              <w:spacing w:before="0" w:after="283"/>
              <w:jc w:val="right"/>
              <w:rPr/>
            </w:pPr>
            <w:r>
              <w:rPr/>
              <w:t>13.2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0" w:type="dxa"/>
            <w:tcBorders/>
            <w:shd w:fill="CCEEFF" w:val="clear"/>
            <w:vAlign w:val="center"/>
          </w:tcPr>
          <w:p>
            <w:pPr>
              <w:pStyle w:val="TableContents"/>
              <w:spacing w:before="0" w:after="283"/>
              <w:jc w:val="right"/>
              <w:rPr/>
            </w:pPr>
            <w:r>
              <w:rPr/>
              <w:t>12.5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85" w:type="dxa"/>
            <w:tcBorders/>
            <w:shd w:fill="CCEEFF" w:val="clear"/>
            <w:vAlign w:val="center"/>
          </w:tcPr>
          <w:p>
            <w:pPr>
              <w:pStyle w:val="TableContents"/>
              <w:spacing w:before="0" w:after="283"/>
              <w:rPr/>
            </w:pPr>
            <w:r>
              <w:rPr/>
              <w:t> </w:t>
            </w:r>
          </w:p>
        </w:tc>
        <w:tc>
          <w:tcPr>
            <w:tcW w:w="1285" w:type="dxa"/>
            <w:tcBorders/>
            <w:shd w:fill="CCEEFF" w:val="clear"/>
            <w:vAlign w:val="center"/>
          </w:tcPr>
          <w:p>
            <w:pPr>
              <w:pStyle w:val="TableContents"/>
              <w:spacing w:before="0" w:after="283"/>
              <w:jc w:val="right"/>
              <w:rPr/>
            </w:pPr>
            <w:r>
              <w:rPr/>
              <w:t>n/a</w:t>
            </w:r>
          </w:p>
        </w:tc>
        <w:tc>
          <w:tcPr>
            <w:tcW w:w="75" w:type="dxa"/>
            <w:tcBorders/>
            <w:shd w:fill="CCEEFF" w:val="clear"/>
            <w:vAlign w:val="center"/>
          </w:tcPr>
          <w:p>
            <w:pPr>
              <w:pStyle w:val="TableContents"/>
              <w:spacing w:before="0" w:after="283"/>
              <w:rPr/>
            </w:pPr>
            <w:r>
              <w:rPr/>
              <w:t> </w:t>
            </w:r>
          </w:p>
        </w:tc>
      </w:tr>
    </w:tbl>
    <w:p>
      <w:pPr>
        <w:pStyle w:val="TextBody"/>
        <w:spacing w:before="360" w:after="0"/>
        <w:ind w:left="0" w:right="0" w:hanging="0"/>
        <w:jc w:val="both"/>
        <w:rPr>
          <w:rFonts w:ascii="Times New Roman" w:hAnsi="Times New Roman"/>
          <w:b/>
          <w:sz w:val="20"/>
          <w:highlight w:val="white"/>
        </w:rPr>
      </w:pPr>
      <w:r>
        <w:rPr>
          <w:rFonts w:ascii="Times New Roman" w:hAnsi="Times New Roman"/>
          <w:b/>
          <w:sz w:val="20"/>
          <w:highlight w:val="white"/>
        </w:rPr>
        <w:t xml:space="preserve">Impairment test of capitalized development costs </w:t>
      </w:r>
    </w:p>
    <w:p>
      <w:pPr>
        <w:pStyle w:val="TextBody"/>
        <w:spacing w:before="120" w:after="0"/>
        <w:ind w:left="0" w:right="0" w:hanging="0"/>
        <w:jc w:val="both"/>
        <w:rPr>
          <w:rFonts w:ascii="Times New Roman" w:hAnsi="Times New Roman"/>
          <w:sz w:val="20"/>
          <w:highlight w:val="white"/>
        </w:rPr>
      </w:pPr>
      <w:r>
        <w:rPr>
          <w:rFonts w:ascii="Times New Roman" w:hAnsi="Times New Roman"/>
          <w:sz w:val="20"/>
          <w:highlight w:val="white"/>
        </w:rPr>
        <w:t>Management identified events that might trigger an impairment for the Space and Air base technology, mainly due to the facts that sales revenues have delayed to later years as compared to last year’s planning.</w:t>
      </w:r>
    </w:p>
    <w:p>
      <w:pPr>
        <w:pStyle w:val="TextBody"/>
        <w:spacing w:before="240" w:after="0"/>
        <w:ind w:left="0" w:right="0" w:hanging="0"/>
        <w:jc w:val="both"/>
        <w:rPr>
          <w:rFonts w:ascii="Times New Roman" w:hAnsi="Times New Roman"/>
          <w:sz w:val="20"/>
          <w:highlight w:val="white"/>
        </w:rPr>
      </w:pPr>
      <w:r>
        <w:rPr>
          <w:rFonts w:ascii="Times New Roman" w:hAnsi="Times New Roman"/>
          <w:sz w:val="20"/>
          <w:highlight w:val="white"/>
        </w:rPr>
        <w:t xml:space="preserve">The recoverable amount of the intangible assets is based on fair value less costs of disposal, estimated using discounted cash flows. The fair value measurement was categorized as a Level 3 fair value based on the inputs in the valuation technique used. </w:t>
      </w:r>
    </w:p>
    <w:p>
      <w:pPr>
        <w:pStyle w:val="TextBody"/>
        <w:spacing w:before="240" w:after="0"/>
        <w:ind w:left="0" w:right="0" w:hanging="0"/>
        <w:jc w:val="both"/>
        <w:rPr>
          <w:rFonts w:ascii="Times New Roman" w:hAnsi="Times New Roman"/>
          <w:sz w:val="20"/>
          <w:highlight w:val="white"/>
        </w:rPr>
      </w:pPr>
      <w:r>
        <w:rPr>
          <w:rFonts w:ascii="Times New Roman" w:hAnsi="Times New Roman"/>
          <w:sz w:val="20"/>
          <w:highlight w:val="white"/>
        </w:rPr>
        <w:t xml:space="preserve">The key assumptions for determining the fair value less costs of disposal are the discount rates, expected number of sold terminals and the respective selling prices and direct costs during the period. Management estimates discount rates using </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post-tax</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rates that reflect current market assessments of the time value of money and the risks specific to each CGU, which are identical to the report segments. The Company prepares cash flow forecasts derived from the most recent financial budgets approved by management for the next 5 years and extrapolates these cash flows. Management estimates the cash flows generated by the sale of terminal equipment based on internal expectations, which in turn are based in part on external market studies, expected profits in tendered projects from private and public customers, and potential new business areas. The planned costs consider the number of terminals expect to be sold and the general growth of other operating expenses and estimated price increases. </w:t>
      </w:r>
    </w:p>
    <w:p>
      <w:pPr>
        <w:pStyle w:val="TextBody"/>
        <w:spacing w:before="240" w:after="0"/>
        <w:ind w:left="0" w:right="0" w:hanging="0"/>
        <w:jc w:val="both"/>
        <w:rPr>
          <w:rFonts w:ascii="Times New Roman" w:hAnsi="Times New Roman"/>
          <w:sz w:val="20"/>
          <w:highlight w:val="white"/>
        </w:rPr>
      </w:pPr>
      <w:r>
        <w:rPr>
          <w:rFonts w:ascii="Times New Roman" w:hAnsi="Times New Roman"/>
          <w:sz w:val="20"/>
          <w:highlight w:val="white"/>
        </w:rPr>
        <w:t>The Company uses</w:t>
      </w:r>
    </w:p>
    <w:p>
      <w:pPr>
        <w:pStyle w:val="TextBody"/>
        <w:spacing w:before="240" w:after="0"/>
        <w:jc w:val="both"/>
        <w:rPr>
          <w:spacing w:val="0"/>
          <w:highlight w:val="white"/>
        </w:rPr>
      </w:pPr>
      <w:r>
        <w:rPr>
          <w:spacing w:val="0"/>
          <w:highlight w:val="white"/>
        </w:rPr>
        <w:t> </w:t>
      </w:r>
    </w:p>
    <w:p>
      <w:pPr>
        <w:pStyle w:val="TextBody"/>
        <w:widowControl/>
        <w:spacing w:before="240" w:after="0"/>
        <w:ind w:left="0" w:right="0" w:hanging="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post-tax discount rates of 19.07% for both segment</w:t>
      </w:r>
    </w:p>
    <w:p>
      <w:pPr>
        <w:pStyle w:val="TextBody"/>
        <w:widowControl/>
        <w:spacing w:before="240" w:after="0"/>
        <w:jc w:val="left"/>
        <w:rPr>
          <w:caps w:val="false"/>
          <w:smallCaps w:val="false"/>
          <w:color w:val="000000"/>
          <w:spacing w:val="0"/>
          <w:highlight w:val="white"/>
        </w:rPr>
      </w:pPr>
      <w:r>
        <w:rPr>
          <w:caps w:val="false"/>
          <w:smallCaps w:val="false"/>
          <w:color w:val="000000"/>
          <w:spacing w:val="0"/>
          <w:highlight w:val="white"/>
        </w:rPr>
        <w:t> </w:t>
      </w:r>
    </w:p>
    <w:p>
      <w:pPr>
        <w:pStyle w:val="TextBody"/>
        <w:spacing w:before="240" w:after="0"/>
        <w:jc w:val="both"/>
        <w:rPr>
          <w:rFonts w:ascii="Times New Roman" w:hAnsi="Times New Roman"/>
          <w:sz w:val="20"/>
          <w:highlight w:val="white"/>
        </w:rPr>
      </w:pPr>
      <w:r>
        <w:rPr>
          <w:rFonts w:ascii="Times New Roman" w:hAnsi="Times New Roman"/>
          <w:sz w:val="20"/>
          <w:highlight w:val="white"/>
        </w:rPr>
        <w:t>CGU</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s</w:t>
      </w:r>
    </w:p>
    <w:p>
      <w:pPr>
        <w:pStyle w:val="TextBody"/>
        <w:spacing w:before="240" w:after="0"/>
        <w:jc w:val="both"/>
        <w:rPr>
          <w:rFonts w:ascii="Times New Roman" w:hAnsi="Times New Roman"/>
          <w:sz w:val="20"/>
          <w:highlight w:val="white"/>
        </w:rPr>
      </w:pPr>
      <w:r>
        <w:rPr>
          <w:rFonts w:ascii="Times New Roman" w:hAnsi="Times New Roman"/>
          <w:sz w:val="20"/>
          <w:highlight w:val="white"/>
        </w:rPr>
        <w:t>(2021: 17.66% for both CGUs, 2020: 17.25% for both CGUs) based on the historical industry weighted average cost of capital, with a possible debt leveraging of 14.6% (2021: 17.0%, 2020: 25.1%), a market premium of 7.5% (2021: 8%, 2020: 8%) and a risk premium of 10.0% (2021: 11%, 2020: 10%).</w:t>
      </w:r>
    </w:p>
    <w:p>
      <w:pPr>
        <w:pStyle w:val="TextBody"/>
        <w:spacing w:before="0" w:after="0"/>
        <w:ind w:left="0" w:right="0" w:hanging="0"/>
        <w:jc w:val="left"/>
        <w:rPr>
          <w:sz w:val="16"/>
        </w:rPr>
      </w:pPr>
      <w:r>
        <w:rPr>
          <w:sz w:val="16"/>
        </w:rPr>
      </w:r>
    </w:p>
    <w:p>
      <w:pPr>
        <w:pStyle w:val="TextBody"/>
        <w:spacing w:before="0" w:after="0"/>
        <w:ind w:left="0" w:right="0" w:hanging="0"/>
        <w:jc w:val="center"/>
        <w:rPr>
          <w:rFonts w:ascii="Times New Roman" w:hAnsi="Times New Roman"/>
          <w:sz w:val="20"/>
          <w:highlight w:val="white"/>
        </w:rPr>
      </w:pPr>
      <w:r>
        <w:rPr>
          <w:rFonts w:ascii="Times New Roman" w:hAnsi="Times New Roman"/>
          <w:sz w:val="20"/>
          <w:highlight w:val="white"/>
        </w:rPr>
        <w:t>F-</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30</w:t>
      </w:r>
    </w:p>
    <w:p>
      <w:pPr>
        <w:pStyle w:val="HorizontalLine"/>
        <w:rPr/>
      </w:pPr>
      <w:r>
        <w:rPr/>
      </w:r>
    </w:p>
    <w:p>
      <w:pPr>
        <w:pStyle w:val="TextBody"/>
        <w:spacing w:before="0" w:after="0"/>
        <w:rPr/>
      </w:pPr>
      <w:hyperlink w:anchor="toc">
        <w:r>
          <w:rPr>
            <w:rStyle w:val="InternetLink"/>
            <w:highlight w:val="white"/>
          </w:rPr>
          <w:t>Table of Contents</w:t>
        </w:r>
      </w:hyperlink>
    </w:p>
    <w:tbl>
      <w:tblPr>
        <w:tblW w:w="3100" w:type="dxa"/>
        <w:jc w:val="left"/>
        <w:tblInd w:w="0" w:type="dxa"/>
        <w:tblCellMar>
          <w:top w:w="0" w:type="dxa"/>
          <w:left w:w="0" w:type="dxa"/>
          <w:bottom w:w="0" w:type="dxa"/>
          <w:right w:w="0" w:type="dxa"/>
        </w:tblCellMar>
      </w:tblPr>
      <w:tblGrid>
        <w:gridCol w:w="335"/>
        <w:gridCol w:w="2765"/>
      </w:tblGrid>
      <w:tr>
        <w:trPr/>
        <w:tc>
          <w:tcPr>
            <w:tcW w:w="335" w:type="dxa"/>
            <w:tcBorders/>
            <w:shd w:fill="auto" w:val="clear"/>
            <w:vAlign w:val="center"/>
          </w:tcPr>
          <w:p>
            <w:pPr>
              <w:pStyle w:val="TableContents"/>
              <w:spacing w:before="0" w:after="0"/>
              <w:jc w:val="left"/>
              <w:rPr>
                <w:b/>
                <w:spacing w:val="0"/>
              </w:rPr>
            </w:pPr>
            <w:r>
              <w:rPr>
                <w:b/>
                <w:spacing w:val="0"/>
              </w:rPr>
              <w:t>18.</w:t>
            </w:r>
          </w:p>
        </w:tc>
        <w:tc>
          <w:tcPr>
            <w:tcW w:w="276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Property, Plant, and Equipment </w:t>
            </w:r>
          </w:p>
        </w:tc>
      </w:tr>
    </w:tbl>
    <w:p>
      <w:pPr>
        <w:pStyle w:val="TextBody"/>
        <w:spacing w:before="120" w:after="0"/>
        <w:jc w:val="left"/>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Cost </w:t>
      </w:r>
    </w:p>
    <w:p>
      <w:pPr>
        <w:pStyle w:val="TextBody"/>
        <w:spacing w:before="0" w:after="0"/>
        <w:jc w:val="left"/>
        <w:rPr>
          <w:highlight w:val="white"/>
        </w:rPr>
      </w:pPr>
      <w:r>
        <w:rPr>
          <w:highlight w:val="white"/>
        </w:rPr>
        <w:t> </w:t>
      </w:r>
    </w:p>
    <w:tbl>
      <w:tblPr>
        <w:tblW w:w="8279" w:type="dxa"/>
        <w:jc w:val="left"/>
        <w:tblInd w:w="0" w:type="dxa"/>
        <w:tblCellMar>
          <w:top w:w="0" w:type="dxa"/>
          <w:left w:w="0" w:type="dxa"/>
          <w:bottom w:w="0" w:type="dxa"/>
          <w:right w:w="0" w:type="dxa"/>
        </w:tblCellMar>
      </w:tblPr>
      <w:tblGrid>
        <w:gridCol w:w="2285"/>
        <w:gridCol w:w="120"/>
        <w:gridCol w:w="88"/>
        <w:gridCol w:w="831"/>
        <w:gridCol w:w="60"/>
        <w:gridCol w:w="120"/>
        <w:gridCol w:w="84"/>
        <w:gridCol w:w="956"/>
        <w:gridCol w:w="60"/>
        <w:gridCol w:w="120"/>
        <w:gridCol w:w="110"/>
        <w:gridCol w:w="1035"/>
        <w:gridCol w:w="60"/>
        <w:gridCol w:w="120"/>
        <w:gridCol w:w="106"/>
        <w:gridCol w:w="1129"/>
        <w:gridCol w:w="60"/>
        <w:gridCol w:w="120"/>
        <w:gridCol w:w="60"/>
        <w:gridCol w:w="680"/>
        <w:gridCol w:w="75"/>
      </w:tblGrid>
      <w:tr>
        <w:trPr/>
        <w:tc>
          <w:tcPr>
            <w:tcW w:w="22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285"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919" w:type="dxa"/>
            <w:gridSpan w:val="2"/>
            <w:tcBorders/>
            <w:shd w:fill="auto" w:val="clear"/>
            <w:vAlign w:val="center"/>
          </w:tcPr>
          <w:p>
            <w:pPr>
              <w:pStyle w:val="TableContents"/>
              <w:spacing w:before="0" w:after="283"/>
              <w:jc w:val="center"/>
              <w:rPr/>
            </w:pPr>
            <w:r>
              <w:rPr/>
              <w:t>Land and</w:t>
              <w:br/>
              <w:t>buildings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283"/>
              <w:jc w:val="center"/>
              <w:rPr/>
            </w:pPr>
            <w:r>
              <w:rPr/>
              <w:t>Machinery</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45" w:type="dxa"/>
            <w:gridSpan w:val="2"/>
            <w:tcBorders/>
            <w:shd w:fill="auto" w:val="clear"/>
            <w:vAlign w:val="center"/>
          </w:tcPr>
          <w:p>
            <w:pPr>
              <w:pStyle w:val="TableContents"/>
              <w:spacing w:before="0" w:after="283"/>
              <w:jc w:val="center"/>
              <w:rPr/>
            </w:pPr>
            <w:r>
              <w:rPr/>
              <w:t>Other plant,</w:t>
              <w:br/>
              <w:t>furniture,</w:t>
              <w:br/>
              <w:t>fixtures,</w:t>
              <w:br/>
              <w:t>and office</w:t>
              <w:br/>
              <w:t>equipment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283"/>
              <w:jc w:val="center"/>
              <w:rPr/>
            </w:pPr>
            <w:r>
              <w:rPr/>
              <w:t>Construction</w:t>
              <w:br/>
              <w:t>in progress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0" w:type="dxa"/>
            <w:gridSpan w:val="2"/>
            <w:tcBorders/>
            <w:shd w:fill="auto" w:val="clear"/>
            <w:vAlign w:val="center"/>
          </w:tcPr>
          <w:p>
            <w:pPr>
              <w:pStyle w:val="TableContents"/>
              <w:spacing w:before="0" w:after="283"/>
              <w:jc w:val="center"/>
              <w:rPr/>
            </w:pPr>
            <w:r>
              <w:rPr/>
              <w:t>Total</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Balance as of Jan. 1, 2020</w:t>
            </w:r>
          </w:p>
        </w:tc>
        <w:tc>
          <w:tcPr>
            <w:tcW w:w="12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831" w:type="dxa"/>
            <w:tcBorders/>
            <w:shd w:fill="CCEEFF" w:val="clear"/>
            <w:vAlign w:val="center"/>
          </w:tcPr>
          <w:p>
            <w:pPr>
              <w:pStyle w:val="TableContents"/>
              <w:spacing w:before="0" w:after="283"/>
              <w:jc w:val="right"/>
              <w:rPr/>
            </w:pPr>
            <w:r>
              <w:rPr/>
              <w:t>1,180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956" w:type="dxa"/>
            <w:tcBorders/>
            <w:shd w:fill="CCEEFF" w:val="clear"/>
            <w:vAlign w:val="center"/>
          </w:tcPr>
          <w:p>
            <w:pPr>
              <w:pStyle w:val="TableContents"/>
              <w:spacing w:before="0" w:after="283"/>
              <w:jc w:val="right"/>
              <w:rPr/>
            </w:pPr>
            <w:r>
              <w:rPr/>
              <w:t>2,099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865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1129" w:type="dxa"/>
            <w:tcBorders/>
            <w:shd w:fill="CCEEFF" w:val="clear"/>
            <w:vAlign w:val="center"/>
          </w:tcPr>
          <w:p>
            <w:pPr>
              <w:pStyle w:val="TableContents"/>
              <w:spacing w:before="0" w:after="283"/>
              <w:jc w:val="right"/>
              <w:rPr/>
            </w:pPr>
            <w:r>
              <w:rPr/>
              <w:t>472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4,616</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Exchange rate differences</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831" w:type="dxa"/>
            <w:tcBorders/>
            <w:shd w:fill="auto" w:val="clear"/>
            <w:vAlign w:val="center"/>
          </w:tcPr>
          <w:p>
            <w:pPr>
              <w:pStyle w:val="TableContents"/>
              <w:spacing w:before="0" w:after="283"/>
              <w:jc w:val="right"/>
              <w:rPr/>
            </w:pPr>
            <w:r>
              <w:rPr/>
              <w:t>-5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6"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-12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1129"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-17</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Additions</w:t>
            </w:r>
          </w:p>
        </w:tc>
        <w:tc>
          <w:tcPr>
            <w:tcW w:w="12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831" w:type="dxa"/>
            <w:tcBorders/>
            <w:shd w:fill="CCEEFF" w:val="clear"/>
            <w:vAlign w:val="center"/>
          </w:tcPr>
          <w:p>
            <w:pPr>
              <w:pStyle w:val="TableContents"/>
              <w:spacing w:before="0" w:after="283"/>
              <w:jc w:val="right"/>
              <w:rPr/>
            </w:pPr>
            <w:r>
              <w:rPr/>
              <w:t>81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956" w:type="dxa"/>
            <w:tcBorders/>
            <w:shd w:fill="CCEEFF" w:val="clear"/>
            <w:vAlign w:val="center"/>
          </w:tcPr>
          <w:p>
            <w:pPr>
              <w:pStyle w:val="TableContents"/>
              <w:spacing w:before="0" w:after="283"/>
              <w:jc w:val="right"/>
              <w:rPr/>
            </w:pPr>
            <w:r>
              <w:rPr/>
              <w:t>1,790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1,977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1129" w:type="dxa"/>
            <w:tcBorders/>
            <w:shd w:fill="CCEEFF" w:val="clear"/>
            <w:vAlign w:val="center"/>
          </w:tcPr>
          <w:p>
            <w:pPr>
              <w:pStyle w:val="TableContents"/>
              <w:spacing w:before="0" w:after="283"/>
              <w:jc w:val="right"/>
              <w:rPr/>
            </w:pPr>
            <w:r>
              <w:rPr/>
              <w:t>3,277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7,125</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Reclassifications</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831"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6" w:type="dxa"/>
            <w:tcBorders/>
            <w:shd w:fill="auto" w:val="clear"/>
            <w:vAlign w:val="center"/>
          </w:tcPr>
          <w:p>
            <w:pPr>
              <w:pStyle w:val="TableContents"/>
              <w:spacing w:before="0" w:after="283"/>
              <w:jc w:val="right"/>
              <w:rPr/>
            </w:pPr>
            <w:r>
              <w:rPr/>
              <w:t>542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490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1129" w:type="dxa"/>
            <w:tcBorders/>
            <w:shd w:fill="auto" w:val="clear"/>
            <w:vAlign w:val="center"/>
          </w:tcPr>
          <w:p>
            <w:pPr>
              <w:pStyle w:val="TableContents"/>
              <w:spacing w:before="0" w:after="283"/>
              <w:jc w:val="right"/>
              <w:rPr/>
            </w:pPr>
            <w:r>
              <w:rPr/>
              <w:t>-1,032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0</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Disposals</w:t>
            </w:r>
          </w:p>
        </w:tc>
        <w:tc>
          <w:tcPr>
            <w:tcW w:w="12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831"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956" w:type="dxa"/>
            <w:tcBorders/>
            <w:shd w:fill="CCEEFF" w:val="clear"/>
            <w:vAlign w:val="center"/>
          </w:tcPr>
          <w:p>
            <w:pPr>
              <w:pStyle w:val="TableContents"/>
              <w:spacing w:before="0" w:after="283"/>
              <w:jc w:val="right"/>
              <w:rPr/>
            </w:pPr>
            <w:r>
              <w:rPr/>
              <w:t>-128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-169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1129"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-297</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Balance as of Dec. 31, 2020</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831" w:type="dxa"/>
            <w:tcBorders/>
            <w:shd w:fill="auto" w:val="clear"/>
            <w:vAlign w:val="center"/>
          </w:tcPr>
          <w:p>
            <w:pPr>
              <w:pStyle w:val="TableContents"/>
              <w:spacing w:before="0" w:after="283"/>
              <w:jc w:val="right"/>
              <w:rPr/>
            </w:pPr>
            <w:r>
              <w:rPr/>
              <w:t>1,256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6" w:type="dxa"/>
            <w:tcBorders/>
            <w:shd w:fill="auto" w:val="clear"/>
            <w:vAlign w:val="center"/>
          </w:tcPr>
          <w:p>
            <w:pPr>
              <w:pStyle w:val="TableContents"/>
              <w:spacing w:before="0" w:after="283"/>
              <w:jc w:val="right"/>
              <w:rPr/>
            </w:pPr>
            <w:r>
              <w:rPr/>
              <w:t>4,303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3,151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1129" w:type="dxa"/>
            <w:tcBorders/>
            <w:shd w:fill="auto" w:val="clear"/>
            <w:vAlign w:val="center"/>
          </w:tcPr>
          <w:p>
            <w:pPr>
              <w:pStyle w:val="TableContents"/>
              <w:spacing w:before="0" w:after="283"/>
              <w:jc w:val="right"/>
              <w:rPr/>
            </w:pPr>
            <w:r>
              <w:rPr/>
              <w:t>2,717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11,426</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Exchange rate differences</w:t>
            </w:r>
          </w:p>
        </w:tc>
        <w:tc>
          <w:tcPr>
            <w:tcW w:w="12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831" w:type="dxa"/>
            <w:tcBorders/>
            <w:shd w:fill="CCEEFF" w:val="clear"/>
            <w:vAlign w:val="center"/>
          </w:tcPr>
          <w:p>
            <w:pPr>
              <w:pStyle w:val="TableContents"/>
              <w:spacing w:before="0" w:after="283"/>
              <w:jc w:val="right"/>
              <w:rPr/>
            </w:pPr>
            <w:r>
              <w:rPr/>
              <w:t>49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956"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34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1129" w:type="dxa"/>
            <w:tcBorders/>
            <w:shd w:fill="CCEEFF" w:val="clear"/>
            <w:vAlign w:val="center"/>
          </w:tcPr>
          <w:p>
            <w:pPr>
              <w:pStyle w:val="TableContents"/>
              <w:spacing w:before="0" w:after="283"/>
              <w:jc w:val="right"/>
              <w:rPr/>
            </w:pPr>
            <w:r>
              <w:rPr/>
              <w:t>23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107</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Additions</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831" w:type="dxa"/>
            <w:tcBorders/>
            <w:shd w:fill="auto" w:val="clear"/>
            <w:vAlign w:val="center"/>
          </w:tcPr>
          <w:p>
            <w:pPr>
              <w:pStyle w:val="TableContents"/>
              <w:spacing w:before="0" w:after="283"/>
              <w:jc w:val="right"/>
              <w:rPr/>
            </w:pPr>
            <w:r>
              <w:rPr/>
              <w:t>1,107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6" w:type="dxa"/>
            <w:tcBorders/>
            <w:shd w:fill="auto" w:val="clear"/>
            <w:vAlign w:val="center"/>
          </w:tcPr>
          <w:p>
            <w:pPr>
              <w:pStyle w:val="TableContents"/>
              <w:spacing w:before="0" w:after="283"/>
              <w:jc w:val="right"/>
              <w:rPr/>
            </w:pPr>
            <w:r>
              <w:rPr/>
              <w:t>2,437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2,654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1129" w:type="dxa"/>
            <w:tcBorders/>
            <w:shd w:fill="auto" w:val="clear"/>
            <w:vAlign w:val="center"/>
          </w:tcPr>
          <w:p>
            <w:pPr>
              <w:pStyle w:val="TableContents"/>
              <w:spacing w:before="0" w:after="283"/>
              <w:jc w:val="right"/>
              <w:rPr/>
            </w:pPr>
            <w:r>
              <w:rPr/>
              <w:t>2,397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8,594</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Reclassifications</w:t>
            </w:r>
          </w:p>
        </w:tc>
        <w:tc>
          <w:tcPr>
            <w:tcW w:w="12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831" w:type="dxa"/>
            <w:tcBorders/>
            <w:shd w:fill="CCEEFF" w:val="clear"/>
            <w:vAlign w:val="center"/>
          </w:tcPr>
          <w:p>
            <w:pPr>
              <w:pStyle w:val="TableContents"/>
              <w:spacing w:before="0" w:after="283"/>
              <w:jc w:val="right"/>
              <w:rPr/>
            </w:pPr>
            <w:r>
              <w:rPr/>
              <w:t>562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956" w:type="dxa"/>
            <w:tcBorders/>
            <w:shd w:fill="CCEEFF" w:val="clear"/>
            <w:vAlign w:val="center"/>
          </w:tcPr>
          <w:p>
            <w:pPr>
              <w:pStyle w:val="TableContents"/>
              <w:spacing w:before="0" w:after="283"/>
              <w:jc w:val="right"/>
              <w:rPr/>
            </w:pPr>
            <w:r>
              <w:rPr/>
              <w:t>2,014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311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1129" w:type="dxa"/>
            <w:tcBorders/>
            <w:shd w:fill="CCEEFF" w:val="clear"/>
            <w:vAlign w:val="center"/>
          </w:tcPr>
          <w:p>
            <w:pPr>
              <w:pStyle w:val="TableContents"/>
              <w:spacing w:before="0" w:after="283"/>
              <w:jc w:val="right"/>
              <w:rPr/>
            </w:pPr>
            <w:r>
              <w:rPr/>
              <w:t>-2,887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0</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Disposals</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831" w:type="dxa"/>
            <w:tcBorders/>
            <w:shd w:fill="auto" w:val="clear"/>
            <w:vAlign w:val="center"/>
          </w:tcPr>
          <w:p>
            <w:pPr>
              <w:pStyle w:val="TableContents"/>
              <w:spacing w:before="0" w:after="283"/>
              <w:jc w:val="right"/>
              <w:rPr/>
            </w:pPr>
            <w:r>
              <w:rPr/>
              <w:t>-8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6"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-283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1129"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-291</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Balance as of Dec. 31, 2021</w:t>
            </w:r>
          </w:p>
        </w:tc>
        <w:tc>
          <w:tcPr>
            <w:tcW w:w="12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831" w:type="dxa"/>
            <w:tcBorders/>
            <w:shd w:fill="CCEEFF" w:val="clear"/>
            <w:vAlign w:val="center"/>
          </w:tcPr>
          <w:p>
            <w:pPr>
              <w:pStyle w:val="TableContents"/>
              <w:spacing w:before="0" w:after="283"/>
              <w:jc w:val="right"/>
              <w:rPr/>
            </w:pPr>
            <w:r>
              <w:rPr/>
              <w:t>2,966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956" w:type="dxa"/>
            <w:tcBorders/>
            <w:shd w:fill="CCEEFF" w:val="clear"/>
            <w:vAlign w:val="center"/>
          </w:tcPr>
          <w:p>
            <w:pPr>
              <w:pStyle w:val="TableContents"/>
              <w:spacing w:before="0" w:after="283"/>
              <w:jc w:val="right"/>
              <w:rPr/>
            </w:pPr>
            <w:r>
              <w:rPr/>
              <w:t>8,754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5,867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1129" w:type="dxa"/>
            <w:tcBorders/>
            <w:shd w:fill="CCEEFF" w:val="clear"/>
            <w:vAlign w:val="center"/>
          </w:tcPr>
          <w:p>
            <w:pPr>
              <w:pStyle w:val="TableContents"/>
              <w:spacing w:before="0" w:after="283"/>
              <w:jc w:val="right"/>
              <w:rPr/>
            </w:pPr>
            <w:r>
              <w:rPr/>
              <w:t>2,250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19,838</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Exchange rate differences</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831" w:type="dxa"/>
            <w:tcBorders/>
            <w:shd w:fill="auto" w:val="clear"/>
            <w:vAlign w:val="center"/>
          </w:tcPr>
          <w:p>
            <w:pPr>
              <w:pStyle w:val="TableContents"/>
              <w:spacing w:before="0" w:after="283"/>
              <w:jc w:val="right"/>
              <w:rPr/>
            </w:pPr>
            <w:r>
              <w:rPr/>
              <w:t>70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6" w:type="dxa"/>
            <w:tcBorders/>
            <w:shd w:fill="auto" w:val="clear"/>
            <w:vAlign w:val="center"/>
          </w:tcPr>
          <w:p>
            <w:pPr>
              <w:pStyle w:val="TableContents"/>
              <w:spacing w:before="0" w:after="283"/>
              <w:jc w:val="right"/>
              <w:rPr/>
            </w:pPr>
            <w:r>
              <w:rPr/>
              <w:t>-9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41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1129" w:type="dxa"/>
            <w:tcBorders/>
            <w:shd w:fill="auto" w:val="clear"/>
            <w:vAlign w:val="center"/>
          </w:tcPr>
          <w:p>
            <w:pPr>
              <w:pStyle w:val="TableContents"/>
              <w:spacing w:before="0" w:after="283"/>
              <w:jc w:val="right"/>
              <w:rPr/>
            </w:pPr>
            <w:r>
              <w:rPr/>
              <w:t>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124</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Additions</w:t>
            </w:r>
          </w:p>
        </w:tc>
        <w:tc>
          <w:tcPr>
            <w:tcW w:w="12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831" w:type="dxa"/>
            <w:tcBorders/>
            <w:shd w:fill="CCEEFF" w:val="clear"/>
            <w:vAlign w:val="center"/>
          </w:tcPr>
          <w:p>
            <w:pPr>
              <w:pStyle w:val="TableContents"/>
              <w:spacing w:before="0" w:after="283"/>
              <w:jc w:val="right"/>
              <w:rPr/>
            </w:pPr>
            <w:r>
              <w:rPr/>
              <w:t>438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956" w:type="dxa"/>
            <w:tcBorders/>
            <w:shd w:fill="CCEEFF" w:val="clear"/>
            <w:vAlign w:val="center"/>
          </w:tcPr>
          <w:p>
            <w:pPr>
              <w:pStyle w:val="TableContents"/>
              <w:spacing w:before="0" w:after="283"/>
              <w:jc w:val="right"/>
              <w:rPr/>
            </w:pPr>
            <w:r>
              <w:rPr/>
              <w:t>1,239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2,356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1129" w:type="dxa"/>
            <w:tcBorders/>
            <w:shd w:fill="CCEEFF" w:val="clear"/>
            <w:vAlign w:val="center"/>
          </w:tcPr>
          <w:p>
            <w:pPr>
              <w:pStyle w:val="TableContents"/>
              <w:spacing w:before="0" w:after="283"/>
              <w:jc w:val="right"/>
              <w:rPr/>
            </w:pPr>
            <w:r>
              <w:rPr/>
              <w:t>4,743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8,776</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Reclassifications</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831" w:type="dxa"/>
            <w:tcBorders/>
            <w:shd w:fill="auto" w:val="clear"/>
            <w:vAlign w:val="center"/>
          </w:tcPr>
          <w:p>
            <w:pPr>
              <w:pStyle w:val="TableContents"/>
              <w:spacing w:before="0" w:after="283"/>
              <w:jc w:val="right"/>
              <w:rPr/>
            </w:pPr>
            <w:r>
              <w:rPr/>
              <w:t>136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6" w:type="dxa"/>
            <w:tcBorders/>
            <w:shd w:fill="auto" w:val="clear"/>
            <w:vAlign w:val="center"/>
          </w:tcPr>
          <w:p>
            <w:pPr>
              <w:pStyle w:val="TableContents"/>
              <w:spacing w:before="0" w:after="283"/>
              <w:jc w:val="right"/>
              <w:rPr/>
            </w:pPr>
            <w:r>
              <w:rPr/>
              <w:t>4,331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105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1129" w:type="dxa"/>
            <w:tcBorders/>
            <w:shd w:fill="auto" w:val="clear"/>
            <w:vAlign w:val="center"/>
          </w:tcPr>
          <w:p>
            <w:pPr>
              <w:pStyle w:val="TableContents"/>
              <w:spacing w:before="0" w:after="283"/>
              <w:jc w:val="right"/>
              <w:rPr/>
            </w:pPr>
            <w:r>
              <w:rPr/>
              <w:t>-4,572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0</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Disposals</w:t>
            </w:r>
          </w:p>
        </w:tc>
        <w:tc>
          <w:tcPr>
            <w:tcW w:w="12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831"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956" w:type="dxa"/>
            <w:tcBorders/>
            <w:shd w:fill="CCEEFF" w:val="clear"/>
            <w:vAlign w:val="center"/>
          </w:tcPr>
          <w:p>
            <w:pPr>
              <w:pStyle w:val="TableContents"/>
              <w:spacing w:before="0" w:after="283"/>
              <w:jc w:val="right"/>
              <w:rPr/>
            </w:pPr>
            <w:r>
              <w:rPr/>
              <w:t>-1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-261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1129" w:type="dxa"/>
            <w:tcBorders/>
            <w:shd w:fill="CCEEFF" w:val="clear"/>
            <w:vAlign w:val="center"/>
          </w:tcPr>
          <w:p>
            <w:pPr>
              <w:pStyle w:val="TableContents"/>
              <w:spacing w:before="0" w:after="283"/>
              <w:jc w:val="right"/>
              <w:rPr/>
            </w:pPr>
            <w:r>
              <w:rPr/>
              <w:t>-60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-322</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Balance as of Dec. 31, 2022</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831" w:type="dxa"/>
            <w:tcBorders/>
            <w:shd w:fill="auto" w:val="clear"/>
            <w:vAlign w:val="center"/>
          </w:tcPr>
          <w:p>
            <w:pPr>
              <w:pStyle w:val="TableContents"/>
              <w:spacing w:before="0" w:after="283"/>
              <w:jc w:val="right"/>
              <w:rPr/>
            </w:pPr>
            <w:r>
              <w:rPr/>
              <w:t>3,610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6" w:type="dxa"/>
            <w:tcBorders/>
            <w:shd w:fill="auto" w:val="clear"/>
            <w:vAlign w:val="center"/>
          </w:tcPr>
          <w:p>
            <w:pPr>
              <w:pStyle w:val="TableContents"/>
              <w:spacing w:before="0" w:after="283"/>
              <w:jc w:val="right"/>
              <w:rPr/>
            </w:pPr>
            <w:r>
              <w:rPr/>
              <w:t>14,314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8,108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1129" w:type="dxa"/>
            <w:tcBorders/>
            <w:shd w:fill="auto" w:val="clear"/>
            <w:vAlign w:val="center"/>
          </w:tcPr>
          <w:p>
            <w:pPr>
              <w:pStyle w:val="TableContents"/>
              <w:spacing w:before="0" w:after="283"/>
              <w:jc w:val="right"/>
              <w:rPr/>
            </w:pPr>
            <w:r>
              <w:rPr/>
              <w:t>2,383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28,415</w:t>
            </w:r>
          </w:p>
        </w:tc>
        <w:tc>
          <w:tcPr>
            <w:tcW w:w="75"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Depreciation </w:t>
      </w:r>
    </w:p>
    <w:p>
      <w:pPr>
        <w:pStyle w:val="TextBody"/>
        <w:spacing w:before="0" w:after="0"/>
        <w:jc w:val="left"/>
        <w:rPr>
          <w:highlight w:val="white"/>
        </w:rPr>
      </w:pPr>
      <w:r>
        <w:rPr>
          <w:highlight w:val="white"/>
        </w:rPr>
        <w:t> </w:t>
      </w:r>
    </w:p>
    <w:tbl>
      <w:tblPr>
        <w:tblW w:w="8159" w:type="dxa"/>
        <w:jc w:val="left"/>
        <w:tblInd w:w="0" w:type="dxa"/>
        <w:tblCellMar>
          <w:top w:w="0" w:type="dxa"/>
          <w:left w:w="0" w:type="dxa"/>
          <w:bottom w:w="0" w:type="dxa"/>
          <w:right w:w="0" w:type="dxa"/>
        </w:tblCellMar>
      </w:tblPr>
      <w:tblGrid>
        <w:gridCol w:w="2285"/>
        <w:gridCol w:w="120"/>
        <w:gridCol w:w="88"/>
        <w:gridCol w:w="831"/>
        <w:gridCol w:w="60"/>
        <w:gridCol w:w="120"/>
        <w:gridCol w:w="100"/>
        <w:gridCol w:w="940"/>
        <w:gridCol w:w="60"/>
        <w:gridCol w:w="120"/>
        <w:gridCol w:w="110"/>
        <w:gridCol w:w="1035"/>
        <w:gridCol w:w="60"/>
        <w:gridCol w:w="120"/>
        <w:gridCol w:w="370"/>
        <w:gridCol w:w="865"/>
        <w:gridCol w:w="60"/>
        <w:gridCol w:w="120"/>
        <w:gridCol w:w="60"/>
        <w:gridCol w:w="560"/>
        <w:gridCol w:w="75"/>
      </w:tblGrid>
      <w:tr>
        <w:trPr/>
        <w:tc>
          <w:tcPr>
            <w:tcW w:w="22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285"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919" w:type="dxa"/>
            <w:gridSpan w:val="2"/>
            <w:tcBorders/>
            <w:shd w:fill="auto" w:val="clear"/>
            <w:vAlign w:val="center"/>
          </w:tcPr>
          <w:p>
            <w:pPr>
              <w:pStyle w:val="TableContents"/>
              <w:spacing w:before="0" w:after="283"/>
              <w:jc w:val="center"/>
              <w:rPr/>
            </w:pPr>
            <w:r>
              <w:rPr/>
              <w:t>Land and</w:t>
              <w:br/>
              <w:t>buildings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283"/>
              <w:jc w:val="center"/>
              <w:rPr/>
            </w:pPr>
            <w:r>
              <w:rPr/>
              <w:t>Machinery</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45" w:type="dxa"/>
            <w:gridSpan w:val="2"/>
            <w:tcBorders/>
            <w:shd w:fill="auto" w:val="clear"/>
            <w:vAlign w:val="center"/>
          </w:tcPr>
          <w:p>
            <w:pPr>
              <w:pStyle w:val="TableContents"/>
              <w:spacing w:before="0" w:after="283"/>
              <w:jc w:val="center"/>
              <w:rPr/>
            </w:pPr>
            <w:r>
              <w:rPr/>
              <w:t>Other plant,</w:t>
              <w:br/>
              <w:t>furniture,</w:t>
              <w:br/>
              <w:t>fixtures,</w:t>
              <w:br/>
              <w:t>and office</w:t>
              <w:br/>
              <w:t>equipment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283"/>
              <w:jc w:val="center"/>
              <w:rPr/>
            </w:pPr>
            <w:r>
              <w:rPr/>
              <w:t>Construction</w:t>
              <w:br/>
              <w:t>in progress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283"/>
              <w:jc w:val="center"/>
              <w:rPr/>
            </w:pPr>
            <w:r>
              <w:rPr/>
              <w:t>Total</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Balance as of Jan. 1, 2020</w:t>
            </w:r>
          </w:p>
        </w:tc>
        <w:tc>
          <w:tcPr>
            <w:tcW w:w="12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831" w:type="dxa"/>
            <w:tcBorders/>
            <w:shd w:fill="CCEEFF" w:val="clear"/>
            <w:vAlign w:val="center"/>
          </w:tcPr>
          <w:p>
            <w:pPr>
              <w:pStyle w:val="TableContents"/>
              <w:spacing w:before="0" w:after="283"/>
              <w:jc w:val="right"/>
              <w:rPr/>
            </w:pPr>
            <w:r>
              <w:rPr/>
              <w:t>86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940" w:type="dxa"/>
            <w:tcBorders/>
            <w:shd w:fill="CCEEFF" w:val="clear"/>
            <w:vAlign w:val="center"/>
          </w:tcPr>
          <w:p>
            <w:pPr>
              <w:pStyle w:val="TableContents"/>
              <w:spacing w:before="0" w:after="283"/>
              <w:jc w:val="right"/>
              <w:rPr/>
            </w:pPr>
            <w:r>
              <w:rPr/>
              <w:t>458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232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70" w:type="dxa"/>
            <w:tcBorders/>
            <w:shd w:fill="CCEEFF" w:val="clear"/>
            <w:vAlign w:val="center"/>
          </w:tcPr>
          <w:p>
            <w:pPr>
              <w:pStyle w:val="TableContents"/>
              <w:spacing w:before="0" w:after="283"/>
              <w:rPr/>
            </w:pPr>
            <w:r>
              <w:rPr/>
              <w:t> </w:t>
            </w:r>
          </w:p>
        </w:tc>
        <w:tc>
          <w:tcPr>
            <w:tcW w:w="865"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776</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Depreciation for the year</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831" w:type="dxa"/>
            <w:tcBorders/>
            <w:shd w:fill="auto" w:val="clear"/>
            <w:vAlign w:val="center"/>
          </w:tcPr>
          <w:p>
            <w:pPr>
              <w:pStyle w:val="TableContents"/>
              <w:spacing w:before="0" w:after="283"/>
              <w:jc w:val="right"/>
              <w:rPr/>
            </w:pPr>
            <w:r>
              <w:rPr/>
              <w:t>120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940" w:type="dxa"/>
            <w:tcBorders/>
            <w:shd w:fill="auto" w:val="clear"/>
            <w:vAlign w:val="center"/>
          </w:tcPr>
          <w:p>
            <w:pPr>
              <w:pStyle w:val="TableContents"/>
              <w:spacing w:before="0" w:after="283"/>
              <w:jc w:val="right"/>
              <w:rPr/>
            </w:pPr>
            <w:r>
              <w:rPr/>
              <w:t>288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415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865"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823</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Disposals</w:t>
            </w:r>
          </w:p>
        </w:tc>
        <w:tc>
          <w:tcPr>
            <w:tcW w:w="12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831"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940" w:type="dxa"/>
            <w:tcBorders/>
            <w:shd w:fill="CCEEFF" w:val="clear"/>
            <w:vAlign w:val="center"/>
          </w:tcPr>
          <w:p>
            <w:pPr>
              <w:pStyle w:val="TableContents"/>
              <w:spacing w:before="0" w:after="283"/>
              <w:jc w:val="right"/>
              <w:rPr/>
            </w:pPr>
            <w:r>
              <w:rPr/>
              <w:t>-116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-131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70" w:type="dxa"/>
            <w:tcBorders/>
            <w:shd w:fill="CCEEFF" w:val="clear"/>
            <w:vAlign w:val="center"/>
          </w:tcPr>
          <w:p>
            <w:pPr>
              <w:pStyle w:val="TableContents"/>
              <w:spacing w:before="0" w:after="283"/>
              <w:rPr/>
            </w:pPr>
            <w:r>
              <w:rPr/>
              <w:t> </w:t>
            </w:r>
          </w:p>
        </w:tc>
        <w:tc>
          <w:tcPr>
            <w:tcW w:w="865"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-247</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Balance as of Dec. 31, 2020</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831" w:type="dxa"/>
            <w:tcBorders/>
            <w:shd w:fill="auto" w:val="clear"/>
            <w:vAlign w:val="center"/>
          </w:tcPr>
          <w:p>
            <w:pPr>
              <w:pStyle w:val="TableContents"/>
              <w:spacing w:before="0" w:after="283"/>
              <w:jc w:val="right"/>
              <w:rPr/>
            </w:pPr>
            <w:r>
              <w:rPr/>
              <w:t>206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940" w:type="dxa"/>
            <w:tcBorders/>
            <w:shd w:fill="auto" w:val="clear"/>
            <w:vAlign w:val="center"/>
          </w:tcPr>
          <w:p>
            <w:pPr>
              <w:pStyle w:val="TableContents"/>
              <w:spacing w:before="0" w:after="283"/>
              <w:jc w:val="right"/>
              <w:rPr/>
            </w:pPr>
            <w:r>
              <w:rPr/>
              <w:t>630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516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865"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1,352</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Exchange rate differences</w:t>
            </w:r>
          </w:p>
        </w:tc>
        <w:tc>
          <w:tcPr>
            <w:tcW w:w="12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831" w:type="dxa"/>
            <w:tcBorders/>
            <w:shd w:fill="CCEEFF" w:val="clear"/>
            <w:vAlign w:val="center"/>
          </w:tcPr>
          <w:p>
            <w:pPr>
              <w:pStyle w:val="TableContents"/>
              <w:spacing w:before="0" w:after="283"/>
              <w:jc w:val="right"/>
              <w:rPr/>
            </w:pPr>
            <w:r>
              <w:rPr/>
              <w:t>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940"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70" w:type="dxa"/>
            <w:tcBorders/>
            <w:shd w:fill="CCEEFF" w:val="clear"/>
            <w:vAlign w:val="center"/>
          </w:tcPr>
          <w:p>
            <w:pPr>
              <w:pStyle w:val="TableContents"/>
              <w:spacing w:before="0" w:after="283"/>
              <w:rPr/>
            </w:pPr>
            <w:r>
              <w:rPr/>
              <w:t> </w:t>
            </w:r>
          </w:p>
        </w:tc>
        <w:tc>
          <w:tcPr>
            <w:tcW w:w="865"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7</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Depreciation for the year</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831" w:type="dxa"/>
            <w:tcBorders/>
            <w:shd w:fill="auto" w:val="clear"/>
            <w:vAlign w:val="center"/>
          </w:tcPr>
          <w:p>
            <w:pPr>
              <w:pStyle w:val="TableContents"/>
              <w:spacing w:before="0" w:after="283"/>
              <w:jc w:val="right"/>
              <w:rPr/>
            </w:pPr>
            <w:r>
              <w:rPr/>
              <w:t>304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940" w:type="dxa"/>
            <w:tcBorders/>
            <w:shd w:fill="auto" w:val="clear"/>
            <w:vAlign w:val="center"/>
          </w:tcPr>
          <w:p>
            <w:pPr>
              <w:pStyle w:val="TableContents"/>
              <w:spacing w:before="0" w:after="283"/>
              <w:jc w:val="right"/>
              <w:rPr/>
            </w:pPr>
            <w:r>
              <w:rPr/>
              <w:t>773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916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865"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1,994</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Disposals</w:t>
            </w:r>
          </w:p>
        </w:tc>
        <w:tc>
          <w:tcPr>
            <w:tcW w:w="12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831"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940"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-283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70" w:type="dxa"/>
            <w:tcBorders/>
            <w:shd w:fill="CCEEFF" w:val="clear"/>
            <w:vAlign w:val="center"/>
          </w:tcPr>
          <w:p>
            <w:pPr>
              <w:pStyle w:val="TableContents"/>
              <w:spacing w:before="0" w:after="283"/>
              <w:rPr/>
            </w:pPr>
            <w:r>
              <w:rPr/>
              <w:t> </w:t>
            </w:r>
          </w:p>
        </w:tc>
        <w:tc>
          <w:tcPr>
            <w:tcW w:w="865"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-283</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Balance as of Dec. 31, 2021</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831" w:type="dxa"/>
            <w:tcBorders/>
            <w:shd w:fill="auto" w:val="clear"/>
            <w:vAlign w:val="center"/>
          </w:tcPr>
          <w:p>
            <w:pPr>
              <w:pStyle w:val="TableContents"/>
              <w:spacing w:before="0" w:after="283"/>
              <w:jc w:val="right"/>
              <w:rPr/>
            </w:pPr>
            <w:r>
              <w:rPr/>
              <w:t>514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940" w:type="dxa"/>
            <w:tcBorders/>
            <w:shd w:fill="auto" w:val="clear"/>
            <w:vAlign w:val="center"/>
          </w:tcPr>
          <w:p>
            <w:pPr>
              <w:pStyle w:val="TableContents"/>
              <w:spacing w:before="0" w:after="283"/>
              <w:jc w:val="right"/>
              <w:rPr/>
            </w:pPr>
            <w:r>
              <w:rPr/>
              <w:t>1,403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1,151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865"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3,070</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Exchange rate differences</w:t>
            </w:r>
          </w:p>
        </w:tc>
        <w:tc>
          <w:tcPr>
            <w:tcW w:w="12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831" w:type="dxa"/>
            <w:tcBorders/>
            <w:shd w:fill="CCEEFF" w:val="clear"/>
            <w:vAlign w:val="center"/>
          </w:tcPr>
          <w:p>
            <w:pPr>
              <w:pStyle w:val="TableContents"/>
              <w:spacing w:before="0" w:after="283"/>
              <w:jc w:val="right"/>
              <w:rPr/>
            </w:pPr>
            <w:r>
              <w:rPr/>
              <w:t>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940"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70" w:type="dxa"/>
            <w:tcBorders/>
            <w:shd w:fill="CCEEFF" w:val="clear"/>
            <w:vAlign w:val="center"/>
          </w:tcPr>
          <w:p>
            <w:pPr>
              <w:pStyle w:val="TableContents"/>
              <w:spacing w:before="0" w:after="283"/>
              <w:rPr/>
            </w:pPr>
            <w:r>
              <w:rPr/>
              <w:t> </w:t>
            </w:r>
          </w:p>
        </w:tc>
        <w:tc>
          <w:tcPr>
            <w:tcW w:w="865"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5</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Depreciation for the year</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831" w:type="dxa"/>
            <w:tcBorders/>
            <w:shd w:fill="auto" w:val="clear"/>
            <w:vAlign w:val="center"/>
          </w:tcPr>
          <w:p>
            <w:pPr>
              <w:pStyle w:val="TableContents"/>
              <w:spacing w:before="0" w:after="283"/>
              <w:jc w:val="right"/>
              <w:rPr/>
            </w:pPr>
            <w:r>
              <w:rPr/>
              <w:t>526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940" w:type="dxa"/>
            <w:tcBorders/>
            <w:shd w:fill="auto" w:val="clear"/>
            <w:vAlign w:val="center"/>
          </w:tcPr>
          <w:p>
            <w:pPr>
              <w:pStyle w:val="TableContents"/>
              <w:spacing w:before="0" w:after="283"/>
              <w:jc w:val="right"/>
              <w:rPr/>
            </w:pPr>
            <w:r>
              <w:rPr/>
              <w:t>1,419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1,309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865"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3,254</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Disposals</w:t>
            </w:r>
          </w:p>
        </w:tc>
        <w:tc>
          <w:tcPr>
            <w:tcW w:w="12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831"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940" w:type="dxa"/>
            <w:tcBorders/>
            <w:shd w:fill="CCEEFF" w:val="clear"/>
            <w:vAlign w:val="center"/>
          </w:tcPr>
          <w:p>
            <w:pPr>
              <w:pStyle w:val="TableContents"/>
              <w:spacing w:before="0" w:after="283"/>
              <w:jc w:val="right"/>
              <w:rPr/>
            </w:pPr>
            <w:r>
              <w:rPr/>
              <w:t>-2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-219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70" w:type="dxa"/>
            <w:tcBorders/>
            <w:shd w:fill="CCEEFF" w:val="clear"/>
            <w:vAlign w:val="center"/>
          </w:tcPr>
          <w:p>
            <w:pPr>
              <w:pStyle w:val="TableContents"/>
              <w:spacing w:before="0" w:after="283"/>
              <w:rPr/>
            </w:pPr>
            <w:r>
              <w:rPr/>
              <w:t> </w:t>
            </w:r>
          </w:p>
        </w:tc>
        <w:tc>
          <w:tcPr>
            <w:tcW w:w="865"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-221</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Balance as of Dec. 31, 2022</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831" w:type="dxa"/>
            <w:tcBorders/>
            <w:shd w:fill="auto" w:val="clear"/>
            <w:vAlign w:val="center"/>
          </w:tcPr>
          <w:p>
            <w:pPr>
              <w:pStyle w:val="TableContents"/>
              <w:spacing w:before="0" w:after="283"/>
              <w:jc w:val="right"/>
              <w:rPr/>
            </w:pPr>
            <w:r>
              <w:rPr/>
              <w:t>1,041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940" w:type="dxa"/>
            <w:tcBorders/>
            <w:shd w:fill="auto" w:val="clear"/>
            <w:vAlign w:val="center"/>
          </w:tcPr>
          <w:p>
            <w:pPr>
              <w:pStyle w:val="TableContents"/>
              <w:spacing w:before="0" w:after="283"/>
              <w:jc w:val="right"/>
              <w:rPr/>
            </w:pPr>
            <w:r>
              <w:rPr/>
              <w:t>2,820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2,245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865"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6,106</w:t>
            </w:r>
          </w:p>
        </w:tc>
        <w:tc>
          <w:tcPr>
            <w:tcW w:w="75"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Carrying amount </w:t>
      </w:r>
    </w:p>
    <w:p>
      <w:pPr>
        <w:pStyle w:val="TextBody"/>
        <w:spacing w:before="0" w:after="0"/>
        <w:jc w:val="left"/>
        <w:rPr>
          <w:highlight w:val="white"/>
        </w:rPr>
      </w:pPr>
      <w:r>
        <w:rPr>
          <w:highlight w:val="white"/>
        </w:rPr>
        <w:t> </w:t>
      </w:r>
    </w:p>
    <w:tbl>
      <w:tblPr>
        <w:tblW w:w="8999" w:type="dxa"/>
        <w:jc w:val="left"/>
        <w:tblInd w:w="0" w:type="dxa"/>
        <w:tblCellMar>
          <w:top w:w="0" w:type="dxa"/>
          <w:left w:w="0" w:type="dxa"/>
          <w:bottom w:w="0" w:type="dxa"/>
          <w:right w:w="0" w:type="dxa"/>
        </w:tblCellMar>
      </w:tblPr>
      <w:tblGrid>
        <w:gridCol w:w="3005"/>
        <w:gridCol w:w="120"/>
        <w:gridCol w:w="88"/>
        <w:gridCol w:w="831"/>
        <w:gridCol w:w="60"/>
        <w:gridCol w:w="120"/>
        <w:gridCol w:w="84"/>
        <w:gridCol w:w="956"/>
        <w:gridCol w:w="60"/>
        <w:gridCol w:w="120"/>
        <w:gridCol w:w="110"/>
        <w:gridCol w:w="1035"/>
        <w:gridCol w:w="60"/>
        <w:gridCol w:w="120"/>
        <w:gridCol w:w="119"/>
        <w:gridCol w:w="1116"/>
        <w:gridCol w:w="60"/>
        <w:gridCol w:w="120"/>
        <w:gridCol w:w="60"/>
        <w:gridCol w:w="680"/>
        <w:gridCol w:w="75"/>
      </w:tblGrid>
      <w:tr>
        <w:trPr/>
        <w:tc>
          <w:tcPr>
            <w:tcW w:w="30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005"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919" w:type="dxa"/>
            <w:gridSpan w:val="2"/>
            <w:tcBorders/>
            <w:shd w:fill="auto" w:val="clear"/>
            <w:vAlign w:val="center"/>
          </w:tcPr>
          <w:p>
            <w:pPr>
              <w:pStyle w:val="TableContents"/>
              <w:spacing w:before="0" w:after="283"/>
              <w:jc w:val="center"/>
              <w:rPr/>
            </w:pPr>
            <w:r>
              <w:rPr/>
              <w:t>Land and</w:t>
              <w:br/>
              <w:t>buildings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283"/>
              <w:jc w:val="center"/>
              <w:rPr/>
            </w:pPr>
            <w:r>
              <w:rPr/>
              <w:t>Machinery</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45" w:type="dxa"/>
            <w:gridSpan w:val="2"/>
            <w:tcBorders/>
            <w:shd w:fill="auto" w:val="clear"/>
            <w:vAlign w:val="center"/>
          </w:tcPr>
          <w:p>
            <w:pPr>
              <w:pStyle w:val="TableContents"/>
              <w:spacing w:before="0" w:after="283"/>
              <w:jc w:val="center"/>
              <w:rPr/>
            </w:pPr>
            <w:r>
              <w:rPr/>
              <w:t>Other plant,</w:t>
              <w:br/>
              <w:t>furniture,</w:t>
              <w:br/>
              <w:t>fixtures,</w:t>
              <w:br/>
              <w:t>and office</w:t>
              <w:br/>
              <w:t>equipment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283"/>
              <w:jc w:val="center"/>
              <w:rPr/>
            </w:pPr>
            <w:r>
              <w:rPr/>
              <w:t>Construction</w:t>
              <w:br/>
              <w:t>in progress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0" w:type="dxa"/>
            <w:gridSpan w:val="2"/>
            <w:tcBorders/>
            <w:shd w:fill="auto" w:val="clear"/>
            <w:vAlign w:val="center"/>
          </w:tcPr>
          <w:p>
            <w:pPr>
              <w:pStyle w:val="TableContents"/>
              <w:spacing w:before="0" w:after="283"/>
              <w:jc w:val="center"/>
              <w:rPr/>
            </w:pPr>
            <w:r>
              <w:rPr/>
              <w:t>Total</w:t>
            </w:r>
          </w:p>
        </w:tc>
        <w:tc>
          <w:tcPr>
            <w:tcW w:w="75" w:type="dxa"/>
            <w:tcBorders/>
            <w:shd w:fill="auto" w:val="clear"/>
            <w:vAlign w:val="center"/>
          </w:tcPr>
          <w:p>
            <w:pPr>
              <w:pStyle w:val="TableContents"/>
              <w:spacing w:before="0" w:after="283"/>
              <w:rPr/>
            </w:pPr>
            <w:r>
              <w:rPr/>
              <w:t> </w:t>
            </w:r>
          </w:p>
        </w:tc>
      </w:tr>
      <w:tr>
        <w:trPr/>
        <w:tc>
          <w:tcPr>
            <w:tcW w:w="30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Carrying amount as of Dec. 31, 2020</w:t>
            </w:r>
          </w:p>
        </w:tc>
        <w:tc>
          <w:tcPr>
            <w:tcW w:w="12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831" w:type="dxa"/>
            <w:tcBorders/>
            <w:shd w:fill="CCEEFF" w:val="clear"/>
            <w:vAlign w:val="center"/>
          </w:tcPr>
          <w:p>
            <w:pPr>
              <w:pStyle w:val="TableContents"/>
              <w:spacing w:before="0" w:after="283"/>
              <w:jc w:val="right"/>
              <w:rPr/>
            </w:pPr>
            <w:r>
              <w:rPr/>
              <w:t>1,050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956" w:type="dxa"/>
            <w:tcBorders/>
            <w:shd w:fill="CCEEFF" w:val="clear"/>
            <w:vAlign w:val="center"/>
          </w:tcPr>
          <w:p>
            <w:pPr>
              <w:pStyle w:val="TableContents"/>
              <w:spacing w:before="0" w:after="283"/>
              <w:jc w:val="right"/>
              <w:rPr/>
            </w:pPr>
            <w:r>
              <w:rPr/>
              <w:t>3,673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2,635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1116" w:type="dxa"/>
            <w:tcBorders/>
            <w:shd w:fill="CCEEFF" w:val="clear"/>
            <w:vAlign w:val="center"/>
          </w:tcPr>
          <w:p>
            <w:pPr>
              <w:pStyle w:val="TableContents"/>
              <w:spacing w:before="0" w:after="283"/>
              <w:jc w:val="right"/>
              <w:rPr/>
            </w:pPr>
            <w:r>
              <w:rPr/>
              <w:t>2,717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10,075</w:t>
            </w:r>
          </w:p>
        </w:tc>
        <w:tc>
          <w:tcPr>
            <w:tcW w:w="75" w:type="dxa"/>
            <w:tcBorders/>
            <w:shd w:fill="CCEEFF" w:val="clear"/>
            <w:vAlign w:val="center"/>
          </w:tcPr>
          <w:p>
            <w:pPr>
              <w:pStyle w:val="TableContents"/>
              <w:spacing w:before="0" w:after="283"/>
              <w:rPr/>
            </w:pPr>
            <w:r>
              <w:rPr/>
              <w:t> </w:t>
            </w:r>
          </w:p>
        </w:tc>
      </w:tr>
      <w:tr>
        <w:trPr/>
        <w:tc>
          <w:tcPr>
            <w:tcW w:w="30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Carrying amount as of Dec. 31, 2021</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831" w:type="dxa"/>
            <w:tcBorders/>
            <w:shd w:fill="auto" w:val="clear"/>
            <w:vAlign w:val="center"/>
          </w:tcPr>
          <w:p>
            <w:pPr>
              <w:pStyle w:val="TableContents"/>
              <w:spacing w:before="0" w:after="283"/>
              <w:jc w:val="right"/>
              <w:rPr/>
            </w:pPr>
            <w:r>
              <w:rPr/>
              <w:t>2,452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6" w:type="dxa"/>
            <w:tcBorders/>
            <w:shd w:fill="auto" w:val="clear"/>
            <w:vAlign w:val="center"/>
          </w:tcPr>
          <w:p>
            <w:pPr>
              <w:pStyle w:val="TableContents"/>
              <w:spacing w:before="0" w:after="283"/>
              <w:jc w:val="right"/>
              <w:rPr/>
            </w:pPr>
            <w:r>
              <w:rPr/>
              <w:t>7,351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4,716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1116" w:type="dxa"/>
            <w:tcBorders/>
            <w:shd w:fill="auto" w:val="clear"/>
            <w:vAlign w:val="center"/>
          </w:tcPr>
          <w:p>
            <w:pPr>
              <w:pStyle w:val="TableContents"/>
              <w:spacing w:before="0" w:after="283"/>
              <w:jc w:val="right"/>
              <w:rPr/>
            </w:pPr>
            <w:r>
              <w:rPr/>
              <w:t>2,250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16,768</w:t>
            </w:r>
          </w:p>
        </w:tc>
        <w:tc>
          <w:tcPr>
            <w:tcW w:w="75" w:type="dxa"/>
            <w:tcBorders/>
            <w:shd w:fill="auto" w:val="clear"/>
            <w:vAlign w:val="center"/>
          </w:tcPr>
          <w:p>
            <w:pPr>
              <w:pStyle w:val="TableContents"/>
              <w:spacing w:before="0" w:after="283"/>
              <w:rPr/>
            </w:pPr>
            <w:r>
              <w:rPr/>
              <w:t> </w:t>
            </w:r>
          </w:p>
        </w:tc>
      </w:tr>
      <w:tr>
        <w:trPr/>
        <w:tc>
          <w:tcPr>
            <w:tcW w:w="30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Carrying amount as of Dec. 31, 2022</w:t>
            </w:r>
          </w:p>
        </w:tc>
        <w:tc>
          <w:tcPr>
            <w:tcW w:w="12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831" w:type="dxa"/>
            <w:tcBorders/>
            <w:shd w:fill="CCEEFF" w:val="clear"/>
            <w:vAlign w:val="center"/>
          </w:tcPr>
          <w:p>
            <w:pPr>
              <w:pStyle w:val="TableContents"/>
              <w:spacing w:before="0" w:after="283"/>
              <w:jc w:val="right"/>
              <w:rPr/>
            </w:pPr>
            <w:r>
              <w:rPr/>
              <w:t>2,569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956" w:type="dxa"/>
            <w:tcBorders/>
            <w:shd w:fill="CCEEFF" w:val="clear"/>
            <w:vAlign w:val="center"/>
          </w:tcPr>
          <w:p>
            <w:pPr>
              <w:pStyle w:val="TableContents"/>
              <w:spacing w:before="0" w:after="283"/>
              <w:jc w:val="right"/>
              <w:rPr/>
            </w:pPr>
            <w:r>
              <w:rPr/>
              <w:t>11,494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5,863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1116" w:type="dxa"/>
            <w:tcBorders/>
            <w:shd w:fill="CCEEFF" w:val="clear"/>
            <w:vAlign w:val="center"/>
          </w:tcPr>
          <w:p>
            <w:pPr>
              <w:pStyle w:val="TableContents"/>
              <w:spacing w:before="0" w:after="283"/>
              <w:jc w:val="right"/>
              <w:rPr/>
            </w:pPr>
            <w:r>
              <w:rPr/>
              <w:t>2,383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22,309</w:t>
            </w:r>
          </w:p>
        </w:tc>
        <w:tc>
          <w:tcPr>
            <w:tcW w:w="75" w:type="dxa"/>
            <w:tcBorders/>
            <w:shd w:fill="CCEEFF" w:val="clear"/>
            <w:vAlign w:val="center"/>
          </w:tcPr>
          <w:p>
            <w:pPr>
              <w:pStyle w:val="TableContents"/>
              <w:spacing w:before="0" w:after="283"/>
              <w:rPr/>
            </w:pPr>
            <w:r>
              <w:rPr/>
              <w:t>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Investments in property, plant, and equipment made during the year ended December 31, 2022, in the amount of €8,776 thousand (2021: €8,594, 2020: €7,125) referred primarily to the expansion of production capacities. Other investments were made in IT infrastructure and office equipment.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During the year ended December 31, 2022, finance expenses in the amount of €32 thousand (2021: €154 thousand, 2020: €45 thousand) were recorded as the cost of property, plant, and equipment in accordance with IAS 23.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F-3</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1</w:t>
      </w:r>
    </w:p>
    <w:p>
      <w:pPr>
        <w:pStyle w:val="HorizontalLine"/>
        <w:rPr/>
      </w:pPr>
      <w:r>
        <w:rPr/>
      </w:r>
    </w:p>
    <w:p>
      <w:pPr>
        <w:pStyle w:val="TextBody"/>
        <w:spacing w:before="0" w:after="0"/>
        <w:rPr/>
      </w:pPr>
      <w:hyperlink w:anchor="toc">
        <w:r>
          <w:rPr>
            <w:rStyle w:val="InternetLink"/>
            <w:highlight w:val="white"/>
          </w:rPr>
          <w:t>Table of Contents</w:t>
        </w:r>
      </w:hyperlink>
    </w:p>
    <w:tbl>
      <w:tblPr>
        <w:tblW w:w="1420" w:type="dxa"/>
        <w:jc w:val="left"/>
        <w:tblInd w:w="0" w:type="dxa"/>
        <w:tblCellMar>
          <w:top w:w="0" w:type="dxa"/>
          <w:left w:w="0" w:type="dxa"/>
          <w:bottom w:w="0" w:type="dxa"/>
          <w:right w:w="0" w:type="dxa"/>
        </w:tblCellMar>
      </w:tblPr>
      <w:tblGrid>
        <w:gridCol w:w="335"/>
        <w:gridCol w:w="1085"/>
      </w:tblGrid>
      <w:tr>
        <w:trPr/>
        <w:tc>
          <w:tcPr>
            <w:tcW w:w="335" w:type="dxa"/>
            <w:tcBorders/>
            <w:shd w:fill="auto" w:val="clear"/>
            <w:vAlign w:val="center"/>
          </w:tcPr>
          <w:p>
            <w:pPr>
              <w:pStyle w:val="TableContents"/>
              <w:spacing w:before="0" w:after="0"/>
              <w:jc w:val="left"/>
              <w:rPr>
                <w:b/>
                <w:spacing w:val="0"/>
              </w:rPr>
            </w:pPr>
            <w:r>
              <w:rPr>
                <w:b/>
                <w:spacing w:val="0"/>
              </w:rPr>
              <w:t>19.</w:t>
            </w:r>
          </w:p>
        </w:tc>
        <w:tc>
          <w:tcPr>
            <w:tcW w:w="108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Right-of-Use</w:t>
            </w:r>
          </w:p>
          <w:p>
            <w:pPr>
              <w:pStyle w:val="TableContents"/>
              <w:spacing w:before="0" w:after="0"/>
              <w:jc w:val="left"/>
              <w:rPr>
                <w:rFonts w:ascii="Times New Roman" w:hAnsi="Times New Roman"/>
                <w:b/>
                <w:sz w:val="20"/>
              </w:rPr>
            </w:pPr>
            <w:r>
              <w:rPr>
                <w:rFonts w:ascii="Times New Roman" w:hAnsi="Times New Roman"/>
                <w:b/>
                <w:sz w:val="20"/>
              </w:rPr>
              <w:t xml:space="preserve">Assets </w:t>
            </w:r>
          </w:p>
        </w:tc>
      </w:tr>
    </w:tbl>
    <w:p>
      <w:pPr>
        <w:pStyle w:val="TextBody"/>
        <w:spacing w:before="120" w:after="0"/>
        <w:jc w:val="left"/>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Cost </w:t>
      </w:r>
    </w:p>
    <w:p>
      <w:pPr>
        <w:pStyle w:val="TextBody"/>
        <w:spacing w:before="0" w:after="0"/>
        <w:jc w:val="left"/>
        <w:rPr>
          <w:highlight w:val="white"/>
        </w:rPr>
      </w:pPr>
      <w:r>
        <w:rPr>
          <w:highlight w:val="white"/>
        </w:rPr>
        <w:t> </w:t>
      </w:r>
    </w:p>
    <w:tbl>
      <w:tblPr>
        <w:tblW w:w="6410" w:type="dxa"/>
        <w:jc w:val="left"/>
        <w:tblInd w:w="0" w:type="dxa"/>
        <w:tblCellMar>
          <w:top w:w="0" w:type="dxa"/>
          <w:left w:w="0" w:type="dxa"/>
          <w:bottom w:w="0" w:type="dxa"/>
          <w:right w:w="0" w:type="dxa"/>
        </w:tblCellMar>
      </w:tblPr>
      <w:tblGrid>
        <w:gridCol w:w="2285"/>
        <w:gridCol w:w="120"/>
        <w:gridCol w:w="134"/>
        <w:gridCol w:w="1521"/>
        <w:gridCol w:w="60"/>
        <w:gridCol w:w="120"/>
        <w:gridCol w:w="160"/>
        <w:gridCol w:w="1015"/>
        <w:gridCol w:w="60"/>
        <w:gridCol w:w="120"/>
        <w:gridCol w:w="60"/>
        <w:gridCol w:w="680"/>
        <w:gridCol w:w="75"/>
      </w:tblGrid>
      <w:tr>
        <w:trPr/>
        <w:tc>
          <w:tcPr>
            <w:tcW w:w="22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52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285"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655" w:type="dxa"/>
            <w:gridSpan w:val="2"/>
            <w:tcBorders/>
            <w:shd w:fill="auto" w:val="clear"/>
            <w:vAlign w:val="center"/>
          </w:tcPr>
          <w:p>
            <w:pPr>
              <w:pStyle w:val="TableContents"/>
              <w:spacing w:before="0" w:after="283"/>
              <w:jc w:val="center"/>
              <w:rPr/>
            </w:pPr>
            <w:r>
              <w:rPr/>
              <w:t>Real estate leases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75" w:type="dxa"/>
            <w:gridSpan w:val="2"/>
            <w:tcBorders/>
            <w:shd w:fill="auto" w:val="clear"/>
            <w:vAlign w:val="center"/>
          </w:tcPr>
          <w:p>
            <w:pPr>
              <w:pStyle w:val="TableContents"/>
              <w:spacing w:before="0" w:after="283"/>
              <w:jc w:val="center"/>
              <w:rPr/>
            </w:pPr>
            <w:r>
              <w:rPr/>
              <w:t>Other leases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0" w:type="dxa"/>
            <w:gridSpan w:val="2"/>
            <w:tcBorders/>
            <w:shd w:fill="auto" w:val="clear"/>
            <w:vAlign w:val="center"/>
          </w:tcPr>
          <w:p>
            <w:pPr>
              <w:pStyle w:val="TableContents"/>
              <w:spacing w:before="0" w:after="283"/>
              <w:jc w:val="center"/>
              <w:rPr/>
            </w:pPr>
            <w:r>
              <w:rPr/>
              <w:t>Total</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Balance as of Jan. 1, 2020</w:t>
            </w:r>
          </w:p>
        </w:tc>
        <w:tc>
          <w:tcPr>
            <w:tcW w:w="12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521" w:type="dxa"/>
            <w:tcBorders/>
            <w:shd w:fill="CCEEFF" w:val="clear"/>
            <w:vAlign w:val="center"/>
          </w:tcPr>
          <w:p>
            <w:pPr>
              <w:pStyle w:val="TableContents"/>
              <w:spacing w:before="0" w:after="283"/>
              <w:jc w:val="right"/>
              <w:rPr/>
            </w:pPr>
            <w:r>
              <w:rPr/>
              <w:t>7,289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015" w:type="dxa"/>
            <w:tcBorders/>
            <w:shd w:fill="CCEEFF" w:val="clear"/>
            <w:vAlign w:val="center"/>
          </w:tcPr>
          <w:p>
            <w:pPr>
              <w:pStyle w:val="TableContents"/>
              <w:spacing w:before="0" w:after="283"/>
              <w:jc w:val="right"/>
              <w:rPr/>
            </w:pPr>
            <w:r>
              <w:rPr/>
              <w:t>11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7,300</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Exchange rate differences</w:t>
            </w:r>
          </w:p>
        </w:tc>
        <w:tc>
          <w:tcPr>
            <w:tcW w:w="12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521" w:type="dxa"/>
            <w:tcBorders/>
            <w:shd w:fill="auto" w:val="clear"/>
            <w:vAlign w:val="center"/>
          </w:tcPr>
          <w:p>
            <w:pPr>
              <w:pStyle w:val="TableContents"/>
              <w:spacing w:before="0" w:after="283"/>
              <w:jc w:val="right"/>
              <w:rPr/>
            </w:pPr>
            <w:r>
              <w:rPr/>
              <w:t>-77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015"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-77</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Additions</w:t>
            </w:r>
          </w:p>
        </w:tc>
        <w:tc>
          <w:tcPr>
            <w:tcW w:w="12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521" w:type="dxa"/>
            <w:tcBorders/>
            <w:shd w:fill="CCEEFF" w:val="clear"/>
            <w:vAlign w:val="center"/>
          </w:tcPr>
          <w:p>
            <w:pPr>
              <w:pStyle w:val="TableContents"/>
              <w:spacing w:before="0" w:after="283"/>
              <w:jc w:val="right"/>
              <w:rPr/>
            </w:pPr>
            <w:r>
              <w:rPr/>
              <w:t>2,004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015" w:type="dxa"/>
            <w:tcBorders/>
            <w:shd w:fill="CCEEFF" w:val="clear"/>
            <w:vAlign w:val="center"/>
          </w:tcPr>
          <w:p>
            <w:pPr>
              <w:pStyle w:val="TableContents"/>
              <w:spacing w:before="0" w:after="283"/>
              <w:jc w:val="right"/>
              <w:rPr/>
            </w:pPr>
            <w:r>
              <w:rPr/>
              <w:t>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2,012</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Balance as of Dec. 31, 2020</w:t>
            </w:r>
          </w:p>
        </w:tc>
        <w:tc>
          <w:tcPr>
            <w:tcW w:w="12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521" w:type="dxa"/>
            <w:tcBorders/>
            <w:shd w:fill="auto" w:val="clear"/>
            <w:vAlign w:val="center"/>
          </w:tcPr>
          <w:p>
            <w:pPr>
              <w:pStyle w:val="TableContents"/>
              <w:spacing w:before="0" w:after="283"/>
              <w:jc w:val="right"/>
              <w:rPr/>
            </w:pPr>
            <w:r>
              <w:rPr/>
              <w:t>9,216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015" w:type="dxa"/>
            <w:tcBorders/>
            <w:shd w:fill="auto" w:val="clear"/>
            <w:vAlign w:val="center"/>
          </w:tcPr>
          <w:p>
            <w:pPr>
              <w:pStyle w:val="TableContents"/>
              <w:spacing w:before="0" w:after="283"/>
              <w:jc w:val="right"/>
              <w:rPr/>
            </w:pPr>
            <w:r>
              <w:rPr/>
              <w:t>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9,235</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Exchange rate differences</w:t>
            </w:r>
          </w:p>
        </w:tc>
        <w:tc>
          <w:tcPr>
            <w:tcW w:w="12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521" w:type="dxa"/>
            <w:tcBorders/>
            <w:shd w:fill="CCEEFF" w:val="clear"/>
            <w:vAlign w:val="center"/>
          </w:tcPr>
          <w:p>
            <w:pPr>
              <w:pStyle w:val="TableContents"/>
              <w:spacing w:before="0" w:after="283"/>
              <w:jc w:val="right"/>
              <w:rPr/>
            </w:pPr>
            <w:r>
              <w:rPr/>
              <w:t>168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015"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168</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Additions</w:t>
            </w:r>
          </w:p>
        </w:tc>
        <w:tc>
          <w:tcPr>
            <w:tcW w:w="12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521" w:type="dxa"/>
            <w:tcBorders/>
            <w:shd w:fill="auto" w:val="clear"/>
            <w:vAlign w:val="center"/>
          </w:tcPr>
          <w:p>
            <w:pPr>
              <w:pStyle w:val="TableContents"/>
              <w:spacing w:before="0" w:after="283"/>
              <w:jc w:val="right"/>
              <w:rPr/>
            </w:pPr>
            <w:r>
              <w:rPr/>
              <w:t>1,995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015"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1,995</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Disposals</w:t>
            </w:r>
          </w:p>
        </w:tc>
        <w:tc>
          <w:tcPr>
            <w:tcW w:w="12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521" w:type="dxa"/>
            <w:tcBorders/>
            <w:shd w:fill="CCEEFF" w:val="clear"/>
            <w:vAlign w:val="center"/>
          </w:tcPr>
          <w:p>
            <w:pPr>
              <w:pStyle w:val="TableContents"/>
              <w:spacing w:before="0" w:after="283"/>
              <w:jc w:val="right"/>
              <w:rPr/>
            </w:pPr>
            <w:r>
              <w:rPr/>
              <w:t>-11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015"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-11</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Balance as of Dec. 31, 2021</w:t>
            </w:r>
          </w:p>
        </w:tc>
        <w:tc>
          <w:tcPr>
            <w:tcW w:w="12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521" w:type="dxa"/>
            <w:tcBorders/>
            <w:shd w:fill="auto" w:val="clear"/>
            <w:vAlign w:val="center"/>
          </w:tcPr>
          <w:p>
            <w:pPr>
              <w:pStyle w:val="TableContents"/>
              <w:spacing w:before="0" w:after="283"/>
              <w:jc w:val="right"/>
              <w:rPr/>
            </w:pPr>
            <w:r>
              <w:rPr/>
              <w:t>11,368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015" w:type="dxa"/>
            <w:tcBorders/>
            <w:shd w:fill="auto" w:val="clear"/>
            <w:vAlign w:val="center"/>
          </w:tcPr>
          <w:p>
            <w:pPr>
              <w:pStyle w:val="TableContents"/>
              <w:spacing w:before="0" w:after="283"/>
              <w:jc w:val="right"/>
              <w:rPr/>
            </w:pPr>
            <w:r>
              <w:rPr/>
              <w:t>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11,387</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Exchange rate differences</w:t>
            </w:r>
          </w:p>
        </w:tc>
        <w:tc>
          <w:tcPr>
            <w:tcW w:w="12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521" w:type="dxa"/>
            <w:tcBorders/>
            <w:shd w:fill="CCEEFF" w:val="clear"/>
            <w:vAlign w:val="center"/>
          </w:tcPr>
          <w:p>
            <w:pPr>
              <w:pStyle w:val="TableContents"/>
              <w:spacing w:before="0" w:after="283"/>
              <w:jc w:val="right"/>
              <w:rPr/>
            </w:pPr>
            <w:r>
              <w:rPr/>
              <w:t>196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015"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196</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Additions</w:t>
            </w:r>
          </w:p>
        </w:tc>
        <w:tc>
          <w:tcPr>
            <w:tcW w:w="12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521" w:type="dxa"/>
            <w:tcBorders/>
            <w:shd w:fill="auto" w:val="clear"/>
            <w:vAlign w:val="center"/>
          </w:tcPr>
          <w:p>
            <w:pPr>
              <w:pStyle w:val="TableContents"/>
              <w:spacing w:before="0" w:after="283"/>
              <w:jc w:val="right"/>
              <w:rPr/>
            </w:pPr>
            <w:r>
              <w:rPr/>
              <w:t>688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015" w:type="dxa"/>
            <w:tcBorders/>
            <w:shd w:fill="auto" w:val="clear"/>
            <w:vAlign w:val="center"/>
          </w:tcPr>
          <w:p>
            <w:pPr>
              <w:pStyle w:val="TableContents"/>
              <w:spacing w:before="0" w:after="283"/>
              <w:jc w:val="right"/>
              <w:rPr/>
            </w:pPr>
            <w:r>
              <w:rPr/>
              <w:t>750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1,438</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Disposals</w:t>
            </w:r>
          </w:p>
        </w:tc>
        <w:tc>
          <w:tcPr>
            <w:tcW w:w="12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521" w:type="dxa"/>
            <w:tcBorders/>
            <w:shd w:fill="CCEEFF" w:val="clear"/>
            <w:vAlign w:val="center"/>
          </w:tcPr>
          <w:p>
            <w:pPr>
              <w:pStyle w:val="TableContents"/>
              <w:spacing w:before="0" w:after="283"/>
              <w:jc w:val="right"/>
              <w:rPr/>
            </w:pPr>
            <w:r>
              <w:rPr/>
              <w:t>-5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015" w:type="dxa"/>
            <w:tcBorders/>
            <w:shd w:fill="CCEEFF" w:val="clear"/>
            <w:vAlign w:val="center"/>
          </w:tcPr>
          <w:p>
            <w:pPr>
              <w:pStyle w:val="TableContents"/>
              <w:spacing w:before="0" w:after="283"/>
              <w:jc w:val="right"/>
              <w:rPr/>
            </w:pPr>
            <w:r>
              <w:rPr/>
              <w:t>-11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-16</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Balance as of Dec. 31, 2022</w:t>
            </w:r>
          </w:p>
        </w:tc>
        <w:tc>
          <w:tcPr>
            <w:tcW w:w="12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521" w:type="dxa"/>
            <w:tcBorders/>
            <w:shd w:fill="auto" w:val="clear"/>
            <w:vAlign w:val="center"/>
          </w:tcPr>
          <w:p>
            <w:pPr>
              <w:pStyle w:val="TableContents"/>
              <w:spacing w:before="0" w:after="283"/>
              <w:jc w:val="right"/>
              <w:rPr/>
            </w:pPr>
            <w:r>
              <w:rPr/>
              <w:t>12,247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015" w:type="dxa"/>
            <w:tcBorders/>
            <w:shd w:fill="auto" w:val="clear"/>
            <w:vAlign w:val="center"/>
          </w:tcPr>
          <w:p>
            <w:pPr>
              <w:pStyle w:val="TableContents"/>
              <w:spacing w:before="0" w:after="283"/>
              <w:jc w:val="right"/>
              <w:rPr/>
            </w:pPr>
            <w:r>
              <w:rPr/>
              <w:t>758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13,005</w:t>
            </w:r>
          </w:p>
        </w:tc>
        <w:tc>
          <w:tcPr>
            <w:tcW w:w="75"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Depreciation </w:t>
      </w:r>
    </w:p>
    <w:p>
      <w:pPr>
        <w:pStyle w:val="TextBody"/>
        <w:spacing w:before="0" w:after="0"/>
        <w:jc w:val="left"/>
        <w:rPr>
          <w:highlight w:val="white"/>
        </w:rPr>
      </w:pPr>
      <w:r>
        <w:rPr>
          <w:highlight w:val="white"/>
        </w:rPr>
        <w:t> </w:t>
      </w:r>
    </w:p>
    <w:tbl>
      <w:tblPr>
        <w:tblW w:w="6290" w:type="dxa"/>
        <w:jc w:val="left"/>
        <w:tblInd w:w="0" w:type="dxa"/>
        <w:tblCellMar>
          <w:top w:w="0" w:type="dxa"/>
          <w:left w:w="0" w:type="dxa"/>
          <w:bottom w:w="0" w:type="dxa"/>
          <w:right w:w="0" w:type="dxa"/>
        </w:tblCellMar>
      </w:tblPr>
      <w:tblGrid>
        <w:gridCol w:w="2285"/>
        <w:gridCol w:w="120"/>
        <w:gridCol w:w="160"/>
        <w:gridCol w:w="1495"/>
        <w:gridCol w:w="60"/>
        <w:gridCol w:w="120"/>
        <w:gridCol w:w="178"/>
        <w:gridCol w:w="997"/>
        <w:gridCol w:w="60"/>
        <w:gridCol w:w="120"/>
        <w:gridCol w:w="60"/>
        <w:gridCol w:w="560"/>
        <w:gridCol w:w="75"/>
      </w:tblGrid>
      <w:tr>
        <w:trPr/>
        <w:tc>
          <w:tcPr>
            <w:tcW w:w="22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4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285"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655" w:type="dxa"/>
            <w:gridSpan w:val="2"/>
            <w:tcBorders/>
            <w:shd w:fill="auto" w:val="clear"/>
            <w:vAlign w:val="center"/>
          </w:tcPr>
          <w:p>
            <w:pPr>
              <w:pStyle w:val="TableContents"/>
              <w:spacing w:before="0" w:after="283"/>
              <w:jc w:val="center"/>
              <w:rPr/>
            </w:pPr>
            <w:r>
              <w:rPr/>
              <w:t>Real estate leases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75" w:type="dxa"/>
            <w:gridSpan w:val="2"/>
            <w:tcBorders/>
            <w:shd w:fill="auto" w:val="clear"/>
            <w:vAlign w:val="center"/>
          </w:tcPr>
          <w:p>
            <w:pPr>
              <w:pStyle w:val="TableContents"/>
              <w:spacing w:before="0" w:after="283"/>
              <w:jc w:val="center"/>
              <w:rPr/>
            </w:pPr>
            <w:r>
              <w:rPr/>
              <w:t>Other leases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283"/>
              <w:jc w:val="center"/>
              <w:rPr/>
            </w:pPr>
            <w:r>
              <w:rPr/>
              <w:t>Total</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Balance as of Jan. 1, 2020</w:t>
            </w:r>
          </w:p>
        </w:tc>
        <w:tc>
          <w:tcPr>
            <w:tcW w:w="12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495" w:type="dxa"/>
            <w:tcBorders/>
            <w:shd w:fill="CCEEFF" w:val="clear"/>
            <w:vAlign w:val="center"/>
          </w:tcPr>
          <w:p>
            <w:pPr>
              <w:pStyle w:val="TableContents"/>
              <w:spacing w:before="0" w:after="283"/>
              <w:jc w:val="right"/>
              <w:rPr/>
            </w:pPr>
            <w:r>
              <w:rPr/>
              <w:t>488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997" w:type="dxa"/>
            <w:tcBorders/>
            <w:shd w:fill="CCEEFF" w:val="clear"/>
            <w:vAlign w:val="center"/>
          </w:tcPr>
          <w:p>
            <w:pPr>
              <w:pStyle w:val="TableContents"/>
              <w:spacing w:before="0" w:after="283"/>
              <w:jc w:val="right"/>
              <w:rPr/>
            </w:pPr>
            <w:r>
              <w:rPr/>
              <w:t>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490</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Exchange rate differences</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495" w:type="dxa"/>
            <w:tcBorders/>
            <w:shd w:fill="auto" w:val="clear"/>
            <w:vAlign w:val="center"/>
          </w:tcPr>
          <w:p>
            <w:pPr>
              <w:pStyle w:val="TableContents"/>
              <w:spacing w:before="0" w:after="283"/>
              <w:jc w:val="right"/>
              <w:rPr/>
            </w:pPr>
            <w:r>
              <w:rPr/>
              <w:t>-2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997"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-2</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Depreciation for the year</w:t>
            </w:r>
          </w:p>
        </w:tc>
        <w:tc>
          <w:tcPr>
            <w:tcW w:w="12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495" w:type="dxa"/>
            <w:tcBorders/>
            <w:shd w:fill="CCEEFF" w:val="clear"/>
            <w:vAlign w:val="center"/>
          </w:tcPr>
          <w:p>
            <w:pPr>
              <w:pStyle w:val="TableContents"/>
              <w:spacing w:before="0" w:after="283"/>
              <w:jc w:val="right"/>
              <w:rPr/>
            </w:pPr>
            <w:r>
              <w:rPr/>
              <w:t>801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997" w:type="dxa"/>
            <w:tcBorders/>
            <w:shd w:fill="CCEEFF" w:val="clear"/>
            <w:vAlign w:val="center"/>
          </w:tcPr>
          <w:p>
            <w:pPr>
              <w:pStyle w:val="TableContents"/>
              <w:spacing w:before="0" w:after="283"/>
              <w:jc w:val="right"/>
              <w:rPr/>
            </w:pPr>
            <w:r>
              <w:rPr/>
              <w:t>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805</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Balance as of Dec. 31, 2020</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495" w:type="dxa"/>
            <w:tcBorders/>
            <w:shd w:fill="auto" w:val="clear"/>
            <w:vAlign w:val="center"/>
          </w:tcPr>
          <w:p>
            <w:pPr>
              <w:pStyle w:val="TableContents"/>
              <w:spacing w:before="0" w:after="283"/>
              <w:jc w:val="right"/>
              <w:rPr/>
            </w:pPr>
            <w:r>
              <w:rPr/>
              <w:t>1,287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997" w:type="dxa"/>
            <w:tcBorders/>
            <w:shd w:fill="auto" w:val="clear"/>
            <w:vAlign w:val="center"/>
          </w:tcPr>
          <w:p>
            <w:pPr>
              <w:pStyle w:val="TableContents"/>
              <w:spacing w:before="0" w:after="283"/>
              <w:jc w:val="right"/>
              <w:rPr/>
            </w:pPr>
            <w:r>
              <w:rPr/>
              <w:t>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1,293</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Exchange rate differences</w:t>
            </w:r>
          </w:p>
        </w:tc>
        <w:tc>
          <w:tcPr>
            <w:tcW w:w="12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495" w:type="dxa"/>
            <w:tcBorders/>
            <w:shd w:fill="CCEEFF" w:val="clear"/>
            <w:vAlign w:val="center"/>
          </w:tcPr>
          <w:p>
            <w:pPr>
              <w:pStyle w:val="TableContents"/>
              <w:spacing w:before="0" w:after="283"/>
              <w:jc w:val="right"/>
              <w:rPr/>
            </w:pPr>
            <w:r>
              <w:rPr/>
              <w:t>17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997"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17</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Depreciation for the year</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495" w:type="dxa"/>
            <w:tcBorders/>
            <w:shd w:fill="auto" w:val="clear"/>
            <w:vAlign w:val="center"/>
          </w:tcPr>
          <w:p>
            <w:pPr>
              <w:pStyle w:val="TableContents"/>
              <w:spacing w:before="0" w:after="283"/>
              <w:jc w:val="right"/>
              <w:rPr/>
            </w:pPr>
            <w:r>
              <w:rPr/>
              <w:t>1,252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997" w:type="dxa"/>
            <w:tcBorders/>
            <w:shd w:fill="auto" w:val="clear"/>
            <w:vAlign w:val="center"/>
          </w:tcPr>
          <w:p>
            <w:pPr>
              <w:pStyle w:val="TableContents"/>
              <w:spacing w:before="0" w:after="283"/>
              <w:jc w:val="right"/>
              <w:rPr/>
            </w:pPr>
            <w:r>
              <w:rPr/>
              <w:t>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1,257</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Disposals</w:t>
            </w:r>
          </w:p>
        </w:tc>
        <w:tc>
          <w:tcPr>
            <w:tcW w:w="12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495" w:type="dxa"/>
            <w:tcBorders/>
            <w:shd w:fill="CCEEFF" w:val="clear"/>
            <w:vAlign w:val="center"/>
          </w:tcPr>
          <w:p>
            <w:pPr>
              <w:pStyle w:val="TableContents"/>
              <w:spacing w:before="0" w:after="283"/>
              <w:jc w:val="right"/>
              <w:rPr/>
            </w:pPr>
            <w:r>
              <w:rPr/>
              <w:t>-7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997"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-7</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Balance as of Dec. 31, 2021</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495" w:type="dxa"/>
            <w:tcBorders/>
            <w:shd w:fill="auto" w:val="clear"/>
            <w:vAlign w:val="center"/>
          </w:tcPr>
          <w:p>
            <w:pPr>
              <w:pStyle w:val="TableContents"/>
              <w:spacing w:before="0" w:after="283"/>
              <w:jc w:val="right"/>
              <w:rPr/>
            </w:pPr>
            <w:r>
              <w:rPr/>
              <w:t>2,549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997" w:type="dxa"/>
            <w:tcBorders/>
            <w:shd w:fill="auto" w:val="clear"/>
            <w:vAlign w:val="center"/>
          </w:tcPr>
          <w:p>
            <w:pPr>
              <w:pStyle w:val="TableContents"/>
              <w:spacing w:before="0" w:after="283"/>
              <w:jc w:val="right"/>
              <w:rPr/>
            </w:pPr>
            <w:r>
              <w:rPr/>
              <w:t>11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2,560</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Exchange rate differences</w:t>
            </w:r>
          </w:p>
        </w:tc>
        <w:tc>
          <w:tcPr>
            <w:tcW w:w="12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495" w:type="dxa"/>
            <w:tcBorders/>
            <w:shd w:fill="CCEEFF" w:val="clear"/>
            <w:vAlign w:val="center"/>
          </w:tcPr>
          <w:p>
            <w:pPr>
              <w:pStyle w:val="TableContents"/>
              <w:spacing w:before="0" w:after="283"/>
              <w:jc w:val="right"/>
              <w:rPr/>
            </w:pPr>
            <w:r>
              <w:rPr/>
              <w:t>13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997"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13</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Depreciation for the year</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495" w:type="dxa"/>
            <w:tcBorders/>
            <w:shd w:fill="auto" w:val="clear"/>
            <w:vAlign w:val="center"/>
          </w:tcPr>
          <w:p>
            <w:pPr>
              <w:pStyle w:val="TableContents"/>
              <w:spacing w:before="0" w:after="283"/>
              <w:jc w:val="right"/>
              <w:rPr/>
            </w:pPr>
            <w:r>
              <w:rPr/>
              <w:t>1,647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997" w:type="dxa"/>
            <w:tcBorders/>
            <w:shd w:fill="auto" w:val="clear"/>
            <w:vAlign w:val="center"/>
          </w:tcPr>
          <w:p>
            <w:pPr>
              <w:pStyle w:val="TableContents"/>
              <w:spacing w:before="0" w:after="283"/>
              <w:jc w:val="right"/>
              <w:rPr/>
            </w:pPr>
            <w:r>
              <w:rPr/>
              <w:t>13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1,660</w:t>
            </w:r>
          </w:p>
        </w:tc>
        <w:tc>
          <w:tcPr>
            <w:tcW w:w="75"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Disposals</w:t>
            </w:r>
          </w:p>
        </w:tc>
        <w:tc>
          <w:tcPr>
            <w:tcW w:w="12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495"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997" w:type="dxa"/>
            <w:tcBorders/>
            <w:shd w:fill="CCEEFF" w:val="clear"/>
            <w:vAlign w:val="center"/>
          </w:tcPr>
          <w:p>
            <w:pPr>
              <w:pStyle w:val="TableContents"/>
              <w:spacing w:before="0" w:after="283"/>
              <w:jc w:val="right"/>
              <w:rPr/>
            </w:pPr>
            <w:r>
              <w:rPr/>
              <w:t>-11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-11</w:t>
            </w:r>
          </w:p>
        </w:tc>
        <w:tc>
          <w:tcPr>
            <w:tcW w:w="75" w:type="dxa"/>
            <w:tcBorders/>
            <w:shd w:fill="CCEE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Balance as of Dec. 31, 2022</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495" w:type="dxa"/>
            <w:tcBorders/>
            <w:shd w:fill="auto" w:val="clear"/>
            <w:vAlign w:val="center"/>
          </w:tcPr>
          <w:p>
            <w:pPr>
              <w:pStyle w:val="TableContents"/>
              <w:spacing w:before="0" w:after="283"/>
              <w:jc w:val="right"/>
              <w:rPr/>
            </w:pPr>
            <w:r>
              <w:rPr/>
              <w:t>4,209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997" w:type="dxa"/>
            <w:tcBorders/>
            <w:shd w:fill="auto" w:val="clear"/>
            <w:vAlign w:val="center"/>
          </w:tcPr>
          <w:p>
            <w:pPr>
              <w:pStyle w:val="TableContents"/>
              <w:spacing w:before="0" w:after="283"/>
              <w:jc w:val="right"/>
              <w:rPr/>
            </w:pPr>
            <w:r>
              <w:rPr/>
              <w:t>13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4,222</w:t>
            </w:r>
          </w:p>
        </w:tc>
        <w:tc>
          <w:tcPr>
            <w:tcW w:w="75"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Carrying amount </w:t>
      </w:r>
    </w:p>
    <w:p>
      <w:pPr>
        <w:pStyle w:val="TextBody"/>
        <w:spacing w:before="0" w:after="0"/>
        <w:jc w:val="left"/>
        <w:rPr>
          <w:highlight w:val="white"/>
        </w:rPr>
      </w:pPr>
      <w:r>
        <w:rPr>
          <w:highlight w:val="white"/>
        </w:rPr>
        <w:t> </w:t>
      </w:r>
    </w:p>
    <w:tbl>
      <w:tblPr>
        <w:tblW w:w="7010" w:type="dxa"/>
        <w:jc w:val="left"/>
        <w:tblInd w:w="0" w:type="dxa"/>
        <w:tblCellMar>
          <w:top w:w="0" w:type="dxa"/>
          <w:left w:w="0" w:type="dxa"/>
          <w:bottom w:w="0" w:type="dxa"/>
          <w:right w:w="0" w:type="dxa"/>
        </w:tblCellMar>
      </w:tblPr>
      <w:tblGrid>
        <w:gridCol w:w="3005"/>
        <w:gridCol w:w="120"/>
        <w:gridCol w:w="160"/>
        <w:gridCol w:w="1495"/>
        <w:gridCol w:w="60"/>
        <w:gridCol w:w="120"/>
        <w:gridCol w:w="160"/>
        <w:gridCol w:w="1015"/>
        <w:gridCol w:w="60"/>
        <w:gridCol w:w="120"/>
        <w:gridCol w:w="60"/>
        <w:gridCol w:w="560"/>
        <w:gridCol w:w="75"/>
      </w:tblGrid>
      <w:tr>
        <w:trPr/>
        <w:tc>
          <w:tcPr>
            <w:tcW w:w="30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4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005"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655" w:type="dxa"/>
            <w:gridSpan w:val="2"/>
            <w:tcBorders/>
            <w:shd w:fill="auto" w:val="clear"/>
            <w:vAlign w:val="center"/>
          </w:tcPr>
          <w:p>
            <w:pPr>
              <w:pStyle w:val="TableContents"/>
              <w:spacing w:before="0" w:after="283"/>
              <w:jc w:val="center"/>
              <w:rPr/>
            </w:pPr>
            <w:r>
              <w:rPr/>
              <w:t>Real estate leases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75" w:type="dxa"/>
            <w:gridSpan w:val="2"/>
            <w:tcBorders/>
            <w:shd w:fill="auto" w:val="clear"/>
            <w:vAlign w:val="center"/>
          </w:tcPr>
          <w:p>
            <w:pPr>
              <w:pStyle w:val="TableContents"/>
              <w:spacing w:before="0" w:after="283"/>
              <w:jc w:val="center"/>
              <w:rPr/>
            </w:pPr>
            <w:r>
              <w:rPr/>
              <w:t>Other leases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283"/>
              <w:jc w:val="center"/>
              <w:rPr/>
            </w:pPr>
            <w:r>
              <w:rPr/>
              <w:t>Total</w:t>
            </w:r>
          </w:p>
        </w:tc>
        <w:tc>
          <w:tcPr>
            <w:tcW w:w="75" w:type="dxa"/>
            <w:tcBorders/>
            <w:shd w:fill="auto" w:val="clear"/>
            <w:vAlign w:val="center"/>
          </w:tcPr>
          <w:p>
            <w:pPr>
              <w:pStyle w:val="TableContents"/>
              <w:spacing w:before="0" w:after="283"/>
              <w:rPr/>
            </w:pPr>
            <w:r>
              <w:rPr/>
              <w:t> </w:t>
            </w:r>
          </w:p>
        </w:tc>
      </w:tr>
      <w:tr>
        <w:trPr/>
        <w:tc>
          <w:tcPr>
            <w:tcW w:w="30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Carrying amount as of Dec. 31, 2020</w:t>
            </w:r>
          </w:p>
        </w:tc>
        <w:tc>
          <w:tcPr>
            <w:tcW w:w="12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495" w:type="dxa"/>
            <w:tcBorders/>
            <w:shd w:fill="CCEEFF" w:val="clear"/>
            <w:vAlign w:val="center"/>
          </w:tcPr>
          <w:p>
            <w:pPr>
              <w:pStyle w:val="TableContents"/>
              <w:spacing w:before="0" w:after="283"/>
              <w:jc w:val="right"/>
              <w:rPr/>
            </w:pPr>
            <w:r>
              <w:rPr/>
              <w:t>7,929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015" w:type="dxa"/>
            <w:tcBorders/>
            <w:shd w:fill="CCEEFF" w:val="clear"/>
            <w:vAlign w:val="center"/>
          </w:tcPr>
          <w:p>
            <w:pPr>
              <w:pStyle w:val="TableContents"/>
              <w:spacing w:before="0" w:after="283"/>
              <w:jc w:val="right"/>
              <w:rPr/>
            </w:pPr>
            <w:r>
              <w:rPr/>
              <w:t>13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7,942</w:t>
            </w:r>
          </w:p>
        </w:tc>
        <w:tc>
          <w:tcPr>
            <w:tcW w:w="75" w:type="dxa"/>
            <w:tcBorders/>
            <w:shd w:fill="CCEEFF" w:val="clear"/>
            <w:vAlign w:val="center"/>
          </w:tcPr>
          <w:p>
            <w:pPr>
              <w:pStyle w:val="TableContents"/>
              <w:spacing w:before="0" w:after="283"/>
              <w:rPr/>
            </w:pPr>
            <w:r>
              <w:rPr/>
              <w:t> </w:t>
            </w:r>
          </w:p>
        </w:tc>
      </w:tr>
      <w:tr>
        <w:trPr/>
        <w:tc>
          <w:tcPr>
            <w:tcW w:w="30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Carrying amount as of Dec. 31, 2021</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495" w:type="dxa"/>
            <w:tcBorders/>
            <w:shd w:fill="auto" w:val="clear"/>
            <w:vAlign w:val="center"/>
          </w:tcPr>
          <w:p>
            <w:pPr>
              <w:pStyle w:val="TableContents"/>
              <w:spacing w:before="0" w:after="283"/>
              <w:jc w:val="right"/>
              <w:rPr/>
            </w:pPr>
            <w:r>
              <w:rPr/>
              <w:t>8,819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015" w:type="dxa"/>
            <w:tcBorders/>
            <w:shd w:fill="auto" w:val="clear"/>
            <w:vAlign w:val="center"/>
          </w:tcPr>
          <w:p>
            <w:pPr>
              <w:pStyle w:val="TableContents"/>
              <w:spacing w:before="0" w:after="283"/>
              <w:jc w:val="right"/>
              <w:rPr/>
            </w:pPr>
            <w:r>
              <w:rPr/>
              <w:t>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8,827</w:t>
            </w:r>
          </w:p>
        </w:tc>
        <w:tc>
          <w:tcPr>
            <w:tcW w:w="75" w:type="dxa"/>
            <w:tcBorders/>
            <w:shd w:fill="auto" w:val="clear"/>
            <w:vAlign w:val="center"/>
          </w:tcPr>
          <w:p>
            <w:pPr>
              <w:pStyle w:val="TableContents"/>
              <w:spacing w:before="0" w:after="283"/>
              <w:rPr/>
            </w:pPr>
            <w:r>
              <w:rPr/>
              <w:t> </w:t>
            </w:r>
          </w:p>
        </w:tc>
      </w:tr>
      <w:tr>
        <w:trPr/>
        <w:tc>
          <w:tcPr>
            <w:tcW w:w="30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Carrying amount as of Dec. 31, 2022</w:t>
            </w:r>
          </w:p>
        </w:tc>
        <w:tc>
          <w:tcPr>
            <w:tcW w:w="12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495" w:type="dxa"/>
            <w:tcBorders/>
            <w:shd w:fill="CCEEFF" w:val="clear"/>
            <w:vAlign w:val="center"/>
          </w:tcPr>
          <w:p>
            <w:pPr>
              <w:pStyle w:val="TableContents"/>
              <w:spacing w:before="0" w:after="283"/>
              <w:jc w:val="right"/>
              <w:rPr/>
            </w:pPr>
            <w:r>
              <w:rPr/>
              <w:t>8,038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015" w:type="dxa"/>
            <w:tcBorders/>
            <w:shd w:fill="CCEEFF" w:val="clear"/>
            <w:vAlign w:val="center"/>
          </w:tcPr>
          <w:p>
            <w:pPr>
              <w:pStyle w:val="TableContents"/>
              <w:spacing w:before="0" w:after="283"/>
              <w:jc w:val="right"/>
              <w:rPr/>
            </w:pPr>
            <w:r>
              <w:rPr/>
              <w:t>744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8,782</w:t>
            </w:r>
          </w:p>
        </w:tc>
        <w:tc>
          <w:tcPr>
            <w:tcW w:w="75" w:type="dxa"/>
            <w:tcBorders/>
            <w:shd w:fill="CCEEFF" w:val="clear"/>
            <w:vAlign w:val="center"/>
          </w:tcPr>
          <w:p>
            <w:pPr>
              <w:pStyle w:val="TableContents"/>
              <w:spacing w:before="0" w:after="283"/>
              <w:rPr/>
            </w:pPr>
            <w:r>
              <w:rPr/>
              <w:t>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Company has entered into leases for real estate, machinery as well as operating and office equipment that it uses for its operations. Real estate leases have terms of between five and 10 years. The term for operating and office equipment ranges from three to five years. The rental contracts for machinery ranges from four to six years and contain purchase options which management expects to exercise. Therefore, the useful life of these assets ranges from </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10-15</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years. The obligations of the Company from its lease agreements are collateralized through the lessor’s ownership of the leased assets. Several lease agreements contain extension and termination options that are described in more detail below.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Company has also entered into lease agreements for properties and operating and office equipment with a term of not more than 12 months, as well as leases for </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low-value</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office equipment. For these leases, the Company applies the practical expedients applicable to short-term leases and leases for </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low-value</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assets.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additions presented during the year ended December 31, 2022, in the amount of €1,438 thousand (2021: €1,995 thousand, 2020: €2,004)) relating to leases of machinery and rent increases of real estate leases.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F-3</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2</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The following amounts were recognized in profit or loss: </w:t>
      </w:r>
    </w:p>
    <w:p>
      <w:pPr>
        <w:pStyle w:val="TextBody"/>
        <w:spacing w:before="0" w:after="0"/>
        <w:jc w:val="left"/>
        <w:rPr>
          <w:highlight w:val="white"/>
        </w:rPr>
      </w:pPr>
      <w:r>
        <w:rPr>
          <w:highlight w:val="white"/>
        </w:rPr>
        <w:t> </w:t>
      </w:r>
    </w:p>
    <w:tbl>
      <w:tblPr>
        <w:tblW w:w="9242" w:type="dxa"/>
        <w:jc w:val="left"/>
        <w:tblInd w:w="0" w:type="dxa"/>
        <w:tblCellMar>
          <w:top w:w="0" w:type="dxa"/>
          <w:left w:w="0" w:type="dxa"/>
          <w:bottom w:w="0" w:type="dxa"/>
          <w:right w:w="0" w:type="dxa"/>
        </w:tblCellMar>
      </w:tblPr>
      <w:tblGrid>
        <w:gridCol w:w="2960"/>
        <w:gridCol w:w="120"/>
        <w:gridCol w:w="258"/>
        <w:gridCol w:w="1637"/>
        <w:gridCol w:w="67"/>
        <w:gridCol w:w="134"/>
        <w:gridCol w:w="258"/>
        <w:gridCol w:w="1637"/>
        <w:gridCol w:w="67"/>
        <w:gridCol w:w="134"/>
        <w:gridCol w:w="258"/>
        <w:gridCol w:w="1637"/>
        <w:gridCol w:w="75"/>
      </w:tblGrid>
      <w:tr>
        <w:trPr/>
        <w:tc>
          <w:tcPr>
            <w:tcW w:w="29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637"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637"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63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9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87" w:type="dxa"/>
            <w:gridSpan w:val="10"/>
            <w:tcBorders/>
            <w:shd w:fill="auto" w:val="clear"/>
            <w:vAlign w:val="center"/>
          </w:tcPr>
          <w:p>
            <w:pPr>
              <w:pStyle w:val="TableContents"/>
              <w:spacing w:before="0" w:after="283"/>
              <w:jc w:val="center"/>
              <w:rPr/>
            </w:pPr>
            <w:r>
              <w:rPr/>
              <w:t>For the years ended</w:t>
            </w:r>
          </w:p>
        </w:tc>
        <w:tc>
          <w:tcPr>
            <w:tcW w:w="75" w:type="dxa"/>
            <w:tcBorders/>
            <w:shd w:fill="auto"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2022</w:t>
            </w:r>
          </w:p>
        </w:tc>
        <w:tc>
          <w:tcPr>
            <w:tcW w:w="6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2021</w:t>
            </w:r>
          </w:p>
        </w:tc>
        <w:tc>
          <w:tcPr>
            <w:tcW w:w="6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2020</w:t>
            </w:r>
          </w:p>
        </w:tc>
        <w:tc>
          <w:tcPr>
            <w:tcW w:w="75" w:type="dxa"/>
            <w:tcBorders/>
            <w:shd w:fill="auto" w:val="clear"/>
            <w:vAlign w:val="center"/>
          </w:tcPr>
          <w:p>
            <w:pPr>
              <w:pStyle w:val="TableContents"/>
              <w:spacing w:before="0" w:after="283"/>
              <w:rPr/>
            </w:pPr>
            <w:r>
              <w:rPr/>
              <w:t> </w:t>
            </w:r>
          </w:p>
        </w:tc>
      </w:tr>
      <w:tr>
        <w:trPr/>
        <w:tc>
          <w:tcPr>
            <w:tcW w:w="29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Interest expenses for lease liabilities</w:t>
            </w:r>
          </w:p>
        </w:tc>
        <w:tc>
          <w:tcPr>
            <w:tcW w:w="120" w:type="dxa"/>
            <w:tcBorders/>
            <w:shd w:fill="CCEEFF" w:val="clear"/>
            <w:vAlign w:val="center"/>
          </w:tcPr>
          <w:p>
            <w:pPr>
              <w:pStyle w:val="TableContents"/>
              <w:spacing w:before="0" w:after="283"/>
              <w:rPr/>
            </w:pPr>
            <w:r>
              <w:rPr/>
              <w:t>  </w:t>
            </w:r>
          </w:p>
        </w:tc>
        <w:tc>
          <w:tcPr>
            <w:tcW w:w="258" w:type="dxa"/>
            <w:tcBorders/>
            <w:shd w:fill="CCEEFF" w:val="clear"/>
            <w:vAlign w:val="center"/>
          </w:tcPr>
          <w:p>
            <w:pPr>
              <w:pStyle w:val="TableContents"/>
              <w:spacing w:before="0" w:after="283"/>
              <w:rPr/>
            </w:pPr>
            <w:r>
              <w:rPr/>
              <w:t> </w:t>
            </w:r>
          </w:p>
        </w:tc>
        <w:tc>
          <w:tcPr>
            <w:tcW w:w="1637" w:type="dxa"/>
            <w:tcBorders/>
            <w:shd w:fill="CCEEFF" w:val="clear"/>
            <w:vAlign w:val="center"/>
          </w:tcPr>
          <w:p>
            <w:pPr>
              <w:pStyle w:val="TableContents"/>
              <w:spacing w:before="0" w:after="283"/>
              <w:jc w:val="right"/>
              <w:rPr/>
            </w:pPr>
            <w:r>
              <w:rPr/>
              <w:t>229</w:t>
            </w:r>
          </w:p>
        </w:tc>
        <w:tc>
          <w:tcPr>
            <w:tcW w:w="67"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258" w:type="dxa"/>
            <w:tcBorders/>
            <w:shd w:fill="CCEEFF" w:val="clear"/>
            <w:vAlign w:val="center"/>
          </w:tcPr>
          <w:p>
            <w:pPr>
              <w:pStyle w:val="TableContents"/>
              <w:spacing w:before="0" w:after="283"/>
              <w:rPr/>
            </w:pPr>
            <w:r>
              <w:rPr/>
              <w:t> </w:t>
            </w:r>
          </w:p>
        </w:tc>
        <w:tc>
          <w:tcPr>
            <w:tcW w:w="1637" w:type="dxa"/>
            <w:tcBorders/>
            <w:shd w:fill="CCEEFF" w:val="clear"/>
            <w:vAlign w:val="center"/>
          </w:tcPr>
          <w:p>
            <w:pPr>
              <w:pStyle w:val="TableContents"/>
              <w:spacing w:before="0" w:after="283"/>
              <w:jc w:val="right"/>
              <w:rPr/>
            </w:pPr>
            <w:r>
              <w:rPr/>
              <w:t>185</w:t>
            </w:r>
          </w:p>
        </w:tc>
        <w:tc>
          <w:tcPr>
            <w:tcW w:w="67"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258" w:type="dxa"/>
            <w:tcBorders/>
            <w:shd w:fill="CCEEFF" w:val="clear"/>
            <w:vAlign w:val="center"/>
          </w:tcPr>
          <w:p>
            <w:pPr>
              <w:pStyle w:val="TableContents"/>
              <w:spacing w:before="0" w:after="283"/>
              <w:rPr/>
            </w:pPr>
            <w:r>
              <w:rPr/>
              <w:t> </w:t>
            </w:r>
          </w:p>
        </w:tc>
        <w:tc>
          <w:tcPr>
            <w:tcW w:w="1637" w:type="dxa"/>
            <w:tcBorders/>
            <w:shd w:fill="CCEEFF" w:val="clear"/>
            <w:vAlign w:val="center"/>
          </w:tcPr>
          <w:p>
            <w:pPr>
              <w:pStyle w:val="TableContents"/>
              <w:spacing w:before="0" w:after="283"/>
              <w:jc w:val="right"/>
              <w:rPr/>
            </w:pPr>
            <w:r>
              <w:rPr/>
              <w:t>137</w:t>
            </w:r>
          </w:p>
        </w:tc>
        <w:tc>
          <w:tcPr>
            <w:tcW w:w="75" w:type="dxa"/>
            <w:tcBorders/>
            <w:shd w:fill="CCEEFF"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Expenses for short-term leases</w:t>
            </w:r>
          </w:p>
        </w:tc>
        <w:tc>
          <w:tcPr>
            <w:tcW w:w="120"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 </w:t>
            </w:r>
          </w:p>
        </w:tc>
        <w:tc>
          <w:tcPr>
            <w:tcW w:w="1637" w:type="dxa"/>
            <w:tcBorders/>
            <w:shd w:fill="auto" w:val="clear"/>
            <w:vAlign w:val="center"/>
          </w:tcPr>
          <w:p>
            <w:pPr>
              <w:pStyle w:val="TableContents"/>
              <w:spacing w:before="0" w:after="283"/>
              <w:jc w:val="right"/>
              <w:rPr/>
            </w:pPr>
            <w:r>
              <w:rPr/>
              <w:t>26</w:t>
            </w:r>
          </w:p>
        </w:tc>
        <w:tc>
          <w:tcPr>
            <w:tcW w:w="6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 </w:t>
            </w:r>
          </w:p>
        </w:tc>
        <w:tc>
          <w:tcPr>
            <w:tcW w:w="1637" w:type="dxa"/>
            <w:tcBorders/>
            <w:shd w:fill="auto" w:val="clear"/>
            <w:vAlign w:val="center"/>
          </w:tcPr>
          <w:p>
            <w:pPr>
              <w:pStyle w:val="TableContents"/>
              <w:spacing w:before="0" w:after="283"/>
              <w:jc w:val="right"/>
              <w:rPr/>
            </w:pPr>
            <w:r>
              <w:rPr/>
              <w:t>13</w:t>
            </w:r>
          </w:p>
        </w:tc>
        <w:tc>
          <w:tcPr>
            <w:tcW w:w="6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 </w:t>
            </w:r>
          </w:p>
        </w:tc>
        <w:tc>
          <w:tcPr>
            <w:tcW w:w="1637" w:type="dxa"/>
            <w:tcBorders/>
            <w:shd w:fill="auto" w:val="clear"/>
            <w:vAlign w:val="center"/>
          </w:tcPr>
          <w:p>
            <w:pPr>
              <w:pStyle w:val="TableContents"/>
              <w:spacing w:before="0" w:after="283"/>
              <w:jc w:val="right"/>
              <w:rPr/>
            </w:pPr>
            <w:r>
              <w:rPr/>
              <w:t>0</w:t>
            </w:r>
          </w:p>
        </w:tc>
        <w:tc>
          <w:tcPr>
            <w:tcW w:w="75" w:type="dxa"/>
            <w:tcBorders/>
            <w:shd w:fill="auto" w:val="clear"/>
            <w:vAlign w:val="center"/>
          </w:tcPr>
          <w:p>
            <w:pPr>
              <w:pStyle w:val="TableContents"/>
              <w:spacing w:before="0" w:after="283"/>
              <w:rPr/>
            </w:pPr>
            <w:r>
              <w:rPr/>
              <w:t> </w:t>
            </w:r>
          </w:p>
        </w:tc>
      </w:tr>
      <w:tr>
        <w:trPr/>
        <w:tc>
          <w:tcPr>
            <w:tcW w:w="29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Expenses for leases of </w:t>
            </w:r>
          </w:p>
          <w:p>
            <w:pPr>
              <w:pStyle w:val="TableContents"/>
              <w:spacing w:before="0" w:after="0"/>
              <w:rPr>
                <w:rFonts w:ascii="Times New Roman" w:hAnsi="Times New Roman"/>
                <w:spacing w:val="0"/>
                <w:sz w:val="20"/>
              </w:rPr>
            </w:pPr>
            <w:r>
              <w:rPr>
                <w:rFonts w:ascii="Times New Roman" w:hAnsi="Times New Roman"/>
                <w:spacing w:val="0"/>
                <w:sz w:val="20"/>
              </w:rPr>
              <w:t>low-value</w:t>
            </w:r>
          </w:p>
          <w:p>
            <w:pPr>
              <w:pStyle w:val="TableContents"/>
              <w:spacing w:before="0" w:after="0"/>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spacing w:before="0" w:after="283"/>
              <w:rPr/>
            </w:pPr>
            <w:r>
              <w:rPr/>
              <w:t>  </w:t>
            </w:r>
          </w:p>
        </w:tc>
        <w:tc>
          <w:tcPr>
            <w:tcW w:w="258" w:type="dxa"/>
            <w:tcBorders/>
            <w:shd w:fill="CCEEFF" w:val="clear"/>
            <w:vAlign w:val="center"/>
          </w:tcPr>
          <w:p>
            <w:pPr>
              <w:pStyle w:val="TableContents"/>
              <w:spacing w:before="0" w:after="283"/>
              <w:rPr/>
            </w:pPr>
            <w:r>
              <w:rPr/>
              <w:t> </w:t>
            </w:r>
          </w:p>
        </w:tc>
        <w:tc>
          <w:tcPr>
            <w:tcW w:w="1637" w:type="dxa"/>
            <w:tcBorders/>
            <w:shd w:fill="CCEEFF" w:val="clear"/>
            <w:vAlign w:val="center"/>
          </w:tcPr>
          <w:p>
            <w:pPr>
              <w:pStyle w:val="TableContents"/>
              <w:spacing w:before="0" w:after="283"/>
              <w:jc w:val="right"/>
              <w:rPr/>
            </w:pPr>
            <w:r>
              <w:rPr/>
              <w:t>6</w:t>
            </w:r>
          </w:p>
        </w:tc>
        <w:tc>
          <w:tcPr>
            <w:tcW w:w="67"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258" w:type="dxa"/>
            <w:tcBorders/>
            <w:shd w:fill="CCEEFF" w:val="clear"/>
            <w:vAlign w:val="center"/>
          </w:tcPr>
          <w:p>
            <w:pPr>
              <w:pStyle w:val="TableContents"/>
              <w:spacing w:before="0" w:after="283"/>
              <w:rPr/>
            </w:pPr>
            <w:r>
              <w:rPr/>
              <w:t> </w:t>
            </w:r>
          </w:p>
        </w:tc>
        <w:tc>
          <w:tcPr>
            <w:tcW w:w="1637" w:type="dxa"/>
            <w:tcBorders/>
            <w:shd w:fill="CCEEFF" w:val="clear"/>
            <w:vAlign w:val="center"/>
          </w:tcPr>
          <w:p>
            <w:pPr>
              <w:pStyle w:val="TableContents"/>
              <w:spacing w:before="0" w:after="283"/>
              <w:jc w:val="right"/>
              <w:rPr/>
            </w:pPr>
            <w:r>
              <w:rPr/>
              <w:t>6</w:t>
            </w:r>
          </w:p>
        </w:tc>
        <w:tc>
          <w:tcPr>
            <w:tcW w:w="67"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258" w:type="dxa"/>
            <w:tcBorders/>
            <w:shd w:fill="CCEEFF" w:val="clear"/>
            <w:vAlign w:val="center"/>
          </w:tcPr>
          <w:p>
            <w:pPr>
              <w:pStyle w:val="TableContents"/>
              <w:spacing w:before="0" w:after="283"/>
              <w:rPr/>
            </w:pPr>
            <w:r>
              <w:rPr/>
              <w:t> </w:t>
            </w:r>
          </w:p>
        </w:tc>
        <w:tc>
          <w:tcPr>
            <w:tcW w:w="1637" w:type="dxa"/>
            <w:tcBorders/>
            <w:shd w:fill="CCEEFF" w:val="clear"/>
            <w:vAlign w:val="center"/>
          </w:tcPr>
          <w:p>
            <w:pPr>
              <w:pStyle w:val="TableContents"/>
              <w:spacing w:before="0" w:after="283"/>
              <w:jc w:val="right"/>
              <w:rPr/>
            </w:pPr>
            <w:r>
              <w:rPr/>
              <w:t>5</w:t>
            </w:r>
          </w:p>
        </w:tc>
        <w:tc>
          <w:tcPr>
            <w:tcW w:w="75" w:type="dxa"/>
            <w:tcBorders/>
            <w:shd w:fill="CCEEFF" w:val="clear"/>
            <w:vAlign w:val="center"/>
          </w:tcPr>
          <w:p>
            <w:pPr>
              <w:pStyle w:val="TableContents"/>
              <w:spacing w:before="0" w:after="283"/>
              <w:rPr/>
            </w:pPr>
            <w:r>
              <w:rPr/>
              <w:t>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Company’s cash outflows for leases amounted to €1,942 thousand in 2022 (2021: €1,241 thousand, 2020: €816 thousand).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Several real estate’s leases include extension options. Wherever possible, the Company seeks to include extension options when entering into new leases in order to ensure operational flexibility. The extension options can be exercised only by the Company, not by the lessor. The Company assesses on the commencement date whether an exercise of the extension option is reasonably certain. If a significant event or a significant change in circumstances outside of the Company’s control occurs, the Company reassesses whether the exercise of the extension option is reasonably certain.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following table shows the undiscounted potential future lease payments from the exercise of extension options: </w:t>
      </w:r>
    </w:p>
    <w:p>
      <w:pPr>
        <w:pStyle w:val="TextBody"/>
        <w:spacing w:before="0" w:after="0"/>
        <w:jc w:val="left"/>
        <w:rPr>
          <w:highlight w:val="white"/>
        </w:rPr>
      </w:pPr>
      <w:r>
        <w:rPr>
          <w:highlight w:val="white"/>
        </w:rPr>
        <w:t> </w:t>
      </w:r>
    </w:p>
    <w:tbl>
      <w:tblPr>
        <w:tblW w:w="8810" w:type="dxa"/>
        <w:jc w:val="left"/>
        <w:tblInd w:w="0" w:type="dxa"/>
        <w:tblCellMar>
          <w:top w:w="0" w:type="dxa"/>
          <w:left w:w="0" w:type="dxa"/>
          <w:bottom w:w="0" w:type="dxa"/>
          <w:right w:w="0" w:type="dxa"/>
        </w:tblCellMar>
      </w:tblPr>
      <w:tblGrid>
        <w:gridCol w:w="4520"/>
        <w:gridCol w:w="120"/>
        <w:gridCol w:w="158"/>
        <w:gridCol w:w="1482"/>
        <w:gridCol w:w="60"/>
        <w:gridCol w:w="120"/>
        <w:gridCol w:w="142"/>
        <w:gridCol w:w="1333"/>
        <w:gridCol w:w="60"/>
        <w:gridCol w:w="120"/>
        <w:gridCol w:w="60"/>
        <w:gridCol w:w="560"/>
        <w:gridCol w:w="75"/>
      </w:tblGrid>
      <w:tr>
        <w:trPr/>
        <w:tc>
          <w:tcPr>
            <w:tcW w:w="45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4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520"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640" w:type="dxa"/>
            <w:gridSpan w:val="2"/>
            <w:tcBorders/>
            <w:shd w:fill="auto" w:val="clear"/>
            <w:vAlign w:val="center"/>
          </w:tcPr>
          <w:p>
            <w:pPr>
              <w:pStyle w:val="TableContents"/>
              <w:spacing w:before="0" w:after="283"/>
              <w:jc w:val="center"/>
              <w:rPr/>
            </w:pPr>
            <w:r>
              <w:rPr/>
              <w:t>Within five 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75" w:type="dxa"/>
            <w:gridSpan w:val="2"/>
            <w:tcBorders/>
            <w:shd w:fill="auto" w:val="clear"/>
            <w:vAlign w:val="center"/>
          </w:tcPr>
          <w:p>
            <w:pPr>
              <w:pStyle w:val="TableContents"/>
              <w:spacing w:before="0" w:after="283"/>
              <w:jc w:val="center"/>
              <w:rPr/>
            </w:pPr>
            <w:r>
              <w:rPr/>
              <w:t>Over five 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283"/>
              <w:jc w:val="center"/>
              <w:rPr/>
            </w:pPr>
            <w:r>
              <w:rPr/>
              <w:t>Total</w:t>
            </w:r>
          </w:p>
        </w:tc>
        <w:tc>
          <w:tcPr>
            <w:tcW w:w="75" w:type="dxa"/>
            <w:tcBorders/>
            <w:shd w:fill="auto" w:val="clear"/>
            <w:vAlign w:val="center"/>
          </w:tcPr>
          <w:p>
            <w:pPr>
              <w:pStyle w:val="TableContents"/>
              <w:spacing w:before="0" w:after="283"/>
              <w:rPr/>
            </w:pPr>
            <w:r>
              <w:rPr/>
              <w:t> </w:t>
            </w:r>
          </w:p>
        </w:tc>
      </w:tr>
      <w:tr>
        <w:trPr/>
        <w:tc>
          <w:tcPr>
            <w:tcW w:w="45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Extension options that are not expected to be exercised</w:t>
            </w:r>
          </w:p>
        </w:tc>
        <w:tc>
          <w:tcPr>
            <w:tcW w:w="120"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1482" w:type="dxa"/>
            <w:tcBorders/>
            <w:shd w:fill="CCEEFF" w:val="clear"/>
            <w:vAlign w:val="center"/>
          </w:tcPr>
          <w:p>
            <w:pPr>
              <w:pStyle w:val="TableContents"/>
              <w:spacing w:before="0" w:after="283"/>
              <w:jc w:val="right"/>
              <w:rPr/>
            </w:pPr>
            <w:r>
              <w:rPr/>
              <w:t>1,246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1333" w:type="dxa"/>
            <w:tcBorders/>
            <w:shd w:fill="CCEEFF" w:val="clear"/>
            <w:vAlign w:val="center"/>
          </w:tcPr>
          <w:p>
            <w:pPr>
              <w:pStyle w:val="TableContents"/>
              <w:spacing w:before="0" w:after="283"/>
              <w:jc w:val="right"/>
              <w:rPr/>
            </w:pPr>
            <w:r>
              <w:rPr/>
              <w:t>7,862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9,108</w:t>
            </w:r>
          </w:p>
        </w:tc>
        <w:tc>
          <w:tcPr>
            <w:tcW w:w="75" w:type="dxa"/>
            <w:tcBorders/>
            <w:shd w:fill="CCEEFF" w:val="clear"/>
            <w:vAlign w:val="center"/>
          </w:tcPr>
          <w:p>
            <w:pPr>
              <w:pStyle w:val="TableContents"/>
              <w:spacing w:before="0" w:after="283"/>
              <w:rPr/>
            </w:pPr>
            <w:r>
              <w:rPr/>
              <w:t>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following table shows the undiscounted future payments for a not yet commenced leasing contract. The probable commencement date is the August 1, 2023. </w:t>
      </w:r>
    </w:p>
    <w:p>
      <w:pPr>
        <w:pStyle w:val="TextBody"/>
        <w:spacing w:before="0" w:after="0"/>
        <w:jc w:val="left"/>
        <w:rPr>
          <w:highlight w:val="white"/>
        </w:rPr>
      </w:pPr>
      <w:r>
        <w:rPr>
          <w:highlight w:val="white"/>
        </w:rPr>
        <w:t> </w:t>
      </w:r>
    </w:p>
    <w:tbl>
      <w:tblPr>
        <w:tblW w:w="9230" w:type="dxa"/>
        <w:jc w:val="left"/>
        <w:tblInd w:w="0" w:type="dxa"/>
        <w:tblCellMar>
          <w:top w:w="0" w:type="dxa"/>
          <w:left w:w="0" w:type="dxa"/>
          <w:bottom w:w="0" w:type="dxa"/>
          <w:right w:w="0" w:type="dxa"/>
        </w:tblCellMar>
      </w:tblPr>
      <w:tblGrid>
        <w:gridCol w:w="4760"/>
        <w:gridCol w:w="120"/>
        <w:gridCol w:w="132"/>
        <w:gridCol w:w="1508"/>
        <w:gridCol w:w="60"/>
        <w:gridCol w:w="120"/>
        <w:gridCol w:w="119"/>
        <w:gridCol w:w="1356"/>
        <w:gridCol w:w="60"/>
        <w:gridCol w:w="120"/>
        <w:gridCol w:w="60"/>
        <w:gridCol w:w="740"/>
        <w:gridCol w:w="75"/>
      </w:tblGrid>
      <w:tr>
        <w:trPr/>
        <w:tc>
          <w:tcPr>
            <w:tcW w:w="47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5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760"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640" w:type="dxa"/>
            <w:gridSpan w:val="2"/>
            <w:tcBorders/>
            <w:shd w:fill="auto" w:val="clear"/>
            <w:vAlign w:val="center"/>
          </w:tcPr>
          <w:p>
            <w:pPr>
              <w:pStyle w:val="TableContents"/>
              <w:spacing w:before="0" w:after="283"/>
              <w:jc w:val="center"/>
              <w:rPr/>
            </w:pPr>
            <w:r>
              <w:rPr/>
              <w:t>Within five 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75" w:type="dxa"/>
            <w:gridSpan w:val="2"/>
            <w:tcBorders/>
            <w:shd w:fill="auto" w:val="clear"/>
            <w:vAlign w:val="center"/>
          </w:tcPr>
          <w:p>
            <w:pPr>
              <w:pStyle w:val="TableContents"/>
              <w:spacing w:before="0" w:after="283"/>
              <w:jc w:val="center"/>
              <w:rPr/>
            </w:pPr>
            <w:r>
              <w:rPr/>
              <w:t>Over five 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jc w:val="center"/>
              <w:rPr/>
            </w:pPr>
            <w:r>
              <w:rPr/>
              <w:t>Total</w:t>
            </w:r>
          </w:p>
        </w:tc>
        <w:tc>
          <w:tcPr>
            <w:tcW w:w="75" w:type="dxa"/>
            <w:tcBorders/>
            <w:shd w:fill="auto" w:val="clear"/>
            <w:vAlign w:val="center"/>
          </w:tcPr>
          <w:p>
            <w:pPr>
              <w:pStyle w:val="TableContents"/>
              <w:spacing w:before="0" w:after="283"/>
              <w:rPr/>
            </w:pPr>
            <w:r>
              <w:rPr/>
              <w:t> </w:t>
            </w:r>
          </w:p>
        </w:tc>
      </w:tr>
      <w:tr>
        <w:trPr/>
        <w:tc>
          <w:tcPr>
            <w:tcW w:w="47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Future payments for a not yet commenced leasing contract</w:t>
            </w:r>
          </w:p>
        </w:tc>
        <w:tc>
          <w:tcPr>
            <w:tcW w:w="120" w:type="dxa"/>
            <w:tcBorders/>
            <w:shd w:fill="CCEEFF" w:val="clear"/>
            <w:vAlign w:val="center"/>
          </w:tcPr>
          <w:p>
            <w:pPr>
              <w:pStyle w:val="TableContents"/>
              <w:spacing w:before="0" w:after="283"/>
              <w:rPr/>
            </w:pPr>
            <w:r>
              <w:rPr/>
              <w:t>  </w:t>
            </w:r>
          </w:p>
        </w:tc>
        <w:tc>
          <w:tcPr>
            <w:tcW w:w="132" w:type="dxa"/>
            <w:tcBorders/>
            <w:shd w:fill="CCEEFF" w:val="clear"/>
            <w:vAlign w:val="center"/>
          </w:tcPr>
          <w:p>
            <w:pPr>
              <w:pStyle w:val="TableContents"/>
              <w:spacing w:before="0" w:after="283"/>
              <w:rPr/>
            </w:pPr>
            <w:r>
              <w:rPr/>
              <w:t> </w:t>
            </w:r>
          </w:p>
        </w:tc>
        <w:tc>
          <w:tcPr>
            <w:tcW w:w="1508" w:type="dxa"/>
            <w:tcBorders/>
            <w:shd w:fill="CCEEFF" w:val="clear"/>
            <w:vAlign w:val="center"/>
          </w:tcPr>
          <w:p>
            <w:pPr>
              <w:pStyle w:val="TableContents"/>
              <w:spacing w:before="0" w:after="283"/>
              <w:jc w:val="right"/>
              <w:rPr/>
            </w:pPr>
            <w:r>
              <w:rPr/>
              <w:t>11,183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1356" w:type="dxa"/>
            <w:tcBorders/>
            <w:shd w:fill="CCEEFF" w:val="clear"/>
            <w:vAlign w:val="center"/>
          </w:tcPr>
          <w:p>
            <w:pPr>
              <w:pStyle w:val="TableContents"/>
              <w:spacing w:before="0" w:after="283"/>
              <w:jc w:val="right"/>
              <w:rPr/>
            </w:pPr>
            <w:r>
              <w:rPr/>
              <w:t>14,136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 xml:space="preserve">25,319 </w:t>
            </w:r>
          </w:p>
        </w:tc>
        <w:tc>
          <w:tcPr>
            <w:tcW w:w="75" w:type="dxa"/>
            <w:tcBorders/>
            <w:shd w:fill="CCEEFF" w:val="clear"/>
            <w:vAlign w:val="center"/>
          </w:tcPr>
          <w:p>
            <w:pPr>
              <w:pStyle w:val="TableContents"/>
              <w:spacing w:before="0" w:after="283"/>
              <w:rPr/>
            </w:pPr>
            <w:r>
              <w:rPr/>
              <w:t> </w:t>
            </w:r>
          </w:p>
        </w:tc>
      </w:tr>
    </w:tbl>
    <w:p>
      <w:pPr>
        <w:pStyle w:val="TextBody"/>
        <w:spacing w:before="360" w:after="0"/>
        <w:jc w:val="both"/>
        <w:rPr>
          <w:rFonts w:ascii="Times New Roman" w:hAnsi="Times New Roman"/>
          <w:b/>
          <w:sz w:val="20"/>
          <w:highlight w:val="white"/>
        </w:rPr>
      </w:pPr>
      <w:r>
        <w:rPr>
          <w:rFonts w:ascii="Times New Roman" w:hAnsi="Times New Roman"/>
          <w:b/>
          <w:sz w:val="20"/>
          <w:highlight w:val="white"/>
        </w:rPr>
        <w:t xml:space="preserve">20. Equity-Accounted Investees </w:t>
      </w:r>
    </w:p>
    <w:p>
      <w:pPr>
        <w:pStyle w:val="TextBody"/>
        <w:spacing w:before="12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Joint Venture – UNIO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In July 2022, Mynaric AG entered into a joint venture agreement with Isar Aerospace Technologies GmbH, REFLEX aerospace GmbH, and SES Astra Services Europe S.a.r.l. and established UNIO Enterprise GmbH, Munich. The share capital amounted to €25,000 and the shareholding is 25% for each shareholder. The Group recognized UNIO as equity-accounted investee in the Group’s condensed consolidated statements of financial position. </w:t>
      </w:r>
    </w:p>
    <w:p>
      <w:pPr>
        <w:pStyle w:val="TextBody"/>
        <w:spacing w:before="360" w:after="0"/>
        <w:jc w:val="both"/>
        <w:rPr>
          <w:rFonts w:ascii="Times New Roman" w:hAnsi="Times New Roman"/>
          <w:b/>
          <w:sz w:val="20"/>
          <w:highlight w:val="white"/>
        </w:rPr>
      </w:pPr>
      <w:r>
        <w:rPr>
          <w:rFonts w:ascii="Times New Roman" w:hAnsi="Times New Roman"/>
          <w:b/>
          <w:sz w:val="20"/>
          <w:highlight w:val="white"/>
        </w:rPr>
        <w:t xml:space="preserve">21. Inventories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break-down of inventories is presented in the table below: </w:t>
      </w:r>
    </w:p>
    <w:p>
      <w:pPr>
        <w:pStyle w:val="TextBody"/>
        <w:spacing w:before="0" w:after="0"/>
        <w:jc w:val="left"/>
        <w:rPr>
          <w:highlight w:val="white"/>
        </w:rPr>
      </w:pPr>
      <w:r>
        <w:rPr>
          <w:highlight w:val="white"/>
        </w:rPr>
        <w:t> </w:t>
      </w:r>
    </w:p>
    <w:tbl>
      <w:tblPr>
        <w:tblW w:w="6405" w:type="dxa"/>
        <w:jc w:val="left"/>
        <w:tblInd w:w="0" w:type="dxa"/>
        <w:tblCellMar>
          <w:top w:w="0" w:type="dxa"/>
          <w:left w:w="0" w:type="dxa"/>
          <w:bottom w:w="0" w:type="dxa"/>
          <w:right w:w="0" w:type="dxa"/>
        </w:tblCellMar>
      </w:tblPr>
      <w:tblGrid>
        <w:gridCol w:w="2240"/>
        <w:gridCol w:w="120"/>
        <w:gridCol w:w="153"/>
        <w:gridCol w:w="1742"/>
        <w:gridCol w:w="60"/>
        <w:gridCol w:w="120"/>
        <w:gridCol w:w="183"/>
        <w:gridCol w:w="1712"/>
        <w:gridCol w:w="75"/>
      </w:tblGrid>
      <w:tr>
        <w:trPr/>
        <w:tc>
          <w:tcPr>
            <w:tcW w:w="22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74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240"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2021</w:t>
            </w:r>
          </w:p>
        </w:tc>
        <w:tc>
          <w:tcPr>
            <w:tcW w:w="75" w:type="dxa"/>
            <w:tcBorders/>
            <w:shd w:fill="auto" w:val="clear"/>
            <w:vAlign w:val="center"/>
          </w:tcPr>
          <w:p>
            <w:pPr>
              <w:pStyle w:val="TableContents"/>
              <w:spacing w:before="0" w:after="283"/>
              <w:rPr/>
            </w:pPr>
            <w:r>
              <w:rPr/>
              <w:t> </w:t>
            </w:r>
          </w:p>
        </w:tc>
      </w:tr>
      <w:tr>
        <w:trPr/>
        <w:tc>
          <w:tcPr>
            <w:tcW w:w="22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Raw materials and supplies</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10,851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6,665</w:t>
            </w:r>
          </w:p>
        </w:tc>
        <w:tc>
          <w:tcPr>
            <w:tcW w:w="75" w:type="dxa"/>
            <w:tcBorders/>
            <w:shd w:fill="CCEEFF" w:val="clear"/>
            <w:vAlign w:val="center"/>
          </w:tcPr>
          <w:p>
            <w:pPr>
              <w:pStyle w:val="TableContents"/>
              <w:spacing w:before="0" w:after="283"/>
              <w:rPr/>
            </w:pPr>
            <w:r>
              <w:rPr/>
              <w:t> </w:t>
            </w:r>
          </w:p>
        </w:tc>
      </w:tr>
      <w:tr>
        <w:trPr/>
        <w:tc>
          <w:tcPr>
            <w:tcW w:w="22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Work in progress</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jc w:val="right"/>
              <w:rPr/>
            </w:pPr>
            <w:r>
              <w:rPr/>
              <w:t>2,058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1,183</w:t>
            </w:r>
          </w:p>
        </w:tc>
        <w:tc>
          <w:tcPr>
            <w:tcW w:w="75" w:type="dxa"/>
            <w:tcBorders/>
            <w:shd w:fill="auto" w:val="clear"/>
            <w:vAlign w:val="center"/>
          </w:tcPr>
          <w:p>
            <w:pPr>
              <w:pStyle w:val="TableContents"/>
              <w:spacing w:before="0" w:after="283"/>
              <w:rPr/>
            </w:pPr>
            <w:r>
              <w:rPr/>
              <w:t> </w:t>
            </w:r>
          </w:p>
        </w:tc>
      </w:tr>
      <w:tr>
        <w:trPr/>
        <w:tc>
          <w:tcPr>
            <w:tcW w:w="22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Finished goods</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439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551</w:t>
            </w:r>
          </w:p>
        </w:tc>
        <w:tc>
          <w:tcPr>
            <w:tcW w:w="75" w:type="dxa"/>
            <w:tcBorders/>
            <w:shd w:fill="CCEEFF" w:val="clear"/>
            <w:vAlign w:val="center"/>
          </w:tcPr>
          <w:p>
            <w:pPr>
              <w:pStyle w:val="TableContents"/>
              <w:spacing w:before="0" w:after="283"/>
              <w:rPr/>
            </w:pPr>
            <w:r>
              <w:rPr/>
              <w:t> </w:t>
            </w:r>
          </w:p>
        </w:tc>
      </w:tr>
      <w:tr>
        <w:trPr/>
        <w:tc>
          <w:tcPr>
            <w:tcW w:w="22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jc w:val="right"/>
              <w:rPr/>
            </w:pPr>
            <w:r>
              <w:rPr/>
              <w:t>13,348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8,399</w:t>
            </w:r>
          </w:p>
        </w:tc>
        <w:tc>
          <w:tcPr>
            <w:tcW w:w="75" w:type="dxa"/>
            <w:tcBorders/>
            <w:shd w:fill="auto" w:val="clear"/>
            <w:vAlign w:val="center"/>
          </w:tcPr>
          <w:p>
            <w:pPr>
              <w:pStyle w:val="TableContents"/>
              <w:spacing w:before="0" w:after="283"/>
              <w:rPr/>
            </w:pPr>
            <w:r>
              <w:rPr/>
              <w:t>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During the year ended December 31, 2022, inventories of €13,378 thousand (2021: €7,964 thousand, 2020: €2,352 thousand) were recognized as a cost during the year.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During the years the Company recognized the following write-downs of inventory: </w:t>
      </w:r>
    </w:p>
    <w:p>
      <w:pPr>
        <w:pStyle w:val="TextBody"/>
        <w:spacing w:before="0" w:after="0"/>
        <w:jc w:val="left"/>
        <w:rPr>
          <w:highlight w:val="white"/>
        </w:rPr>
      </w:pPr>
      <w:r>
        <w:rPr>
          <w:highlight w:val="white"/>
        </w:rPr>
        <w:t> </w:t>
      </w:r>
    </w:p>
    <w:tbl>
      <w:tblPr>
        <w:tblW w:w="9605" w:type="dxa"/>
        <w:jc w:val="left"/>
        <w:tblInd w:w="0" w:type="dxa"/>
        <w:tblCellMar>
          <w:top w:w="0" w:type="dxa"/>
          <w:left w:w="0" w:type="dxa"/>
          <w:bottom w:w="0" w:type="dxa"/>
          <w:right w:w="0" w:type="dxa"/>
        </w:tblCellMar>
      </w:tblPr>
      <w:tblGrid>
        <w:gridCol w:w="3365"/>
        <w:gridCol w:w="120"/>
        <w:gridCol w:w="163"/>
        <w:gridCol w:w="1732"/>
        <w:gridCol w:w="60"/>
        <w:gridCol w:w="120"/>
        <w:gridCol w:w="163"/>
        <w:gridCol w:w="1732"/>
        <w:gridCol w:w="60"/>
        <w:gridCol w:w="120"/>
        <w:gridCol w:w="220"/>
        <w:gridCol w:w="1675"/>
        <w:gridCol w:w="75"/>
      </w:tblGrid>
      <w:tr>
        <w:trPr/>
        <w:tc>
          <w:tcPr>
            <w:tcW w:w="33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7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7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67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3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45" w:type="dxa"/>
            <w:gridSpan w:val="10"/>
            <w:tcBorders/>
            <w:shd w:fill="auto" w:val="clear"/>
            <w:vAlign w:val="center"/>
          </w:tcPr>
          <w:p>
            <w:pPr>
              <w:pStyle w:val="TableContents"/>
              <w:spacing w:before="0" w:after="283"/>
              <w:jc w:val="center"/>
              <w:rPr/>
            </w:pPr>
            <w:r>
              <w:rPr/>
              <w:t>For the years ended</w:t>
            </w:r>
          </w:p>
        </w:tc>
        <w:tc>
          <w:tcPr>
            <w:tcW w:w="75" w:type="dxa"/>
            <w:tcBorders/>
            <w:shd w:fill="auto" w:val="clear"/>
            <w:vAlign w:val="center"/>
          </w:tcPr>
          <w:p>
            <w:pPr>
              <w:pStyle w:val="TableContents"/>
              <w:spacing w:before="0" w:after="283"/>
              <w:rPr/>
            </w:pPr>
            <w:r>
              <w:rPr/>
              <w:t> </w:t>
            </w:r>
          </w:p>
        </w:tc>
      </w:tr>
      <w:tr>
        <w:trPr/>
        <w:tc>
          <w:tcPr>
            <w:tcW w:w="3365"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2020</w:t>
            </w:r>
          </w:p>
        </w:tc>
        <w:tc>
          <w:tcPr>
            <w:tcW w:w="75" w:type="dxa"/>
            <w:tcBorders/>
            <w:shd w:fill="auto" w:val="clear"/>
            <w:vAlign w:val="center"/>
          </w:tcPr>
          <w:p>
            <w:pPr>
              <w:pStyle w:val="TableContents"/>
              <w:spacing w:before="0" w:after="283"/>
              <w:rPr/>
            </w:pPr>
            <w:r>
              <w:rPr/>
              <w:t> </w:t>
            </w:r>
          </w:p>
        </w:tc>
      </w:tr>
      <w:tr>
        <w:trPr/>
        <w:tc>
          <w:tcPr>
            <w:tcW w:w="33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Write downs of raw material and supplies</w:t>
            </w:r>
          </w:p>
        </w:tc>
        <w:tc>
          <w:tcPr>
            <w:tcW w:w="12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1732" w:type="dxa"/>
            <w:tcBorders/>
            <w:shd w:fill="CCEEFF" w:val="clear"/>
            <w:vAlign w:val="center"/>
          </w:tcPr>
          <w:p>
            <w:pPr>
              <w:pStyle w:val="TableContents"/>
              <w:spacing w:before="0" w:after="283"/>
              <w:jc w:val="right"/>
              <w:rPr/>
            </w:pPr>
            <w:r>
              <w:rPr/>
              <w:t>-5,601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1732" w:type="dxa"/>
            <w:tcBorders/>
            <w:shd w:fill="CCEEFF" w:val="clear"/>
            <w:vAlign w:val="center"/>
          </w:tcPr>
          <w:p>
            <w:pPr>
              <w:pStyle w:val="TableContents"/>
              <w:spacing w:before="0" w:after="283"/>
              <w:jc w:val="right"/>
              <w:rPr/>
            </w:pPr>
            <w:r>
              <w:rPr/>
              <w:t>-2,039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rPr/>
            </w:pPr>
            <w:r>
              <w:rPr/>
              <w:t> </w:t>
            </w:r>
          </w:p>
        </w:tc>
        <w:tc>
          <w:tcPr>
            <w:tcW w:w="1675" w:type="dxa"/>
            <w:tcBorders/>
            <w:shd w:fill="CCEEFF" w:val="clear"/>
            <w:vAlign w:val="center"/>
          </w:tcPr>
          <w:p>
            <w:pPr>
              <w:pStyle w:val="TableContents"/>
              <w:spacing w:before="0" w:after="283"/>
              <w:jc w:val="right"/>
              <w:rPr/>
            </w:pPr>
            <w:r>
              <w:rPr/>
              <w:t>0</w:t>
            </w:r>
          </w:p>
        </w:tc>
        <w:tc>
          <w:tcPr>
            <w:tcW w:w="75" w:type="dxa"/>
            <w:tcBorders/>
            <w:shd w:fill="CCEEFF" w:val="clear"/>
            <w:vAlign w:val="center"/>
          </w:tcPr>
          <w:p>
            <w:pPr>
              <w:pStyle w:val="TableContents"/>
              <w:spacing w:before="0" w:after="283"/>
              <w:rPr/>
            </w:pPr>
            <w:r>
              <w:rPr/>
              <w:t> </w:t>
            </w:r>
          </w:p>
        </w:tc>
      </w:tr>
      <w:tr>
        <w:trPr/>
        <w:tc>
          <w:tcPr>
            <w:tcW w:w="33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Write downs of work in progress</w:t>
            </w:r>
          </w:p>
        </w:tc>
        <w:tc>
          <w:tcPr>
            <w:tcW w:w="12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732" w:type="dxa"/>
            <w:tcBorders/>
            <w:shd w:fill="auto" w:val="clear"/>
            <w:vAlign w:val="center"/>
          </w:tcPr>
          <w:p>
            <w:pPr>
              <w:pStyle w:val="TableContents"/>
              <w:spacing w:before="0" w:after="283"/>
              <w:jc w:val="right"/>
              <w:rPr/>
            </w:pPr>
            <w:r>
              <w:rPr/>
              <w:t>-1,225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732" w:type="dxa"/>
            <w:tcBorders/>
            <w:shd w:fill="auto" w:val="clear"/>
            <w:vAlign w:val="center"/>
          </w:tcPr>
          <w:p>
            <w:pPr>
              <w:pStyle w:val="TableContents"/>
              <w:spacing w:before="0" w:after="283"/>
              <w:jc w:val="right"/>
              <w:rPr/>
            </w:pPr>
            <w:r>
              <w:rPr/>
              <w:t>-397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675" w:type="dxa"/>
            <w:tcBorders/>
            <w:shd w:fill="auto" w:val="clear"/>
            <w:vAlign w:val="center"/>
          </w:tcPr>
          <w:p>
            <w:pPr>
              <w:pStyle w:val="TableContents"/>
              <w:spacing w:before="0" w:after="283"/>
              <w:jc w:val="right"/>
              <w:rPr/>
            </w:pPr>
            <w:r>
              <w:rPr/>
              <w:t>-120</w:t>
            </w:r>
          </w:p>
        </w:tc>
        <w:tc>
          <w:tcPr>
            <w:tcW w:w="75" w:type="dxa"/>
            <w:tcBorders/>
            <w:shd w:fill="auto" w:val="clear"/>
            <w:vAlign w:val="center"/>
          </w:tcPr>
          <w:p>
            <w:pPr>
              <w:pStyle w:val="TableContents"/>
              <w:spacing w:before="0" w:after="283"/>
              <w:rPr/>
            </w:pPr>
            <w:r>
              <w:rPr/>
              <w:t> </w:t>
            </w:r>
          </w:p>
        </w:tc>
      </w:tr>
      <w:tr>
        <w:trPr/>
        <w:tc>
          <w:tcPr>
            <w:tcW w:w="33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Write downs of finished goods</w:t>
            </w:r>
          </w:p>
        </w:tc>
        <w:tc>
          <w:tcPr>
            <w:tcW w:w="12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1732" w:type="dxa"/>
            <w:tcBorders/>
            <w:shd w:fill="CCEEFF" w:val="clear"/>
            <w:vAlign w:val="center"/>
          </w:tcPr>
          <w:p>
            <w:pPr>
              <w:pStyle w:val="TableContents"/>
              <w:spacing w:before="0" w:after="283"/>
              <w:jc w:val="right"/>
              <w:rPr/>
            </w:pPr>
            <w:r>
              <w:rPr/>
              <w:t>-657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1732" w:type="dxa"/>
            <w:tcBorders/>
            <w:shd w:fill="CCEEFF" w:val="clear"/>
            <w:vAlign w:val="center"/>
          </w:tcPr>
          <w:p>
            <w:pPr>
              <w:pStyle w:val="TableContents"/>
              <w:spacing w:before="0" w:after="283"/>
              <w:jc w:val="right"/>
              <w:rPr/>
            </w:pPr>
            <w:r>
              <w:rPr/>
              <w:t>-65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rPr/>
            </w:pPr>
            <w:r>
              <w:rPr/>
              <w:t> </w:t>
            </w:r>
          </w:p>
        </w:tc>
        <w:tc>
          <w:tcPr>
            <w:tcW w:w="1675" w:type="dxa"/>
            <w:tcBorders/>
            <w:shd w:fill="CCEEFF" w:val="clear"/>
            <w:vAlign w:val="center"/>
          </w:tcPr>
          <w:p>
            <w:pPr>
              <w:pStyle w:val="TableContents"/>
              <w:spacing w:before="0" w:after="283"/>
              <w:jc w:val="right"/>
              <w:rPr/>
            </w:pPr>
            <w:r>
              <w:rPr/>
              <w:t>0</w:t>
            </w:r>
          </w:p>
        </w:tc>
        <w:tc>
          <w:tcPr>
            <w:tcW w:w="75" w:type="dxa"/>
            <w:tcBorders/>
            <w:shd w:fill="CCEEFF" w:val="clear"/>
            <w:vAlign w:val="center"/>
          </w:tcPr>
          <w:p>
            <w:pPr>
              <w:pStyle w:val="TableContents"/>
              <w:spacing w:before="0" w:after="283"/>
              <w:rPr/>
            </w:pPr>
            <w:r>
              <w:rPr/>
              <w:t> </w:t>
            </w:r>
          </w:p>
        </w:tc>
      </w:tr>
      <w:tr>
        <w:trPr/>
        <w:tc>
          <w:tcPr>
            <w:tcW w:w="33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732" w:type="dxa"/>
            <w:tcBorders/>
            <w:shd w:fill="auto" w:val="clear"/>
            <w:vAlign w:val="center"/>
          </w:tcPr>
          <w:p>
            <w:pPr>
              <w:pStyle w:val="TableContents"/>
              <w:spacing w:before="0" w:after="283"/>
              <w:jc w:val="right"/>
              <w:rPr/>
            </w:pPr>
            <w:r>
              <w:rPr/>
              <w:t>-7,483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732" w:type="dxa"/>
            <w:tcBorders/>
            <w:shd w:fill="auto" w:val="clear"/>
            <w:vAlign w:val="center"/>
          </w:tcPr>
          <w:p>
            <w:pPr>
              <w:pStyle w:val="TableContents"/>
              <w:spacing w:before="0" w:after="283"/>
              <w:jc w:val="right"/>
              <w:rPr/>
            </w:pPr>
            <w:r>
              <w:rPr/>
              <w:t>-2,501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675" w:type="dxa"/>
            <w:tcBorders/>
            <w:shd w:fill="auto" w:val="clear"/>
            <w:vAlign w:val="center"/>
          </w:tcPr>
          <w:p>
            <w:pPr>
              <w:pStyle w:val="TableContents"/>
              <w:spacing w:before="0" w:after="283"/>
              <w:jc w:val="right"/>
              <w:rPr/>
            </w:pPr>
            <w:r>
              <w:rPr/>
              <w:t>-120</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F-3</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3</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both"/>
        <w:rPr>
          <w:rFonts w:ascii="Times New Roman" w:hAnsi="Times New Roman"/>
          <w:sz w:val="20"/>
          <w:highlight w:val="white"/>
        </w:rPr>
      </w:pPr>
      <w:r>
        <w:rPr>
          <w:rFonts w:ascii="Times New Roman" w:hAnsi="Times New Roman"/>
          <w:sz w:val="20"/>
          <w:highlight w:val="white"/>
        </w:rPr>
        <w:t>The write-downs for the year ended December 31, 2022, refer to materials relevant for production of CONDOR Mk1, CONDOR Mk2 and CONDOR MEO. The write-downs for the year ended December 31, 2021, refer to materials relevant for production of CONDOR Mk1 and CON</w:t>
      </w:r>
    </w:p>
    <w:p>
      <w:pPr>
        <w:pStyle w:val="TextBody"/>
        <w:spacing w:before="0" w:after="0"/>
        <w:jc w:val="both"/>
        <w:rPr>
          <w:rFonts w:ascii="Times New Roman" w:hAnsi="Times New Roman"/>
          <w:spacing w:val="0"/>
          <w:sz w:val="20"/>
          <w:highlight w:val="white"/>
        </w:rPr>
      </w:pPr>
      <w:r>
        <w:rPr>
          <w:rFonts w:ascii="Times New Roman" w:hAnsi="Times New Roman"/>
          <w:spacing w:val="0"/>
          <w:sz w:val="20"/>
          <w:highlight w:val="white"/>
        </w:rPr>
        <w:t>DOR Mk</w:t>
      </w:r>
    </w:p>
    <w:p>
      <w:pPr>
        <w:pStyle w:val="TextBody"/>
        <w:spacing w:before="0" w:after="0"/>
        <w:jc w:val="both"/>
        <w:rPr>
          <w:rFonts w:ascii="Times New Roman" w:hAnsi="Times New Roman"/>
          <w:sz w:val="20"/>
          <w:highlight w:val="white"/>
        </w:rPr>
      </w:pPr>
      <w:r>
        <w:rPr>
          <w:rFonts w:ascii="Times New Roman" w:hAnsi="Times New Roman"/>
          <w:sz w:val="20"/>
          <w:highlight w:val="white"/>
        </w:rPr>
        <w:t>2. The corresponding raw materials were written down to their recoverable amount. The write-downs for the year ended December 31, 2020, referred to the inventories for the Hawk Air Terminals.</w:t>
      </w:r>
    </w:p>
    <w:p>
      <w:pPr>
        <w:pStyle w:val="TextBody"/>
        <w:spacing w:before="360" w:after="0"/>
        <w:jc w:val="both"/>
        <w:rPr>
          <w:rFonts w:ascii="Times New Roman" w:hAnsi="Times New Roman"/>
          <w:b/>
          <w:sz w:val="20"/>
          <w:highlight w:val="white"/>
        </w:rPr>
      </w:pPr>
      <w:r>
        <w:rPr>
          <w:rFonts w:ascii="Times New Roman" w:hAnsi="Times New Roman"/>
          <w:b/>
          <w:sz w:val="20"/>
          <w:highlight w:val="white"/>
        </w:rPr>
        <w:t xml:space="preserve">22. Trade Receivables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As of December 31, 2022, all trade receivables are denominated in US dollars. The maximum default risk for receivables is their carrying amount. All receivables result from contracts with customers. </w:t>
      </w:r>
    </w:p>
    <w:p>
      <w:pPr>
        <w:pStyle w:val="TextBody"/>
        <w:spacing w:before="0" w:after="0"/>
        <w:jc w:val="left"/>
        <w:rPr>
          <w:highlight w:val="white"/>
        </w:rPr>
      </w:pPr>
      <w:r>
        <w:rPr>
          <w:highlight w:val="white"/>
        </w:rPr>
        <w:t> </w:t>
      </w:r>
    </w:p>
    <w:tbl>
      <w:tblPr>
        <w:tblW w:w="5625" w:type="dxa"/>
        <w:jc w:val="left"/>
        <w:tblInd w:w="0" w:type="dxa"/>
        <w:tblCellMar>
          <w:top w:w="0" w:type="dxa"/>
          <w:left w:w="0" w:type="dxa"/>
          <w:bottom w:w="0" w:type="dxa"/>
          <w:right w:w="0" w:type="dxa"/>
        </w:tblCellMar>
      </w:tblPr>
      <w:tblGrid>
        <w:gridCol w:w="1460"/>
        <w:gridCol w:w="120"/>
        <w:gridCol w:w="183"/>
        <w:gridCol w:w="1712"/>
        <w:gridCol w:w="60"/>
        <w:gridCol w:w="120"/>
        <w:gridCol w:w="568"/>
        <w:gridCol w:w="1327"/>
        <w:gridCol w:w="75"/>
      </w:tblGrid>
      <w:tr>
        <w:trPr/>
        <w:tc>
          <w:tcPr>
            <w:tcW w:w="14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460"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2021</w:t>
            </w:r>
          </w:p>
        </w:tc>
        <w:tc>
          <w:tcPr>
            <w:tcW w:w="75" w:type="dxa"/>
            <w:tcBorders/>
            <w:shd w:fill="auto" w:val="clear"/>
            <w:vAlign w:val="center"/>
          </w:tcPr>
          <w:p>
            <w:pPr>
              <w:pStyle w:val="TableContents"/>
              <w:spacing w:before="0" w:after="283"/>
              <w:rPr/>
            </w:pPr>
            <w:r>
              <w:rPr/>
              <w:t> </w:t>
            </w:r>
          </w:p>
        </w:tc>
      </w:tr>
      <w:tr>
        <w:trPr/>
        <w:tc>
          <w:tcPr>
            <w:tcW w:w="14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Trade receivables</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1,101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568" w:type="dxa"/>
            <w:tcBorders/>
            <w:shd w:fill="CCEEFF" w:val="clear"/>
            <w:vAlign w:val="center"/>
          </w:tcPr>
          <w:p>
            <w:pPr>
              <w:pStyle w:val="TableContents"/>
              <w:spacing w:before="0" w:after="283"/>
              <w:rPr/>
            </w:pPr>
            <w:r>
              <w:rPr/>
              <w:t> </w:t>
            </w:r>
          </w:p>
        </w:tc>
        <w:tc>
          <w:tcPr>
            <w:tcW w:w="1327" w:type="dxa"/>
            <w:tcBorders/>
            <w:shd w:fill="CCEEFF" w:val="clear"/>
            <w:vAlign w:val="center"/>
          </w:tcPr>
          <w:p>
            <w:pPr>
              <w:pStyle w:val="TableContents"/>
              <w:spacing w:before="0" w:after="283"/>
              <w:jc w:val="right"/>
              <w:rPr/>
            </w:pPr>
            <w:r>
              <w:rPr/>
              <w:t>0</w:t>
            </w:r>
          </w:p>
        </w:tc>
        <w:tc>
          <w:tcPr>
            <w:tcW w:w="75" w:type="dxa"/>
            <w:tcBorders/>
            <w:shd w:fill="CCEEFF" w:val="clear"/>
            <w:vAlign w:val="center"/>
          </w:tcPr>
          <w:p>
            <w:pPr>
              <w:pStyle w:val="TableContents"/>
              <w:spacing w:before="0" w:after="283"/>
              <w:rPr/>
            </w:pPr>
            <w:r>
              <w:rPr/>
              <w:t> </w:t>
            </w:r>
          </w:p>
        </w:tc>
      </w:tr>
      <w:tr>
        <w:trPr/>
        <w:tc>
          <w:tcPr>
            <w:tcW w:w="14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1,101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68" w:type="dxa"/>
            <w:tcBorders/>
            <w:shd w:fill="auto" w:val="clear"/>
            <w:vAlign w:val="center"/>
          </w:tcPr>
          <w:p>
            <w:pPr>
              <w:pStyle w:val="TableContents"/>
              <w:spacing w:before="0" w:after="283"/>
              <w:rPr/>
            </w:pPr>
            <w:r>
              <w:rPr/>
              <w:t> </w:t>
            </w:r>
          </w:p>
        </w:tc>
        <w:tc>
          <w:tcPr>
            <w:tcW w:w="1327" w:type="dxa"/>
            <w:tcBorders/>
            <w:shd w:fill="auto" w:val="clear"/>
            <w:vAlign w:val="center"/>
          </w:tcPr>
          <w:p>
            <w:pPr>
              <w:pStyle w:val="TableContents"/>
              <w:spacing w:before="0" w:after="283"/>
              <w:jc w:val="right"/>
              <w:rPr/>
            </w:pPr>
            <w:r>
              <w:rPr/>
              <w:t>0</w:t>
            </w:r>
          </w:p>
        </w:tc>
        <w:tc>
          <w:tcPr>
            <w:tcW w:w="75" w:type="dxa"/>
            <w:tcBorders/>
            <w:shd w:fill="auto" w:val="clear"/>
            <w:vAlign w:val="center"/>
          </w:tcPr>
          <w:p>
            <w:pPr>
              <w:pStyle w:val="TableContents"/>
              <w:spacing w:before="0" w:after="283"/>
              <w:rPr/>
            </w:pPr>
            <w:r>
              <w:rPr/>
              <w:t>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trade receivables relate to two contracts and two customers. Further information about the group’s exposure to credit risk can be found in the Notes 33.2 a).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23. Other Financial and </w:t>
      </w:r>
    </w:p>
    <w:p>
      <w:pPr>
        <w:pStyle w:val="TextBody"/>
        <w:spacing w:before="360" w:after="0"/>
        <w:jc w:val="left"/>
        <w:rPr>
          <w:rFonts w:ascii="Times New Roman" w:hAnsi="Times New Roman"/>
          <w:b/>
          <w:spacing w:val="0"/>
          <w:sz w:val="20"/>
          <w:highlight w:val="white"/>
        </w:rPr>
      </w:pPr>
      <w:r>
        <w:rPr>
          <w:rFonts w:ascii="Times New Roman" w:hAnsi="Times New Roman"/>
          <w:b/>
          <w:spacing w:val="0"/>
          <w:sz w:val="20"/>
          <w:highlight w:val="white"/>
        </w:rPr>
        <w:t>Non-Financial</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Assets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and current financial and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non-financial</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assets comprise the following: </w:t>
      </w:r>
    </w:p>
    <w:p>
      <w:pPr>
        <w:pStyle w:val="TextBody"/>
        <w:spacing w:before="0" w:after="0"/>
        <w:jc w:val="left"/>
        <w:rPr>
          <w:highlight w:val="white"/>
        </w:rPr>
      </w:pPr>
      <w:r>
        <w:rPr>
          <w:highlight w:val="white"/>
        </w:rPr>
        <w:t> </w:t>
      </w:r>
    </w:p>
    <w:tbl>
      <w:tblPr>
        <w:tblW w:w="7384" w:type="dxa"/>
        <w:jc w:val="left"/>
        <w:tblInd w:w="0" w:type="dxa"/>
        <w:tblCellMar>
          <w:top w:w="0" w:type="dxa"/>
          <w:left w:w="0" w:type="dxa"/>
          <w:bottom w:w="0" w:type="dxa"/>
          <w:right w:w="0" w:type="dxa"/>
        </w:tblCellMar>
      </w:tblPr>
      <w:tblGrid>
        <w:gridCol w:w="2225"/>
        <w:gridCol w:w="120"/>
        <w:gridCol w:w="90"/>
        <w:gridCol w:w="854"/>
        <w:gridCol w:w="90"/>
        <w:gridCol w:w="183"/>
        <w:gridCol w:w="158"/>
        <w:gridCol w:w="1017"/>
        <w:gridCol w:w="60"/>
        <w:gridCol w:w="120"/>
        <w:gridCol w:w="90"/>
        <w:gridCol w:w="854"/>
        <w:gridCol w:w="90"/>
        <w:gridCol w:w="183"/>
        <w:gridCol w:w="158"/>
        <w:gridCol w:w="1017"/>
        <w:gridCol w:w="75"/>
      </w:tblGrid>
      <w:tr>
        <w:trPr/>
        <w:tc>
          <w:tcPr>
            <w:tcW w:w="22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2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92" w:type="dxa"/>
            <w:gridSpan w:val="6"/>
            <w:tcBorders/>
            <w:shd w:fill="auto" w:val="clear"/>
            <w:vAlign w:val="center"/>
          </w:tcPr>
          <w:p>
            <w:pPr>
              <w:pStyle w:val="TableContents"/>
              <w:spacing w:before="0" w:after="283"/>
              <w:jc w:val="center"/>
              <w:rPr/>
            </w:pPr>
            <w:r>
              <w:rPr/>
              <w:t>December 31,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92" w:type="dxa"/>
            <w:gridSpan w:val="6"/>
            <w:tcBorders/>
            <w:shd w:fill="auto" w:val="clear"/>
            <w:vAlign w:val="center"/>
          </w:tcPr>
          <w:p>
            <w:pPr>
              <w:pStyle w:val="TableContents"/>
              <w:spacing w:before="0" w:after="283"/>
              <w:jc w:val="center"/>
              <w:rPr/>
            </w:pPr>
            <w:r>
              <w:rPr/>
              <w:t>December 31, 2021</w:t>
            </w:r>
          </w:p>
        </w:tc>
        <w:tc>
          <w:tcPr>
            <w:tcW w:w="75" w:type="dxa"/>
            <w:tcBorders/>
            <w:shd w:fill="auto" w:val="clear"/>
            <w:vAlign w:val="center"/>
          </w:tcPr>
          <w:p>
            <w:pPr>
              <w:pStyle w:val="TableContents"/>
              <w:spacing w:before="0" w:after="283"/>
              <w:rPr/>
            </w:pPr>
            <w:r>
              <w:rPr/>
              <w:t> </w:t>
            </w:r>
          </w:p>
        </w:tc>
      </w:tr>
      <w:tr>
        <w:trPr/>
        <w:tc>
          <w:tcPr>
            <w:tcW w:w="2225"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944" w:type="dxa"/>
            <w:gridSpan w:val="2"/>
            <w:tcBorders/>
            <w:shd w:fill="auto" w:val="clear"/>
            <w:vAlign w:val="center"/>
          </w:tcPr>
          <w:p>
            <w:pPr>
              <w:pStyle w:val="TableContents"/>
              <w:spacing w:before="0" w:after="283"/>
              <w:jc w:val="center"/>
              <w:rPr/>
            </w:pPr>
            <w:r>
              <w:rPr/>
              <w:t>Current</w:t>
            </w:r>
          </w:p>
        </w:tc>
        <w:tc>
          <w:tcPr>
            <w:tcW w:w="9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175" w:type="dxa"/>
            <w:gridSpan w:val="2"/>
            <w:tcBorders/>
            <w:shd w:fill="auto" w:val="clear"/>
            <w:vAlign w:val="center"/>
          </w:tcPr>
          <w:p>
            <w:pPr>
              <w:pStyle w:val="TableContents"/>
              <w:spacing w:before="0" w:after="0"/>
              <w:jc w:val="center"/>
              <w:rPr>
                <w:spacing w:val="0"/>
              </w:rPr>
            </w:pPr>
            <w:r>
              <w:rPr>
                <w:spacing w:val="0"/>
              </w:rPr>
              <w:t>Non-current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4" w:type="dxa"/>
            <w:gridSpan w:val="2"/>
            <w:tcBorders/>
            <w:shd w:fill="auto" w:val="clear"/>
            <w:vAlign w:val="center"/>
          </w:tcPr>
          <w:p>
            <w:pPr>
              <w:pStyle w:val="TableContents"/>
              <w:spacing w:before="0" w:after="283"/>
              <w:jc w:val="center"/>
              <w:rPr/>
            </w:pPr>
            <w:r>
              <w:rPr/>
              <w:t>Current</w:t>
            </w:r>
          </w:p>
        </w:tc>
        <w:tc>
          <w:tcPr>
            <w:tcW w:w="9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175" w:type="dxa"/>
            <w:gridSpan w:val="2"/>
            <w:tcBorders/>
            <w:shd w:fill="auto" w:val="clear"/>
            <w:vAlign w:val="center"/>
          </w:tcPr>
          <w:p>
            <w:pPr>
              <w:pStyle w:val="TableContents"/>
              <w:spacing w:before="0" w:after="0"/>
              <w:jc w:val="center"/>
              <w:rPr>
                <w:spacing w:val="0"/>
              </w:rPr>
            </w:pPr>
            <w:r>
              <w:rPr>
                <w:spacing w:val="0"/>
              </w:rPr>
              <w:t>Non-current</w:t>
            </w:r>
          </w:p>
        </w:tc>
        <w:tc>
          <w:tcPr>
            <w:tcW w:w="75" w:type="dxa"/>
            <w:tcBorders/>
            <w:shd w:fill="auto" w:val="clear"/>
            <w:vAlign w:val="center"/>
          </w:tcPr>
          <w:p>
            <w:pPr>
              <w:pStyle w:val="TableContents"/>
              <w:spacing w:before="0" w:after="283"/>
              <w:rPr/>
            </w:pPr>
            <w:r>
              <w:rPr/>
              <w:t> </w:t>
            </w:r>
          </w:p>
        </w:tc>
      </w:tr>
      <w:tr>
        <w:trPr/>
        <w:tc>
          <w:tcPr>
            <w:tcW w:w="22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NON-FINANCIAL</w:t>
            </w:r>
          </w:p>
          <w:p>
            <w:pPr>
              <w:pStyle w:val="TableContents"/>
              <w:spacing w:before="0" w:after="0"/>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854"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101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854"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1017"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22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Tax receivables</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854" w:type="dxa"/>
            <w:tcBorders/>
            <w:shd w:fill="auto" w:val="clear"/>
            <w:vAlign w:val="center"/>
          </w:tcPr>
          <w:p>
            <w:pPr>
              <w:pStyle w:val="TableContents"/>
              <w:spacing w:before="0" w:after="283"/>
              <w:jc w:val="right"/>
              <w:rPr/>
            </w:pPr>
            <w:r>
              <w:rPr/>
              <w:t>2,166</w:t>
            </w:r>
          </w:p>
        </w:tc>
        <w:tc>
          <w:tcPr>
            <w:tcW w:w="9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017"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854" w:type="dxa"/>
            <w:tcBorders/>
            <w:shd w:fill="auto" w:val="clear"/>
            <w:vAlign w:val="center"/>
          </w:tcPr>
          <w:p>
            <w:pPr>
              <w:pStyle w:val="TableContents"/>
              <w:spacing w:before="0" w:after="283"/>
              <w:jc w:val="right"/>
              <w:rPr/>
            </w:pPr>
            <w:r>
              <w:rPr/>
              <w:t>2,175</w:t>
            </w:r>
          </w:p>
        </w:tc>
        <w:tc>
          <w:tcPr>
            <w:tcW w:w="9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017" w:type="dxa"/>
            <w:tcBorders/>
            <w:shd w:fill="auto" w:val="clear"/>
            <w:vAlign w:val="center"/>
          </w:tcPr>
          <w:p>
            <w:pPr>
              <w:pStyle w:val="TableContents"/>
              <w:spacing w:before="0" w:after="283"/>
              <w:jc w:val="right"/>
              <w:rPr/>
            </w:pPr>
            <w:r>
              <w:rPr/>
              <w:t>0</w:t>
            </w:r>
          </w:p>
        </w:tc>
        <w:tc>
          <w:tcPr>
            <w:tcW w:w="75" w:type="dxa"/>
            <w:tcBorders/>
            <w:shd w:fill="auto" w:val="clear"/>
            <w:vAlign w:val="center"/>
          </w:tcPr>
          <w:p>
            <w:pPr>
              <w:pStyle w:val="TableContents"/>
              <w:spacing w:before="0" w:after="283"/>
              <w:rPr/>
            </w:pPr>
            <w:r>
              <w:rPr/>
              <w:t> </w:t>
            </w:r>
          </w:p>
        </w:tc>
      </w:tr>
      <w:tr>
        <w:trPr/>
        <w:tc>
          <w:tcPr>
            <w:tcW w:w="22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Prepaid expenses</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854" w:type="dxa"/>
            <w:tcBorders/>
            <w:shd w:fill="CCEEFF" w:val="clear"/>
            <w:vAlign w:val="center"/>
          </w:tcPr>
          <w:p>
            <w:pPr>
              <w:pStyle w:val="TableContents"/>
              <w:spacing w:before="0" w:after="283"/>
              <w:jc w:val="right"/>
              <w:rPr/>
            </w:pPr>
            <w:r>
              <w:rPr/>
              <w:t>2,238</w:t>
            </w:r>
          </w:p>
        </w:tc>
        <w:tc>
          <w:tcPr>
            <w:tcW w:w="9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1017"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854" w:type="dxa"/>
            <w:tcBorders/>
            <w:shd w:fill="CCEEFF" w:val="clear"/>
            <w:vAlign w:val="center"/>
          </w:tcPr>
          <w:p>
            <w:pPr>
              <w:pStyle w:val="TableContents"/>
              <w:spacing w:before="0" w:after="283"/>
              <w:jc w:val="right"/>
              <w:rPr/>
            </w:pPr>
            <w:r>
              <w:rPr/>
              <w:t>2,041</w:t>
            </w:r>
          </w:p>
        </w:tc>
        <w:tc>
          <w:tcPr>
            <w:tcW w:w="9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1017" w:type="dxa"/>
            <w:tcBorders/>
            <w:shd w:fill="CCEEFF" w:val="clear"/>
            <w:vAlign w:val="center"/>
          </w:tcPr>
          <w:p>
            <w:pPr>
              <w:pStyle w:val="TableContents"/>
              <w:spacing w:before="0" w:after="283"/>
              <w:jc w:val="right"/>
              <w:rPr/>
            </w:pPr>
            <w:r>
              <w:rPr/>
              <w:t>0</w:t>
            </w:r>
          </w:p>
        </w:tc>
        <w:tc>
          <w:tcPr>
            <w:tcW w:w="75" w:type="dxa"/>
            <w:tcBorders/>
            <w:shd w:fill="CCEEFF" w:val="clear"/>
            <w:vAlign w:val="center"/>
          </w:tcPr>
          <w:p>
            <w:pPr>
              <w:pStyle w:val="TableContents"/>
              <w:spacing w:before="0" w:after="283"/>
              <w:rPr/>
            </w:pPr>
            <w:r>
              <w:rPr/>
              <w:t> </w:t>
            </w:r>
          </w:p>
        </w:tc>
      </w:tr>
      <w:tr>
        <w:trPr/>
        <w:tc>
          <w:tcPr>
            <w:tcW w:w="22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Advance payments</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854" w:type="dxa"/>
            <w:tcBorders/>
            <w:shd w:fill="auto" w:val="clear"/>
            <w:vAlign w:val="center"/>
          </w:tcPr>
          <w:p>
            <w:pPr>
              <w:pStyle w:val="TableContents"/>
              <w:spacing w:before="0" w:after="283"/>
              <w:jc w:val="right"/>
              <w:rPr/>
            </w:pPr>
            <w:r>
              <w:rPr/>
              <w:t>625</w:t>
            </w:r>
          </w:p>
        </w:tc>
        <w:tc>
          <w:tcPr>
            <w:tcW w:w="9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017"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854" w:type="dxa"/>
            <w:tcBorders/>
            <w:shd w:fill="auto" w:val="clear"/>
            <w:vAlign w:val="center"/>
          </w:tcPr>
          <w:p>
            <w:pPr>
              <w:pStyle w:val="TableContents"/>
              <w:spacing w:before="0" w:after="283"/>
              <w:jc w:val="right"/>
              <w:rPr/>
            </w:pPr>
            <w:r>
              <w:rPr/>
              <w:t>1,025</w:t>
            </w:r>
          </w:p>
        </w:tc>
        <w:tc>
          <w:tcPr>
            <w:tcW w:w="9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017" w:type="dxa"/>
            <w:tcBorders/>
            <w:shd w:fill="auto" w:val="clear"/>
            <w:vAlign w:val="center"/>
          </w:tcPr>
          <w:p>
            <w:pPr>
              <w:pStyle w:val="TableContents"/>
              <w:spacing w:before="0" w:after="283"/>
              <w:jc w:val="right"/>
              <w:rPr/>
            </w:pPr>
            <w:r>
              <w:rPr/>
              <w:t>0</w:t>
            </w:r>
          </w:p>
        </w:tc>
        <w:tc>
          <w:tcPr>
            <w:tcW w:w="75" w:type="dxa"/>
            <w:tcBorders/>
            <w:shd w:fill="auto" w:val="clear"/>
            <w:vAlign w:val="center"/>
          </w:tcPr>
          <w:p>
            <w:pPr>
              <w:pStyle w:val="TableContents"/>
              <w:spacing w:before="0" w:after="283"/>
              <w:rPr/>
            </w:pPr>
            <w:r>
              <w:rPr/>
              <w:t> </w:t>
            </w:r>
          </w:p>
        </w:tc>
      </w:tr>
      <w:tr>
        <w:trPr/>
        <w:tc>
          <w:tcPr>
            <w:tcW w:w="22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854" w:type="dxa"/>
            <w:tcBorders/>
            <w:shd w:fill="CCEEFF" w:val="clear"/>
            <w:vAlign w:val="center"/>
          </w:tcPr>
          <w:p>
            <w:pPr>
              <w:pStyle w:val="TableContents"/>
              <w:spacing w:before="0" w:after="283"/>
              <w:jc w:val="right"/>
              <w:rPr/>
            </w:pPr>
            <w:r>
              <w:rPr/>
              <w:t>432</w:t>
            </w:r>
          </w:p>
        </w:tc>
        <w:tc>
          <w:tcPr>
            <w:tcW w:w="9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1017"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854" w:type="dxa"/>
            <w:tcBorders/>
            <w:shd w:fill="CCEEFF" w:val="clear"/>
            <w:vAlign w:val="center"/>
          </w:tcPr>
          <w:p>
            <w:pPr>
              <w:pStyle w:val="TableContents"/>
              <w:spacing w:before="0" w:after="283"/>
              <w:jc w:val="right"/>
              <w:rPr/>
            </w:pPr>
            <w:r>
              <w:rPr/>
              <w:t>128</w:t>
            </w:r>
          </w:p>
        </w:tc>
        <w:tc>
          <w:tcPr>
            <w:tcW w:w="9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1017" w:type="dxa"/>
            <w:tcBorders/>
            <w:shd w:fill="CCEEFF" w:val="clear"/>
            <w:vAlign w:val="center"/>
          </w:tcPr>
          <w:p>
            <w:pPr>
              <w:pStyle w:val="TableContents"/>
              <w:spacing w:before="0" w:after="283"/>
              <w:jc w:val="right"/>
              <w:rPr/>
            </w:pPr>
            <w:r>
              <w:rPr/>
              <w:t>0</w:t>
            </w:r>
          </w:p>
        </w:tc>
        <w:tc>
          <w:tcPr>
            <w:tcW w:w="75" w:type="dxa"/>
            <w:tcBorders/>
            <w:shd w:fill="CCEEFF" w:val="clear"/>
            <w:vAlign w:val="center"/>
          </w:tcPr>
          <w:p>
            <w:pPr>
              <w:pStyle w:val="TableContents"/>
              <w:spacing w:before="0" w:after="283"/>
              <w:rPr/>
            </w:pPr>
            <w:r>
              <w:rPr/>
              <w:t> </w:t>
            </w:r>
          </w:p>
        </w:tc>
      </w:tr>
      <w:tr>
        <w:trPr/>
        <w:tc>
          <w:tcPr>
            <w:tcW w:w="222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spacing w:val="0"/>
              </w:rPr>
            </w:pPr>
            <w:r>
              <w:rPr>
                <w:spacing w:val="0"/>
              </w:rPr>
              <w:t> </w:t>
            </w:r>
          </w:p>
        </w:tc>
        <w:tc>
          <w:tcPr>
            <w:tcW w:w="854" w:type="dxa"/>
            <w:tcBorders/>
            <w:shd w:fill="auto" w:val="clear"/>
            <w:vAlign w:val="center"/>
          </w:tcPr>
          <w:p>
            <w:pPr>
              <w:pStyle w:val="TableContents"/>
              <w:spacing w:before="0" w:after="0"/>
              <w:jc w:val="right"/>
              <w:rPr>
                <w:b/>
                <w:spacing w:val="0"/>
              </w:rPr>
            </w:pPr>
            <w:r>
              <w:rPr>
                <w:b/>
                <w:spacing w:val="0"/>
              </w:rPr>
              <w:t>5,461</w:t>
            </w:r>
          </w:p>
        </w:tc>
        <w:tc>
          <w:tcPr>
            <w:tcW w:w="90" w:type="dxa"/>
            <w:tcBorders/>
            <w:shd w:fill="auto" w:val="clear"/>
            <w:vAlign w:val="center"/>
          </w:tcPr>
          <w:p>
            <w:pPr>
              <w:pStyle w:val="TableContents"/>
              <w:spacing w:before="0" w:after="0"/>
              <w:rPr>
                <w:spacing w:val="0"/>
              </w:rPr>
            </w:pPr>
            <w:r>
              <w:rPr>
                <w:spacing w:val="0"/>
              </w:rPr>
              <w:t> </w:t>
            </w:r>
          </w:p>
        </w:tc>
        <w:tc>
          <w:tcPr>
            <w:tcW w:w="183"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0"/>
              <w:rPr>
                <w:spacing w:val="0"/>
              </w:rPr>
            </w:pPr>
            <w:r>
              <w:rPr>
                <w:spacing w:val="0"/>
              </w:rPr>
              <w:t> </w:t>
            </w:r>
          </w:p>
        </w:tc>
        <w:tc>
          <w:tcPr>
            <w:tcW w:w="1017" w:type="dxa"/>
            <w:tcBorders/>
            <w:shd w:fill="auto" w:val="clear"/>
            <w:vAlign w:val="center"/>
          </w:tcPr>
          <w:p>
            <w:pPr>
              <w:pStyle w:val="TableContents"/>
              <w:spacing w:before="0" w:after="0"/>
              <w:jc w:val="right"/>
              <w:rPr>
                <w:b/>
                <w:spacing w:val="0"/>
              </w:rPr>
            </w:pPr>
            <w:r>
              <w:rPr>
                <w:b/>
                <w:spacing w:val="0"/>
              </w:rPr>
              <w:t>0</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spacing w:val="0"/>
              </w:rPr>
            </w:pPr>
            <w:r>
              <w:rPr>
                <w:spacing w:val="0"/>
              </w:rPr>
              <w:t> </w:t>
            </w:r>
          </w:p>
        </w:tc>
        <w:tc>
          <w:tcPr>
            <w:tcW w:w="854" w:type="dxa"/>
            <w:tcBorders/>
            <w:shd w:fill="auto" w:val="clear"/>
            <w:vAlign w:val="center"/>
          </w:tcPr>
          <w:p>
            <w:pPr>
              <w:pStyle w:val="TableContents"/>
              <w:spacing w:before="0" w:after="0"/>
              <w:jc w:val="right"/>
              <w:rPr>
                <w:b/>
                <w:spacing w:val="0"/>
              </w:rPr>
            </w:pPr>
            <w:r>
              <w:rPr>
                <w:b/>
                <w:spacing w:val="0"/>
              </w:rPr>
              <w:t>5,369</w:t>
            </w:r>
          </w:p>
        </w:tc>
        <w:tc>
          <w:tcPr>
            <w:tcW w:w="90" w:type="dxa"/>
            <w:tcBorders/>
            <w:shd w:fill="auto" w:val="clear"/>
            <w:vAlign w:val="center"/>
          </w:tcPr>
          <w:p>
            <w:pPr>
              <w:pStyle w:val="TableContents"/>
              <w:spacing w:before="0" w:after="0"/>
              <w:rPr>
                <w:spacing w:val="0"/>
              </w:rPr>
            </w:pPr>
            <w:r>
              <w:rPr>
                <w:spacing w:val="0"/>
              </w:rPr>
              <w:t> </w:t>
            </w:r>
          </w:p>
        </w:tc>
        <w:tc>
          <w:tcPr>
            <w:tcW w:w="183"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0"/>
              <w:rPr>
                <w:spacing w:val="0"/>
              </w:rPr>
            </w:pPr>
            <w:r>
              <w:rPr>
                <w:spacing w:val="0"/>
              </w:rPr>
              <w:t> </w:t>
            </w:r>
          </w:p>
        </w:tc>
        <w:tc>
          <w:tcPr>
            <w:tcW w:w="1017" w:type="dxa"/>
            <w:tcBorders/>
            <w:shd w:fill="auto" w:val="clear"/>
            <w:vAlign w:val="center"/>
          </w:tcPr>
          <w:p>
            <w:pPr>
              <w:pStyle w:val="TableContents"/>
              <w:spacing w:before="0" w:after="0"/>
              <w:jc w:val="right"/>
              <w:rPr>
                <w:b/>
                <w:spacing w:val="0"/>
              </w:rPr>
            </w:pPr>
            <w:r>
              <w:rPr>
                <w:b/>
                <w:spacing w:val="0"/>
              </w:rPr>
              <w:t>0</w:t>
            </w:r>
          </w:p>
        </w:tc>
        <w:tc>
          <w:tcPr>
            <w:tcW w:w="75" w:type="dxa"/>
            <w:tcBorders/>
            <w:shd w:fill="auto" w:val="clear"/>
            <w:vAlign w:val="center"/>
          </w:tcPr>
          <w:p>
            <w:pPr>
              <w:pStyle w:val="TableContents"/>
              <w:spacing w:before="0" w:after="0"/>
              <w:rPr>
                <w:spacing w:val="0"/>
              </w:rPr>
            </w:pPr>
            <w:r>
              <w:rPr>
                <w:spacing w:val="0"/>
              </w:rPr>
              <w:t> </w:t>
            </w:r>
          </w:p>
        </w:tc>
      </w:tr>
      <w:tr>
        <w:trPr/>
        <w:tc>
          <w:tcPr>
            <w:tcW w:w="22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FINANCIAL ASSETS</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854"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101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854"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1017"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22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Security deposits</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854" w:type="dxa"/>
            <w:tcBorders/>
            <w:shd w:fill="auto" w:val="clear"/>
            <w:vAlign w:val="center"/>
          </w:tcPr>
          <w:p>
            <w:pPr>
              <w:pStyle w:val="TableContents"/>
              <w:spacing w:before="0" w:after="283"/>
              <w:jc w:val="right"/>
              <w:rPr/>
            </w:pPr>
            <w:r>
              <w:rPr/>
              <w:t>0</w:t>
            </w:r>
          </w:p>
        </w:tc>
        <w:tc>
          <w:tcPr>
            <w:tcW w:w="9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017" w:type="dxa"/>
            <w:tcBorders/>
            <w:shd w:fill="auto" w:val="clear"/>
            <w:vAlign w:val="center"/>
          </w:tcPr>
          <w:p>
            <w:pPr>
              <w:pStyle w:val="TableContents"/>
              <w:spacing w:before="0" w:after="283"/>
              <w:jc w:val="right"/>
              <w:rPr/>
            </w:pPr>
            <w:r>
              <w:rPr/>
              <w:t>449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854" w:type="dxa"/>
            <w:tcBorders/>
            <w:shd w:fill="auto" w:val="clear"/>
            <w:vAlign w:val="center"/>
          </w:tcPr>
          <w:p>
            <w:pPr>
              <w:pStyle w:val="TableContents"/>
              <w:spacing w:before="0" w:after="283"/>
              <w:jc w:val="right"/>
              <w:rPr/>
            </w:pPr>
            <w:r>
              <w:rPr/>
              <w:t>0</w:t>
            </w:r>
          </w:p>
        </w:tc>
        <w:tc>
          <w:tcPr>
            <w:tcW w:w="9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017" w:type="dxa"/>
            <w:tcBorders/>
            <w:shd w:fill="auto" w:val="clear"/>
            <w:vAlign w:val="center"/>
          </w:tcPr>
          <w:p>
            <w:pPr>
              <w:pStyle w:val="TableContents"/>
              <w:spacing w:before="0" w:after="283"/>
              <w:jc w:val="right"/>
              <w:rPr/>
            </w:pPr>
            <w:r>
              <w:rPr/>
              <w:t>411</w:t>
            </w:r>
          </w:p>
        </w:tc>
        <w:tc>
          <w:tcPr>
            <w:tcW w:w="75" w:type="dxa"/>
            <w:tcBorders/>
            <w:shd w:fill="auto" w:val="clear"/>
            <w:vAlign w:val="center"/>
          </w:tcPr>
          <w:p>
            <w:pPr>
              <w:pStyle w:val="TableContents"/>
              <w:spacing w:before="0" w:after="283"/>
              <w:rPr/>
            </w:pPr>
            <w:r>
              <w:rPr/>
              <w:t> </w:t>
            </w:r>
          </w:p>
        </w:tc>
      </w:tr>
      <w:tr>
        <w:trPr/>
        <w:tc>
          <w:tcPr>
            <w:tcW w:w="22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Receivables from suppliers</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854" w:type="dxa"/>
            <w:tcBorders/>
            <w:shd w:fill="CCEEFF" w:val="clear"/>
            <w:vAlign w:val="center"/>
          </w:tcPr>
          <w:p>
            <w:pPr>
              <w:pStyle w:val="TableContents"/>
              <w:spacing w:before="0" w:after="283"/>
              <w:jc w:val="right"/>
              <w:rPr/>
            </w:pPr>
            <w:r>
              <w:rPr/>
              <w:t>48</w:t>
            </w:r>
          </w:p>
        </w:tc>
        <w:tc>
          <w:tcPr>
            <w:tcW w:w="9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1017"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854" w:type="dxa"/>
            <w:tcBorders/>
            <w:shd w:fill="CCEEFF" w:val="clear"/>
            <w:vAlign w:val="center"/>
          </w:tcPr>
          <w:p>
            <w:pPr>
              <w:pStyle w:val="TableContents"/>
              <w:spacing w:before="0" w:after="283"/>
              <w:jc w:val="right"/>
              <w:rPr/>
            </w:pPr>
            <w:r>
              <w:rPr/>
              <w:t>95</w:t>
            </w:r>
          </w:p>
        </w:tc>
        <w:tc>
          <w:tcPr>
            <w:tcW w:w="9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1017" w:type="dxa"/>
            <w:tcBorders/>
            <w:shd w:fill="CCEEFF" w:val="clear"/>
            <w:vAlign w:val="center"/>
          </w:tcPr>
          <w:p>
            <w:pPr>
              <w:pStyle w:val="TableContents"/>
              <w:spacing w:before="0" w:after="283"/>
              <w:jc w:val="right"/>
              <w:rPr/>
            </w:pPr>
            <w:r>
              <w:rPr/>
              <w:t>0</w:t>
            </w:r>
          </w:p>
        </w:tc>
        <w:tc>
          <w:tcPr>
            <w:tcW w:w="75" w:type="dxa"/>
            <w:tcBorders/>
            <w:shd w:fill="CCEEFF" w:val="clear"/>
            <w:vAlign w:val="center"/>
          </w:tcPr>
          <w:p>
            <w:pPr>
              <w:pStyle w:val="TableContents"/>
              <w:spacing w:before="0" w:after="283"/>
              <w:rPr/>
            </w:pPr>
            <w:r>
              <w:rPr/>
              <w:t> </w:t>
            </w:r>
          </w:p>
        </w:tc>
      </w:tr>
      <w:tr>
        <w:trPr/>
        <w:tc>
          <w:tcPr>
            <w:tcW w:w="22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Embedded derivative</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854" w:type="dxa"/>
            <w:tcBorders/>
            <w:shd w:fill="auto" w:val="clear"/>
            <w:vAlign w:val="center"/>
          </w:tcPr>
          <w:p>
            <w:pPr>
              <w:pStyle w:val="TableContents"/>
              <w:spacing w:before="0" w:after="283"/>
              <w:jc w:val="right"/>
              <w:rPr/>
            </w:pPr>
            <w:r>
              <w:rPr/>
              <w:t>172</w:t>
            </w:r>
          </w:p>
        </w:tc>
        <w:tc>
          <w:tcPr>
            <w:tcW w:w="9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017"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854" w:type="dxa"/>
            <w:tcBorders/>
            <w:shd w:fill="auto" w:val="clear"/>
            <w:vAlign w:val="center"/>
          </w:tcPr>
          <w:p>
            <w:pPr>
              <w:pStyle w:val="TableContents"/>
              <w:spacing w:before="0" w:after="283"/>
              <w:jc w:val="right"/>
              <w:rPr/>
            </w:pPr>
            <w:r>
              <w:rPr/>
              <w:t>0</w:t>
            </w:r>
          </w:p>
        </w:tc>
        <w:tc>
          <w:tcPr>
            <w:tcW w:w="9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017" w:type="dxa"/>
            <w:tcBorders/>
            <w:shd w:fill="auto" w:val="clear"/>
            <w:vAlign w:val="center"/>
          </w:tcPr>
          <w:p>
            <w:pPr>
              <w:pStyle w:val="TableContents"/>
              <w:spacing w:before="0" w:after="283"/>
              <w:jc w:val="right"/>
              <w:rPr/>
            </w:pPr>
            <w:r>
              <w:rPr/>
              <w:t>0</w:t>
            </w:r>
          </w:p>
        </w:tc>
        <w:tc>
          <w:tcPr>
            <w:tcW w:w="75" w:type="dxa"/>
            <w:tcBorders/>
            <w:shd w:fill="auto" w:val="clear"/>
            <w:vAlign w:val="center"/>
          </w:tcPr>
          <w:p>
            <w:pPr>
              <w:pStyle w:val="TableContents"/>
              <w:spacing w:before="0" w:after="283"/>
              <w:rPr/>
            </w:pPr>
            <w:r>
              <w:rPr/>
              <w:t> </w:t>
            </w:r>
          </w:p>
        </w:tc>
      </w:tr>
      <w:tr>
        <w:trPr/>
        <w:tc>
          <w:tcPr>
            <w:tcW w:w="22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854" w:type="dxa"/>
            <w:tcBorders/>
            <w:shd w:fill="CCEEFF" w:val="clear"/>
            <w:vAlign w:val="center"/>
          </w:tcPr>
          <w:p>
            <w:pPr>
              <w:pStyle w:val="TableContents"/>
              <w:spacing w:before="0" w:after="283"/>
              <w:jc w:val="right"/>
              <w:rPr/>
            </w:pPr>
            <w:r>
              <w:rPr/>
              <w:t>0</w:t>
            </w:r>
          </w:p>
        </w:tc>
        <w:tc>
          <w:tcPr>
            <w:tcW w:w="9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1017"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854" w:type="dxa"/>
            <w:tcBorders/>
            <w:shd w:fill="CCEEFF" w:val="clear"/>
            <w:vAlign w:val="center"/>
          </w:tcPr>
          <w:p>
            <w:pPr>
              <w:pStyle w:val="TableContents"/>
              <w:spacing w:before="0" w:after="283"/>
              <w:jc w:val="right"/>
              <w:rPr/>
            </w:pPr>
            <w:r>
              <w:rPr/>
              <w:t>48</w:t>
            </w:r>
          </w:p>
        </w:tc>
        <w:tc>
          <w:tcPr>
            <w:tcW w:w="9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1017" w:type="dxa"/>
            <w:tcBorders/>
            <w:shd w:fill="CCEEFF" w:val="clear"/>
            <w:vAlign w:val="center"/>
          </w:tcPr>
          <w:p>
            <w:pPr>
              <w:pStyle w:val="TableContents"/>
              <w:spacing w:before="0" w:after="283"/>
              <w:jc w:val="right"/>
              <w:rPr/>
            </w:pPr>
            <w:r>
              <w:rPr/>
              <w:t>0</w:t>
            </w:r>
          </w:p>
        </w:tc>
        <w:tc>
          <w:tcPr>
            <w:tcW w:w="75" w:type="dxa"/>
            <w:tcBorders/>
            <w:shd w:fill="CCEEFF" w:val="clear"/>
            <w:vAlign w:val="center"/>
          </w:tcPr>
          <w:p>
            <w:pPr>
              <w:pStyle w:val="TableContents"/>
              <w:spacing w:before="0" w:after="283"/>
              <w:rPr/>
            </w:pPr>
            <w:r>
              <w:rPr/>
              <w:t> </w:t>
            </w:r>
          </w:p>
        </w:tc>
      </w:tr>
      <w:tr>
        <w:trPr/>
        <w:tc>
          <w:tcPr>
            <w:tcW w:w="222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spacing w:val="0"/>
              </w:rPr>
            </w:pPr>
            <w:r>
              <w:rPr>
                <w:spacing w:val="0"/>
              </w:rPr>
              <w:t> </w:t>
            </w:r>
          </w:p>
        </w:tc>
        <w:tc>
          <w:tcPr>
            <w:tcW w:w="854" w:type="dxa"/>
            <w:tcBorders/>
            <w:shd w:fill="auto" w:val="clear"/>
            <w:vAlign w:val="center"/>
          </w:tcPr>
          <w:p>
            <w:pPr>
              <w:pStyle w:val="TableContents"/>
              <w:spacing w:before="0" w:after="0"/>
              <w:jc w:val="right"/>
              <w:rPr>
                <w:b/>
                <w:spacing w:val="0"/>
              </w:rPr>
            </w:pPr>
            <w:r>
              <w:rPr>
                <w:b/>
                <w:spacing w:val="0"/>
              </w:rPr>
              <w:t>220</w:t>
            </w:r>
          </w:p>
        </w:tc>
        <w:tc>
          <w:tcPr>
            <w:tcW w:w="90" w:type="dxa"/>
            <w:tcBorders/>
            <w:shd w:fill="auto" w:val="clear"/>
            <w:vAlign w:val="center"/>
          </w:tcPr>
          <w:p>
            <w:pPr>
              <w:pStyle w:val="TableContents"/>
              <w:spacing w:before="0" w:after="0"/>
              <w:rPr>
                <w:spacing w:val="0"/>
              </w:rPr>
            </w:pPr>
            <w:r>
              <w:rPr>
                <w:spacing w:val="0"/>
              </w:rPr>
              <w:t> </w:t>
            </w:r>
          </w:p>
        </w:tc>
        <w:tc>
          <w:tcPr>
            <w:tcW w:w="183"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0"/>
              <w:rPr>
                <w:spacing w:val="0"/>
              </w:rPr>
            </w:pPr>
            <w:r>
              <w:rPr>
                <w:spacing w:val="0"/>
              </w:rPr>
              <w:t> </w:t>
            </w:r>
          </w:p>
        </w:tc>
        <w:tc>
          <w:tcPr>
            <w:tcW w:w="1017" w:type="dxa"/>
            <w:tcBorders/>
            <w:shd w:fill="auto" w:val="clear"/>
            <w:vAlign w:val="center"/>
          </w:tcPr>
          <w:p>
            <w:pPr>
              <w:pStyle w:val="TableContents"/>
              <w:spacing w:before="0" w:after="0"/>
              <w:jc w:val="right"/>
              <w:rPr>
                <w:b/>
                <w:spacing w:val="0"/>
              </w:rPr>
            </w:pPr>
            <w:r>
              <w:rPr>
                <w:b/>
                <w:spacing w:val="0"/>
              </w:rPr>
              <w:t>449</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spacing w:val="0"/>
              </w:rPr>
            </w:pPr>
            <w:r>
              <w:rPr>
                <w:spacing w:val="0"/>
              </w:rPr>
              <w:t> </w:t>
            </w:r>
          </w:p>
        </w:tc>
        <w:tc>
          <w:tcPr>
            <w:tcW w:w="854" w:type="dxa"/>
            <w:tcBorders/>
            <w:shd w:fill="auto" w:val="clear"/>
            <w:vAlign w:val="center"/>
          </w:tcPr>
          <w:p>
            <w:pPr>
              <w:pStyle w:val="TableContents"/>
              <w:spacing w:before="0" w:after="0"/>
              <w:jc w:val="right"/>
              <w:rPr>
                <w:b/>
                <w:spacing w:val="0"/>
              </w:rPr>
            </w:pPr>
            <w:r>
              <w:rPr>
                <w:b/>
                <w:spacing w:val="0"/>
              </w:rPr>
              <w:t>143</w:t>
            </w:r>
          </w:p>
        </w:tc>
        <w:tc>
          <w:tcPr>
            <w:tcW w:w="90" w:type="dxa"/>
            <w:tcBorders/>
            <w:shd w:fill="auto" w:val="clear"/>
            <w:vAlign w:val="center"/>
          </w:tcPr>
          <w:p>
            <w:pPr>
              <w:pStyle w:val="TableContents"/>
              <w:spacing w:before="0" w:after="0"/>
              <w:rPr>
                <w:spacing w:val="0"/>
              </w:rPr>
            </w:pPr>
            <w:r>
              <w:rPr>
                <w:spacing w:val="0"/>
              </w:rPr>
              <w:t> </w:t>
            </w:r>
          </w:p>
        </w:tc>
        <w:tc>
          <w:tcPr>
            <w:tcW w:w="183"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0"/>
              <w:rPr>
                <w:spacing w:val="0"/>
              </w:rPr>
            </w:pPr>
            <w:r>
              <w:rPr>
                <w:spacing w:val="0"/>
              </w:rPr>
              <w:t> </w:t>
            </w:r>
          </w:p>
        </w:tc>
        <w:tc>
          <w:tcPr>
            <w:tcW w:w="1017" w:type="dxa"/>
            <w:tcBorders/>
            <w:shd w:fill="auto" w:val="clear"/>
            <w:vAlign w:val="center"/>
          </w:tcPr>
          <w:p>
            <w:pPr>
              <w:pStyle w:val="TableContents"/>
              <w:spacing w:before="0" w:after="0"/>
              <w:jc w:val="right"/>
              <w:rPr>
                <w:b/>
                <w:spacing w:val="0"/>
              </w:rPr>
            </w:pPr>
            <w:r>
              <w:rPr>
                <w:b/>
                <w:spacing w:val="0"/>
              </w:rPr>
              <w:t>411</w:t>
            </w:r>
          </w:p>
        </w:tc>
        <w:tc>
          <w:tcPr>
            <w:tcW w:w="75" w:type="dxa"/>
            <w:tcBorders/>
            <w:shd w:fill="auto" w:val="clear"/>
            <w:vAlign w:val="center"/>
          </w:tcPr>
          <w:p>
            <w:pPr>
              <w:pStyle w:val="TableContents"/>
              <w:spacing w:before="0" w:after="0"/>
              <w:rPr>
                <w:spacing w:val="0"/>
              </w:rPr>
            </w:pPr>
            <w:r>
              <w:rPr>
                <w:spacing w:val="0"/>
              </w:rPr>
              <w:t> </w:t>
            </w:r>
          </w:p>
        </w:tc>
      </w:tr>
      <w:tr>
        <w:trPr/>
        <w:tc>
          <w:tcPr>
            <w:tcW w:w="222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0"/>
              <w:rPr>
                <w:spacing w:val="0"/>
              </w:rPr>
            </w:pPr>
            <w:r>
              <w:rPr>
                <w:spacing w:val="0"/>
              </w:rPr>
              <w:t> </w:t>
            </w:r>
          </w:p>
        </w:tc>
        <w:tc>
          <w:tcPr>
            <w:tcW w:w="854" w:type="dxa"/>
            <w:tcBorders/>
            <w:shd w:fill="CCEEFF" w:val="clear"/>
            <w:vAlign w:val="center"/>
          </w:tcPr>
          <w:p>
            <w:pPr>
              <w:pStyle w:val="TableContents"/>
              <w:spacing w:before="0" w:after="0"/>
              <w:jc w:val="right"/>
              <w:rPr>
                <w:b/>
                <w:spacing w:val="0"/>
              </w:rPr>
            </w:pPr>
            <w:r>
              <w:rPr>
                <w:b/>
                <w:spacing w:val="0"/>
              </w:rPr>
              <w:t>5,681</w:t>
            </w:r>
          </w:p>
        </w:tc>
        <w:tc>
          <w:tcPr>
            <w:tcW w:w="90" w:type="dxa"/>
            <w:tcBorders/>
            <w:shd w:fill="CCEEFF" w:val="clear"/>
            <w:vAlign w:val="center"/>
          </w:tcPr>
          <w:p>
            <w:pPr>
              <w:pStyle w:val="TableContents"/>
              <w:spacing w:before="0" w:after="0"/>
              <w:rPr>
                <w:spacing w:val="0"/>
              </w:rPr>
            </w:pPr>
            <w:r>
              <w:rPr>
                <w:spacing w:val="0"/>
              </w:rPr>
              <w:t> </w:t>
            </w:r>
          </w:p>
        </w:tc>
        <w:tc>
          <w:tcPr>
            <w:tcW w:w="183"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0"/>
              <w:rPr>
                <w:spacing w:val="0"/>
              </w:rPr>
            </w:pPr>
            <w:r>
              <w:rPr>
                <w:spacing w:val="0"/>
              </w:rPr>
              <w:t> </w:t>
            </w:r>
          </w:p>
        </w:tc>
        <w:tc>
          <w:tcPr>
            <w:tcW w:w="1017" w:type="dxa"/>
            <w:tcBorders/>
            <w:shd w:fill="CCEEFF" w:val="clear"/>
            <w:vAlign w:val="center"/>
          </w:tcPr>
          <w:p>
            <w:pPr>
              <w:pStyle w:val="TableContents"/>
              <w:spacing w:before="0" w:after="0"/>
              <w:jc w:val="right"/>
              <w:rPr>
                <w:b/>
                <w:spacing w:val="0"/>
              </w:rPr>
            </w:pPr>
            <w:r>
              <w:rPr>
                <w:b/>
                <w:spacing w:val="0"/>
              </w:rPr>
              <w:t>449</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0"/>
              <w:rPr>
                <w:spacing w:val="0"/>
              </w:rPr>
            </w:pPr>
            <w:r>
              <w:rPr>
                <w:spacing w:val="0"/>
              </w:rPr>
              <w:t> </w:t>
            </w:r>
          </w:p>
        </w:tc>
        <w:tc>
          <w:tcPr>
            <w:tcW w:w="854" w:type="dxa"/>
            <w:tcBorders/>
            <w:shd w:fill="CCEEFF" w:val="clear"/>
            <w:vAlign w:val="center"/>
          </w:tcPr>
          <w:p>
            <w:pPr>
              <w:pStyle w:val="TableContents"/>
              <w:spacing w:before="0" w:after="0"/>
              <w:jc w:val="right"/>
              <w:rPr>
                <w:b/>
                <w:spacing w:val="0"/>
              </w:rPr>
            </w:pPr>
            <w:r>
              <w:rPr>
                <w:b/>
                <w:spacing w:val="0"/>
              </w:rPr>
              <w:t>5,512</w:t>
            </w:r>
          </w:p>
        </w:tc>
        <w:tc>
          <w:tcPr>
            <w:tcW w:w="90" w:type="dxa"/>
            <w:tcBorders/>
            <w:shd w:fill="CCEEFF" w:val="clear"/>
            <w:vAlign w:val="center"/>
          </w:tcPr>
          <w:p>
            <w:pPr>
              <w:pStyle w:val="TableContents"/>
              <w:spacing w:before="0" w:after="0"/>
              <w:rPr>
                <w:spacing w:val="0"/>
              </w:rPr>
            </w:pPr>
            <w:r>
              <w:rPr>
                <w:spacing w:val="0"/>
              </w:rPr>
              <w:t> </w:t>
            </w:r>
          </w:p>
        </w:tc>
        <w:tc>
          <w:tcPr>
            <w:tcW w:w="183"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0"/>
              <w:rPr>
                <w:spacing w:val="0"/>
              </w:rPr>
            </w:pPr>
            <w:r>
              <w:rPr>
                <w:spacing w:val="0"/>
              </w:rPr>
              <w:t> </w:t>
            </w:r>
          </w:p>
        </w:tc>
        <w:tc>
          <w:tcPr>
            <w:tcW w:w="1017" w:type="dxa"/>
            <w:tcBorders/>
            <w:shd w:fill="CCEEFF" w:val="clear"/>
            <w:vAlign w:val="center"/>
          </w:tcPr>
          <w:p>
            <w:pPr>
              <w:pStyle w:val="TableContents"/>
              <w:spacing w:before="0" w:after="0"/>
              <w:jc w:val="right"/>
              <w:rPr>
                <w:b/>
                <w:spacing w:val="0"/>
              </w:rPr>
            </w:pPr>
            <w:r>
              <w:rPr>
                <w:b/>
                <w:spacing w:val="0"/>
              </w:rPr>
              <w:t>411</w:t>
            </w:r>
          </w:p>
        </w:tc>
        <w:tc>
          <w:tcPr>
            <w:tcW w:w="75" w:type="dxa"/>
            <w:tcBorders/>
            <w:shd w:fill="CCEEFF" w:val="clear"/>
            <w:vAlign w:val="center"/>
          </w:tcPr>
          <w:p>
            <w:pPr>
              <w:pStyle w:val="TableContents"/>
              <w:spacing w:before="0" w:after="0"/>
              <w:rPr>
                <w:spacing w:val="0"/>
              </w:rPr>
            </w:pPr>
            <w:r>
              <w:rPr>
                <w:spacing w:val="0"/>
              </w:rPr>
              <w:t>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maximum default risk for financial assets is their carrying amount.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24. Cash and Cash Equivalents </w:t>
      </w:r>
    </w:p>
    <w:p>
      <w:pPr>
        <w:pStyle w:val="TextBody"/>
        <w:spacing w:before="120" w:after="0"/>
        <w:jc w:val="both"/>
        <w:rPr>
          <w:rFonts w:ascii="Times New Roman" w:hAnsi="Times New Roman"/>
          <w:sz w:val="20"/>
          <w:highlight w:val="white"/>
        </w:rPr>
      </w:pPr>
      <w:r>
        <w:rPr>
          <w:rFonts w:ascii="Times New Roman" w:hAnsi="Times New Roman"/>
          <w:sz w:val="20"/>
          <w:highlight w:val="white"/>
        </w:rPr>
        <w:t>As of the reporting date, the balance of cash funds amounted to €10,238 thousand (2021: €48,143 thousand, 2020: €43,198)</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and comprises primarily balances held with banks. </w:t>
      </w:r>
    </w:p>
    <w:p>
      <w:pPr>
        <w:pStyle w:val="TextBody"/>
        <w:spacing w:before="360" w:after="0"/>
        <w:jc w:val="both"/>
        <w:rPr>
          <w:rFonts w:ascii="Times New Roman" w:hAnsi="Times New Roman"/>
          <w:b/>
          <w:sz w:val="20"/>
          <w:highlight w:val="white"/>
        </w:rPr>
      </w:pPr>
      <w:r>
        <w:rPr>
          <w:rFonts w:ascii="Times New Roman" w:hAnsi="Times New Roman"/>
          <w:b/>
          <w:sz w:val="20"/>
          <w:highlight w:val="white"/>
        </w:rPr>
        <w:t xml:space="preserve">25. Equity </w:t>
      </w:r>
    </w:p>
    <w:p>
      <w:pPr>
        <w:pStyle w:val="TextBody"/>
        <w:spacing w:before="0" w:after="0"/>
        <w:jc w:val="both"/>
        <w:rPr>
          <w:highlight w:val="white"/>
        </w:rPr>
      </w:pPr>
      <w:r>
        <w:rPr>
          <w:highlight w:val="white"/>
        </w:rPr>
        <w:t> </w:t>
      </w:r>
    </w:p>
    <w:tbl>
      <w:tblPr>
        <w:tblW w:w="2200" w:type="dxa"/>
        <w:jc w:val="left"/>
        <w:tblInd w:w="0" w:type="dxa"/>
        <w:tblCellMar>
          <w:top w:w="0" w:type="dxa"/>
          <w:left w:w="0" w:type="dxa"/>
          <w:bottom w:w="0" w:type="dxa"/>
          <w:right w:w="0" w:type="dxa"/>
        </w:tblCellMar>
      </w:tblPr>
      <w:tblGrid>
        <w:gridCol w:w="515"/>
        <w:gridCol w:w="1685"/>
      </w:tblGrid>
      <w:tr>
        <w:trPr/>
        <w:tc>
          <w:tcPr>
            <w:tcW w:w="515" w:type="dxa"/>
            <w:tcBorders/>
            <w:shd w:fill="auto" w:val="clear"/>
            <w:vAlign w:val="center"/>
          </w:tcPr>
          <w:p>
            <w:pPr>
              <w:pStyle w:val="TableContents"/>
              <w:spacing w:before="0" w:after="0"/>
              <w:jc w:val="both"/>
              <w:rPr>
                <w:b/>
                <w:spacing w:val="0"/>
              </w:rPr>
            </w:pPr>
            <w:r>
              <w:rPr>
                <w:b/>
                <w:spacing w:val="0"/>
              </w:rPr>
              <w:t>25.1.</w:t>
            </w:r>
          </w:p>
        </w:tc>
        <w:tc>
          <w:tcPr>
            <w:tcW w:w="1685"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Subscribed Capital </w:t>
            </w:r>
          </w:p>
        </w:tc>
      </w:tr>
    </w:tbl>
    <w:p>
      <w:pPr>
        <w:pStyle w:val="TextBody"/>
        <w:spacing w:before="0" w:after="0"/>
        <w:jc w:val="both"/>
        <w:rPr>
          <w:highlight w:val="white"/>
        </w:rPr>
      </w:pPr>
      <w:r>
        <w:rPr>
          <w:highlight w:val="white"/>
        </w:rPr>
        <w:t> </w:t>
      </w:r>
    </w:p>
    <w:tbl>
      <w:tblPr>
        <w:tblW w:w="2035" w:type="dxa"/>
        <w:jc w:val="left"/>
        <w:tblInd w:w="0" w:type="dxa"/>
        <w:tblCellMar>
          <w:top w:w="0" w:type="dxa"/>
          <w:left w:w="0" w:type="dxa"/>
          <w:bottom w:w="0" w:type="dxa"/>
          <w:right w:w="0" w:type="dxa"/>
        </w:tblCellMar>
      </w:tblPr>
      <w:tblGrid>
        <w:gridCol w:w="75"/>
        <w:gridCol w:w="215"/>
        <w:gridCol w:w="1745"/>
      </w:tblGrid>
      <w:tr>
        <w:trPr/>
        <w:tc>
          <w:tcPr>
            <w:tcW w:w="75" w:type="dxa"/>
            <w:tcBorders/>
            <w:shd w:fill="auto" w:val="clear"/>
            <w:vAlign w:val="center"/>
          </w:tcPr>
          <w:p>
            <w:pPr>
              <w:pStyle w:val="TableContents"/>
              <w:spacing w:before="0" w:after="283"/>
              <w:jc w:val="both"/>
              <w:rPr/>
            </w:pPr>
            <w:r>
              <w:rPr/>
              <w:t> </w:t>
            </w:r>
          </w:p>
        </w:tc>
        <w:tc>
          <w:tcPr>
            <w:tcW w:w="215" w:type="dxa"/>
            <w:tcBorders/>
            <w:shd w:fill="auto" w:val="clear"/>
            <w:vAlign w:val="center"/>
          </w:tcPr>
          <w:p>
            <w:pPr>
              <w:pStyle w:val="TableContents"/>
              <w:spacing w:before="0" w:after="0"/>
              <w:jc w:val="both"/>
              <w:rPr>
                <w:b/>
                <w:spacing w:val="0"/>
              </w:rPr>
            </w:pPr>
            <w:r>
              <w:rPr>
                <w:b/>
                <w:spacing w:val="0"/>
              </w:rPr>
              <w:t>a)</w:t>
            </w:r>
          </w:p>
        </w:tc>
        <w:tc>
          <w:tcPr>
            <w:tcW w:w="1745"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Issued share capital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As of January 1, 2022, the Company’s share capital amounted to €5,242,948, divided into €5,242,948 bearer shares with a nominal value of €1.00 per share.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During the year ended December 31, 2022, share capital was increased to €5,668,391 through the issuance of a total of 425,443 bearer shares with a nominal value of €1.00 per share. This was due to the following transactions: </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L3Harris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In July 2022, Harris Communications GmbH, München, an indirect wholly owned subsidiary of L3Harris Technologies, Inc., Delaware, USA, invested approximately €11.2 million by means of a capital increase from authorized capital in exchange for 409,294 new ordinary shares, which corresponded to 7.2% of the share capital of Mynaric AG.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F-3</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4</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both"/>
        <w:rPr>
          <w:rFonts w:ascii="Times New Roman" w:hAnsi="Times New Roman"/>
          <w:sz w:val="20"/>
          <w:highlight w:val="white"/>
        </w:rPr>
      </w:pPr>
      <w:r>
        <w:rPr>
          <w:rFonts w:ascii="Times New Roman" w:hAnsi="Times New Roman"/>
          <w:sz w:val="20"/>
          <w:highlight w:val="white"/>
        </w:rPr>
        <w:t xml:space="preserve">Due to this transaction the share capital increased by €409,294 and the capital reserve by €10,792,060. </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Restricted Stock Unit Plan related capital increase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In August 2022, the Management Board and the Supervisory Board have adopted a capital increase resolution, in which they resolved to increase the share capital of Mynaric AG of €5,652,242 by €16,149 to €5,668,391 through the issuance of 16,149 new bearer no par value shares under exclusion of the subscription rights of the shareholders out of the Authorized Capital 2021/II. The 16,149 new shares relate to the settlement of 16,149 vested restricted stock units (“RSU’s”) under the RSUP 2021 program of the Group. </w:t>
      </w:r>
    </w:p>
    <w:p>
      <w:pPr>
        <w:pStyle w:val="TextBody"/>
        <w:spacing w:before="24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 xml:space="preserve">For descriptions of the Authorized Capital 2021/II refer to Note 25.1.c) and the RSUP 2021 program refer to Note 9.2. </w:t>
      </w:r>
    </w:p>
    <w:p>
      <w:pPr>
        <w:pStyle w:val="TextBody"/>
        <w:spacing w:before="0" w:after="0"/>
        <w:jc w:val="both"/>
        <w:rPr>
          <w:highlight w:val="white"/>
        </w:rPr>
      </w:pPr>
      <w:r>
        <w:rPr>
          <w:highlight w:val="white"/>
        </w:rPr>
        <w:t> </w:t>
      </w:r>
    </w:p>
    <w:tbl>
      <w:tblPr>
        <w:tblW w:w="2020" w:type="dxa"/>
        <w:jc w:val="left"/>
        <w:tblInd w:w="0" w:type="dxa"/>
        <w:tblCellMar>
          <w:top w:w="0" w:type="dxa"/>
          <w:left w:w="0" w:type="dxa"/>
          <w:bottom w:w="0" w:type="dxa"/>
          <w:right w:w="0" w:type="dxa"/>
        </w:tblCellMar>
      </w:tblPr>
      <w:tblGrid>
        <w:gridCol w:w="75"/>
        <w:gridCol w:w="230"/>
        <w:gridCol w:w="1715"/>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0"/>
              <w:jc w:val="both"/>
              <w:rPr>
                <w:b/>
                <w:spacing w:val="0"/>
              </w:rPr>
            </w:pPr>
            <w:r>
              <w:rPr>
                <w:b/>
                <w:spacing w:val="0"/>
              </w:rPr>
              <w:t>b)</w:t>
            </w:r>
          </w:p>
        </w:tc>
        <w:tc>
          <w:tcPr>
            <w:tcW w:w="1715"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Conditional capital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As of December 31, 2022, there is conditional capital in the amount of €2,619,974 (2021: €2,046,474, 2020: €1,485,652).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On June 12, 2020, the Annual General Meeting resolved to create 2020/I Conditional Capital and an additional 2020/II Conditional Capital, and to reduce the 2017/I Conditional Capital. </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2017/I Conditional Capital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After reduction, the 2017/I Conditional Capital dated September 8, 2017, amounts to €1,500.00 and is now used to grant stock option rights to employees of the Company or its affiliates. </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2019 Conditional Capital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Based on an authorization of the Annual General Meeting on July 2, 2019, 2019 Conditional Capital was created in the amount of €270,000.00. The Management Board was authorized, subject to the consent of the Supervisory Board, to grant stock option rights for shares to members of the Management Board and to employees of the Company or its affiliates on one or more occasions until December 31, 2022. </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2020/I Conditional Capital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Based on an authorization of the Annual General Meeting on June 12, 2020, 2020/I Conditional Capital was created in the amount of €34,473.00. The Management Board is authorized, subject to the consent of the Supervisory Board, to grant stock option rights for shares to members of the Management Board and to employees of the Company or its affiliates on one or more occasions until December 31, 2025. </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2020/II Conditional Capital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Based on an authorization of the Annual General Meeting on June 12, 2020, 2020/II Conditional Capital was created, which led to a contingent increase in the Company’s share capital by up to €1,277,893.00 through the issue of up to 1,277,893 new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no-par</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value bearer shares.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Management Board is authorized, subject to the consent of the Supervisory Board, to issue on one or more occasions until July 2, 2025 convertible bonds and/or bonds with warrants issued to the bearer in a total amount of up to €150 million with a term of not more than 20 years, and to grant to the bondholders conversion and/or option rights to new shares of the Company with a pro rata amount in the share capital of up to a total of €1,277,893.00 pursuant to the terms and conditions of the convertible bonds and/or bonds with warrants.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Due to the conversion of convertible bonds in fiscal year 2021, Conditional Capital 2020/II amounts to €1,179,679.00 as of December 31, 2021.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On May 14, 2021, the Annual General Meeting resolved to create 2021/I Conditional Capital and an additional 2021/II Conditional Capital.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F-3</w:t>
      </w:r>
    </w:p>
    <w:p>
      <w:pPr>
        <w:pStyle w:val="TextBody"/>
        <w:spacing w:before="0" w:after="0"/>
        <w:jc w:val="center"/>
        <w:rPr>
          <w:rFonts w:ascii="Times New Roman" w:hAnsi="Times New Roman"/>
          <w:sz w:val="20"/>
          <w:highlight w:val="white"/>
        </w:rPr>
      </w:pPr>
      <w:r>
        <w:rPr>
          <w:rFonts w:ascii="Times New Roman" w:hAnsi="Times New Roman"/>
          <w:sz w:val="20"/>
          <w:highlight w:val="white"/>
        </w:rPr>
        <w:t>5</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2021/I Conditional Capital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Based on an authorization of the Annual General Meeting on May 14, 2021, 2021/I Conditional Capital was created, which led to a contingent increase in the Company’s share capital by up to €457,501.00 through the issue of up to 457,501 new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no-par</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value bearer shares.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Management Board is authorized, subject to the consent of the Supervisory Board, to issue on one or more occasions until May 13, 2026 convertible bonds and/or bonds with warrants issued to the bearer with a term of not more than 20 years, and to grant to the bondholders conversion and/or option rights to new shares of the Company with a pro rata amount in the share capital of up to a total of €457,501.00 pursuant to the terms and conditions of the convertible bonds and/or bonds with warrants. </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2021/II Conditional Capital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Based on an authorization of the Annual General Meeting on May 14, 2021, 2021/II Conditional Capital was created which led to a contingent increase in the Company’s share capital by up to €103,321.00 through the issue of up to 103,321 new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no-par</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value bearer shares.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Supervisory Board is authorized, to grant stock option rights for shares to members of the Management Board of the Company on one or more occasions until May 13, 2026.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On July 14, 2022, the Annual General Meeting resolved to create 2022/I Conditional Capital and an additional 2022/II Conditional Capital and to rescind the 2017 Conditional Capital and the 2021/I Conditional Capital. </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2022/I Conditional Capital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Based on an authorization of the Annual General Meeting on July 14, 2022, 2022/I Conditional Capital was created, which led to a conditional increase in the Company’s share capital by up to €917,501 through the issue of up to 917,501 new shares.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Management Board is authorized, subject to the consent of the Supervisory Board, to issue on one or more occasions until July 13, 2027 convertible bonds and/or bonds with warrants issued to the bearer with a term of not more than 20 years, and to grant to the bondholders conversion and/or option rights to new shares of the Company with a pro rata amount in the share capital of up to a total of €917,501 pursuant to the terms and conditions of the convertible bonds and/or bonds with warrants. </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2022/II Conditional Capital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Based on an authorization of the Annual General Meeting on July 14, 2022, 2022/II Conditional Capital was created which led to a contingent increase in the Company’s share capital by up to €115,000 through the issue of up to 115,000 new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no-par-value</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bearer or registered shares.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Supervisory Board is authorized, to grant stock option rights for shares to members of the Management Board of the Company on one or more occasions until July 14, 2027. </w:t>
      </w:r>
    </w:p>
    <w:p>
      <w:pPr>
        <w:pStyle w:val="TextBody"/>
        <w:spacing w:before="0" w:after="0"/>
        <w:jc w:val="both"/>
        <w:rPr>
          <w:highlight w:val="white"/>
        </w:rPr>
      </w:pPr>
      <w:r>
        <w:rPr>
          <w:highlight w:val="white"/>
        </w:rPr>
        <w:t> </w:t>
      </w:r>
    </w:p>
    <w:tbl>
      <w:tblPr>
        <w:tblW w:w="1975" w:type="dxa"/>
        <w:jc w:val="left"/>
        <w:tblInd w:w="0" w:type="dxa"/>
        <w:tblCellMar>
          <w:top w:w="0" w:type="dxa"/>
          <w:left w:w="0" w:type="dxa"/>
          <w:bottom w:w="0" w:type="dxa"/>
          <w:right w:w="0" w:type="dxa"/>
        </w:tblCellMar>
      </w:tblPr>
      <w:tblGrid>
        <w:gridCol w:w="75"/>
        <w:gridCol w:w="200"/>
        <w:gridCol w:w="1700"/>
      </w:tblGrid>
      <w:tr>
        <w:trPr/>
        <w:tc>
          <w:tcPr>
            <w:tcW w:w="75" w:type="dxa"/>
            <w:tcBorders/>
            <w:shd w:fill="auto" w:val="clear"/>
            <w:vAlign w:val="center"/>
          </w:tcPr>
          <w:p>
            <w:pPr>
              <w:pStyle w:val="TableContents"/>
              <w:spacing w:before="0" w:after="283"/>
              <w:jc w:val="both"/>
              <w:rPr/>
            </w:pPr>
            <w:r>
              <w:rPr/>
              <w:t> </w:t>
            </w:r>
          </w:p>
        </w:tc>
        <w:tc>
          <w:tcPr>
            <w:tcW w:w="200" w:type="dxa"/>
            <w:tcBorders/>
            <w:shd w:fill="auto" w:val="clear"/>
            <w:vAlign w:val="center"/>
          </w:tcPr>
          <w:p>
            <w:pPr>
              <w:pStyle w:val="TableContents"/>
              <w:spacing w:before="0" w:after="0"/>
              <w:jc w:val="both"/>
              <w:rPr>
                <w:b/>
                <w:spacing w:val="0"/>
              </w:rPr>
            </w:pPr>
            <w:r>
              <w:rPr>
                <w:b/>
                <w:spacing w:val="0"/>
              </w:rPr>
              <w:t>c)</w:t>
            </w:r>
          </w:p>
        </w:tc>
        <w:tc>
          <w:tcPr>
            <w:tcW w:w="1700"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Authorized Capital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As of December 31, 2022, there is authorized capital in the amount of €2,605,325 (2021: €880,325, 2020: €2,659,089).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On May 14, 2021, the Annual General Meeting resolved to create 2021/I Authorized Capital and an additional 2021/II Authorized Capital and to rescind the Authorized Capital 2020. </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2021/I Authorized Capital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Management Board is authorized, subject to the consent of the Supervisory Board, to increase the Company’s share capital on one or more occasions until May 13, 2026, by up to a total amount of €1,841,827.00 through the issue of up to 1,841,827 new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no-par-value</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bearer shares against cash contributions and/or contributions in kind.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As a result of the capital increases carried out in fiscal year 2021, Authorized Capital 2021/I amounts to €691,827.00 as of December 31, 2021.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F-3</w:t>
      </w:r>
    </w:p>
    <w:p>
      <w:pPr>
        <w:pStyle w:val="TextBody"/>
        <w:spacing w:before="0" w:after="0"/>
        <w:jc w:val="center"/>
        <w:rPr>
          <w:rFonts w:ascii="Times New Roman" w:hAnsi="Times New Roman"/>
          <w:sz w:val="20"/>
          <w:highlight w:val="white"/>
        </w:rPr>
      </w:pPr>
      <w:r>
        <w:rPr>
          <w:rFonts w:ascii="Times New Roman" w:hAnsi="Times New Roman"/>
          <w:sz w:val="20"/>
          <w:highlight w:val="white"/>
        </w:rPr>
        <w:t>6</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2021/II Authorized Capital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Management Board is authorized, subject to the consent of the Supervisory Board, to increase the Company’s share capital on one or more occasions until May 13, 2026, by up to a total amount of €204,647.00 through the issue of up to 204,647 new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no-par-value</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bearer shares against cash contributions and/or contributions in kind.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Shareholders’ subscription rights are excluded. Authorized Capital 2021/II serves to deliver shares of the Company to service restricted stock units (RSUs) granted under the Company’s Restricted Stock Unit Program (RSUP) to selected employees of the Company and its affiliates in accordance with the RSUP in return for the contribution of the respective payment entitlements arising under the RSUs.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As a result of the capital increase carried out in fiscal year 2022, Authorized Capital 2021/II amounts to €188,498.00 as of December 31, 2022.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On July 14, 2022, the Annual General Meeting resolved to create 2022/I Authorized Capital and an additional 2022/II Authorized Capital and to rescind the Authorized Capital 2021/I. </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2022/I Authorized Capital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Management Board is authorized, subject to the consent of the Supervisory Board, to increase the Company’s share capital on one or more occasions until July 13, 2027, by up to a total amount of €2,154,680 through the issue of up to 2,154,680 new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no-par-value</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bearer or registered shares against cash contributions and/or contributions in kind. </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2022/II Authorized Capital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Management Board is authorized, subject to the consent of the Supervisory Board, to increase the Company’s share capital on one or more occasions until July 13, 2027, by up to a total amount of €262,147 through the issue of up to 262.147 new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no-par-value</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bearer or registered shares against cash contributions and/or contributions in kind.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Authorized Capital 2022/II serves to deliver shares of the Company to service restricted stock units (RSUs) granted under the Company’s Restricted Stock Unit Program (RSUP) to selected employees of the Company and its affiliates in accordance with the RSUP in return for the contribution of the respective payment entitlements arising under the RSUs. Shareholder subscription rights are excluded. </w:t>
      </w:r>
    </w:p>
    <w:p>
      <w:pPr>
        <w:pStyle w:val="TextBody"/>
        <w:spacing w:before="0" w:after="0"/>
        <w:jc w:val="both"/>
        <w:rPr>
          <w:highlight w:val="white"/>
        </w:rPr>
      </w:pPr>
      <w:r>
        <w:rPr>
          <w:highlight w:val="white"/>
        </w:rPr>
        <w:t> </w:t>
      </w:r>
    </w:p>
    <w:tbl>
      <w:tblPr>
        <w:tblW w:w="1945" w:type="dxa"/>
        <w:jc w:val="left"/>
        <w:tblInd w:w="0" w:type="dxa"/>
        <w:tblCellMar>
          <w:top w:w="0" w:type="dxa"/>
          <w:left w:w="0" w:type="dxa"/>
          <w:bottom w:w="0" w:type="dxa"/>
          <w:right w:w="0" w:type="dxa"/>
        </w:tblCellMar>
      </w:tblPr>
      <w:tblGrid>
        <w:gridCol w:w="515"/>
        <w:gridCol w:w="1430"/>
      </w:tblGrid>
      <w:tr>
        <w:trPr/>
        <w:tc>
          <w:tcPr>
            <w:tcW w:w="515" w:type="dxa"/>
            <w:tcBorders/>
            <w:shd w:fill="auto" w:val="clear"/>
            <w:vAlign w:val="center"/>
          </w:tcPr>
          <w:p>
            <w:pPr>
              <w:pStyle w:val="TableContents"/>
              <w:spacing w:before="0" w:after="0"/>
              <w:jc w:val="both"/>
              <w:rPr>
                <w:b/>
                <w:spacing w:val="0"/>
              </w:rPr>
            </w:pPr>
            <w:r>
              <w:rPr>
                <w:b/>
                <w:spacing w:val="0"/>
              </w:rPr>
              <w:t>25.2.</w:t>
            </w:r>
          </w:p>
        </w:tc>
        <w:tc>
          <w:tcPr>
            <w:tcW w:w="1430"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Capital Reserve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capital reserve comprises the premiums received in connection with the issuance of new shares, equity-settled share-based payments, and the incremental costs directly attributable to the specific capital increases. </w:t>
      </w:r>
    </w:p>
    <w:p>
      <w:pPr>
        <w:pStyle w:val="TextBody"/>
        <w:spacing w:before="0" w:after="0"/>
        <w:jc w:val="both"/>
        <w:rPr>
          <w:highlight w:val="white"/>
        </w:rPr>
      </w:pPr>
      <w:r>
        <w:rPr>
          <w:highlight w:val="white"/>
        </w:rPr>
        <w:t> </w:t>
      </w:r>
    </w:p>
    <w:tbl>
      <w:tblPr>
        <w:tblW w:w="2860" w:type="dxa"/>
        <w:jc w:val="left"/>
        <w:tblInd w:w="0" w:type="dxa"/>
        <w:tblCellMar>
          <w:top w:w="0" w:type="dxa"/>
          <w:left w:w="0" w:type="dxa"/>
          <w:bottom w:w="0" w:type="dxa"/>
          <w:right w:w="0" w:type="dxa"/>
        </w:tblCellMar>
      </w:tblPr>
      <w:tblGrid>
        <w:gridCol w:w="515"/>
        <w:gridCol w:w="2345"/>
      </w:tblGrid>
      <w:tr>
        <w:trPr/>
        <w:tc>
          <w:tcPr>
            <w:tcW w:w="515" w:type="dxa"/>
            <w:tcBorders/>
            <w:shd w:fill="auto" w:val="clear"/>
            <w:vAlign w:val="center"/>
          </w:tcPr>
          <w:p>
            <w:pPr>
              <w:pStyle w:val="TableContents"/>
              <w:spacing w:before="0" w:after="0"/>
              <w:jc w:val="both"/>
              <w:rPr>
                <w:b/>
                <w:spacing w:val="0"/>
              </w:rPr>
            </w:pPr>
            <w:r>
              <w:rPr>
                <w:b/>
                <w:spacing w:val="0"/>
              </w:rPr>
              <w:t>25.3.</w:t>
            </w:r>
          </w:p>
        </w:tc>
        <w:tc>
          <w:tcPr>
            <w:tcW w:w="2345"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Exchange Rate Differences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The reserve for exchange rate differences comprises all currency translation differences arising due to the translation of the financial statements of foreign operations.</w:t>
      </w:r>
    </w:p>
    <w:p>
      <w:pPr>
        <w:pStyle w:val="TextBody"/>
        <w:spacing w:before="360" w:after="0"/>
        <w:jc w:val="both"/>
        <w:rPr>
          <w:rFonts w:ascii="Times New Roman" w:hAnsi="Times New Roman"/>
          <w:b/>
          <w:sz w:val="20"/>
          <w:highlight w:val="white"/>
        </w:rPr>
      </w:pPr>
      <w:r>
        <w:rPr>
          <w:rFonts w:ascii="Times New Roman" w:hAnsi="Times New Roman"/>
          <w:b/>
          <w:sz w:val="20"/>
          <w:highlight w:val="white"/>
        </w:rPr>
        <w:t xml:space="preserve">26. Provisions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Current and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provisions changed as follows: </w:t>
      </w:r>
    </w:p>
    <w:p>
      <w:pPr>
        <w:pStyle w:val="TextBody"/>
        <w:spacing w:before="0" w:after="0"/>
        <w:jc w:val="left"/>
        <w:rPr>
          <w:highlight w:val="white"/>
        </w:rPr>
      </w:pPr>
      <w:r>
        <w:rPr>
          <w:highlight w:val="white"/>
        </w:rPr>
        <w:t> </w:t>
      </w:r>
    </w:p>
    <w:tbl>
      <w:tblPr>
        <w:tblW w:w="8104" w:type="dxa"/>
        <w:jc w:val="left"/>
        <w:tblInd w:w="0" w:type="dxa"/>
        <w:tblCellMar>
          <w:top w:w="0" w:type="dxa"/>
          <w:left w:w="0" w:type="dxa"/>
          <w:bottom w:w="0" w:type="dxa"/>
          <w:right w:w="0" w:type="dxa"/>
        </w:tblCellMar>
      </w:tblPr>
      <w:tblGrid>
        <w:gridCol w:w="2315"/>
        <w:gridCol w:w="120"/>
        <w:gridCol w:w="61"/>
        <w:gridCol w:w="573"/>
        <w:gridCol w:w="60"/>
        <w:gridCol w:w="120"/>
        <w:gridCol w:w="303"/>
        <w:gridCol w:w="707"/>
        <w:gridCol w:w="60"/>
        <w:gridCol w:w="120"/>
        <w:gridCol w:w="127"/>
        <w:gridCol w:w="808"/>
        <w:gridCol w:w="60"/>
        <w:gridCol w:w="120"/>
        <w:gridCol w:w="178"/>
        <w:gridCol w:w="772"/>
        <w:gridCol w:w="60"/>
        <w:gridCol w:w="120"/>
        <w:gridCol w:w="73"/>
        <w:gridCol w:w="262"/>
        <w:gridCol w:w="60"/>
        <w:gridCol w:w="120"/>
        <w:gridCol w:w="113"/>
        <w:gridCol w:w="717"/>
        <w:gridCol w:w="75"/>
      </w:tblGrid>
      <w:tr>
        <w:trPr/>
        <w:tc>
          <w:tcPr>
            <w:tcW w:w="23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315"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634" w:type="dxa"/>
            <w:gridSpan w:val="2"/>
            <w:tcBorders/>
            <w:shd w:fill="auto" w:val="clear"/>
            <w:vAlign w:val="center"/>
          </w:tcPr>
          <w:p>
            <w:pPr>
              <w:pStyle w:val="TableContents"/>
              <w:spacing w:before="0" w:after="283"/>
              <w:jc w:val="center"/>
              <w:rPr/>
            </w:pPr>
            <w:r>
              <w:rPr/>
              <w:t>Jan. 1,</w:t>
              <w:b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10" w:type="dxa"/>
            <w:gridSpan w:val="2"/>
            <w:tcBorders/>
            <w:shd w:fill="auto" w:val="clear"/>
            <w:vAlign w:val="center"/>
          </w:tcPr>
          <w:p>
            <w:pPr>
              <w:pStyle w:val="TableContents"/>
              <w:spacing w:before="0" w:after="283"/>
              <w:jc w:val="center"/>
              <w:rPr/>
            </w:pPr>
            <w:r>
              <w:rPr/>
              <w:t>Utilization</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5" w:type="dxa"/>
            <w:gridSpan w:val="2"/>
            <w:tcBorders/>
            <w:shd w:fill="auto" w:val="clear"/>
            <w:vAlign w:val="center"/>
          </w:tcPr>
          <w:p>
            <w:pPr>
              <w:pStyle w:val="TableContents"/>
              <w:spacing w:before="0" w:after="283"/>
              <w:jc w:val="center"/>
              <w:rPr/>
            </w:pPr>
            <w:r>
              <w:rPr/>
              <w:t>Reversals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50" w:type="dxa"/>
            <w:gridSpan w:val="2"/>
            <w:tcBorders/>
            <w:shd w:fill="auto" w:val="clear"/>
            <w:vAlign w:val="center"/>
          </w:tcPr>
          <w:p>
            <w:pPr>
              <w:pStyle w:val="TableContents"/>
              <w:spacing w:before="0" w:after="283"/>
              <w:jc w:val="center"/>
              <w:rPr/>
            </w:pPr>
            <w:r>
              <w:rPr/>
              <w:t>Additions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35" w:type="dxa"/>
            <w:gridSpan w:val="2"/>
            <w:tcBorders/>
            <w:shd w:fill="auto" w:val="clear"/>
            <w:vAlign w:val="center"/>
          </w:tcPr>
          <w:p>
            <w:pPr>
              <w:pStyle w:val="TableContents"/>
              <w:spacing w:before="0" w:after="283"/>
              <w:jc w:val="center"/>
              <w:rPr/>
            </w:pPr>
            <w:r>
              <w:rPr/>
              <w:t>FX</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30" w:type="dxa"/>
            <w:gridSpan w:val="2"/>
            <w:tcBorders/>
            <w:shd w:fill="auto" w:val="clear"/>
            <w:vAlign w:val="center"/>
          </w:tcPr>
          <w:p>
            <w:pPr>
              <w:pStyle w:val="TableContents"/>
              <w:spacing w:before="0" w:after="283"/>
              <w:jc w:val="center"/>
              <w:rPr/>
            </w:pPr>
            <w:r>
              <w:rPr/>
              <w:t>Dec. 31,</w:t>
              <w:br/>
              <w:t>2022</w:t>
            </w:r>
          </w:p>
        </w:tc>
        <w:tc>
          <w:tcPr>
            <w:tcW w:w="75" w:type="dxa"/>
            <w:tcBorders/>
            <w:shd w:fill="auto" w:val="clear"/>
            <w:vAlign w:val="center"/>
          </w:tcPr>
          <w:p>
            <w:pPr>
              <w:pStyle w:val="TableContents"/>
              <w:spacing w:before="0" w:after="283"/>
              <w:rPr/>
            </w:pPr>
            <w:r>
              <w:rPr/>
              <w:t> </w:t>
            </w:r>
          </w:p>
        </w:tc>
      </w:tr>
      <w:tr>
        <w:trPr/>
        <w:tc>
          <w:tcPr>
            <w:tcW w:w="23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Litigation</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573" w:type="dxa"/>
            <w:tcBorders/>
            <w:shd w:fill="CCEEFF" w:val="clear"/>
            <w:vAlign w:val="center"/>
          </w:tcPr>
          <w:p>
            <w:pPr>
              <w:pStyle w:val="TableContents"/>
              <w:spacing w:before="0" w:after="283"/>
              <w:jc w:val="right"/>
              <w:rPr/>
            </w:pPr>
            <w:r>
              <w:rPr/>
              <w:t>783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3" w:type="dxa"/>
            <w:tcBorders/>
            <w:shd w:fill="CCEEFF" w:val="clear"/>
            <w:vAlign w:val="center"/>
          </w:tcPr>
          <w:p>
            <w:pPr>
              <w:pStyle w:val="TableContents"/>
              <w:spacing w:before="0" w:after="283"/>
              <w:rPr/>
            </w:pPr>
            <w:r>
              <w:rPr/>
              <w:t> </w:t>
            </w:r>
          </w:p>
        </w:tc>
        <w:tc>
          <w:tcPr>
            <w:tcW w:w="707"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808" w:type="dxa"/>
            <w:tcBorders/>
            <w:shd w:fill="CCEEFF" w:val="clear"/>
            <w:vAlign w:val="center"/>
          </w:tcPr>
          <w:p>
            <w:pPr>
              <w:pStyle w:val="TableContents"/>
              <w:spacing w:before="0" w:after="283"/>
              <w:jc w:val="right"/>
              <w:rPr/>
            </w:pPr>
            <w:r>
              <w:rPr/>
              <w:t>75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262"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rPr/>
            </w:pPr>
            <w:r>
              <w:rPr/>
              <w:t> </w:t>
            </w:r>
          </w:p>
        </w:tc>
        <w:tc>
          <w:tcPr>
            <w:tcW w:w="717" w:type="dxa"/>
            <w:tcBorders/>
            <w:shd w:fill="CCEEFF" w:val="clear"/>
            <w:vAlign w:val="center"/>
          </w:tcPr>
          <w:p>
            <w:pPr>
              <w:pStyle w:val="TableContents"/>
              <w:spacing w:before="0" w:after="283"/>
              <w:jc w:val="right"/>
              <w:rPr/>
            </w:pPr>
            <w:r>
              <w:rPr/>
              <w:t>708</w:t>
            </w:r>
          </w:p>
        </w:tc>
        <w:tc>
          <w:tcPr>
            <w:tcW w:w="75" w:type="dxa"/>
            <w:tcBorders/>
            <w:shd w:fill="CCEEFF" w:val="clear"/>
            <w:vAlign w:val="center"/>
          </w:tcPr>
          <w:p>
            <w:pPr>
              <w:pStyle w:val="TableContents"/>
              <w:spacing w:before="0" w:after="283"/>
              <w:rPr/>
            </w:pPr>
            <w:r>
              <w:rPr/>
              <w:t> </w:t>
            </w:r>
          </w:p>
        </w:tc>
      </w:tr>
      <w:tr>
        <w:trPr/>
        <w:tc>
          <w:tcPr>
            <w:tcW w:w="23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Asset retirement obligations</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573" w:type="dxa"/>
            <w:tcBorders/>
            <w:shd w:fill="auto" w:val="clear"/>
            <w:vAlign w:val="center"/>
          </w:tcPr>
          <w:p>
            <w:pPr>
              <w:pStyle w:val="TableContents"/>
              <w:spacing w:before="0" w:after="283"/>
              <w:jc w:val="right"/>
              <w:rPr/>
            </w:pPr>
            <w:r>
              <w:rPr/>
              <w:t>206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707"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262" w:type="dxa"/>
            <w:tcBorders/>
            <w:shd w:fill="auto" w:val="clear"/>
            <w:vAlign w:val="center"/>
          </w:tcPr>
          <w:p>
            <w:pPr>
              <w:pStyle w:val="TableContents"/>
              <w:spacing w:before="0" w:after="283"/>
              <w:jc w:val="right"/>
              <w:rPr/>
            </w:pPr>
            <w:r>
              <w:rPr/>
              <w:t>-2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283"/>
              <w:rPr/>
            </w:pPr>
            <w:r>
              <w:rPr/>
              <w:t> </w:t>
            </w:r>
          </w:p>
        </w:tc>
        <w:tc>
          <w:tcPr>
            <w:tcW w:w="717" w:type="dxa"/>
            <w:tcBorders/>
            <w:shd w:fill="auto" w:val="clear"/>
            <w:vAlign w:val="center"/>
          </w:tcPr>
          <w:p>
            <w:pPr>
              <w:pStyle w:val="TableContents"/>
              <w:spacing w:before="0" w:after="283"/>
              <w:jc w:val="right"/>
              <w:rPr/>
            </w:pPr>
            <w:r>
              <w:rPr/>
              <w:t>204</w:t>
            </w:r>
          </w:p>
        </w:tc>
        <w:tc>
          <w:tcPr>
            <w:tcW w:w="75" w:type="dxa"/>
            <w:tcBorders/>
            <w:shd w:fill="auto" w:val="clear"/>
            <w:vAlign w:val="center"/>
          </w:tcPr>
          <w:p>
            <w:pPr>
              <w:pStyle w:val="TableContents"/>
              <w:spacing w:before="0" w:after="283"/>
              <w:rPr/>
            </w:pPr>
            <w:r>
              <w:rPr/>
              <w:t> </w:t>
            </w:r>
          </w:p>
        </w:tc>
      </w:tr>
      <w:tr>
        <w:trPr/>
        <w:tc>
          <w:tcPr>
            <w:tcW w:w="23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Onerous contracts</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573" w:type="dxa"/>
            <w:tcBorders/>
            <w:shd w:fill="CCEEFF" w:val="clear"/>
            <w:vAlign w:val="center"/>
          </w:tcPr>
          <w:p>
            <w:pPr>
              <w:pStyle w:val="TableContents"/>
              <w:spacing w:before="0" w:after="283"/>
              <w:jc w:val="right"/>
              <w:rPr/>
            </w:pPr>
            <w:r>
              <w:rPr/>
              <w:t>240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3" w:type="dxa"/>
            <w:tcBorders/>
            <w:shd w:fill="CCEEFF" w:val="clear"/>
            <w:vAlign w:val="center"/>
          </w:tcPr>
          <w:p>
            <w:pPr>
              <w:pStyle w:val="TableContents"/>
              <w:spacing w:before="0" w:after="283"/>
              <w:rPr/>
            </w:pPr>
            <w:r>
              <w:rPr/>
              <w:t> </w:t>
            </w:r>
          </w:p>
        </w:tc>
        <w:tc>
          <w:tcPr>
            <w:tcW w:w="707"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808" w:type="dxa"/>
            <w:tcBorders/>
            <w:shd w:fill="CCEEFF" w:val="clear"/>
            <w:vAlign w:val="center"/>
          </w:tcPr>
          <w:p>
            <w:pPr>
              <w:pStyle w:val="TableContents"/>
              <w:spacing w:before="0" w:after="283"/>
              <w:jc w:val="right"/>
              <w:rPr/>
            </w:pPr>
            <w:r>
              <w:rPr/>
              <w:t>240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262"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rPr/>
            </w:pPr>
            <w:r>
              <w:rPr/>
              <w:t> </w:t>
            </w:r>
          </w:p>
        </w:tc>
        <w:tc>
          <w:tcPr>
            <w:tcW w:w="717" w:type="dxa"/>
            <w:tcBorders/>
            <w:shd w:fill="CCEEFF" w:val="clear"/>
            <w:vAlign w:val="center"/>
          </w:tcPr>
          <w:p>
            <w:pPr>
              <w:pStyle w:val="TableContents"/>
              <w:spacing w:before="0" w:after="283"/>
              <w:jc w:val="right"/>
              <w:rPr/>
            </w:pPr>
            <w:r>
              <w:rPr/>
              <w:t>0</w:t>
            </w:r>
          </w:p>
        </w:tc>
        <w:tc>
          <w:tcPr>
            <w:tcW w:w="75" w:type="dxa"/>
            <w:tcBorders/>
            <w:shd w:fill="CCEEFF" w:val="clear"/>
            <w:vAlign w:val="center"/>
          </w:tcPr>
          <w:p>
            <w:pPr>
              <w:pStyle w:val="TableContents"/>
              <w:spacing w:before="0" w:after="283"/>
              <w:rPr/>
            </w:pPr>
            <w:r>
              <w:rPr/>
              <w:t> </w:t>
            </w:r>
          </w:p>
        </w:tc>
      </w:tr>
      <w:tr>
        <w:trPr/>
        <w:tc>
          <w:tcPr>
            <w:tcW w:w="23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Warranties</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573" w:type="dxa"/>
            <w:tcBorders/>
            <w:shd w:fill="auto" w:val="clear"/>
            <w:vAlign w:val="center"/>
          </w:tcPr>
          <w:p>
            <w:pPr>
              <w:pStyle w:val="TableContents"/>
              <w:spacing w:before="0" w:after="283"/>
              <w:jc w:val="right"/>
              <w:rPr/>
            </w:pPr>
            <w:r>
              <w:rPr/>
              <w:t>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707"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jc w:val="right"/>
              <w:rPr/>
            </w:pPr>
            <w:r>
              <w:rPr/>
              <w:t>23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262"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283"/>
              <w:rPr/>
            </w:pPr>
            <w:r>
              <w:rPr/>
              <w:t> </w:t>
            </w:r>
          </w:p>
        </w:tc>
        <w:tc>
          <w:tcPr>
            <w:tcW w:w="717" w:type="dxa"/>
            <w:tcBorders/>
            <w:shd w:fill="auto" w:val="clear"/>
            <w:vAlign w:val="center"/>
          </w:tcPr>
          <w:p>
            <w:pPr>
              <w:pStyle w:val="TableContents"/>
              <w:spacing w:before="0" w:after="283"/>
              <w:jc w:val="right"/>
              <w:rPr/>
            </w:pPr>
            <w:r>
              <w:rPr/>
              <w:t>28</w:t>
            </w:r>
          </w:p>
        </w:tc>
        <w:tc>
          <w:tcPr>
            <w:tcW w:w="75" w:type="dxa"/>
            <w:tcBorders/>
            <w:shd w:fill="auto" w:val="clear"/>
            <w:vAlign w:val="center"/>
          </w:tcPr>
          <w:p>
            <w:pPr>
              <w:pStyle w:val="TableContents"/>
              <w:spacing w:before="0" w:after="283"/>
              <w:rPr/>
            </w:pPr>
            <w:r>
              <w:rPr/>
              <w:t> </w:t>
            </w:r>
          </w:p>
        </w:tc>
      </w:tr>
      <w:tr>
        <w:trPr/>
        <w:tc>
          <w:tcPr>
            <w:tcW w:w="23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573" w:type="dxa"/>
            <w:tcBorders/>
            <w:shd w:fill="CCEEFF" w:val="clear"/>
            <w:vAlign w:val="center"/>
          </w:tcPr>
          <w:p>
            <w:pPr>
              <w:pStyle w:val="TableContents"/>
              <w:spacing w:before="0" w:after="283"/>
              <w:jc w:val="right"/>
              <w:rPr/>
            </w:pPr>
            <w:r>
              <w:rPr/>
              <w:t>1,234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3" w:type="dxa"/>
            <w:tcBorders/>
            <w:shd w:fill="CCEEFF" w:val="clear"/>
            <w:vAlign w:val="center"/>
          </w:tcPr>
          <w:p>
            <w:pPr>
              <w:pStyle w:val="TableContents"/>
              <w:spacing w:before="0" w:after="283"/>
              <w:rPr/>
            </w:pPr>
            <w:r>
              <w:rPr/>
              <w:t> </w:t>
            </w:r>
          </w:p>
        </w:tc>
        <w:tc>
          <w:tcPr>
            <w:tcW w:w="707"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808" w:type="dxa"/>
            <w:tcBorders/>
            <w:shd w:fill="CCEEFF" w:val="clear"/>
            <w:vAlign w:val="center"/>
          </w:tcPr>
          <w:p>
            <w:pPr>
              <w:pStyle w:val="TableContents"/>
              <w:spacing w:before="0" w:after="283"/>
              <w:jc w:val="right"/>
              <w:rPr/>
            </w:pPr>
            <w:r>
              <w:rPr/>
              <w:t>315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jc w:val="right"/>
              <w:rPr/>
            </w:pPr>
            <w:r>
              <w:rPr/>
              <w:t>23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262" w:type="dxa"/>
            <w:tcBorders/>
            <w:shd w:fill="CCEEFF" w:val="clear"/>
            <w:vAlign w:val="center"/>
          </w:tcPr>
          <w:p>
            <w:pPr>
              <w:pStyle w:val="TableContents"/>
              <w:spacing w:before="0" w:after="283"/>
              <w:jc w:val="right"/>
              <w:rPr/>
            </w:pPr>
            <w:r>
              <w:rPr/>
              <w:t>-2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rPr/>
            </w:pPr>
            <w:r>
              <w:rPr/>
              <w:t> </w:t>
            </w:r>
          </w:p>
        </w:tc>
        <w:tc>
          <w:tcPr>
            <w:tcW w:w="717" w:type="dxa"/>
            <w:tcBorders/>
            <w:shd w:fill="CCEEFF" w:val="clear"/>
            <w:vAlign w:val="center"/>
          </w:tcPr>
          <w:p>
            <w:pPr>
              <w:pStyle w:val="TableContents"/>
              <w:spacing w:before="0" w:after="283"/>
              <w:jc w:val="right"/>
              <w:rPr/>
            </w:pPr>
            <w:r>
              <w:rPr/>
              <w:t>940</w:t>
            </w:r>
          </w:p>
        </w:tc>
        <w:tc>
          <w:tcPr>
            <w:tcW w:w="75" w:type="dxa"/>
            <w:tcBorders/>
            <w:shd w:fill="CCEEFF" w:val="clear"/>
            <w:vAlign w:val="center"/>
          </w:tcPr>
          <w:p>
            <w:pPr>
              <w:pStyle w:val="TableContents"/>
              <w:spacing w:before="0" w:after="283"/>
              <w:rPr/>
            </w:pPr>
            <w:r>
              <w:rPr/>
              <w:t> </w:t>
            </w:r>
          </w:p>
        </w:tc>
      </w:tr>
      <w:tr>
        <w:trPr/>
        <w:tc>
          <w:tcPr>
            <w:tcW w:w="23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thereof </w:t>
            </w:r>
          </w:p>
          <w:p>
            <w:pPr>
              <w:pStyle w:val="TableContents"/>
              <w:spacing w:before="0" w:after="0"/>
              <w:rPr>
                <w:rFonts w:ascii="Times New Roman" w:hAnsi="Times New Roman"/>
                <w:spacing w:val="0"/>
                <w:sz w:val="20"/>
              </w:rPr>
            </w:pPr>
            <w:r>
              <w:rPr>
                <w:rFonts w:ascii="Times New Roman" w:hAnsi="Times New Roman"/>
                <w:spacing w:val="0"/>
                <w:sz w:val="20"/>
              </w:rPr>
              <w:t>non-current</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5533" w:type="dxa"/>
            <w:gridSpan w:val="21"/>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3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Asset retirement obligations</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573" w:type="dxa"/>
            <w:tcBorders/>
            <w:shd w:fill="CCEEFF" w:val="clear"/>
            <w:vAlign w:val="center"/>
          </w:tcPr>
          <w:p>
            <w:pPr>
              <w:pStyle w:val="TableContents"/>
              <w:spacing w:before="0" w:after="283"/>
              <w:jc w:val="right"/>
              <w:rPr/>
            </w:pPr>
            <w:r>
              <w:rPr/>
              <w:t>206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3" w:type="dxa"/>
            <w:tcBorders/>
            <w:shd w:fill="CCEEFF" w:val="clear"/>
            <w:vAlign w:val="center"/>
          </w:tcPr>
          <w:p>
            <w:pPr>
              <w:pStyle w:val="TableContents"/>
              <w:spacing w:before="0" w:after="283"/>
              <w:rPr/>
            </w:pPr>
            <w:r>
              <w:rPr/>
              <w:t> </w:t>
            </w:r>
          </w:p>
        </w:tc>
        <w:tc>
          <w:tcPr>
            <w:tcW w:w="707"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808"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262" w:type="dxa"/>
            <w:tcBorders/>
            <w:shd w:fill="CCEEFF" w:val="clear"/>
            <w:vAlign w:val="center"/>
          </w:tcPr>
          <w:p>
            <w:pPr>
              <w:pStyle w:val="TableContents"/>
              <w:spacing w:before="0" w:after="283"/>
              <w:jc w:val="right"/>
              <w:rPr/>
            </w:pPr>
            <w:r>
              <w:rPr/>
              <w:t>-2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rPr/>
            </w:pPr>
            <w:r>
              <w:rPr/>
              <w:t> </w:t>
            </w:r>
          </w:p>
        </w:tc>
        <w:tc>
          <w:tcPr>
            <w:tcW w:w="717" w:type="dxa"/>
            <w:tcBorders/>
            <w:shd w:fill="CCEEFF" w:val="clear"/>
            <w:vAlign w:val="center"/>
          </w:tcPr>
          <w:p>
            <w:pPr>
              <w:pStyle w:val="TableContents"/>
              <w:spacing w:before="0" w:after="283"/>
              <w:jc w:val="right"/>
              <w:rPr/>
            </w:pPr>
            <w:r>
              <w:rPr/>
              <w:t>204</w:t>
            </w:r>
          </w:p>
        </w:tc>
        <w:tc>
          <w:tcPr>
            <w:tcW w:w="75" w:type="dxa"/>
            <w:tcBorders/>
            <w:shd w:fill="CCEEFF" w:val="clear"/>
            <w:vAlign w:val="center"/>
          </w:tcPr>
          <w:p>
            <w:pPr>
              <w:pStyle w:val="TableContents"/>
              <w:spacing w:before="0" w:after="283"/>
              <w:rPr/>
            </w:pPr>
            <w:r>
              <w:rPr/>
              <w:t> </w:t>
            </w:r>
          </w:p>
        </w:tc>
      </w:tr>
      <w:tr>
        <w:trPr/>
        <w:tc>
          <w:tcPr>
            <w:tcW w:w="23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Warranties</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573" w:type="dxa"/>
            <w:tcBorders/>
            <w:shd w:fill="auto" w:val="clear"/>
            <w:vAlign w:val="center"/>
          </w:tcPr>
          <w:p>
            <w:pPr>
              <w:pStyle w:val="TableContents"/>
              <w:spacing w:before="0" w:after="283"/>
              <w:jc w:val="right"/>
              <w:rPr/>
            </w:pPr>
            <w:r>
              <w:rPr/>
              <w:t>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707"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jc w:val="right"/>
              <w:rPr/>
            </w:pPr>
            <w:r>
              <w:rPr/>
              <w:t>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262"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283"/>
              <w:rPr/>
            </w:pPr>
            <w:r>
              <w:rPr/>
              <w:t> </w:t>
            </w:r>
          </w:p>
        </w:tc>
        <w:tc>
          <w:tcPr>
            <w:tcW w:w="717" w:type="dxa"/>
            <w:tcBorders/>
            <w:shd w:fill="auto" w:val="clear"/>
            <w:vAlign w:val="center"/>
          </w:tcPr>
          <w:p>
            <w:pPr>
              <w:pStyle w:val="TableContents"/>
              <w:spacing w:before="0" w:after="283"/>
              <w:jc w:val="right"/>
              <w:rPr/>
            </w:pPr>
            <w:r>
              <w:rPr/>
              <w:t>13</w:t>
            </w:r>
          </w:p>
        </w:tc>
        <w:tc>
          <w:tcPr>
            <w:tcW w:w="75" w:type="dxa"/>
            <w:tcBorders/>
            <w:shd w:fill="auto" w:val="clear"/>
            <w:vAlign w:val="center"/>
          </w:tcPr>
          <w:p>
            <w:pPr>
              <w:pStyle w:val="TableContents"/>
              <w:spacing w:before="0" w:after="283"/>
              <w:rPr/>
            </w:pPr>
            <w:r>
              <w:rPr/>
              <w:t> </w:t>
            </w:r>
          </w:p>
        </w:tc>
      </w:tr>
      <w:tr>
        <w:trPr/>
        <w:tc>
          <w:tcPr>
            <w:tcW w:w="23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573" w:type="dxa"/>
            <w:tcBorders/>
            <w:shd w:fill="CCEEFF" w:val="clear"/>
            <w:vAlign w:val="center"/>
          </w:tcPr>
          <w:p>
            <w:pPr>
              <w:pStyle w:val="TableContents"/>
              <w:spacing w:before="0" w:after="283"/>
              <w:jc w:val="right"/>
              <w:rPr/>
            </w:pPr>
            <w:r>
              <w:rPr/>
              <w:t>211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3" w:type="dxa"/>
            <w:tcBorders/>
            <w:shd w:fill="CCEEFF" w:val="clear"/>
            <w:vAlign w:val="center"/>
          </w:tcPr>
          <w:p>
            <w:pPr>
              <w:pStyle w:val="TableContents"/>
              <w:spacing w:before="0" w:after="283"/>
              <w:rPr/>
            </w:pPr>
            <w:r>
              <w:rPr/>
              <w:t> </w:t>
            </w:r>
          </w:p>
        </w:tc>
        <w:tc>
          <w:tcPr>
            <w:tcW w:w="707"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808"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jc w:val="right"/>
              <w:rPr/>
            </w:pPr>
            <w:r>
              <w:rPr/>
              <w:t>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262" w:type="dxa"/>
            <w:tcBorders/>
            <w:shd w:fill="CCEEFF" w:val="clear"/>
            <w:vAlign w:val="center"/>
          </w:tcPr>
          <w:p>
            <w:pPr>
              <w:pStyle w:val="TableContents"/>
              <w:spacing w:before="0" w:after="283"/>
              <w:jc w:val="right"/>
              <w:rPr/>
            </w:pPr>
            <w:r>
              <w:rPr/>
              <w:t>-2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rPr/>
            </w:pPr>
            <w:r>
              <w:rPr/>
              <w:t> </w:t>
            </w:r>
          </w:p>
        </w:tc>
        <w:tc>
          <w:tcPr>
            <w:tcW w:w="717" w:type="dxa"/>
            <w:tcBorders/>
            <w:shd w:fill="CCEEFF" w:val="clear"/>
            <w:vAlign w:val="center"/>
          </w:tcPr>
          <w:p>
            <w:pPr>
              <w:pStyle w:val="TableContents"/>
              <w:spacing w:before="0" w:after="283"/>
              <w:jc w:val="right"/>
              <w:rPr/>
            </w:pPr>
            <w:r>
              <w:rPr/>
              <w:t>217</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F-3</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7</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both"/>
        <w:rPr>
          <w:rFonts w:ascii="Times New Roman" w:hAnsi="Times New Roman"/>
          <w:b/>
          <w:sz w:val="20"/>
          <w:highlight w:val="white"/>
        </w:rPr>
      </w:pPr>
      <w:r>
        <w:rPr>
          <w:rFonts w:ascii="Times New Roman" w:hAnsi="Times New Roman"/>
          <w:b/>
          <w:sz w:val="20"/>
          <w:highlight w:val="white"/>
        </w:rPr>
        <w:t xml:space="preserve">27. Contract Liabilities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contract liabilities in the amount of €205 thousand (December 31, 2021: €307 thousand) consist of payments made by customers in fiscal year 2022 and 2021 presented in accordance with IFRS 15. </w:t>
      </w:r>
    </w:p>
    <w:p>
      <w:pPr>
        <w:pStyle w:val="TextBody"/>
        <w:spacing w:before="360" w:after="0"/>
        <w:jc w:val="both"/>
        <w:rPr>
          <w:rFonts w:ascii="Times New Roman" w:hAnsi="Times New Roman"/>
          <w:b/>
          <w:spacing w:val="0"/>
          <w:sz w:val="20"/>
          <w:highlight w:val="white"/>
        </w:rPr>
      </w:pPr>
      <w:r>
        <w:rPr>
          <w:rFonts w:ascii="Times New Roman" w:hAnsi="Times New Roman"/>
          <w:b/>
          <w:spacing w:val="0"/>
          <w:sz w:val="20"/>
          <w:highlight w:val="white"/>
        </w:rPr>
        <w:t>28. Trade and Other Payables</w:t>
      </w:r>
    </w:p>
    <w:p>
      <w:pPr>
        <w:pStyle w:val="TextBody"/>
        <w:spacing w:before="120" w:after="0"/>
        <w:ind w:left="0" w:right="0" w:hanging="0"/>
        <w:jc w:val="both"/>
        <w:rPr>
          <w:rFonts w:ascii="Times New Roman" w:hAnsi="Times New Roman"/>
          <w:sz w:val="20"/>
          <w:highlight w:val="white"/>
        </w:rPr>
      </w:pPr>
      <w:r>
        <w:rPr>
          <w:rFonts w:ascii="Times New Roman" w:hAnsi="Times New Roman"/>
          <w:sz w:val="20"/>
          <w:highlight w:val="white"/>
        </w:rPr>
        <w:t>The following table shows the breakdown of the trade and other payables:</w:t>
      </w:r>
    </w:p>
    <w:p>
      <w:pPr>
        <w:pStyle w:val="TextBody"/>
        <w:spacing w:before="0" w:after="0"/>
        <w:jc w:val="left"/>
        <w:rPr>
          <w:highlight w:val="white"/>
        </w:rPr>
      </w:pPr>
      <w:r>
        <w:rPr>
          <w:highlight w:val="white"/>
        </w:rPr>
        <w:t> </w:t>
      </w:r>
    </w:p>
    <w:tbl>
      <w:tblPr>
        <w:tblW w:w="5430" w:type="dxa"/>
        <w:jc w:val="left"/>
        <w:tblInd w:w="0" w:type="dxa"/>
        <w:tblCellMar>
          <w:top w:w="0" w:type="dxa"/>
          <w:left w:w="0" w:type="dxa"/>
          <w:bottom w:w="0" w:type="dxa"/>
          <w:right w:w="0" w:type="dxa"/>
        </w:tblCellMar>
      </w:tblPr>
      <w:tblGrid>
        <w:gridCol w:w="1265"/>
        <w:gridCol w:w="120"/>
        <w:gridCol w:w="183"/>
        <w:gridCol w:w="1712"/>
        <w:gridCol w:w="60"/>
        <w:gridCol w:w="120"/>
        <w:gridCol w:w="183"/>
        <w:gridCol w:w="1712"/>
        <w:gridCol w:w="75"/>
      </w:tblGrid>
      <w:tr>
        <w:trPr/>
        <w:tc>
          <w:tcPr>
            <w:tcW w:w="12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265"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2021</w:t>
            </w:r>
          </w:p>
        </w:tc>
        <w:tc>
          <w:tcPr>
            <w:tcW w:w="75" w:type="dxa"/>
            <w:tcBorders/>
            <w:shd w:fill="auto" w:val="clear"/>
            <w:vAlign w:val="center"/>
          </w:tcPr>
          <w:p>
            <w:pPr>
              <w:pStyle w:val="TableContents"/>
              <w:spacing w:before="0" w:after="283"/>
              <w:rPr/>
            </w:pPr>
            <w:r>
              <w:rPr/>
              <w:t> </w:t>
            </w:r>
          </w:p>
        </w:tc>
      </w:tr>
      <w:tr>
        <w:trPr/>
        <w:tc>
          <w:tcPr>
            <w:tcW w:w="12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Trade payables</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4,222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4,377</w:t>
            </w:r>
          </w:p>
        </w:tc>
        <w:tc>
          <w:tcPr>
            <w:tcW w:w="75" w:type="dxa"/>
            <w:tcBorders/>
            <w:shd w:fill="CCEEFF"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accruals</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5,016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4,019</w:t>
            </w:r>
          </w:p>
        </w:tc>
        <w:tc>
          <w:tcPr>
            <w:tcW w:w="75" w:type="dxa"/>
            <w:tcBorders/>
            <w:shd w:fill="auto" w:val="clear"/>
            <w:vAlign w:val="center"/>
          </w:tcPr>
          <w:p>
            <w:pPr>
              <w:pStyle w:val="TableContents"/>
              <w:spacing w:before="0" w:after="283"/>
              <w:rPr/>
            </w:pPr>
            <w:r>
              <w:rPr/>
              <w:t> </w:t>
            </w:r>
          </w:p>
        </w:tc>
      </w:tr>
      <w:tr>
        <w:trPr/>
        <w:tc>
          <w:tcPr>
            <w:tcW w:w="12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9,238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8,396</w:t>
            </w:r>
          </w:p>
        </w:tc>
        <w:tc>
          <w:tcPr>
            <w:tcW w:w="75" w:type="dxa"/>
            <w:tcBorders/>
            <w:shd w:fill="CCEEFF"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29. Other Financial Liabilities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current other financial liabilities comprise the following: </w:t>
      </w:r>
    </w:p>
    <w:p>
      <w:pPr>
        <w:pStyle w:val="TextBody"/>
        <w:spacing w:before="0" w:after="0"/>
        <w:jc w:val="left"/>
        <w:rPr>
          <w:highlight w:val="white"/>
        </w:rPr>
      </w:pPr>
      <w:r>
        <w:rPr>
          <w:highlight w:val="white"/>
        </w:rPr>
        <w:t> </w:t>
      </w:r>
    </w:p>
    <w:tbl>
      <w:tblPr>
        <w:tblW w:w="6240" w:type="dxa"/>
        <w:jc w:val="left"/>
        <w:tblInd w:w="0" w:type="dxa"/>
        <w:tblCellMar>
          <w:top w:w="0" w:type="dxa"/>
          <w:left w:w="0" w:type="dxa"/>
          <w:bottom w:w="0" w:type="dxa"/>
          <w:right w:w="0" w:type="dxa"/>
        </w:tblCellMar>
      </w:tblPr>
      <w:tblGrid>
        <w:gridCol w:w="2075"/>
        <w:gridCol w:w="120"/>
        <w:gridCol w:w="153"/>
        <w:gridCol w:w="1742"/>
        <w:gridCol w:w="60"/>
        <w:gridCol w:w="120"/>
        <w:gridCol w:w="355"/>
        <w:gridCol w:w="1540"/>
        <w:gridCol w:w="75"/>
      </w:tblGrid>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74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54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075"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2021</w:t>
            </w:r>
          </w:p>
        </w:tc>
        <w:tc>
          <w:tcPr>
            <w:tcW w:w="75" w:type="dxa"/>
            <w:tcBorders/>
            <w:shd w:fill="auto" w:val="clear"/>
            <w:vAlign w:val="center"/>
          </w:tcPr>
          <w:p>
            <w:pPr>
              <w:pStyle w:val="TableContents"/>
              <w:spacing w:before="0" w:after="283"/>
              <w:rPr/>
            </w:pPr>
            <w:r>
              <w:rPr/>
              <w:t> </w:t>
            </w:r>
          </w:p>
        </w:tc>
      </w:tr>
      <w:tr>
        <w:trPr/>
        <w:tc>
          <w:tcPr>
            <w:tcW w:w="20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Loan Agreement</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14,440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55" w:type="dxa"/>
            <w:tcBorders/>
            <w:shd w:fill="CCEEFF" w:val="clear"/>
            <w:vAlign w:val="center"/>
          </w:tcPr>
          <w:p>
            <w:pPr>
              <w:pStyle w:val="TableContents"/>
              <w:spacing w:before="0" w:after="283"/>
              <w:rPr/>
            </w:pPr>
            <w:r>
              <w:rPr/>
              <w:t> </w:t>
            </w:r>
          </w:p>
        </w:tc>
        <w:tc>
          <w:tcPr>
            <w:tcW w:w="1540" w:type="dxa"/>
            <w:tcBorders/>
            <w:shd w:fill="CCEEFF" w:val="clear"/>
            <w:vAlign w:val="center"/>
          </w:tcPr>
          <w:p>
            <w:pPr>
              <w:pStyle w:val="TableContents"/>
              <w:spacing w:before="0" w:after="283"/>
              <w:jc w:val="right"/>
              <w:rPr/>
            </w:pPr>
            <w:r>
              <w:rPr/>
              <w:t>0</w:t>
            </w:r>
          </w:p>
        </w:tc>
        <w:tc>
          <w:tcPr>
            <w:tcW w:w="75" w:type="dxa"/>
            <w:tcBorders/>
            <w:shd w:fill="CCEEFF"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financial liabilities</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jc w:val="right"/>
              <w:rPr/>
            </w:pPr>
            <w:r>
              <w:rPr/>
              <w:t>339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1540" w:type="dxa"/>
            <w:tcBorders/>
            <w:shd w:fill="auto" w:val="clear"/>
            <w:vAlign w:val="center"/>
          </w:tcPr>
          <w:p>
            <w:pPr>
              <w:pStyle w:val="TableContents"/>
              <w:spacing w:before="0" w:after="283"/>
              <w:jc w:val="right"/>
              <w:rPr/>
            </w:pPr>
            <w:r>
              <w:rPr/>
              <w:t>37</w:t>
            </w:r>
          </w:p>
        </w:tc>
        <w:tc>
          <w:tcPr>
            <w:tcW w:w="75" w:type="dxa"/>
            <w:tcBorders/>
            <w:shd w:fill="auto" w:val="clear"/>
            <w:vAlign w:val="center"/>
          </w:tcPr>
          <w:p>
            <w:pPr>
              <w:pStyle w:val="TableContents"/>
              <w:spacing w:before="0" w:after="283"/>
              <w:rPr/>
            </w:pPr>
            <w:r>
              <w:rPr/>
              <w:t> </w:t>
            </w:r>
          </w:p>
        </w:tc>
      </w:tr>
      <w:tr>
        <w:trPr/>
        <w:tc>
          <w:tcPr>
            <w:tcW w:w="20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14,779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55" w:type="dxa"/>
            <w:tcBorders/>
            <w:shd w:fill="CCEEFF" w:val="clear"/>
            <w:vAlign w:val="center"/>
          </w:tcPr>
          <w:p>
            <w:pPr>
              <w:pStyle w:val="TableContents"/>
              <w:spacing w:before="0" w:after="283"/>
              <w:rPr/>
            </w:pPr>
            <w:r>
              <w:rPr/>
              <w:t> </w:t>
            </w:r>
          </w:p>
        </w:tc>
        <w:tc>
          <w:tcPr>
            <w:tcW w:w="1540" w:type="dxa"/>
            <w:tcBorders/>
            <w:shd w:fill="CCEEFF" w:val="clear"/>
            <w:vAlign w:val="center"/>
          </w:tcPr>
          <w:p>
            <w:pPr>
              <w:pStyle w:val="TableContents"/>
              <w:spacing w:before="0" w:after="283"/>
              <w:jc w:val="right"/>
              <w:rPr/>
            </w:pPr>
            <w:r>
              <w:rPr/>
              <w:t>37</w:t>
            </w:r>
          </w:p>
        </w:tc>
        <w:tc>
          <w:tcPr>
            <w:tcW w:w="75" w:type="dxa"/>
            <w:tcBorders/>
            <w:shd w:fill="CCEEFF"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thereof </w:t>
            </w:r>
          </w:p>
          <w:p>
            <w:pPr>
              <w:pStyle w:val="TableContents"/>
              <w:spacing w:before="0" w:after="0"/>
              <w:rPr>
                <w:rFonts w:ascii="Times New Roman" w:hAnsi="Times New Roman"/>
                <w:spacing w:val="0"/>
                <w:sz w:val="20"/>
              </w:rPr>
            </w:pPr>
            <w:r>
              <w:rPr>
                <w:rFonts w:ascii="Times New Roman" w:hAnsi="Times New Roman"/>
                <w:spacing w:val="0"/>
                <w:sz w:val="20"/>
              </w:rPr>
              <w:t>non-current</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154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0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 financial liabilities</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249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55" w:type="dxa"/>
            <w:tcBorders/>
            <w:shd w:fill="CCEEFF" w:val="clear"/>
            <w:vAlign w:val="center"/>
          </w:tcPr>
          <w:p>
            <w:pPr>
              <w:pStyle w:val="TableContents"/>
              <w:spacing w:before="0" w:after="283"/>
              <w:rPr/>
            </w:pPr>
            <w:r>
              <w:rPr/>
              <w:t> </w:t>
            </w:r>
          </w:p>
        </w:tc>
        <w:tc>
          <w:tcPr>
            <w:tcW w:w="1540" w:type="dxa"/>
            <w:tcBorders/>
            <w:shd w:fill="CCEEFF" w:val="clear"/>
            <w:vAlign w:val="center"/>
          </w:tcPr>
          <w:p>
            <w:pPr>
              <w:pStyle w:val="TableContents"/>
              <w:spacing w:before="0" w:after="283"/>
              <w:jc w:val="right"/>
              <w:rPr/>
            </w:pPr>
            <w:r>
              <w:rPr/>
              <w:t>0</w:t>
            </w:r>
          </w:p>
        </w:tc>
        <w:tc>
          <w:tcPr>
            <w:tcW w:w="75" w:type="dxa"/>
            <w:tcBorders/>
            <w:shd w:fill="CCEEFF"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jc w:val="right"/>
              <w:rPr/>
            </w:pPr>
            <w:r>
              <w:rPr/>
              <w:t>249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1540" w:type="dxa"/>
            <w:tcBorders/>
            <w:shd w:fill="auto" w:val="clear"/>
            <w:vAlign w:val="center"/>
          </w:tcPr>
          <w:p>
            <w:pPr>
              <w:pStyle w:val="TableContents"/>
              <w:spacing w:before="0" w:after="283"/>
              <w:jc w:val="right"/>
              <w:rPr/>
            </w:pPr>
            <w:r>
              <w:rPr/>
              <w:t>0</w:t>
            </w:r>
          </w:p>
        </w:tc>
        <w:tc>
          <w:tcPr>
            <w:tcW w:w="75" w:type="dxa"/>
            <w:tcBorders/>
            <w:shd w:fill="auto" w:val="clear"/>
            <w:vAlign w:val="center"/>
          </w:tcPr>
          <w:p>
            <w:pPr>
              <w:pStyle w:val="TableContents"/>
              <w:spacing w:before="0" w:after="283"/>
              <w:rPr/>
            </w:pPr>
            <w:r>
              <w:rPr/>
              <w:t>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On May 02, 2022, the Group entered into a credit agreement with Formue Nord Fokus A/S, Modelio Equity AB (publ) and Munkekullen 5 förvaltning AB as lenders for a credit line of €25 million until June 30, 2023. A loan in a nominal amount of €13,110 thousand has been disbursed hereunder on May 3, 2022, which is presented together with accrued interest in the amount of €1,330 thousand as Loan Agreement in the table above. The loan contains a prepayment option which enables the group to prepay the loan early. This option was bifurcated from the debt host contract. The prepayment option is recognized as an embedded derivative and is presented on statement of financial position under Other financial and </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non-financial</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assets. The embedded derivative is measured at fair value through profit or loss. The initial option value was €454 thousand. As of December 31, 2022, the fair value of the embedded derivative was €172 thousand. The fair value change of €282 thousand is recognized under interest and similar expenses. For further information regarding the valuation methodology refer to Note 33.1.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30. Other </w:t>
      </w:r>
    </w:p>
    <w:p>
      <w:pPr>
        <w:pStyle w:val="TextBody"/>
        <w:spacing w:before="360" w:after="0"/>
        <w:jc w:val="left"/>
        <w:rPr>
          <w:rFonts w:ascii="Times New Roman" w:hAnsi="Times New Roman"/>
          <w:b/>
          <w:spacing w:val="0"/>
          <w:sz w:val="20"/>
          <w:highlight w:val="white"/>
        </w:rPr>
      </w:pPr>
      <w:r>
        <w:rPr>
          <w:rFonts w:ascii="Times New Roman" w:hAnsi="Times New Roman"/>
          <w:b/>
          <w:spacing w:val="0"/>
          <w:sz w:val="20"/>
          <w:highlight w:val="white"/>
        </w:rPr>
        <w:t>Non-Financial</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Liabilities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Current financial and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non-financial</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liabilities comprise the following: </w:t>
      </w:r>
    </w:p>
    <w:p>
      <w:pPr>
        <w:pStyle w:val="TextBody"/>
        <w:spacing w:before="0" w:after="0"/>
        <w:jc w:val="left"/>
        <w:rPr>
          <w:highlight w:val="white"/>
        </w:rPr>
      </w:pPr>
      <w:r>
        <w:rPr>
          <w:highlight w:val="white"/>
        </w:rPr>
        <w:t> </w:t>
      </w:r>
    </w:p>
    <w:tbl>
      <w:tblPr>
        <w:tblW w:w="8475" w:type="dxa"/>
        <w:jc w:val="left"/>
        <w:tblInd w:w="0" w:type="dxa"/>
        <w:tblCellMar>
          <w:top w:w="0" w:type="dxa"/>
          <w:left w:w="0" w:type="dxa"/>
          <w:bottom w:w="0" w:type="dxa"/>
          <w:right w:w="0" w:type="dxa"/>
        </w:tblCellMar>
      </w:tblPr>
      <w:tblGrid>
        <w:gridCol w:w="4310"/>
        <w:gridCol w:w="120"/>
        <w:gridCol w:w="153"/>
        <w:gridCol w:w="1742"/>
        <w:gridCol w:w="60"/>
        <w:gridCol w:w="120"/>
        <w:gridCol w:w="183"/>
        <w:gridCol w:w="1712"/>
        <w:gridCol w:w="75"/>
      </w:tblGrid>
      <w:tr>
        <w:trPr/>
        <w:tc>
          <w:tcPr>
            <w:tcW w:w="43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74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310"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95" w:type="dxa"/>
            <w:gridSpan w:val="2"/>
            <w:tcBorders/>
            <w:shd w:fill="auto" w:val="clear"/>
            <w:vAlign w:val="center"/>
          </w:tcPr>
          <w:p>
            <w:pPr>
              <w:pStyle w:val="TableContents"/>
              <w:spacing w:before="0" w:after="283"/>
              <w:jc w:val="center"/>
              <w:rPr/>
            </w:pPr>
            <w:r>
              <w:rPr/>
              <w:t>December 31, 2021</w:t>
            </w:r>
          </w:p>
        </w:tc>
        <w:tc>
          <w:tcPr>
            <w:tcW w:w="75" w:type="dxa"/>
            <w:tcBorders/>
            <w:shd w:fill="auto" w:val="clear"/>
            <w:vAlign w:val="center"/>
          </w:tcPr>
          <w:p>
            <w:pPr>
              <w:pStyle w:val="TableContents"/>
              <w:spacing w:before="0" w:after="283"/>
              <w:rPr/>
            </w:pPr>
            <w:r>
              <w:rPr/>
              <w:t> </w:t>
            </w:r>
          </w:p>
        </w:tc>
      </w:tr>
      <w:tr>
        <w:trPr/>
        <w:tc>
          <w:tcPr>
            <w:tcW w:w="43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Liabilities due to customers</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15,166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1,888</w:t>
            </w:r>
          </w:p>
        </w:tc>
        <w:tc>
          <w:tcPr>
            <w:tcW w:w="75" w:type="dxa"/>
            <w:tcBorders/>
            <w:shd w:fill="CCEEFF" w:val="cle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Loan related fee’s</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jc w:val="right"/>
              <w:rPr/>
            </w:pPr>
            <w:r>
              <w:rPr/>
              <w:t>782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0</w:t>
            </w:r>
          </w:p>
        </w:tc>
        <w:tc>
          <w:tcPr>
            <w:tcW w:w="75" w:type="dxa"/>
            <w:tcBorders/>
            <w:shd w:fill="auto" w:val="clear"/>
            <w:vAlign w:val="center"/>
          </w:tcPr>
          <w:p>
            <w:pPr>
              <w:pStyle w:val="TableContents"/>
              <w:spacing w:before="0" w:after="283"/>
              <w:rPr/>
            </w:pPr>
            <w:r>
              <w:rPr/>
              <w:t> </w:t>
            </w:r>
          </w:p>
        </w:tc>
      </w:tr>
      <w:tr>
        <w:trPr/>
        <w:tc>
          <w:tcPr>
            <w:tcW w:w="43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Liabilities for payroll, social security and payroll tax</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482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435</w:t>
            </w:r>
          </w:p>
        </w:tc>
        <w:tc>
          <w:tcPr>
            <w:tcW w:w="75" w:type="dxa"/>
            <w:tcBorders/>
            <w:shd w:fill="CCEEFF" w:val="cle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w:t>
            </w:r>
          </w:p>
        </w:tc>
        <w:tc>
          <w:tcPr>
            <w:tcW w:w="12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742" w:type="dxa"/>
            <w:tcBorders/>
            <w:shd w:fill="auto" w:val="clear"/>
            <w:vAlign w:val="center"/>
          </w:tcPr>
          <w:p>
            <w:pPr>
              <w:pStyle w:val="TableContents"/>
              <w:spacing w:before="0" w:after="283"/>
              <w:jc w:val="right"/>
              <w:rPr/>
            </w:pPr>
            <w:r>
              <w:rPr/>
              <w:t>228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0</w:t>
            </w:r>
          </w:p>
        </w:tc>
        <w:tc>
          <w:tcPr>
            <w:tcW w:w="75" w:type="dxa"/>
            <w:tcBorders/>
            <w:shd w:fill="auto" w:val="clear"/>
            <w:vAlign w:val="center"/>
          </w:tcPr>
          <w:p>
            <w:pPr>
              <w:pStyle w:val="TableContents"/>
              <w:spacing w:before="0" w:after="283"/>
              <w:rPr/>
            </w:pPr>
            <w:r>
              <w:rPr/>
              <w:t> </w:t>
            </w:r>
          </w:p>
        </w:tc>
      </w:tr>
      <w:tr>
        <w:trPr/>
        <w:tc>
          <w:tcPr>
            <w:tcW w:w="43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742" w:type="dxa"/>
            <w:tcBorders/>
            <w:shd w:fill="CCEEFF" w:val="clear"/>
            <w:vAlign w:val="center"/>
          </w:tcPr>
          <w:p>
            <w:pPr>
              <w:pStyle w:val="TableContents"/>
              <w:spacing w:before="0" w:after="283"/>
              <w:jc w:val="right"/>
              <w:rPr/>
            </w:pPr>
            <w:r>
              <w:rPr/>
              <w:t>16,658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2,323</w:t>
            </w:r>
          </w:p>
        </w:tc>
        <w:tc>
          <w:tcPr>
            <w:tcW w:w="75" w:type="dxa"/>
            <w:tcBorders/>
            <w:shd w:fill="CCEEFF" w:val="clear"/>
            <w:vAlign w:val="center"/>
          </w:tcPr>
          <w:p>
            <w:pPr>
              <w:pStyle w:val="TableContents"/>
              <w:spacing w:before="0" w:after="283"/>
              <w:rPr/>
            </w:pPr>
            <w:r>
              <w:rPr/>
              <w:t>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Liabilities due to customers includes payments received from customers where the underlying agreements do not constitute a contract within the meaning of IFRS 15.9. The liability is recognized as other liabilities, rather than contract liabilities, until a contract according to IFRS 15.9 exists or the requirements of IFRS 15.15 for recognition in profit or loss are met. During the year ended December 31, 2022, total payments received related to such contracts totaled €15,984 thousand (2021: €1,888 thousand, 2020: €0) and revenue of €2,661 thousand was recognized (2021: € 0 thousand, 2020: €0). </w:t>
      </w:r>
    </w:p>
    <w:p>
      <w:pPr>
        <w:pStyle w:val="TextBody"/>
        <w:spacing w:before="360" w:after="0"/>
        <w:jc w:val="both"/>
        <w:rPr>
          <w:rFonts w:ascii="Times New Roman" w:hAnsi="Times New Roman"/>
          <w:b/>
          <w:sz w:val="20"/>
          <w:highlight w:val="white"/>
        </w:rPr>
      </w:pPr>
      <w:r>
        <w:rPr>
          <w:rFonts w:ascii="Times New Roman" w:hAnsi="Times New Roman"/>
          <w:b/>
          <w:sz w:val="20"/>
          <w:highlight w:val="white"/>
        </w:rPr>
        <w:t xml:space="preserve">31. Statement of Cash Flows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cash funds correspond to cash and cash equivalents as of the reporting date, comprising primarily cash on hand and bank balances.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F-3</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8</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Reconciliation of movements in liabilities to cash flows from financing activities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reconciliation of liabilities to the cash flows from financing activities required to be disclosed in accordance with IAS 7.44 is as follows: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610"/>
        <w:gridCol w:w="120"/>
        <w:gridCol w:w="125"/>
        <w:gridCol w:w="1170"/>
        <w:gridCol w:w="60"/>
        <w:gridCol w:w="120"/>
        <w:gridCol w:w="60"/>
        <w:gridCol w:w="680"/>
        <w:gridCol w:w="60"/>
        <w:gridCol w:w="120"/>
        <w:gridCol w:w="78"/>
        <w:gridCol w:w="827"/>
        <w:gridCol w:w="60"/>
        <w:gridCol w:w="120"/>
        <w:gridCol w:w="91"/>
        <w:gridCol w:w="859"/>
        <w:gridCol w:w="60"/>
        <w:gridCol w:w="120"/>
        <w:gridCol w:w="60"/>
        <w:gridCol w:w="560"/>
        <w:gridCol w:w="60"/>
        <w:gridCol w:w="120"/>
        <w:gridCol w:w="60"/>
        <w:gridCol w:w="380"/>
        <w:gridCol w:w="60"/>
        <w:gridCol w:w="120"/>
        <w:gridCol w:w="111"/>
        <w:gridCol w:w="1259"/>
        <w:gridCol w:w="75"/>
      </w:tblGrid>
      <w:tr>
        <w:trPr/>
        <w:tc>
          <w:tcPr>
            <w:tcW w:w="26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25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6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9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25" w:type="dxa"/>
            <w:gridSpan w:val="6"/>
            <w:tcBorders/>
            <w:shd w:fill="auto" w:val="clear"/>
            <w:vAlign w:val="center"/>
          </w:tcPr>
          <w:p>
            <w:pPr>
              <w:pStyle w:val="TableContents"/>
              <w:spacing w:before="0" w:after="283"/>
              <w:jc w:val="center"/>
              <w:rPr/>
            </w:pPr>
            <w:r>
              <w:rPr/>
              <w:t>Cash Changes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70" w:type="dxa"/>
            <w:gridSpan w:val="10"/>
            <w:tcBorders/>
            <w:shd w:fill="auto" w:val="clear"/>
            <w:vAlign w:val="center"/>
          </w:tcPr>
          <w:p>
            <w:pPr>
              <w:pStyle w:val="TableContents"/>
              <w:spacing w:before="0" w:after="0"/>
              <w:jc w:val="center"/>
              <w:rPr>
                <w:spacing w:val="0"/>
              </w:rPr>
            </w:pPr>
            <w:r>
              <w:rPr>
                <w:spacing w:val="0"/>
              </w:rPr>
              <w:t>Non-cash</w:t>
            </w:r>
          </w:p>
          <w:p>
            <w:pPr>
              <w:pStyle w:val="TableContents"/>
              <w:spacing w:before="0" w:after="0"/>
              <w:jc w:val="center"/>
              <w:rPr/>
            </w:pPr>
            <w:r>
              <w:rPr/>
              <w:t>changes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7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610"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295" w:type="dxa"/>
            <w:gridSpan w:val="2"/>
            <w:tcBorders/>
            <w:shd w:fill="auto" w:val="clear"/>
            <w:vAlign w:val="center"/>
          </w:tcPr>
          <w:p>
            <w:pPr>
              <w:pStyle w:val="TableContents"/>
              <w:spacing w:before="0" w:after="283"/>
              <w:jc w:val="center"/>
              <w:rPr/>
            </w:pPr>
            <w:r>
              <w:rPr/>
              <w:t>Balance as of</w:t>
              <w:br/>
              <w:t>Jan. 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0" w:type="dxa"/>
            <w:gridSpan w:val="2"/>
            <w:tcBorders/>
            <w:shd w:fill="auto" w:val="clear"/>
            <w:vAlign w:val="center"/>
          </w:tcPr>
          <w:p>
            <w:pPr>
              <w:pStyle w:val="TableContents"/>
              <w:spacing w:before="0" w:after="283"/>
              <w:jc w:val="center"/>
              <w:rPr/>
            </w:pPr>
            <w:r>
              <w:rPr/>
              <w:t>Inflows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5" w:type="dxa"/>
            <w:gridSpan w:val="2"/>
            <w:tcBorders/>
            <w:shd w:fill="auto" w:val="clear"/>
            <w:vAlign w:val="center"/>
          </w:tcPr>
          <w:p>
            <w:pPr>
              <w:pStyle w:val="TableContents"/>
              <w:spacing w:before="0" w:after="283"/>
              <w:jc w:val="center"/>
              <w:rPr/>
            </w:pPr>
            <w:r>
              <w:rPr/>
              <w:t>Outflows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50" w:type="dxa"/>
            <w:gridSpan w:val="2"/>
            <w:tcBorders/>
            <w:shd w:fill="auto" w:val="clear"/>
            <w:vAlign w:val="center"/>
          </w:tcPr>
          <w:p>
            <w:pPr>
              <w:pStyle w:val="TableContents"/>
              <w:spacing w:before="0" w:after="283"/>
              <w:jc w:val="center"/>
              <w:rPr/>
            </w:pPr>
            <w:r>
              <w:rPr/>
              <w:t>Additions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0"/>
              <w:jc w:val="center"/>
              <w:rPr>
                <w:rFonts w:ascii="Times New Roman" w:hAnsi="Times New Roman"/>
                <w:sz w:val="16"/>
              </w:rPr>
            </w:pPr>
            <w:r>
              <w:rPr>
                <w:rFonts w:ascii="Times New Roman" w:hAnsi="Times New Roman"/>
                <w:sz w:val="16"/>
              </w:rPr>
              <w:t>Unpaid</w:t>
            </w:r>
          </w:p>
          <w:p>
            <w:pPr>
              <w:pStyle w:val="TableContents"/>
              <w:spacing w:before="0" w:after="20"/>
              <w:jc w:val="center"/>
              <w:rPr>
                <w:rFonts w:ascii="Times New Roman" w:hAnsi="Times New Roman"/>
                <w:sz w:val="16"/>
              </w:rPr>
            </w:pPr>
            <w:r>
              <w:rPr>
                <w:rFonts w:ascii="Times New Roman" w:hAnsi="Times New Roman"/>
                <w:sz w:val="16"/>
              </w:rPr>
              <w:t>interest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40" w:type="dxa"/>
            <w:gridSpan w:val="2"/>
            <w:tcBorders/>
            <w:shd w:fill="auto" w:val="clear"/>
            <w:vAlign w:val="center"/>
          </w:tcPr>
          <w:p>
            <w:pPr>
              <w:pStyle w:val="TableContents"/>
              <w:spacing w:before="0" w:after="283"/>
              <w:jc w:val="center"/>
              <w:rPr/>
            </w:pPr>
            <w:r>
              <w:rPr/>
              <w:t>FX</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70" w:type="dxa"/>
            <w:gridSpan w:val="2"/>
            <w:tcBorders/>
            <w:shd w:fill="auto" w:val="clear"/>
            <w:vAlign w:val="center"/>
          </w:tcPr>
          <w:p>
            <w:pPr>
              <w:pStyle w:val="TableContents"/>
              <w:spacing w:before="0" w:after="283"/>
              <w:jc w:val="center"/>
              <w:rPr/>
            </w:pPr>
            <w:r>
              <w:rPr/>
              <w:t>Balance as of</w:t>
              <w:br/>
              <w:t>Dec. 31, 2022</w:t>
            </w:r>
          </w:p>
        </w:tc>
        <w:tc>
          <w:tcPr>
            <w:tcW w:w="75" w:type="dxa"/>
            <w:tcBorders/>
            <w:shd w:fill="auto" w:val="clear"/>
            <w:vAlign w:val="center"/>
          </w:tcPr>
          <w:p>
            <w:pPr>
              <w:pStyle w:val="TableContents"/>
              <w:spacing w:before="0" w:after="283"/>
              <w:rPr/>
            </w:pPr>
            <w:r>
              <w:rPr/>
              <w:t> </w:t>
            </w:r>
          </w:p>
        </w:tc>
      </w:tr>
      <w:tr>
        <w:trPr/>
        <w:tc>
          <w:tcPr>
            <w:tcW w:w="26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Short-term loans</w:t>
            </w:r>
          </w:p>
        </w:tc>
        <w:tc>
          <w:tcPr>
            <w:tcW w:w="12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170"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13,110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827"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859"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1,330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80"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1" w:type="dxa"/>
            <w:tcBorders/>
            <w:shd w:fill="CCEEFF" w:val="clear"/>
            <w:vAlign w:val="center"/>
          </w:tcPr>
          <w:p>
            <w:pPr>
              <w:pStyle w:val="TableContents"/>
              <w:spacing w:before="0" w:after="283"/>
              <w:rPr/>
            </w:pPr>
            <w:r>
              <w:rPr/>
              <w:t> </w:t>
            </w:r>
          </w:p>
        </w:tc>
        <w:tc>
          <w:tcPr>
            <w:tcW w:w="1259" w:type="dxa"/>
            <w:tcBorders/>
            <w:shd w:fill="CCEEFF" w:val="clear"/>
            <w:vAlign w:val="center"/>
          </w:tcPr>
          <w:p>
            <w:pPr>
              <w:pStyle w:val="TableContents"/>
              <w:spacing w:before="0" w:after="283"/>
              <w:jc w:val="right"/>
              <w:rPr/>
            </w:pPr>
            <w:r>
              <w:rPr/>
              <w:t>14,440</w:t>
            </w:r>
          </w:p>
        </w:tc>
        <w:tc>
          <w:tcPr>
            <w:tcW w:w="75" w:type="dxa"/>
            <w:tcBorders/>
            <w:shd w:fill="CCEEFF" w:val="clear"/>
            <w:vAlign w:val="center"/>
          </w:tcPr>
          <w:p>
            <w:pPr>
              <w:pStyle w:val="TableContents"/>
              <w:spacing w:before="0" w:after="283"/>
              <w:rPr/>
            </w:pPr>
            <w:r>
              <w:rPr/>
              <w:t> </w:t>
            </w:r>
          </w:p>
        </w:tc>
      </w:tr>
      <w:tr>
        <w:trPr/>
        <w:tc>
          <w:tcPr>
            <w:tcW w:w="26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Lease liabilities</w:t>
            </w:r>
          </w:p>
        </w:tc>
        <w:tc>
          <w:tcPr>
            <w:tcW w:w="12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170" w:type="dxa"/>
            <w:tcBorders/>
            <w:shd w:fill="auto" w:val="clear"/>
            <w:vAlign w:val="center"/>
          </w:tcPr>
          <w:p>
            <w:pPr>
              <w:pStyle w:val="TableContents"/>
              <w:spacing w:before="0" w:after="283"/>
              <w:jc w:val="right"/>
              <w:rPr/>
            </w:pPr>
            <w:r>
              <w:rPr/>
              <w:t>9,027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827" w:type="dxa"/>
            <w:tcBorders/>
            <w:shd w:fill="auto" w:val="clear"/>
            <w:vAlign w:val="center"/>
          </w:tcPr>
          <w:p>
            <w:pPr>
              <w:pStyle w:val="TableContents"/>
              <w:spacing w:before="0" w:after="283"/>
              <w:jc w:val="right"/>
              <w:rPr/>
            </w:pPr>
            <w:r>
              <w:rPr/>
              <w:t>-1,713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859" w:type="dxa"/>
            <w:tcBorders/>
            <w:shd w:fill="auto" w:val="clear"/>
            <w:vAlign w:val="center"/>
          </w:tcPr>
          <w:p>
            <w:pPr>
              <w:pStyle w:val="TableContents"/>
              <w:spacing w:before="0" w:after="283"/>
              <w:jc w:val="right"/>
              <w:rPr/>
            </w:pPr>
            <w:r>
              <w:rPr/>
              <w:t>1,439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183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259" w:type="dxa"/>
            <w:tcBorders/>
            <w:shd w:fill="auto" w:val="clear"/>
            <w:vAlign w:val="center"/>
          </w:tcPr>
          <w:p>
            <w:pPr>
              <w:pStyle w:val="TableContents"/>
              <w:spacing w:before="0" w:after="283"/>
              <w:jc w:val="right"/>
              <w:rPr/>
            </w:pPr>
            <w:r>
              <w:rPr/>
              <w:t>8,942</w:t>
            </w:r>
          </w:p>
        </w:tc>
        <w:tc>
          <w:tcPr>
            <w:tcW w:w="75" w:type="dxa"/>
            <w:tcBorders/>
            <w:shd w:fill="auto" w:val="clear"/>
            <w:vAlign w:val="center"/>
          </w:tcPr>
          <w:p>
            <w:pPr>
              <w:pStyle w:val="TableContents"/>
              <w:spacing w:before="0" w:after="283"/>
              <w:rPr/>
            </w:pPr>
            <w:r>
              <w:rPr/>
              <w:t> </w:t>
            </w:r>
          </w:p>
        </w:tc>
      </w:tr>
      <w:tr>
        <w:trPr/>
        <w:tc>
          <w:tcPr>
            <w:tcW w:w="26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 sundry financial liabilities</w:t>
            </w:r>
          </w:p>
        </w:tc>
        <w:tc>
          <w:tcPr>
            <w:tcW w:w="12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170" w:type="dxa"/>
            <w:tcBorders/>
            <w:shd w:fill="CCEEFF" w:val="clear"/>
            <w:vAlign w:val="center"/>
          </w:tcPr>
          <w:p>
            <w:pPr>
              <w:pStyle w:val="TableContents"/>
              <w:spacing w:before="0" w:after="283"/>
              <w:jc w:val="right"/>
              <w:rPr/>
            </w:pPr>
            <w:r>
              <w:rPr/>
              <w:t>37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420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827" w:type="dxa"/>
            <w:tcBorders/>
            <w:shd w:fill="CCEEFF" w:val="clear"/>
            <w:vAlign w:val="center"/>
          </w:tcPr>
          <w:p>
            <w:pPr>
              <w:pStyle w:val="TableContents"/>
              <w:spacing w:before="0" w:after="283"/>
              <w:jc w:val="right"/>
              <w:rPr/>
            </w:pPr>
            <w:r>
              <w:rPr/>
              <w:t>-137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859" w:type="dxa"/>
            <w:tcBorders/>
            <w:shd w:fill="CCEEFF" w:val="clear"/>
            <w:vAlign w:val="center"/>
          </w:tcPr>
          <w:p>
            <w:pPr>
              <w:pStyle w:val="TableContents"/>
              <w:spacing w:before="0" w:after="283"/>
              <w:jc w:val="right"/>
              <w:rPr/>
            </w:pPr>
            <w:r>
              <w:rPr/>
              <w:t>15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80"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1" w:type="dxa"/>
            <w:tcBorders/>
            <w:shd w:fill="CCEEFF" w:val="clear"/>
            <w:vAlign w:val="center"/>
          </w:tcPr>
          <w:p>
            <w:pPr>
              <w:pStyle w:val="TableContents"/>
              <w:spacing w:before="0" w:after="283"/>
              <w:rPr/>
            </w:pPr>
            <w:r>
              <w:rPr/>
              <w:t> </w:t>
            </w:r>
          </w:p>
        </w:tc>
        <w:tc>
          <w:tcPr>
            <w:tcW w:w="1259" w:type="dxa"/>
            <w:tcBorders/>
            <w:shd w:fill="CCEEFF" w:val="clear"/>
            <w:vAlign w:val="center"/>
          </w:tcPr>
          <w:p>
            <w:pPr>
              <w:pStyle w:val="TableContents"/>
              <w:spacing w:before="0" w:after="283"/>
              <w:jc w:val="right"/>
              <w:rPr/>
            </w:pPr>
            <w:r>
              <w:rPr/>
              <w:t>339</w:t>
            </w:r>
          </w:p>
        </w:tc>
        <w:tc>
          <w:tcPr>
            <w:tcW w:w="75" w:type="dxa"/>
            <w:tcBorders/>
            <w:shd w:fill="CCEEFF" w:val="clear"/>
            <w:vAlign w:val="center"/>
          </w:tcPr>
          <w:p>
            <w:pPr>
              <w:pStyle w:val="TableContents"/>
              <w:spacing w:before="0" w:after="283"/>
              <w:rPr/>
            </w:pPr>
            <w:r>
              <w:rPr/>
              <w:t> </w:t>
            </w:r>
          </w:p>
        </w:tc>
      </w:tr>
      <w:tr>
        <w:trPr/>
        <w:tc>
          <w:tcPr>
            <w:tcW w:w="261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rPr>
                <w:spacing w:val="0"/>
              </w:rPr>
            </w:pPr>
            <w:r>
              <w:rPr>
                <w:spacing w:val="0"/>
              </w:rPr>
              <w:t> </w:t>
            </w:r>
          </w:p>
        </w:tc>
        <w:tc>
          <w:tcPr>
            <w:tcW w:w="1170" w:type="dxa"/>
            <w:tcBorders/>
            <w:shd w:fill="auto" w:val="clear"/>
            <w:vAlign w:val="center"/>
          </w:tcPr>
          <w:p>
            <w:pPr>
              <w:pStyle w:val="TableContents"/>
              <w:spacing w:before="0" w:after="0"/>
              <w:jc w:val="right"/>
              <w:rPr>
                <w:b/>
                <w:spacing w:val="0"/>
              </w:rPr>
            </w:pPr>
            <w:r>
              <w:rPr>
                <w:b/>
                <w:spacing w:val="0"/>
              </w:rPr>
              <w:t>9,064</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680" w:type="dxa"/>
            <w:tcBorders/>
            <w:shd w:fill="auto" w:val="clear"/>
            <w:vAlign w:val="center"/>
          </w:tcPr>
          <w:p>
            <w:pPr>
              <w:pStyle w:val="TableContents"/>
              <w:spacing w:before="0" w:after="0"/>
              <w:jc w:val="right"/>
              <w:rPr>
                <w:b/>
                <w:spacing w:val="0"/>
              </w:rPr>
            </w:pPr>
            <w:r>
              <w:rPr>
                <w:b/>
                <w:spacing w:val="0"/>
              </w:rPr>
              <w:t>13,530</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spacing w:val="0"/>
              </w:rPr>
            </w:pPr>
            <w:r>
              <w:rPr>
                <w:spacing w:val="0"/>
              </w:rPr>
              <w:t> </w:t>
            </w:r>
          </w:p>
        </w:tc>
        <w:tc>
          <w:tcPr>
            <w:tcW w:w="827" w:type="dxa"/>
            <w:tcBorders/>
            <w:shd w:fill="auto" w:val="clear"/>
            <w:vAlign w:val="center"/>
          </w:tcPr>
          <w:p>
            <w:pPr>
              <w:pStyle w:val="TableContents"/>
              <w:spacing w:before="0" w:after="0"/>
              <w:jc w:val="right"/>
              <w:rPr>
                <w:b/>
                <w:spacing w:val="0"/>
              </w:rPr>
            </w:pPr>
            <w:r>
              <w:rPr>
                <w:b/>
                <w:spacing w:val="0"/>
              </w:rPr>
              <w:t>-1,850</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0"/>
              <w:rPr>
                <w:spacing w:val="0"/>
              </w:rPr>
            </w:pPr>
            <w:r>
              <w:rPr>
                <w:spacing w:val="0"/>
              </w:rPr>
              <w:t> </w:t>
            </w:r>
          </w:p>
        </w:tc>
        <w:tc>
          <w:tcPr>
            <w:tcW w:w="859" w:type="dxa"/>
            <w:tcBorders/>
            <w:shd w:fill="auto" w:val="clear"/>
            <w:vAlign w:val="center"/>
          </w:tcPr>
          <w:p>
            <w:pPr>
              <w:pStyle w:val="TableContents"/>
              <w:spacing w:before="0" w:after="0"/>
              <w:jc w:val="right"/>
              <w:rPr>
                <w:b/>
                <w:spacing w:val="0"/>
              </w:rPr>
            </w:pPr>
            <w:r>
              <w:rPr>
                <w:b/>
                <w:spacing w:val="0"/>
              </w:rPr>
              <w:t>1,454</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560" w:type="dxa"/>
            <w:tcBorders/>
            <w:shd w:fill="auto" w:val="clear"/>
            <w:vAlign w:val="center"/>
          </w:tcPr>
          <w:p>
            <w:pPr>
              <w:pStyle w:val="TableContents"/>
              <w:spacing w:before="0" w:after="0"/>
              <w:jc w:val="right"/>
              <w:rPr>
                <w:b/>
                <w:spacing w:val="0"/>
              </w:rPr>
            </w:pPr>
            <w:r>
              <w:rPr>
                <w:b/>
                <w:spacing w:val="0"/>
              </w:rPr>
              <w:t>1,340</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380" w:type="dxa"/>
            <w:tcBorders/>
            <w:shd w:fill="auto" w:val="clear"/>
            <w:vAlign w:val="center"/>
          </w:tcPr>
          <w:p>
            <w:pPr>
              <w:pStyle w:val="TableContents"/>
              <w:spacing w:before="0" w:after="0"/>
              <w:jc w:val="right"/>
              <w:rPr>
                <w:b/>
                <w:spacing w:val="0"/>
              </w:rPr>
            </w:pPr>
            <w:r>
              <w:rPr>
                <w:b/>
                <w:spacing w:val="0"/>
              </w:rPr>
              <w:t>183</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0"/>
              <w:rPr>
                <w:spacing w:val="0"/>
              </w:rPr>
            </w:pPr>
            <w:r>
              <w:rPr>
                <w:spacing w:val="0"/>
              </w:rPr>
              <w:t> </w:t>
            </w:r>
          </w:p>
        </w:tc>
        <w:tc>
          <w:tcPr>
            <w:tcW w:w="1259" w:type="dxa"/>
            <w:tcBorders/>
            <w:shd w:fill="auto" w:val="clear"/>
            <w:vAlign w:val="center"/>
          </w:tcPr>
          <w:p>
            <w:pPr>
              <w:pStyle w:val="TableContents"/>
              <w:spacing w:before="0" w:after="0"/>
              <w:jc w:val="right"/>
              <w:rPr>
                <w:b/>
                <w:spacing w:val="0"/>
              </w:rPr>
            </w:pPr>
            <w:r>
              <w:rPr>
                <w:b/>
                <w:spacing w:val="0"/>
              </w:rPr>
              <w:t>23,721</w:t>
            </w:r>
          </w:p>
        </w:tc>
        <w:tc>
          <w:tcPr>
            <w:tcW w:w="75" w:type="dxa"/>
            <w:tcBorders/>
            <w:shd w:fill="auto" w:val="clear"/>
            <w:vAlign w:val="center"/>
          </w:tcPr>
          <w:p>
            <w:pPr>
              <w:pStyle w:val="TableContents"/>
              <w:spacing w:before="0" w:after="0"/>
              <w:rPr>
                <w:spacing w:val="0"/>
              </w:rPr>
            </w:pPr>
            <w:r>
              <w:rPr>
                <w:spacing w:val="0"/>
              </w:rPr>
              <w:t>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505"/>
        <w:gridCol w:w="120"/>
        <w:gridCol w:w="125"/>
        <w:gridCol w:w="1170"/>
        <w:gridCol w:w="60"/>
        <w:gridCol w:w="120"/>
        <w:gridCol w:w="71"/>
        <w:gridCol w:w="669"/>
        <w:gridCol w:w="60"/>
        <w:gridCol w:w="120"/>
        <w:gridCol w:w="78"/>
        <w:gridCol w:w="827"/>
        <w:gridCol w:w="60"/>
        <w:gridCol w:w="120"/>
        <w:gridCol w:w="91"/>
        <w:gridCol w:w="859"/>
        <w:gridCol w:w="60"/>
        <w:gridCol w:w="120"/>
        <w:gridCol w:w="217"/>
        <w:gridCol w:w="508"/>
        <w:gridCol w:w="60"/>
        <w:gridCol w:w="120"/>
        <w:gridCol w:w="60"/>
        <w:gridCol w:w="380"/>
        <w:gridCol w:w="60"/>
        <w:gridCol w:w="120"/>
        <w:gridCol w:w="132"/>
        <w:gridCol w:w="1238"/>
        <w:gridCol w:w="75"/>
      </w:tblGrid>
      <w:tr>
        <w:trPr/>
        <w:tc>
          <w:tcPr>
            <w:tcW w:w="25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5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9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25" w:type="dxa"/>
            <w:gridSpan w:val="6"/>
            <w:tcBorders/>
            <w:shd w:fill="auto" w:val="clear"/>
            <w:vAlign w:val="center"/>
          </w:tcPr>
          <w:p>
            <w:pPr>
              <w:pStyle w:val="TableContents"/>
              <w:spacing w:before="0" w:after="283"/>
              <w:jc w:val="center"/>
              <w:rPr/>
            </w:pPr>
            <w:r>
              <w:rPr/>
              <w:t>Cash Changes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75" w:type="dxa"/>
            <w:gridSpan w:val="10"/>
            <w:tcBorders/>
            <w:shd w:fill="auto" w:val="clear"/>
            <w:vAlign w:val="center"/>
          </w:tcPr>
          <w:p>
            <w:pPr>
              <w:pStyle w:val="TableContents"/>
              <w:spacing w:before="0" w:after="0"/>
              <w:jc w:val="center"/>
              <w:rPr>
                <w:spacing w:val="0"/>
              </w:rPr>
            </w:pPr>
            <w:r>
              <w:rPr>
                <w:spacing w:val="0"/>
              </w:rPr>
              <w:t>Non-cash</w:t>
            </w:r>
          </w:p>
          <w:p>
            <w:pPr>
              <w:pStyle w:val="TableContents"/>
              <w:spacing w:before="0" w:after="0"/>
              <w:jc w:val="center"/>
              <w:rPr/>
            </w:pPr>
            <w:r>
              <w:rPr/>
              <w:t>changes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7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505"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295" w:type="dxa"/>
            <w:gridSpan w:val="2"/>
            <w:tcBorders/>
            <w:shd w:fill="auto" w:val="clear"/>
            <w:vAlign w:val="center"/>
          </w:tcPr>
          <w:p>
            <w:pPr>
              <w:pStyle w:val="TableContents"/>
              <w:spacing w:before="0" w:after="283"/>
              <w:jc w:val="center"/>
              <w:rPr/>
            </w:pPr>
            <w:r>
              <w:rPr/>
              <w:t>Balance as of</w:t>
              <w:br/>
              <w:t>Jan. 1, 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0" w:type="dxa"/>
            <w:gridSpan w:val="2"/>
            <w:tcBorders/>
            <w:shd w:fill="auto" w:val="clear"/>
            <w:vAlign w:val="center"/>
          </w:tcPr>
          <w:p>
            <w:pPr>
              <w:pStyle w:val="TableContents"/>
              <w:spacing w:before="0" w:after="283"/>
              <w:jc w:val="center"/>
              <w:rPr/>
            </w:pPr>
            <w:r>
              <w:rPr/>
              <w:t>Inflows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5" w:type="dxa"/>
            <w:gridSpan w:val="2"/>
            <w:tcBorders/>
            <w:shd w:fill="auto" w:val="clear"/>
            <w:vAlign w:val="center"/>
          </w:tcPr>
          <w:p>
            <w:pPr>
              <w:pStyle w:val="TableContents"/>
              <w:spacing w:before="0" w:after="283"/>
              <w:jc w:val="center"/>
              <w:rPr/>
            </w:pPr>
            <w:r>
              <w:rPr/>
              <w:t>Outflows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50" w:type="dxa"/>
            <w:gridSpan w:val="2"/>
            <w:tcBorders/>
            <w:shd w:fill="auto" w:val="clear"/>
            <w:vAlign w:val="center"/>
          </w:tcPr>
          <w:p>
            <w:pPr>
              <w:pStyle w:val="TableContents"/>
              <w:spacing w:before="0" w:after="283"/>
              <w:jc w:val="center"/>
              <w:rPr/>
            </w:pPr>
            <w:r>
              <w:rPr/>
              <w:t>Additions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25" w:type="dxa"/>
            <w:gridSpan w:val="2"/>
            <w:tcBorders/>
            <w:shd w:fill="auto" w:val="clear"/>
            <w:vAlign w:val="center"/>
          </w:tcPr>
          <w:p>
            <w:pPr>
              <w:pStyle w:val="TableContents"/>
              <w:spacing w:before="0" w:after="283"/>
              <w:jc w:val="center"/>
              <w:rPr/>
            </w:pPr>
            <w:r>
              <w:rPr/>
              <w:t>Unpaid</w:t>
              <w:br/>
              <w:t>interest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40" w:type="dxa"/>
            <w:gridSpan w:val="2"/>
            <w:tcBorders/>
            <w:shd w:fill="auto" w:val="clear"/>
            <w:vAlign w:val="center"/>
          </w:tcPr>
          <w:p>
            <w:pPr>
              <w:pStyle w:val="TableContents"/>
              <w:spacing w:before="0" w:after="283"/>
              <w:jc w:val="center"/>
              <w:rPr/>
            </w:pPr>
            <w:r>
              <w:rPr/>
              <w:t>FX</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70" w:type="dxa"/>
            <w:gridSpan w:val="2"/>
            <w:tcBorders/>
            <w:shd w:fill="auto" w:val="clear"/>
            <w:vAlign w:val="center"/>
          </w:tcPr>
          <w:p>
            <w:pPr>
              <w:pStyle w:val="TableContents"/>
              <w:spacing w:before="0" w:after="283"/>
              <w:jc w:val="center"/>
              <w:rPr/>
            </w:pPr>
            <w:r>
              <w:rPr/>
              <w:t>Balance as of</w:t>
              <w:br/>
              <w:t>Dec. 31, 2021</w:t>
            </w:r>
          </w:p>
        </w:tc>
        <w:tc>
          <w:tcPr>
            <w:tcW w:w="75" w:type="dxa"/>
            <w:tcBorders/>
            <w:shd w:fill="auto" w:val="clear"/>
            <w:vAlign w:val="center"/>
          </w:tcPr>
          <w:p>
            <w:pPr>
              <w:pStyle w:val="TableContents"/>
              <w:spacing w:before="0" w:after="283"/>
              <w:rPr/>
            </w:pPr>
            <w:r>
              <w:rPr/>
              <w:t> </w:t>
            </w:r>
          </w:p>
        </w:tc>
      </w:tr>
      <w:tr>
        <w:trPr/>
        <w:tc>
          <w:tcPr>
            <w:tcW w:w="25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Short-term loans</w:t>
            </w:r>
          </w:p>
        </w:tc>
        <w:tc>
          <w:tcPr>
            <w:tcW w:w="12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170"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669" w:type="dxa"/>
            <w:tcBorders/>
            <w:shd w:fill="CCEEFF" w:val="clear"/>
            <w:vAlign w:val="center"/>
          </w:tcPr>
          <w:p>
            <w:pPr>
              <w:pStyle w:val="TableContents"/>
              <w:spacing w:before="0" w:after="283"/>
              <w:jc w:val="right"/>
              <w:rPr/>
            </w:pPr>
            <w:r>
              <w:rPr/>
              <w:t>7,500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827" w:type="dxa"/>
            <w:tcBorders/>
            <w:shd w:fill="CCEEFF" w:val="clear"/>
            <w:vAlign w:val="center"/>
          </w:tcPr>
          <w:p>
            <w:pPr>
              <w:pStyle w:val="TableContents"/>
              <w:spacing w:before="0" w:after="283"/>
              <w:jc w:val="right"/>
              <w:rPr/>
            </w:pPr>
            <w:r>
              <w:rPr/>
              <w:t>-7,500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859"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rPr/>
            </w:pPr>
            <w:r>
              <w:rPr/>
              <w:t> </w:t>
            </w:r>
          </w:p>
        </w:tc>
        <w:tc>
          <w:tcPr>
            <w:tcW w:w="508"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80"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2" w:type="dxa"/>
            <w:tcBorders/>
            <w:shd w:fill="CCEEFF" w:val="clear"/>
            <w:vAlign w:val="center"/>
          </w:tcPr>
          <w:p>
            <w:pPr>
              <w:pStyle w:val="TableContents"/>
              <w:spacing w:before="0" w:after="283"/>
              <w:rPr/>
            </w:pPr>
            <w:r>
              <w:rPr/>
              <w:t> </w:t>
            </w:r>
          </w:p>
        </w:tc>
        <w:tc>
          <w:tcPr>
            <w:tcW w:w="1238" w:type="dxa"/>
            <w:tcBorders/>
            <w:shd w:fill="CCEEFF" w:val="clear"/>
            <w:vAlign w:val="center"/>
          </w:tcPr>
          <w:p>
            <w:pPr>
              <w:pStyle w:val="TableContents"/>
              <w:spacing w:before="0" w:after="283"/>
              <w:jc w:val="right"/>
              <w:rPr/>
            </w:pPr>
            <w:r>
              <w:rPr/>
              <w:t>0</w:t>
            </w:r>
          </w:p>
        </w:tc>
        <w:tc>
          <w:tcPr>
            <w:tcW w:w="75" w:type="dxa"/>
            <w:tcBorders/>
            <w:shd w:fill="CCEEFF" w:val="clear"/>
            <w:vAlign w:val="center"/>
          </w:tcPr>
          <w:p>
            <w:pPr>
              <w:pStyle w:val="TableContents"/>
              <w:spacing w:before="0" w:after="283"/>
              <w:rPr/>
            </w:pPr>
            <w:r>
              <w:rPr/>
              <w:t> </w:t>
            </w:r>
          </w:p>
        </w:tc>
      </w:tr>
      <w:tr>
        <w:trPr/>
        <w:tc>
          <w:tcPr>
            <w:tcW w:w="25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Lease liabilities</w:t>
            </w:r>
          </w:p>
        </w:tc>
        <w:tc>
          <w:tcPr>
            <w:tcW w:w="12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170" w:type="dxa"/>
            <w:tcBorders/>
            <w:shd w:fill="auto" w:val="clear"/>
            <w:vAlign w:val="center"/>
          </w:tcPr>
          <w:p>
            <w:pPr>
              <w:pStyle w:val="TableContents"/>
              <w:spacing w:before="0" w:after="283"/>
              <w:jc w:val="right"/>
              <w:rPr/>
            </w:pPr>
            <w:r>
              <w:rPr/>
              <w:t>7,956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669"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827" w:type="dxa"/>
            <w:tcBorders/>
            <w:shd w:fill="auto" w:val="clear"/>
            <w:vAlign w:val="center"/>
          </w:tcPr>
          <w:p>
            <w:pPr>
              <w:pStyle w:val="TableContents"/>
              <w:spacing w:before="0" w:after="283"/>
              <w:jc w:val="right"/>
              <w:rPr/>
            </w:pPr>
            <w:r>
              <w:rPr/>
              <w:t>-1,056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859" w:type="dxa"/>
            <w:tcBorders/>
            <w:shd w:fill="auto" w:val="clear"/>
            <w:vAlign w:val="center"/>
          </w:tcPr>
          <w:p>
            <w:pPr>
              <w:pStyle w:val="TableContents"/>
              <w:spacing w:before="0" w:after="283"/>
              <w:jc w:val="right"/>
              <w:rPr/>
            </w:pPr>
            <w:r>
              <w:rPr/>
              <w:t>1,951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508"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right"/>
              <w:rPr/>
            </w:pPr>
            <w:r>
              <w:rPr/>
              <w:t>176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c>
          <w:tcPr>
            <w:tcW w:w="1238" w:type="dxa"/>
            <w:tcBorders/>
            <w:shd w:fill="auto" w:val="clear"/>
            <w:vAlign w:val="center"/>
          </w:tcPr>
          <w:p>
            <w:pPr>
              <w:pStyle w:val="TableContents"/>
              <w:spacing w:before="0" w:after="283"/>
              <w:jc w:val="right"/>
              <w:rPr/>
            </w:pPr>
            <w:r>
              <w:rPr/>
              <w:t>9,027</w:t>
            </w:r>
          </w:p>
        </w:tc>
        <w:tc>
          <w:tcPr>
            <w:tcW w:w="75" w:type="dxa"/>
            <w:tcBorders/>
            <w:shd w:fill="auto" w:val="clear"/>
            <w:vAlign w:val="center"/>
          </w:tcPr>
          <w:p>
            <w:pPr>
              <w:pStyle w:val="TableContents"/>
              <w:spacing w:before="0" w:after="283"/>
              <w:rPr/>
            </w:pPr>
            <w:r>
              <w:rPr/>
              <w:t> </w:t>
            </w:r>
          </w:p>
        </w:tc>
      </w:tr>
      <w:tr>
        <w:trPr/>
        <w:tc>
          <w:tcPr>
            <w:tcW w:w="25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 sundry financial liabilities</w:t>
            </w:r>
          </w:p>
        </w:tc>
        <w:tc>
          <w:tcPr>
            <w:tcW w:w="12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170"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669"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827"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859" w:type="dxa"/>
            <w:tcBorders/>
            <w:shd w:fill="CCEEFF" w:val="clear"/>
            <w:vAlign w:val="center"/>
          </w:tcPr>
          <w:p>
            <w:pPr>
              <w:pStyle w:val="TableContents"/>
              <w:spacing w:before="0" w:after="283"/>
              <w:jc w:val="right"/>
              <w:rPr/>
            </w:pPr>
            <w:r>
              <w:rPr/>
              <w:t>37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rPr/>
            </w:pPr>
            <w:r>
              <w:rPr/>
              <w:t> </w:t>
            </w:r>
          </w:p>
        </w:tc>
        <w:tc>
          <w:tcPr>
            <w:tcW w:w="508"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80"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2" w:type="dxa"/>
            <w:tcBorders/>
            <w:shd w:fill="CCEEFF" w:val="clear"/>
            <w:vAlign w:val="center"/>
          </w:tcPr>
          <w:p>
            <w:pPr>
              <w:pStyle w:val="TableContents"/>
              <w:spacing w:before="0" w:after="283"/>
              <w:rPr/>
            </w:pPr>
            <w:r>
              <w:rPr/>
              <w:t> </w:t>
            </w:r>
          </w:p>
        </w:tc>
        <w:tc>
          <w:tcPr>
            <w:tcW w:w="1238" w:type="dxa"/>
            <w:tcBorders/>
            <w:shd w:fill="CCEEFF" w:val="clear"/>
            <w:vAlign w:val="center"/>
          </w:tcPr>
          <w:p>
            <w:pPr>
              <w:pStyle w:val="TableContents"/>
              <w:spacing w:before="0" w:after="283"/>
              <w:jc w:val="right"/>
              <w:rPr/>
            </w:pPr>
            <w:r>
              <w:rPr/>
              <w:t>37</w:t>
            </w:r>
          </w:p>
        </w:tc>
        <w:tc>
          <w:tcPr>
            <w:tcW w:w="75" w:type="dxa"/>
            <w:tcBorders/>
            <w:shd w:fill="CCEEFF" w:val="clear"/>
            <w:vAlign w:val="center"/>
          </w:tcPr>
          <w:p>
            <w:pPr>
              <w:pStyle w:val="TableContents"/>
              <w:spacing w:before="0" w:after="283"/>
              <w:rPr/>
            </w:pPr>
            <w:r>
              <w:rPr/>
              <w:t> </w:t>
            </w:r>
          </w:p>
        </w:tc>
      </w:tr>
      <w:tr>
        <w:trPr/>
        <w:tc>
          <w:tcPr>
            <w:tcW w:w="250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Summe</w:t>
            </w:r>
          </w:p>
        </w:tc>
        <w:tc>
          <w:tcPr>
            <w:tcW w:w="12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rPr>
                <w:spacing w:val="0"/>
              </w:rPr>
            </w:pPr>
            <w:r>
              <w:rPr>
                <w:spacing w:val="0"/>
              </w:rPr>
              <w:t> </w:t>
            </w:r>
          </w:p>
        </w:tc>
        <w:tc>
          <w:tcPr>
            <w:tcW w:w="1170" w:type="dxa"/>
            <w:tcBorders/>
            <w:shd w:fill="auto" w:val="clear"/>
            <w:vAlign w:val="center"/>
          </w:tcPr>
          <w:p>
            <w:pPr>
              <w:pStyle w:val="TableContents"/>
              <w:spacing w:before="0" w:after="0"/>
              <w:jc w:val="right"/>
              <w:rPr>
                <w:b/>
                <w:spacing w:val="0"/>
              </w:rPr>
            </w:pPr>
            <w:r>
              <w:rPr>
                <w:b/>
                <w:spacing w:val="0"/>
              </w:rPr>
              <w:t>7,956</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0"/>
              <w:rPr>
                <w:spacing w:val="0"/>
              </w:rPr>
            </w:pPr>
            <w:r>
              <w:rPr>
                <w:spacing w:val="0"/>
              </w:rPr>
              <w:t> </w:t>
            </w:r>
          </w:p>
        </w:tc>
        <w:tc>
          <w:tcPr>
            <w:tcW w:w="669" w:type="dxa"/>
            <w:tcBorders/>
            <w:shd w:fill="auto" w:val="clear"/>
            <w:vAlign w:val="center"/>
          </w:tcPr>
          <w:p>
            <w:pPr>
              <w:pStyle w:val="TableContents"/>
              <w:spacing w:before="0" w:after="0"/>
              <w:jc w:val="right"/>
              <w:rPr>
                <w:b/>
                <w:spacing w:val="0"/>
              </w:rPr>
            </w:pPr>
            <w:r>
              <w:rPr>
                <w:b/>
                <w:spacing w:val="0"/>
              </w:rPr>
              <w:t>7,500</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spacing w:val="0"/>
              </w:rPr>
            </w:pPr>
            <w:r>
              <w:rPr>
                <w:spacing w:val="0"/>
              </w:rPr>
              <w:t> </w:t>
            </w:r>
          </w:p>
        </w:tc>
        <w:tc>
          <w:tcPr>
            <w:tcW w:w="827" w:type="dxa"/>
            <w:tcBorders/>
            <w:shd w:fill="auto" w:val="clear"/>
            <w:vAlign w:val="center"/>
          </w:tcPr>
          <w:p>
            <w:pPr>
              <w:pStyle w:val="TableContents"/>
              <w:spacing w:before="0" w:after="0"/>
              <w:jc w:val="right"/>
              <w:rPr>
                <w:b/>
                <w:spacing w:val="0"/>
              </w:rPr>
            </w:pPr>
            <w:r>
              <w:rPr>
                <w:b/>
                <w:spacing w:val="0"/>
              </w:rPr>
              <w:t>-8,556</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0"/>
              <w:rPr>
                <w:spacing w:val="0"/>
              </w:rPr>
            </w:pPr>
            <w:r>
              <w:rPr>
                <w:spacing w:val="0"/>
              </w:rPr>
              <w:t> </w:t>
            </w:r>
          </w:p>
        </w:tc>
        <w:tc>
          <w:tcPr>
            <w:tcW w:w="859" w:type="dxa"/>
            <w:tcBorders/>
            <w:shd w:fill="auto" w:val="clear"/>
            <w:vAlign w:val="center"/>
          </w:tcPr>
          <w:p>
            <w:pPr>
              <w:pStyle w:val="TableContents"/>
              <w:spacing w:before="0" w:after="0"/>
              <w:jc w:val="right"/>
              <w:rPr>
                <w:b/>
                <w:spacing w:val="0"/>
              </w:rPr>
            </w:pPr>
            <w:r>
              <w:rPr>
                <w:b/>
                <w:spacing w:val="0"/>
              </w:rPr>
              <w:t>1,988</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0"/>
              <w:rPr>
                <w:spacing w:val="0"/>
              </w:rPr>
            </w:pPr>
            <w:r>
              <w:rPr>
                <w:spacing w:val="0"/>
              </w:rPr>
              <w:t> </w:t>
            </w:r>
          </w:p>
        </w:tc>
        <w:tc>
          <w:tcPr>
            <w:tcW w:w="508" w:type="dxa"/>
            <w:tcBorders/>
            <w:shd w:fill="auto" w:val="clear"/>
            <w:vAlign w:val="center"/>
          </w:tcPr>
          <w:p>
            <w:pPr>
              <w:pStyle w:val="TableContents"/>
              <w:spacing w:before="0" w:after="0"/>
              <w:jc w:val="right"/>
              <w:rPr>
                <w:b/>
                <w:spacing w:val="0"/>
              </w:rPr>
            </w:pPr>
            <w:r>
              <w:rPr>
                <w:b/>
                <w:spacing w:val="0"/>
              </w:rPr>
              <w:t>0</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380" w:type="dxa"/>
            <w:tcBorders/>
            <w:shd w:fill="auto" w:val="clear"/>
            <w:vAlign w:val="center"/>
          </w:tcPr>
          <w:p>
            <w:pPr>
              <w:pStyle w:val="TableContents"/>
              <w:spacing w:before="0" w:after="0"/>
              <w:jc w:val="right"/>
              <w:rPr>
                <w:b/>
                <w:spacing w:val="0"/>
              </w:rPr>
            </w:pPr>
            <w:r>
              <w:rPr>
                <w:b/>
                <w:spacing w:val="0"/>
              </w:rPr>
              <w:t>176</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0"/>
              <w:rPr>
                <w:spacing w:val="0"/>
              </w:rPr>
            </w:pPr>
            <w:r>
              <w:rPr>
                <w:spacing w:val="0"/>
              </w:rPr>
              <w:t> </w:t>
            </w:r>
          </w:p>
        </w:tc>
        <w:tc>
          <w:tcPr>
            <w:tcW w:w="1238" w:type="dxa"/>
            <w:tcBorders/>
            <w:shd w:fill="auto" w:val="clear"/>
            <w:vAlign w:val="center"/>
          </w:tcPr>
          <w:p>
            <w:pPr>
              <w:pStyle w:val="TableContents"/>
              <w:spacing w:before="0" w:after="0"/>
              <w:jc w:val="right"/>
              <w:rPr>
                <w:b/>
                <w:spacing w:val="0"/>
              </w:rPr>
            </w:pPr>
            <w:r>
              <w:rPr>
                <w:b/>
                <w:spacing w:val="0"/>
              </w:rPr>
              <w:t>9,064</w:t>
            </w:r>
          </w:p>
        </w:tc>
        <w:tc>
          <w:tcPr>
            <w:tcW w:w="75" w:type="dxa"/>
            <w:tcBorders/>
            <w:shd w:fill="auto" w:val="clear"/>
            <w:vAlign w:val="center"/>
          </w:tcPr>
          <w:p>
            <w:pPr>
              <w:pStyle w:val="TableContents"/>
              <w:spacing w:before="0" w:after="0"/>
              <w:rPr>
                <w:spacing w:val="0"/>
              </w:rPr>
            </w:pPr>
            <w:r>
              <w:rPr>
                <w:spacing w:val="0"/>
              </w:rPr>
              <w:t> </w:t>
            </w:r>
          </w:p>
        </w:tc>
      </w:tr>
    </w:tbl>
    <w:p>
      <w:pPr>
        <w:pStyle w:val="TextBody"/>
        <w:spacing w:before="0" w:after="0"/>
        <w:jc w:val="left"/>
        <w:rPr>
          <w:highlight w:val="white"/>
        </w:rPr>
      </w:pPr>
      <w:r>
        <w:rPr>
          <w:highlight w:val="white"/>
        </w:rPr>
        <w:t> </w:t>
      </w:r>
    </w:p>
    <w:tbl>
      <w:tblPr>
        <w:tblW w:w="10665" w:type="dxa"/>
        <w:jc w:val="left"/>
        <w:tblInd w:w="0" w:type="dxa"/>
        <w:tblCellMar>
          <w:top w:w="0" w:type="dxa"/>
          <w:left w:w="0" w:type="dxa"/>
          <w:bottom w:w="0" w:type="dxa"/>
          <w:right w:w="0" w:type="dxa"/>
        </w:tblCellMar>
      </w:tblPr>
      <w:tblGrid>
        <w:gridCol w:w="1100"/>
        <w:gridCol w:w="120"/>
        <w:gridCol w:w="125"/>
        <w:gridCol w:w="1170"/>
        <w:gridCol w:w="60"/>
        <w:gridCol w:w="120"/>
        <w:gridCol w:w="81"/>
        <w:gridCol w:w="764"/>
        <w:gridCol w:w="60"/>
        <w:gridCol w:w="120"/>
        <w:gridCol w:w="91"/>
        <w:gridCol w:w="859"/>
        <w:gridCol w:w="60"/>
        <w:gridCol w:w="120"/>
        <w:gridCol w:w="80"/>
        <w:gridCol w:w="855"/>
        <w:gridCol w:w="60"/>
        <w:gridCol w:w="120"/>
        <w:gridCol w:w="98"/>
        <w:gridCol w:w="627"/>
        <w:gridCol w:w="60"/>
        <w:gridCol w:w="120"/>
        <w:gridCol w:w="60"/>
        <w:gridCol w:w="335"/>
        <w:gridCol w:w="60"/>
        <w:gridCol w:w="120"/>
        <w:gridCol w:w="137"/>
        <w:gridCol w:w="1458"/>
        <w:gridCol w:w="60"/>
        <w:gridCol w:w="120"/>
        <w:gridCol w:w="132"/>
        <w:gridCol w:w="1238"/>
        <w:gridCol w:w="75"/>
      </w:tblGrid>
      <w:tr>
        <w:trPr/>
        <w:tc>
          <w:tcPr>
            <w:tcW w:w="11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1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9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45" w:type="dxa"/>
            <w:gridSpan w:val="2"/>
            <w:tcBorders/>
            <w:shd w:fill="auto" w:val="clear"/>
            <w:vAlign w:val="center"/>
          </w:tcPr>
          <w:p>
            <w:pPr>
              <w:pStyle w:val="TableContents"/>
              <w:spacing w:before="0" w:after="283"/>
              <w:jc w:val="center"/>
              <w:rPr/>
            </w:pPr>
            <w:r>
              <w:rPr/>
              <w:t>Cash</w:t>
              <w:br/>
              <w:t>Changes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320" w:type="dxa"/>
            <w:gridSpan w:val="18"/>
            <w:tcBorders/>
            <w:shd w:fill="auto" w:val="clear"/>
            <w:vAlign w:val="center"/>
          </w:tcPr>
          <w:p>
            <w:pPr>
              <w:pStyle w:val="TableContents"/>
              <w:spacing w:before="0" w:after="0"/>
              <w:jc w:val="center"/>
              <w:rPr>
                <w:spacing w:val="0"/>
              </w:rPr>
            </w:pPr>
            <w:r>
              <w:rPr>
                <w:spacing w:val="0"/>
              </w:rPr>
              <w:t>Non-cash</w:t>
            </w:r>
          </w:p>
          <w:p>
            <w:pPr>
              <w:pStyle w:val="TableContents"/>
              <w:spacing w:before="0" w:after="0"/>
              <w:jc w:val="center"/>
              <w:rPr/>
            </w:pPr>
            <w:r>
              <w:rPr/>
              <w:t>changes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7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295" w:type="dxa"/>
            <w:gridSpan w:val="2"/>
            <w:tcBorders/>
            <w:shd w:fill="auto" w:val="clear"/>
            <w:vAlign w:val="center"/>
          </w:tcPr>
          <w:p>
            <w:pPr>
              <w:pStyle w:val="TableContents"/>
              <w:spacing w:before="0" w:after="283"/>
              <w:jc w:val="center"/>
              <w:rPr/>
            </w:pPr>
            <w:r>
              <w:rPr/>
              <w:t>Balance as of</w:t>
              <w:br/>
              <w:t>Jan. 1, 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45" w:type="dxa"/>
            <w:gridSpan w:val="2"/>
            <w:tcBorders/>
            <w:shd w:fill="auto" w:val="clear"/>
            <w:vAlign w:val="center"/>
          </w:tcPr>
          <w:p>
            <w:pPr>
              <w:pStyle w:val="TableContents"/>
              <w:spacing w:before="0" w:after="283"/>
              <w:jc w:val="center"/>
              <w:rPr/>
            </w:pPr>
            <w:r>
              <w:rPr/>
              <w:t>Inflows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50" w:type="dxa"/>
            <w:gridSpan w:val="2"/>
            <w:tcBorders/>
            <w:shd w:fill="auto" w:val="clear"/>
            <w:vAlign w:val="center"/>
          </w:tcPr>
          <w:p>
            <w:pPr>
              <w:pStyle w:val="TableContents"/>
              <w:spacing w:before="0" w:after="283"/>
              <w:jc w:val="center"/>
              <w:rPr/>
            </w:pPr>
            <w:r>
              <w:rPr/>
              <w:t>Additions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5" w:type="dxa"/>
            <w:gridSpan w:val="2"/>
            <w:tcBorders/>
            <w:shd w:fill="auto" w:val="clear"/>
            <w:vAlign w:val="center"/>
          </w:tcPr>
          <w:p>
            <w:pPr>
              <w:pStyle w:val="TableContents"/>
              <w:spacing w:before="0" w:after="283"/>
              <w:jc w:val="center"/>
              <w:rPr/>
            </w:pPr>
            <w:r>
              <w:rPr/>
              <w:t>Disposals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25" w:type="dxa"/>
            <w:gridSpan w:val="2"/>
            <w:tcBorders/>
            <w:shd w:fill="auto" w:val="clear"/>
            <w:vAlign w:val="center"/>
          </w:tcPr>
          <w:p>
            <w:pPr>
              <w:pStyle w:val="TableContents"/>
              <w:spacing w:before="0" w:after="283"/>
              <w:jc w:val="center"/>
              <w:rPr/>
            </w:pPr>
            <w:r>
              <w:rPr/>
              <w:t>Unpaid</w:t>
              <w:br/>
              <w:t>interest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5" w:type="dxa"/>
            <w:gridSpan w:val="2"/>
            <w:tcBorders/>
            <w:shd w:fill="auto" w:val="clear"/>
            <w:vAlign w:val="center"/>
          </w:tcPr>
          <w:p>
            <w:pPr>
              <w:pStyle w:val="TableContents"/>
              <w:spacing w:before="0" w:after="283"/>
              <w:jc w:val="center"/>
              <w:rPr/>
            </w:pPr>
            <w:r>
              <w:rPr/>
              <w:t>FX</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95" w:type="dxa"/>
            <w:gridSpan w:val="2"/>
            <w:tcBorders/>
            <w:shd w:fill="auto" w:val="clear"/>
            <w:vAlign w:val="center"/>
          </w:tcPr>
          <w:p>
            <w:pPr>
              <w:pStyle w:val="TableContents"/>
              <w:spacing w:before="0" w:after="283"/>
              <w:jc w:val="center"/>
              <w:rPr/>
            </w:pPr>
            <w:r>
              <w:rPr/>
              <w:t>Reclassifications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70" w:type="dxa"/>
            <w:gridSpan w:val="2"/>
            <w:tcBorders/>
            <w:shd w:fill="auto" w:val="clear"/>
            <w:vAlign w:val="center"/>
          </w:tcPr>
          <w:p>
            <w:pPr>
              <w:pStyle w:val="TableContents"/>
              <w:spacing w:before="0" w:after="283"/>
              <w:jc w:val="center"/>
              <w:rPr/>
            </w:pPr>
            <w:r>
              <w:rPr/>
              <w:t>Balance as of</w:t>
              <w:br/>
              <w:t>Dec. 31, 2020</w:t>
            </w:r>
          </w:p>
        </w:tc>
        <w:tc>
          <w:tcPr>
            <w:tcW w:w="75" w:type="dxa"/>
            <w:tcBorders/>
            <w:shd w:fill="auto" w:val="clear"/>
            <w:vAlign w:val="center"/>
          </w:tcPr>
          <w:p>
            <w:pPr>
              <w:pStyle w:val="TableContents"/>
              <w:spacing w:before="0" w:after="283"/>
              <w:rPr/>
            </w:pPr>
            <w:r>
              <w:rPr/>
              <w:t> </w:t>
            </w:r>
          </w:p>
        </w:tc>
      </w:tr>
      <w:tr>
        <w:trPr/>
        <w:tc>
          <w:tcPr>
            <w:tcW w:w="11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Convertibale bonds</w:t>
            </w:r>
          </w:p>
        </w:tc>
        <w:tc>
          <w:tcPr>
            <w:tcW w:w="12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170"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764" w:type="dxa"/>
            <w:tcBorders/>
            <w:shd w:fill="CCEEFF" w:val="clear"/>
            <w:vAlign w:val="center"/>
          </w:tcPr>
          <w:p>
            <w:pPr>
              <w:pStyle w:val="TableContents"/>
              <w:spacing w:before="0" w:after="283"/>
              <w:jc w:val="right"/>
              <w:rPr/>
            </w:pPr>
            <w:r>
              <w:rPr/>
              <w:t>5,000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859" w:type="dxa"/>
            <w:tcBorders/>
            <w:shd w:fill="CCEEFF" w:val="clear"/>
            <w:vAlign w:val="center"/>
          </w:tcPr>
          <w:p>
            <w:pPr>
              <w:pStyle w:val="TableContents"/>
              <w:spacing w:before="0" w:after="283"/>
              <w:jc w:val="right"/>
              <w:rPr/>
            </w:pPr>
            <w:r>
              <w:rPr/>
              <w:t>5,000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855"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283"/>
              <w:rPr/>
            </w:pPr>
            <w:r>
              <w:rPr/>
              <w:t> </w:t>
            </w:r>
          </w:p>
        </w:tc>
        <w:tc>
          <w:tcPr>
            <w:tcW w:w="627" w:type="dxa"/>
            <w:tcBorders/>
            <w:shd w:fill="CCEEFF" w:val="clear"/>
            <w:vAlign w:val="center"/>
          </w:tcPr>
          <w:p>
            <w:pPr>
              <w:pStyle w:val="TableContents"/>
              <w:spacing w:before="0" w:after="283"/>
              <w:jc w:val="right"/>
              <w:rPr/>
            </w:pPr>
            <w:r>
              <w:rPr/>
              <w:t>500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35"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1458" w:type="dxa"/>
            <w:tcBorders/>
            <w:shd w:fill="CCEEFF" w:val="clear"/>
            <w:vAlign w:val="center"/>
          </w:tcPr>
          <w:p>
            <w:pPr>
              <w:pStyle w:val="TableContents"/>
              <w:spacing w:before="0" w:after="283"/>
              <w:jc w:val="right"/>
              <w:rPr/>
            </w:pPr>
            <w:r>
              <w:rPr/>
              <w:t>-5,500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2" w:type="dxa"/>
            <w:tcBorders/>
            <w:shd w:fill="CCEEFF" w:val="clear"/>
            <w:vAlign w:val="center"/>
          </w:tcPr>
          <w:p>
            <w:pPr>
              <w:pStyle w:val="TableContents"/>
              <w:spacing w:before="0" w:after="283"/>
              <w:rPr/>
            </w:pPr>
            <w:r>
              <w:rPr/>
              <w:t> </w:t>
            </w:r>
          </w:p>
        </w:tc>
        <w:tc>
          <w:tcPr>
            <w:tcW w:w="1238" w:type="dxa"/>
            <w:tcBorders/>
            <w:shd w:fill="CCEEFF" w:val="clear"/>
            <w:vAlign w:val="center"/>
          </w:tcPr>
          <w:p>
            <w:pPr>
              <w:pStyle w:val="TableContents"/>
              <w:spacing w:before="0" w:after="283"/>
              <w:jc w:val="right"/>
              <w:rPr/>
            </w:pPr>
            <w:r>
              <w:rPr/>
              <w:t>0</w:t>
            </w:r>
          </w:p>
        </w:tc>
        <w:tc>
          <w:tcPr>
            <w:tcW w:w="75" w:type="dxa"/>
            <w:tcBorders/>
            <w:shd w:fill="CCEEFF" w:val="cle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Short-term loans</w:t>
            </w:r>
          </w:p>
        </w:tc>
        <w:tc>
          <w:tcPr>
            <w:tcW w:w="12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170"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764"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859" w:type="dxa"/>
            <w:tcBorders/>
            <w:shd w:fill="auto" w:val="clear"/>
            <w:vAlign w:val="center"/>
          </w:tcPr>
          <w:p>
            <w:pPr>
              <w:pStyle w:val="TableContents"/>
              <w:spacing w:before="0" w:after="283"/>
              <w:jc w:val="right"/>
              <w:rPr/>
            </w:pPr>
            <w:r>
              <w:rPr/>
              <w:t>2,500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855" w:type="dxa"/>
            <w:tcBorders/>
            <w:shd w:fill="auto" w:val="clear"/>
            <w:vAlign w:val="center"/>
          </w:tcPr>
          <w:p>
            <w:pPr>
              <w:pStyle w:val="TableContents"/>
              <w:spacing w:before="0" w:after="283"/>
              <w:jc w:val="right"/>
              <w:rPr/>
            </w:pPr>
            <w:r>
              <w:rPr/>
              <w:t>-2,500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627"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458"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c>
          <w:tcPr>
            <w:tcW w:w="1238" w:type="dxa"/>
            <w:tcBorders/>
            <w:shd w:fill="auto" w:val="clear"/>
            <w:vAlign w:val="center"/>
          </w:tcPr>
          <w:p>
            <w:pPr>
              <w:pStyle w:val="TableContents"/>
              <w:spacing w:before="0" w:after="283"/>
              <w:jc w:val="right"/>
              <w:rPr/>
            </w:pPr>
            <w:r>
              <w:rPr/>
              <w:t>0</w:t>
            </w:r>
          </w:p>
        </w:tc>
        <w:tc>
          <w:tcPr>
            <w:tcW w:w="75" w:type="dxa"/>
            <w:tcBorders/>
            <w:shd w:fill="auto" w:val="clear"/>
            <w:vAlign w:val="center"/>
          </w:tcPr>
          <w:p>
            <w:pPr>
              <w:pStyle w:val="TableContents"/>
              <w:spacing w:before="0" w:after="283"/>
              <w:rPr/>
            </w:pPr>
            <w:r>
              <w:rPr/>
              <w:t> </w:t>
            </w:r>
          </w:p>
        </w:tc>
      </w:tr>
      <w:tr>
        <w:trPr/>
        <w:tc>
          <w:tcPr>
            <w:tcW w:w="11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Lease liabilities</w:t>
            </w:r>
          </w:p>
        </w:tc>
        <w:tc>
          <w:tcPr>
            <w:tcW w:w="12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170" w:type="dxa"/>
            <w:tcBorders/>
            <w:shd w:fill="CCEEFF" w:val="clear"/>
            <w:vAlign w:val="center"/>
          </w:tcPr>
          <w:p>
            <w:pPr>
              <w:pStyle w:val="TableContents"/>
              <w:spacing w:before="0" w:after="283"/>
              <w:jc w:val="right"/>
              <w:rPr/>
            </w:pPr>
            <w:r>
              <w:rPr/>
              <w:t>6,762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764" w:type="dxa"/>
            <w:tcBorders/>
            <w:shd w:fill="CCEEFF" w:val="clear"/>
            <w:vAlign w:val="center"/>
          </w:tcPr>
          <w:p>
            <w:pPr>
              <w:pStyle w:val="TableContents"/>
              <w:spacing w:before="0" w:after="283"/>
              <w:jc w:val="right"/>
              <w:rPr/>
            </w:pPr>
            <w:r>
              <w:rPr/>
              <w:t>-675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859" w:type="dxa"/>
            <w:tcBorders/>
            <w:shd w:fill="CCEEFF" w:val="clear"/>
            <w:vAlign w:val="center"/>
          </w:tcPr>
          <w:p>
            <w:pPr>
              <w:pStyle w:val="TableContents"/>
              <w:spacing w:before="0" w:after="283"/>
              <w:jc w:val="right"/>
              <w:rPr/>
            </w:pPr>
            <w:r>
              <w:rPr/>
              <w:t>1,947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855"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283"/>
              <w:rPr/>
            </w:pPr>
            <w:r>
              <w:rPr/>
              <w:t> </w:t>
            </w:r>
          </w:p>
        </w:tc>
        <w:tc>
          <w:tcPr>
            <w:tcW w:w="627"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35" w:type="dxa"/>
            <w:tcBorders/>
            <w:shd w:fill="CCEEFF" w:val="clear"/>
            <w:vAlign w:val="center"/>
          </w:tcPr>
          <w:p>
            <w:pPr>
              <w:pStyle w:val="TableContents"/>
              <w:spacing w:before="0" w:after="283"/>
              <w:jc w:val="right"/>
              <w:rPr/>
            </w:pPr>
            <w:r>
              <w:rPr/>
              <w:t>-78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1458"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2" w:type="dxa"/>
            <w:tcBorders/>
            <w:shd w:fill="CCEEFF" w:val="clear"/>
            <w:vAlign w:val="center"/>
          </w:tcPr>
          <w:p>
            <w:pPr>
              <w:pStyle w:val="TableContents"/>
              <w:spacing w:before="0" w:after="283"/>
              <w:rPr/>
            </w:pPr>
            <w:r>
              <w:rPr/>
              <w:t> </w:t>
            </w:r>
          </w:p>
        </w:tc>
        <w:tc>
          <w:tcPr>
            <w:tcW w:w="1238" w:type="dxa"/>
            <w:tcBorders/>
            <w:shd w:fill="CCEEFF" w:val="clear"/>
            <w:vAlign w:val="center"/>
          </w:tcPr>
          <w:p>
            <w:pPr>
              <w:pStyle w:val="TableContents"/>
              <w:spacing w:before="0" w:after="283"/>
              <w:jc w:val="right"/>
              <w:rPr/>
            </w:pPr>
            <w:r>
              <w:rPr/>
              <w:t>7,956</w:t>
            </w:r>
          </w:p>
        </w:tc>
        <w:tc>
          <w:tcPr>
            <w:tcW w:w="75" w:type="dxa"/>
            <w:tcBorders/>
            <w:shd w:fill="CCEEFF" w:val="cle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Summe</w:t>
            </w:r>
          </w:p>
        </w:tc>
        <w:tc>
          <w:tcPr>
            <w:tcW w:w="12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rPr>
                <w:spacing w:val="0"/>
              </w:rPr>
            </w:pPr>
            <w:r>
              <w:rPr>
                <w:spacing w:val="0"/>
              </w:rPr>
              <w:t> </w:t>
            </w:r>
          </w:p>
        </w:tc>
        <w:tc>
          <w:tcPr>
            <w:tcW w:w="1170" w:type="dxa"/>
            <w:tcBorders/>
            <w:shd w:fill="auto" w:val="clear"/>
            <w:vAlign w:val="center"/>
          </w:tcPr>
          <w:p>
            <w:pPr>
              <w:pStyle w:val="TableContents"/>
              <w:spacing w:before="0" w:after="0"/>
              <w:jc w:val="right"/>
              <w:rPr>
                <w:b/>
                <w:spacing w:val="0"/>
              </w:rPr>
            </w:pPr>
            <w:r>
              <w:rPr>
                <w:b/>
                <w:spacing w:val="0"/>
              </w:rPr>
              <w:t>6,762</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0"/>
              <w:rPr>
                <w:spacing w:val="0"/>
              </w:rPr>
            </w:pPr>
            <w:r>
              <w:rPr>
                <w:spacing w:val="0"/>
              </w:rPr>
              <w:t> </w:t>
            </w:r>
          </w:p>
        </w:tc>
        <w:tc>
          <w:tcPr>
            <w:tcW w:w="764" w:type="dxa"/>
            <w:tcBorders/>
            <w:shd w:fill="auto" w:val="clear"/>
            <w:vAlign w:val="center"/>
          </w:tcPr>
          <w:p>
            <w:pPr>
              <w:pStyle w:val="TableContents"/>
              <w:spacing w:before="0" w:after="0"/>
              <w:jc w:val="right"/>
              <w:rPr>
                <w:b/>
                <w:spacing w:val="0"/>
              </w:rPr>
            </w:pPr>
            <w:r>
              <w:rPr>
                <w:b/>
                <w:spacing w:val="0"/>
              </w:rPr>
              <w:t>4,325</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0"/>
              <w:rPr>
                <w:spacing w:val="0"/>
              </w:rPr>
            </w:pPr>
            <w:r>
              <w:rPr>
                <w:spacing w:val="0"/>
              </w:rPr>
              <w:t> </w:t>
            </w:r>
          </w:p>
        </w:tc>
        <w:tc>
          <w:tcPr>
            <w:tcW w:w="859" w:type="dxa"/>
            <w:tcBorders/>
            <w:shd w:fill="auto" w:val="clear"/>
            <w:vAlign w:val="center"/>
          </w:tcPr>
          <w:p>
            <w:pPr>
              <w:pStyle w:val="TableContents"/>
              <w:spacing w:before="0" w:after="0"/>
              <w:jc w:val="right"/>
              <w:rPr>
                <w:b/>
                <w:spacing w:val="0"/>
              </w:rPr>
            </w:pPr>
            <w:r>
              <w:rPr>
                <w:b/>
                <w:spacing w:val="0"/>
              </w:rPr>
              <w:t>9,447</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0"/>
              <w:rPr>
                <w:spacing w:val="0"/>
              </w:rPr>
            </w:pPr>
            <w:r>
              <w:rPr>
                <w:spacing w:val="0"/>
              </w:rPr>
              <w:t> </w:t>
            </w:r>
          </w:p>
        </w:tc>
        <w:tc>
          <w:tcPr>
            <w:tcW w:w="855" w:type="dxa"/>
            <w:tcBorders/>
            <w:shd w:fill="auto" w:val="clear"/>
            <w:vAlign w:val="center"/>
          </w:tcPr>
          <w:p>
            <w:pPr>
              <w:pStyle w:val="TableContents"/>
              <w:spacing w:before="0" w:after="0"/>
              <w:jc w:val="right"/>
              <w:rPr>
                <w:b/>
                <w:spacing w:val="0"/>
              </w:rPr>
            </w:pPr>
            <w:r>
              <w:rPr>
                <w:b/>
                <w:spacing w:val="0"/>
              </w:rPr>
              <w:t>-2,500</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0"/>
              <w:rPr>
                <w:spacing w:val="0"/>
              </w:rPr>
            </w:pPr>
            <w:r>
              <w:rPr>
                <w:spacing w:val="0"/>
              </w:rPr>
              <w:t> </w:t>
            </w:r>
          </w:p>
        </w:tc>
        <w:tc>
          <w:tcPr>
            <w:tcW w:w="627" w:type="dxa"/>
            <w:tcBorders/>
            <w:shd w:fill="auto" w:val="clear"/>
            <w:vAlign w:val="center"/>
          </w:tcPr>
          <w:p>
            <w:pPr>
              <w:pStyle w:val="TableContents"/>
              <w:spacing w:before="0" w:after="0"/>
              <w:jc w:val="right"/>
              <w:rPr>
                <w:b/>
                <w:spacing w:val="0"/>
              </w:rPr>
            </w:pPr>
            <w:r>
              <w:rPr>
                <w:b/>
                <w:spacing w:val="0"/>
              </w:rPr>
              <w:t>500</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335" w:type="dxa"/>
            <w:tcBorders/>
            <w:shd w:fill="auto" w:val="clear"/>
            <w:vAlign w:val="center"/>
          </w:tcPr>
          <w:p>
            <w:pPr>
              <w:pStyle w:val="TableContents"/>
              <w:spacing w:before="0" w:after="0"/>
              <w:jc w:val="right"/>
              <w:rPr>
                <w:b/>
                <w:spacing w:val="0"/>
              </w:rPr>
            </w:pPr>
            <w:r>
              <w:rPr>
                <w:b/>
                <w:spacing w:val="0"/>
              </w:rPr>
              <w:t>-78</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0"/>
              <w:rPr>
                <w:spacing w:val="0"/>
              </w:rPr>
            </w:pPr>
            <w:r>
              <w:rPr>
                <w:spacing w:val="0"/>
              </w:rPr>
              <w:t> </w:t>
            </w:r>
          </w:p>
        </w:tc>
        <w:tc>
          <w:tcPr>
            <w:tcW w:w="1458" w:type="dxa"/>
            <w:tcBorders/>
            <w:shd w:fill="auto" w:val="clear"/>
            <w:vAlign w:val="center"/>
          </w:tcPr>
          <w:p>
            <w:pPr>
              <w:pStyle w:val="TableContents"/>
              <w:spacing w:before="0" w:after="0"/>
              <w:jc w:val="right"/>
              <w:rPr>
                <w:b/>
                <w:spacing w:val="0"/>
              </w:rPr>
            </w:pPr>
            <w:r>
              <w:rPr>
                <w:b/>
                <w:spacing w:val="0"/>
              </w:rPr>
              <w:t>-5,500</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0"/>
              <w:rPr>
                <w:spacing w:val="0"/>
              </w:rPr>
            </w:pPr>
            <w:r>
              <w:rPr>
                <w:spacing w:val="0"/>
              </w:rPr>
              <w:t> </w:t>
            </w:r>
          </w:p>
        </w:tc>
        <w:tc>
          <w:tcPr>
            <w:tcW w:w="1238" w:type="dxa"/>
            <w:tcBorders/>
            <w:shd w:fill="auto" w:val="clear"/>
            <w:vAlign w:val="center"/>
          </w:tcPr>
          <w:p>
            <w:pPr>
              <w:pStyle w:val="TableContents"/>
              <w:spacing w:before="0" w:after="0"/>
              <w:jc w:val="right"/>
              <w:rPr>
                <w:b/>
                <w:spacing w:val="0"/>
              </w:rPr>
            </w:pPr>
            <w:r>
              <w:rPr>
                <w:b/>
                <w:spacing w:val="0"/>
              </w:rPr>
              <w:t>7,956</w:t>
            </w:r>
          </w:p>
        </w:tc>
        <w:tc>
          <w:tcPr>
            <w:tcW w:w="75" w:type="dxa"/>
            <w:tcBorders/>
            <w:shd w:fill="auto" w:val="clear"/>
            <w:vAlign w:val="center"/>
          </w:tcPr>
          <w:p>
            <w:pPr>
              <w:pStyle w:val="TableContents"/>
              <w:spacing w:before="0" w:after="0"/>
              <w:rPr>
                <w:spacing w:val="0"/>
              </w:rPr>
            </w:pPr>
            <w:r>
              <w:rPr>
                <w:spacing w:val="0"/>
              </w:rPr>
              <w:t> </w:t>
            </w:r>
          </w:p>
        </w:tc>
      </w:tr>
    </w:tbl>
    <w:p>
      <w:pPr>
        <w:pStyle w:val="TextBody"/>
        <w:spacing w:before="360" w:after="0"/>
        <w:jc w:val="both"/>
        <w:rPr>
          <w:rFonts w:ascii="Times New Roman" w:hAnsi="Times New Roman"/>
          <w:b/>
          <w:sz w:val="20"/>
          <w:highlight w:val="white"/>
        </w:rPr>
      </w:pPr>
      <w:r>
        <w:rPr>
          <w:rFonts w:ascii="Times New Roman" w:hAnsi="Times New Roman"/>
          <w:b/>
          <w:sz w:val="20"/>
          <w:highlight w:val="white"/>
        </w:rPr>
        <w:t xml:space="preserve">32. Related Party Disclosures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In accordance with IAS 24 (Related Party Disclosures), persons or companies which are influenced by the reporting entity or which can exert influence on the reporting entity must be disclosed unless such parties are already included in the consolidated financial statements as a consolidated company. Key management personnel consist of the members of the Management and the Supervisory boards. </w:t>
      </w:r>
    </w:p>
    <w:p>
      <w:pPr>
        <w:pStyle w:val="TextBody"/>
        <w:spacing w:before="0" w:after="0"/>
        <w:jc w:val="both"/>
        <w:rPr>
          <w:highlight w:val="white"/>
        </w:rPr>
      </w:pPr>
      <w:r>
        <w:rPr>
          <w:highlight w:val="white"/>
        </w:rPr>
        <w:t> </w:t>
      </w:r>
    </w:p>
    <w:tbl>
      <w:tblPr>
        <w:tblW w:w="2830" w:type="dxa"/>
        <w:jc w:val="left"/>
        <w:tblInd w:w="0" w:type="dxa"/>
        <w:tblCellMar>
          <w:top w:w="0" w:type="dxa"/>
          <w:left w:w="0" w:type="dxa"/>
          <w:bottom w:w="0" w:type="dxa"/>
          <w:right w:w="0" w:type="dxa"/>
        </w:tblCellMar>
      </w:tblPr>
      <w:tblGrid>
        <w:gridCol w:w="515"/>
        <w:gridCol w:w="2315"/>
      </w:tblGrid>
      <w:tr>
        <w:trPr/>
        <w:tc>
          <w:tcPr>
            <w:tcW w:w="515" w:type="dxa"/>
            <w:tcBorders/>
            <w:shd w:fill="auto" w:val="clear"/>
            <w:vAlign w:val="center"/>
          </w:tcPr>
          <w:p>
            <w:pPr>
              <w:pStyle w:val="TableContents"/>
              <w:spacing w:before="0" w:after="0"/>
              <w:jc w:val="both"/>
              <w:rPr>
                <w:b/>
                <w:spacing w:val="0"/>
              </w:rPr>
            </w:pPr>
            <w:r>
              <w:rPr>
                <w:b/>
                <w:spacing w:val="0"/>
              </w:rPr>
              <w:t>32.1.</w:t>
            </w:r>
          </w:p>
        </w:tc>
        <w:tc>
          <w:tcPr>
            <w:tcW w:w="2315"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Related party transactions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following entities are deemed to be related parties of the Company: </w:t>
      </w:r>
    </w:p>
    <w:p>
      <w:pPr>
        <w:pStyle w:val="TextBody"/>
        <w:spacing w:before="0" w:after="0"/>
        <w:jc w:val="both"/>
        <w:rPr>
          <w:highlight w:val="white"/>
        </w:rPr>
      </w:pPr>
      <w:r>
        <w:rPr>
          <w:highlight w:val="white"/>
        </w:rPr>
        <w:t> </w:t>
      </w:r>
    </w:p>
    <w:tbl>
      <w:tblPr>
        <w:tblW w:w="7030" w:type="dxa"/>
        <w:jc w:val="left"/>
        <w:tblInd w:w="0" w:type="dxa"/>
        <w:tblCellMar>
          <w:top w:w="0" w:type="dxa"/>
          <w:left w:w="0" w:type="dxa"/>
          <w:bottom w:w="0" w:type="dxa"/>
          <w:right w:w="0" w:type="dxa"/>
        </w:tblCellMar>
      </w:tblPr>
      <w:tblGrid>
        <w:gridCol w:w="75"/>
        <w:gridCol w:w="110"/>
        <w:gridCol w:w="60"/>
        <w:gridCol w:w="6785"/>
      </w:tblGrid>
      <w:tr>
        <w:trPr/>
        <w:tc>
          <w:tcPr>
            <w:tcW w:w="75" w:type="dxa"/>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283"/>
              <w:jc w:val="both"/>
              <w:rPr/>
            </w:pPr>
            <w:r>
              <w:rPr/>
              <w:t>•</w:t>
            </w:r>
          </w:p>
        </w:tc>
        <w:tc>
          <w:tcPr>
            <w:tcW w:w="60" w:type="dxa"/>
            <w:tcBorders/>
            <w:shd w:fill="auto" w:val="clear"/>
            <w:vAlign w:val="center"/>
          </w:tcPr>
          <w:p>
            <w:pPr>
              <w:pStyle w:val="TableContents"/>
              <w:spacing w:before="0" w:after="283"/>
              <w:jc w:val="both"/>
              <w:rPr/>
            </w:pPr>
            <w:r>
              <w:rPr/>
              <w:t> </w:t>
            </w:r>
          </w:p>
        </w:tc>
        <w:tc>
          <w:tcPr>
            <w:tcW w:w="678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MCConsult Dr. Peschko, Gilching (previously: Adelanto management services s.I.) </w:t>
            </w:r>
          </w:p>
        </w:tc>
      </w:tr>
    </w:tbl>
    <w:p>
      <w:pPr>
        <w:pStyle w:val="TextBody"/>
        <w:spacing w:before="0" w:after="0"/>
        <w:jc w:val="both"/>
        <w:rPr>
          <w:highlight w:val="white"/>
        </w:rPr>
      </w:pPr>
      <w:r>
        <w:rPr>
          <w:highlight w:val="white"/>
        </w:rPr>
        <w:t> </w:t>
      </w:r>
    </w:p>
    <w:tbl>
      <w:tblPr>
        <w:tblW w:w="2725" w:type="dxa"/>
        <w:jc w:val="left"/>
        <w:tblInd w:w="0" w:type="dxa"/>
        <w:tblCellMar>
          <w:top w:w="0" w:type="dxa"/>
          <w:left w:w="0" w:type="dxa"/>
          <w:bottom w:w="0" w:type="dxa"/>
          <w:right w:w="0" w:type="dxa"/>
        </w:tblCellMar>
      </w:tblPr>
      <w:tblGrid>
        <w:gridCol w:w="75"/>
        <w:gridCol w:w="110"/>
        <w:gridCol w:w="60"/>
        <w:gridCol w:w="2480"/>
      </w:tblGrid>
      <w:tr>
        <w:trPr/>
        <w:tc>
          <w:tcPr>
            <w:tcW w:w="75" w:type="dxa"/>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283"/>
              <w:jc w:val="both"/>
              <w:rPr/>
            </w:pPr>
            <w:r>
              <w:rPr/>
              <w:t>•</w:t>
            </w:r>
          </w:p>
        </w:tc>
        <w:tc>
          <w:tcPr>
            <w:tcW w:w="60" w:type="dxa"/>
            <w:tcBorders/>
            <w:shd w:fill="auto" w:val="clear"/>
            <w:vAlign w:val="center"/>
          </w:tcPr>
          <w:p>
            <w:pPr>
              <w:pStyle w:val="TableContents"/>
              <w:spacing w:before="0" w:after="283"/>
              <w:jc w:val="both"/>
              <w:rPr/>
            </w:pPr>
            <w:r>
              <w:rPr/>
              <w:t> </w:t>
            </w:r>
          </w:p>
        </w:tc>
        <w:tc>
          <w:tcPr>
            <w:tcW w:w="248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Pinsent Masons LLP, Munich </w:t>
            </w:r>
          </w:p>
        </w:tc>
      </w:tr>
    </w:tbl>
    <w:p>
      <w:pPr>
        <w:pStyle w:val="TextBody"/>
        <w:spacing w:before="0" w:after="0"/>
        <w:jc w:val="both"/>
        <w:rPr>
          <w:highlight w:val="white"/>
        </w:rPr>
      </w:pPr>
      <w:r>
        <w:rPr>
          <w:highlight w:val="white"/>
        </w:rPr>
        <w:t> </w:t>
      </w:r>
    </w:p>
    <w:tbl>
      <w:tblPr>
        <w:tblW w:w="2860" w:type="dxa"/>
        <w:jc w:val="left"/>
        <w:tblInd w:w="0" w:type="dxa"/>
        <w:tblCellMar>
          <w:top w:w="0" w:type="dxa"/>
          <w:left w:w="0" w:type="dxa"/>
          <w:bottom w:w="0" w:type="dxa"/>
          <w:right w:w="0" w:type="dxa"/>
        </w:tblCellMar>
      </w:tblPr>
      <w:tblGrid>
        <w:gridCol w:w="75"/>
        <w:gridCol w:w="110"/>
        <w:gridCol w:w="60"/>
        <w:gridCol w:w="2615"/>
      </w:tblGrid>
      <w:tr>
        <w:trPr/>
        <w:tc>
          <w:tcPr>
            <w:tcW w:w="75" w:type="dxa"/>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283"/>
              <w:jc w:val="both"/>
              <w:rPr/>
            </w:pPr>
            <w:r>
              <w:rPr/>
              <w:t>•</w:t>
            </w:r>
          </w:p>
        </w:tc>
        <w:tc>
          <w:tcPr>
            <w:tcW w:w="60" w:type="dxa"/>
            <w:tcBorders/>
            <w:shd w:fill="auto" w:val="clear"/>
            <w:vAlign w:val="center"/>
          </w:tcPr>
          <w:p>
            <w:pPr>
              <w:pStyle w:val="TableContents"/>
              <w:spacing w:before="0" w:after="283"/>
              <w:jc w:val="both"/>
              <w:rPr/>
            </w:pPr>
            <w:r>
              <w:rPr/>
              <w:t> </w:t>
            </w:r>
          </w:p>
        </w:tc>
        <w:tc>
          <w:tcPr>
            <w:tcW w:w="261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Apeiron Investment Group Ltd. </w:t>
            </w:r>
          </w:p>
        </w:tc>
      </w:tr>
    </w:tbl>
    <w:p>
      <w:pPr>
        <w:pStyle w:val="TextBody"/>
        <w:spacing w:before="0" w:after="0"/>
        <w:jc w:val="both"/>
        <w:rPr>
          <w:highlight w:val="white"/>
        </w:rPr>
      </w:pPr>
      <w:r>
        <w:rPr>
          <w:highlight w:val="white"/>
        </w:rPr>
        <w:t> </w:t>
      </w:r>
    </w:p>
    <w:tbl>
      <w:tblPr>
        <w:tblW w:w="2155" w:type="dxa"/>
        <w:jc w:val="left"/>
        <w:tblInd w:w="0" w:type="dxa"/>
        <w:tblCellMar>
          <w:top w:w="0" w:type="dxa"/>
          <w:left w:w="0" w:type="dxa"/>
          <w:bottom w:w="0" w:type="dxa"/>
          <w:right w:w="0" w:type="dxa"/>
        </w:tblCellMar>
      </w:tblPr>
      <w:tblGrid>
        <w:gridCol w:w="75"/>
        <w:gridCol w:w="110"/>
        <w:gridCol w:w="60"/>
        <w:gridCol w:w="1910"/>
      </w:tblGrid>
      <w:tr>
        <w:trPr/>
        <w:tc>
          <w:tcPr>
            <w:tcW w:w="75" w:type="dxa"/>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283"/>
              <w:jc w:val="both"/>
              <w:rPr/>
            </w:pPr>
            <w:r>
              <w:rPr/>
              <w:t>•</w:t>
            </w:r>
          </w:p>
        </w:tc>
        <w:tc>
          <w:tcPr>
            <w:tcW w:w="60" w:type="dxa"/>
            <w:tcBorders/>
            <w:shd w:fill="auto" w:val="clear"/>
            <w:vAlign w:val="center"/>
          </w:tcPr>
          <w:p>
            <w:pPr>
              <w:pStyle w:val="TableContents"/>
              <w:spacing w:before="0" w:after="283"/>
              <w:jc w:val="both"/>
              <w:rPr/>
            </w:pPr>
            <w:r>
              <w:rPr/>
              <w:t> </w:t>
            </w:r>
          </w:p>
        </w:tc>
        <w:tc>
          <w:tcPr>
            <w:tcW w:w="191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Apeiron Advisory Ltd. </w:t>
            </w:r>
          </w:p>
        </w:tc>
      </w:tr>
    </w:tbl>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MCConsult Dr. Peschko, Gilching (previously: Adelanto management services s.I.)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MCConsult Dr. Peschko is a company owned by Dr. Wolfram Peschko, a former Management Board member who resigned in fiscal year 2020, which provides advisory services for the Company. During the year ended December 31, 2022, related party expenses involving MCConsult Dr. Peschko amounted to €93 thousand. As of December 31, 2022, the Group does not have any outstanding liabilities due to MCConsult Dr. Peschko. </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Pinsent Masons LLP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Pinsent Masons LLP is a law firm in which Mr. Mayrhofer, a former member of the Supervisory Board who resigned in fiscal year 2020, is a partner which provides legal advisory services for the companies of the Group. During the year ended December 31, 2022, related party expenses involving Pinsent Masons LLP amounted to €5 thousand. As of December 31, 2022, the Group does not have any outstanding liabilities due to Pinsent Masons LLP. </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Apeiron Investment Group Ltd.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Apeiron Investment Group Ltd. (“Apeiron”), a shareholder of Mynaric AG, and Bulent Altan, the Chief Executive Officer and a member of the management board of Mynaric AG, entered into an option agreement, dated August 13, 2019 (as amended), under which Apeiron granted Mr. Altan the right to acquire 56,700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no-par</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F-3</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9</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both"/>
        <w:rPr>
          <w:rFonts w:ascii="Times New Roman" w:hAnsi="Times New Roman"/>
          <w:sz w:val="20"/>
          <w:highlight w:val="white"/>
        </w:rPr>
      </w:pPr>
      <w:r>
        <w:rPr>
          <w:rFonts w:ascii="Times New Roman" w:hAnsi="Times New Roman"/>
          <w:sz w:val="20"/>
          <w:highlight w:val="white"/>
        </w:rPr>
        <w:t xml:space="preserve">value bearer shares of the Company at a price of €25.00 per share (the “Altan Option Agreement”). Under the Altan Option Agreement, Mr. Altan was initially entitled to exercise the option during a four-week exercise period following written notice by Apeiron that certain conditions precedent under the agreement have been met (the “Initial Exercise Period”). While the Initial Exercise Period would have expired in December 2020, Apeiron and Mr. Altan agreed to extend the exercise period under the Altan Option Agreement to December 31, 2022. The option was not exercised. </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Apeiron Advisory Ltd.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Apeiron Advisory Ltd. (“Apeiron”), Sliema, Malta, and the Mynaric AG have concluded a contract as of March 25, 2022. According to the contract, Apeiron will provide the Group with political and strategic advisory, supporting its management team in building a relevant network of decision makers, thought leaders and institutional investors, as well as navigating government and international affairs. Vincent Wobbe, member of the Group’s supervisory board, is considered a related party due to his employment with the Apeiron Investment Group Ltd. As of December 31, 2022, the Group recognized expenses in the amount of €480 thousand and a liability in the amount of €30 thousand. </w:t>
      </w:r>
    </w:p>
    <w:p>
      <w:pPr>
        <w:pStyle w:val="TextBody"/>
        <w:spacing w:before="0" w:after="0"/>
        <w:jc w:val="both"/>
        <w:rPr>
          <w:highlight w:val="white"/>
        </w:rPr>
      </w:pPr>
      <w:r>
        <w:rPr>
          <w:highlight w:val="white"/>
        </w:rPr>
        <w:t> </w:t>
      </w:r>
    </w:p>
    <w:tbl>
      <w:tblPr>
        <w:tblW w:w="5185" w:type="dxa"/>
        <w:jc w:val="left"/>
        <w:tblInd w:w="0" w:type="dxa"/>
        <w:tblCellMar>
          <w:top w:w="0" w:type="dxa"/>
          <w:left w:w="0" w:type="dxa"/>
          <w:bottom w:w="0" w:type="dxa"/>
          <w:right w:w="0" w:type="dxa"/>
        </w:tblCellMar>
      </w:tblPr>
      <w:tblGrid>
        <w:gridCol w:w="515"/>
        <w:gridCol w:w="4670"/>
      </w:tblGrid>
      <w:tr>
        <w:trPr/>
        <w:tc>
          <w:tcPr>
            <w:tcW w:w="515" w:type="dxa"/>
            <w:tcBorders/>
            <w:shd w:fill="auto" w:val="clear"/>
            <w:vAlign w:val="center"/>
          </w:tcPr>
          <w:p>
            <w:pPr>
              <w:pStyle w:val="TableContents"/>
              <w:spacing w:before="0" w:after="0"/>
              <w:jc w:val="both"/>
              <w:rPr>
                <w:b/>
                <w:spacing w:val="0"/>
              </w:rPr>
            </w:pPr>
            <w:r>
              <w:rPr>
                <w:b/>
                <w:spacing w:val="0"/>
              </w:rPr>
              <w:t>32.2.</w:t>
            </w:r>
          </w:p>
        </w:tc>
        <w:tc>
          <w:tcPr>
            <w:tcW w:w="4670"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Remuneration for members of the Management Board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Supervisory Board determines the total remuneration for members of the Management Board. It also reviews and resolves upon the remuneration system as well as the appropriateness of the total compensation of the respective Management Board members, including the significant contractual elements.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objective of the remuneration of the Management Board is to provide an adequate compensation for personal performance – considering the Company’s economic performance – and to provide an incentive for successful corporate governance. In this context, the remuneration is in line with the Company’s size as well as industry- and country-specific standards.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remuneration for Management Board members consists of three components: </w:t>
      </w:r>
    </w:p>
    <w:p>
      <w:pPr>
        <w:pStyle w:val="TextBody"/>
        <w:spacing w:before="0" w:after="0"/>
        <w:jc w:val="left"/>
        <w:rPr>
          <w:highlight w:val="white"/>
        </w:rPr>
      </w:pPr>
      <w:r>
        <w:rPr>
          <w:highlight w:val="white"/>
        </w:rPr>
        <w:t> </w:t>
      </w:r>
    </w:p>
    <w:tbl>
      <w:tblPr>
        <w:tblW w:w="3160" w:type="dxa"/>
        <w:jc w:val="left"/>
        <w:tblInd w:w="0" w:type="dxa"/>
        <w:tblCellMar>
          <w:top w:w="0" w:type="dxa"/>
          <w:left w:w="0" w:type="dxa"/>
          <w:bottom w:w="0" w:type="dxa"/>
          <w:right w:w="0" w:type="dxa"/>
        </w:tblCellMar>
      </w:tblPr>
      <w:tblGrid>
        <w:gridCol w:w="75"/>
        <w:gridCol w:w="110"/>
        <w:gridCol w:w="60"/>
        <w:gridCol w:w="29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w:t>
            </w:r>
          </w:p>
          <w:p>
            <w:pPr>
              <w:pStyle w:val="TableContents"/>
              <w:spacing w:before="0" w:after="0"/>
              <w:jc w:val="left"/>
              <w:rPr>
                <w:rFonts w:ascii="Times New Roman" w:hAnsi="Times New Roman"/>
                <w:spacing w:val="0"/>
                <w:sz w:val="20"/>
              </w:rPr>
            </w:pPr>
            <w:r>
              <w:rPr>
                <w:rFonts w:ascii="Times New Roman" w:hAnsi="Times New Roman"/>
                <w:spacing w:val="0"/>
                <w:sz w:val="20"/>
              </w:rPr>
              <w:t>non-performance-related</w:t>
            </w:r>
          </w:p>
          <w:p>
            <w:pPr>
              <w:pStyle w:val="TableContents"/>
              <w:spacing w:before="0" w:after="0"/>
              <w:jc w:val="left"/>
              <w:rPr>
                <w:rFonts w:ascii="Times New Roman" w:hAnsi="Times New Roman"/>
                <w:sz w:val="20"/>
              </w:rPr>
            </w:pPr>
            <w:r>
              <w:rPr>
                <w:rFonts w:ascii="Times New Roman" w:hAnsi="Times New Roman"/>
                <w:sz w:val="20"/>
              </w:rPr>
              <w:t xml:space="preserve">remuneration (fixed remuneration), </w:t>
            </w:r>
          </w:p>
        </w:tc>
      </w:tr>
    </w:tbl>
    <w:p>
      <w:pPr>
        <w:pStyle w:val="TextBody"/>
        <w:spacing w:before="0" w:after="0"/>
        <w:jc w:val="left"/>
        <w:rPr>
          <w:highlight w:val="white"/>
        </w:rPr>
      </w:pPr>
      <w:r>
        <w:rPr>
          <w:highlight w:val="white"/>
        </w:rPr>
        <w:t> </w:t>
      </w:r>
    </w:p>
    <w:tbl>
      <w:tblPr>
        <w:tblW w:w="2695" w:type="dxa"/>
        <w:jc w:val="left"/>
        <w:tblInd w:w="0" w:type="dxa"/>
        <w:tblCellMar>
          <w:top w:w="0" w:type="dxa"/>
          <w:left w:w="0" w:type="dxa"/>
          <w:bottom w:w="0" w:type="dxa"/>
          <w:right w:w="0" w:type="dxa"/>
        </w:tblCellMar>
      </w:tblPr>
      <w:tblGrid>
        <w:gridCol w:w="75"/>
        <w:gridCol w:w="110"/>
        <w:gridCol w:w="60"/>
        <w:gridCol w:w="24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4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performance-related bonuses, </w:t>
            </w:r>
          </w:p>
        </w:tc>
      </w:tr>
    </w:tbl>
    <w:p>
      <w:pPr>
        <w:pStyle w:val="TextBody"/>
        <w:spacing w:before="0" w:after="0"/>
        <w:jc w:val="left"/>
        <w:rPr>
          <w:highlight w:val="white"/>
        </w:rPr>
      </w:pPr>
      <w:r>
        <w:rPr>
          <w:highlight w:val="white"/>
        </w:rPr>
        <w:t> </w:t>
      </w:r>
    </w:p>
    <w:tbl>
      <w:tblPr>
        <w:tblW w:w="1810" w:type="dxa"/>
        <w:jc w:val="left"/>
        <w:tblInd w:w="0" w:type="dxa"/>
        <w:tblCellMar>
          <w:top w:w="0" w:type="dxa"/>
          <w:left w:w="0" w:type="dxa"/>
          <w:bottom w:w="0" w:type="dxa"/>
          <w:right w:w="0" w:type="dxa"/>
        </w:tblCellMar>
      </w:tblPr>
      <w:tblGrid>
        <w:gridCol w:w="75"/>
        <w:gridCol w:w="110"/>
        <w:gridCol w:w="60"/>
        <w:gridCol w:w="15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5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and stock options.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overall remuneration for the members of the Management Board comprises approximately 40% in fixed remuneration and 60% in performance-related remuneration in the event of 100% target achievement. </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Non-performance-related</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remuneration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fixed,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non-performance-related</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remuneration comprises the basic remuneration and fringe benefits that may vary over the years, depending on the person involved or the occurrence of certain events.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amount of the fixed remuneration depends on delegated functions and responsibilities as well as the general conditions customary to the industry and the market. These conditions relate primarily to other listed small- and </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medium-sized</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companies from the technology industry and related sectors. The fixed remuneration is paid in monthly installments.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Fringe benefits mainly include expenses for company housing for members of the Management Board. Members also receive taxable </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in-kind</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benefits. </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Performance-related remuneration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performance-related remuneration comprises two components: the first is agreed upon with the Supervisory Board on an annual basis, and the second is a strategic special component.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component agreed upon with the Supervisory Board on an annual basis generally consists of two elements based on the Company’s economic performance and achievement of the annual budget as approved by the Supervisory Board. The bonus can be a maximum of 200% in the case of overachievement.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strategic special component is a reward for the Management Board member’s performance in acquiring strategic investors for the Company.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40</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Stock options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third remuneration component comprises stock options granted to selected employees in the form of stock options from Stock Option Plans 2019, 2020, 2021 and 2022, in which the Management Board members also participate. A stock option right entitles the holder to the right to purchase Company shares at the respective exercise price. The vesting period for exercise of the options is four years, starting on the grant date of such options. The options may be exercised within a period of three years after the expiration of the vesting period, provided that the performance target has been achieved.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In the context of these plans, stock options were issued to the Management Board in 2019, 2020, 2021 and 2022, which entitle the holder to subscribe to Mynaric AG shares. Detailed information about the granted stock options are presented in Note 11. </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Remuneration granted</w:t>
      </w:r>
    </w:p>
    <w:p>
      <w:pPr>
        <w:pStyle w:val="TextBody"/>
        <w:spacing w:before="12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The remuneration granted to the Management Board in fiscal year 2022 is broken down as follows:</w:t>
      </w:r>
    </w:p>
    <w:p>
      <w:pPr>
        <w:pStyle w:val="TextBody"/>
        <w:spacing w:before="0" w:after="0"/>
        <w:jc w:val="left"/>
        <w:rPr>
          <w:highlight w:val="white"/>
        </w:rPr>
      </w:pPr>
      <w:r>
        <w:rPr>
          <w:highlight w:val="white"/>
        </w:rPr>
        <w:t> </w:t>
      </w:r>
    </w:p>
    <w:tbl>
      <w:tblPr>
        <w:tblW w:w="8835" w:type="dxa"/>
        <w:jc w:val="left"/>
        <w:tblInd w:w="0" w:type="dxa"/>
        <w:tblCellMar>
          <w:top w:w="0" w:type="dxa"/>
          <w:left w:w="0" w:type="dxa"/>
          <w:bottom w:w="0" w:type="dxa"/>
          <w:right w:w="0" w:type="dxa"/>
        </w:tblCellMar>
      </w:tblPr>
      <w:tblGrid>
        <w:gridCol w:w="500"/>
        <w:gridCol w:w="240"/>
        <w:gridCol w:w="125"/>
        <w:gridCol w:w="1170"/>
        <w:gridCol w:w="123"/>
        <w:gridCol w:w="493"/>
        <w:gridCol w:w="176"/>
        <w:gridCol w:w="1118"/>
        <w:gridCol w:w="60"/>
        <w:gridCol w:w="240"/>
        <w:gridCol w:w="84"/>
        <w:gridCol w:w="1121"/>
        <w:gridCol w:w="84"/>
        <w:gridCol w:w="336"/>
        <w:gridCol w:w="125"/>
        <w:gridCol w:w="1170"/>
        <w:gridCol w:w="60"/>
        <w:gridCol w:w="240"/>
        <w:gridCol w:w="125"/>
        <w:gridCol w:w="1170"/>
        <w:gridCol w:w="75"/>
      </w:tblGrid>
      <w:tr>
        <w:trPr/>
        <w:tc>
          <w:tcPr>
            <w:tcW w:w="50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0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3205" w:type="dxa"/>
            <w:gridSpan w:val="6"/>
            <w:tcBorders/>
            <w:shd w:fill="auto" w:val="clear"/>
            <w:vAlign w:val="center"/>
          </w:tcPr>
          <w:p>
            <w:pPr>
              <w:pStyle w:val="TableContents"/>
              <w:spacing w:before="0" w:after="283"/>
              <w:jc w:val="center"/>
              <w:rPr/>
            </w:pPr>
            <w:r>
              <w:rPr/>
              <w:t>Short-term employee benefits</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2920" w:type="dxa"/>
            <w:gridSpan w:val="6"/>
            <w:tcBorders/>
            <w:shd w:fill="auto" w:val="clear"/>
            <w:vAlign w:val="center"/>
          </w:tcPr>
          <w:p>
            <w:pPr>
              <w:pStyle w:val="TableContents"/>
              <w:spacing w:before="0" w:after="283"/>
              <w:jc w:val="center"/>
              <w:rPr/>
            </w:pPr>
            <w:r>
              <w:rPr/>
              <w:t>Equity-settled share-based</w:t>
              <w:br/>
              <w:t>payments</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295"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500" w:type="dxa"/>
            <w:tcBorders/>
            <w:shd w:fill="auto" w:val="clear"/>
            <w:vAlign w:val="center"/>
          </w:tcPr>
          <w:p>
            <w:pPr>
              <w:pStyle w:val="TableContents"/>
              <w:spacing w:before="0" w:after="283"/>
              <w:rPr/>
            </w:pPr>
            <w:r>
              <w:rPr/>
              <w:t>Year</w:t>
            </w:r>
          </w:p>
        </w:tc>
        <w:tc>
          <w:tcPr>
            <w:tcW w:w="240" w:type="dxa"/>
            <w:tcBorders/>
            <w:shd w:fill="auto" w:val="clear"/>
            <w:vAlign w:val="center"/>
          </w:tcPr>
          <w:p>
            <w:pPr>
              <w:pStyle w:val="TableContents"/>
              <w:spacing w:before="0" w:after="283"/>
              <w:rPr/>
            </w:pPr>
            <w:r>
              <w:rPr/>
              <w:t>    </w:t>
            </w:r>
          </w:p>
        </w:tc>
        <w:tc>
          <w:tcPr>
            <w:tcW w:w="1295" w:type="dxa"/>
            <w:gridSpan w:val="2"/>
            <w:tcBorders/>
            <w:shd w:fill="auto" w:val="clear"/>
            <w:vAlign w:val="center"/>
          </w:tcPr>
          <w:p>
            <w:pPr>
              <w:pStyle w:val="TableContents"/>
              <w:spacing w:before="0" w:after="283"/>
              <w:jc w:val="center"/>
              <w:rPr/>
            </w:pPr>
            <w:r>
              <w:rPr/>
              <w:t>Basic</w:t>
              <w:br/>
              <w:t>remuneration</w:t>
              <w:br/>
              <w:t>in € thousand</w:t>
            </w:r>
          </w:p>
        </w:tc>
        <w:tc>
          <w:tcPr>
            <w:tcW w:w="123" w:type="dxa"/>
            <w:tcBorders/>
            <w:shd w:fill="auto" w:val="clear"/>
            <w:vAlign w:val="center"/>
          </w:tcPr>
          <w:p>
            <w:pPr>
              <w:pStyle w:val="TableContents"/>
              <w:spacing w:before="0" w:after="283"/>
              <w:rPr/>
            </w:pPr>
            <w:r>
              <w:rPr/>
              <w:t> </w:t>
            </w:r>
          </w:p>
        </w:tc>
        <w:tc>
          <w:tcPr>
            <w:tcW w:w="493" w:type="dxa"/>
            <w:tcBorders/>
            <w:shd w:fill="auto" w:val="clear"/>
            <w:vAlign w:val="center"/>
          </w:tcPr>
          <w:p>
            <w:pPr>
              <w:pStyle w:val="TableContents"/>
              <w:spacing w:before="0" w:after="283"/>
              <w:rPr/>
            </w:pPr>
            <w:r>
              <w:rPr/>
              <w:t>    </w:t>
            </w:r>
          </w:p>
        </w:tc>
        <w:tc>
          <w:tcPr>
            <w:tcW w:w="1294" w:type="dxa"/>
            <w:gridSpan w:val="2"/>
            <w:tcBorders/>
            <w:shd w:fill="auto" w:val="clear"/>
            <w:vAlign w:val="center"/>
          </w:tcPr>
          <w:p>
            <w:pPr>
              <w:pStyle w:val="TableContents"/>
              <w:spacing w:before="0" w:after="283"/>
              <w:jc w:val="center"/>
              <w:rPr/>
            </w:pPr>
            <w:r>
              <w:rPr/>
              <w:t>Short-term</w:t>
              <w:br/>
              <w:t>variable</w:t>
              <w:br/>
              <w:t>remuneration</w:t>
              <w:br/>
              <w:t>in € thousand</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205" w:type="dxa"/>
            <w:gridSpan w:val="2"/>
            <w:tcBorders/>
            <w:shd w:fill="auto" w:val="clear"/>
            <w:vAlign w:val="center"/>
          </w:tcPr>
          <w:p>
            <w:pPr>
              <w:pStyle w:val="TableContents"/>
              <w:spacing w:before="0" w:after="283"/>
              <w:jc w:val="center"/>
              <w:rPr/>
            </w:pPr>
            <w:r>
              <w:rPr/>
              <w:t>Number</w:t>
              <w:br/>
              <w:t>of stock</w:t>
              <w:br/>
              <w:t>options</w:t>
              <w:br/>
              <w:t>granted</w:t>
            </w:r>
          </w:p>
        </w:tc>
        <w:tc>
          <w:tcPr>
            <w:tcW w:w="84"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295" w:type="dxa"/>
            <w:gridSpan w:val="2"/>
            <w:tcBorders/>
            <w:shd w:fill="auto" w:val="clear"/>
            <w:vAlign w:val="center"/>
          </w:tcPr>
          <w:p>
            <w:pPr>
              <w:pStyle w:val="TableContents"/>
              <w:spacing w:before="0" w:after="283"/>
              <w:jc w:val="center"/>
              <w:rPr/>
            </w:pPr>
            <w:r>
              <w:rPr/>
              <w:t>Recognized</w:t>
              <w:br/>
              <w:t>as expense</w:t>
              <w:br/>
              <w:t>in € thousand</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295" w:type="dxa"/>
            <w:gridSpan w:val="2"/>
            <w:tcBorders/>
            <w:shd w:fill="auto" w:val="clear"/>
            <w:vAlign w:val="center"/>
          </w:tcPr>
          <w:p>
            <w:pPr>
              <w:pStyle w:val="TableContents"/>
              <w:spacing w:before="0" w:after="283"/>
              <w:jc w:val="center"/>
              <w:rPr/>
            </w:pPr>
            <w:r>
              <w:rPr/>
              <w:t>Total</w:t>
              <w:br/>
              <w:t>in € thousand</w:t>
            </w:r>
          </w:p>
        </w:tc>
        <w:tc>
          <w:tcPr>
            <w:tcW w:w="75" w:type="dxa"/>
            <w:tcBorders/>
            <w:shd w:fill="auto" w:val="clear"/>
            <w:vAlign w:val="center"/>
          </w:tcPr>
          <w:p>
            <w:pPr>
              <w:pStyle w:val="TableContents"/>
              <w:spacing w:before="0" w:after="283"/>
              <w:rPr/>
            </w:pPr>
            <w:r>
              <w:rPr/>
              <w:t> </w:t>
            </w:r>
          </w:p>
        </w:tc>
      </w:tr>
      <w:tr>
        <w:trPr/>
        <w:tc>
          <w:tcPr>
            <w:tcW w:w="5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2022</w:t>
            </w:r>
          </w:p>
        </w:tc>
        <w:tc>
          <w:tcPr>
            <w:tcW w:w="24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170" w:type="dxa"/>
            <w:tcBorders/>
            <w:shd w:fill="CCEEFF" w:val="clear"/>
            <w:vAlign w:val="center"/>
          </w:tcPr>
          <w:p>
            <w:pPr>
              <w:pStyle w:val="TableContents"/>
              <w:spacing w:before="0" w:after="283"/>
              <w:jc w:val="right"/>
              <w:rPr/>
            </w:pPr>
            <w:r>
              <w:rPr/>
              <w:t>1,380</w:t>
            </w:r>
          </w:p>
        </w:tc>
        <w:tc>
          <w:tcPr>
            <w:tcW w:w="123" w:type="dxa"/>
            <w:tcBorders/>
            <w:shd w:fill="CCEEFF" w:val="clear"/>
            <w:vAlign w:val="center"/>
          </w:tcPr>
          <w:p>
            <w:pPr>
              <w:pStyle w:val="TableContents"/>
              <w:spacing w:before="0" w:after="283"/>
              <w:rPr/>
            </w:pPr>
            <w:r>
              <w:rPr/>
              <w:t> </w:t>
            </w:r>
          </w:p>
        </w:tc>
        <w:tc>
          <w:tcPr>
            <w:tcW w:w="493"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1118" w:type="dxa"/>
            <w:tcBorders/>
            <w:shd w:fill="CCEEFF" w:val="clear"/>
            <w:vAlign w:val="center"/>
          </w:tcPr>
          <w:p>
            <w:pPr>
              <w:pStyle w:val="TableContents"/>
              <w:spacing w:before="0" w:after="283"/>
              <w:jc w:val="right"/>
              <w:rPr/>
            </w:pPr>
            <w:r>
              <w:rPr/>
              <w:t>488</w:t>
            </w:r>
          </w:p>
        </w:tc>
        <w:tc>
          <w:tcPr>
            <w:tcW w:w="6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1121" w:type="dxa"/>
            <w:tcBorders/>
            <w:shd w:fill="CCEEFF" w:val="clear"/>
            <w:vAlign w:val="center"/>
          </w:tcPr>
          <w:p>
            <w:pPr>
              <w:pStyle w:val="TableContents"/>
              <w:spacing w:before="0" w:after="283"/>
              <w:jc w:val="right"/>
              <w:rPr/>
            </w:pPr>
            <w:r>
              <w:rPr/>
              <w:t>108,000</w:t>
            </w:r>
          </w:p>
        </w:tc>
        <w:tc>
          <w:tcPr>
            <w:tcW w:w="84" w:type="dxa"/>
            <w:tcBorders/>
            <w:shd w:fill="CCEEFF" w:val="clear"/>
            <w:vAlign w:val="center"/>
          </w:tcPr>
          <w:p>
            <w:pPr>
              <w:pStyle w:val="TableContents"/>
              <w:spacing w:before="0" w:after="283"/>
              <w:rPr/>
            </w:pPr>
            <w:r>
              <w:rPr/>
              <w:t> </w:t>
            </w:r>
          </w:p>
        </w:tc>
        <w:tc>
          <w:tcPr>
            <w:tcW w:w="336"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170" w:type="dxa"/>
            <w:tcBorders/>
            <w:shd w:fill="CCEEFF" w:val="clear"/>
            <w:vAlign w:val="center"/>
          </w:tcPr>
          <w:p>
            <w:pPr>
              <w:pStyle w:val="TableContents"/>
              <w:spacing w:before="0" w:after="283"/>
              <w:jc w:val="right"/>
              <w:rPr/>
            </w:pPr>
            <w:r>
              <w:rPr/>
              <w:t>1,818</w:t>
            </w:r>
          </w:p>
        </w:tc>
        <w:tc>
          <w:tcPr>
            <w:tcW w:w="6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170" w:type="dxa"/>
            <w:tcBorders/>
            <w:shd w:fill="CCEEFF" w:val="clear"/>
            <w:vAlign w:val="center"/>
          </w:tcPr>
          <w:p>
            <w:pPr>
              <w:pStyle w:val="TableContents"/>
              <w:spacing w:before="0" w:after="283"/>
              <w:jc w:val="right"/>
              <w:rPr/>
            </w:pPr>
            <w:r>
              <w:rPr/>
              <w:t>3,686</w:t>
            </w:r>
          </w:p>
        </w:tc>
        <w:tc>
          <w:tcPr>
            <w:tcW w:w="75" w:type="dxa"/>
            <w:tcBorders/>
            <w:shd w:fill="CCEEFF" w:val="clear"/>
            <w:vAlign w:val="center"/>
          </w:tcPr>
          <w:p>
            <w:pPr>
              <w:pStyle w:val="TableContents"/>
              <w:spacing w:before="0" w:after="283"/>
              <w:rPr/>
            </w:pPr>
            <w:r>
              <w:rPr/>
              <w:t> </w:t>
            </w:r>
          </w:p>
        </w:tc>
      </w:tr>
      <w:tr>
        <w:trPr/>
        <w:tc>
          <w:tcPr>
            <w:tcW w:w="5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2021</w:t>
            </w:r>
          </w:p>
        </w:tc>
        <w:tc>
          <w:tcPr>
            <w:tcW w:w="24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170" w:type="dxa"/>
            <w:tcBorders/>
            <w:shd w:fill="auto" w:val="clear"/>
            <w:vAlign w:val="center"/>
          </w:tcPr>
          <w:p>
            <w:pPr>
              <w:pStyle w:val="TableContents"/>
              <w:spacing w:before="0" w:after="283"/>
              <w:jc w:val="right"/>
              <w:rPr/>
            </w:pPr>
            <w:r>
              <w:rPr/>
              <w:t>713</w:t>
            </w:r>
          </w:p>
        </w:tc>
        <w:tc>
          <w:tcPr>
            <w:tcW w:w="123" w:type="dxa"/>
            <w:tcBorders/>
            <w:shd w:fill="auto" w:val="clear"/>
            <w:vAlign w:val="center"/>
          </w:tcPr>
          <w:p>
            <w:pPr>
              <w:pStyle w:val="TableContents"/>
              <w:spacing w:before="0" w:after="283"/>
              <w:rPr/>
            </w:pPr>
            <w:r>
              <w:rPr/>
              <w:t> </w:t>
            </w:r>
          </w:p>
        </w:tc>
        <w:tc>
          <w:tcPr>
            <w:tcW w:w="493"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118" w:type="dxa"/>
            <w:tcBorders/>
            <w:shd w:fill="auto" w:val="clear"/>
            <w:vAlign w:val="center"/>
          </w:tcPr>
          <w:p>
            <w:pPr>
              <w:pStyle w:val="TableContents"/>
              <w:spacing w:before="0" w:after="283"/>
              <w:jc w:val="right"/>
              <w:rPr/>
            </w:pPr>
            <w:r>
              <w:rPr/>
              <w:t>113</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121" w:type="dxa"/>
            <w:tcBorders/>
            <w:shd w:fill="auto" w:val="clear"/>
            <w:vAlign w:val="center"/>
          </w:tcPr>
          <w:p>
            <w:pPr>
              <w:pStyle w:val="TableContents"/>
              <w:spacing w:before="0" w:after="283"/>
              <w:jc w:val="right"/>
              <w:rPr/>
            </w:pPr>
            <w:r>
              <w:rPr/>
              <w:t>100,000</w:t>
            </w:r>
          </w:p>
        </w:tc>
        <w:tc>
          <w:tcPr>
            <w:tcW w:w="84" w:type="dxa"/>
            <w:tcBorders/>
            <w:shd w:fill="auto" w:val="clear"/>
            <w:vAlign w:val="center"/>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170" w:type="dxa"/>
            <w:tcBorders/>
            <w:shd w:fill="auto" w:val="clear"/>
            <w:vAlign w:val="center"/>
          </w:tcPr>
          <w:p>
            <w:pPr>
              <w:pStyle w:val="TableContents"/>
              <w:spacing w:before="0" w:after="283"/>
              <w:jc w:val="right"/>
              <w:rPr/>
            </w:pPr>
            <w:r>
              <w:rPr/>
              <w:t>332</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170" w:type="dxa"/>
            <w:tcBorders/>
            <w:shd w:fill="auto" w:val="clear"/>
            <w:vAlign w:val="center"/>
          </w:tcPr>
          <w:p>
            <w:pPr>
              <w:pStyle w:val="TableContents"/>
              <w:spacing w:before="0" w:after="283"/>
              <w:jc w:val="right"/>
              <w:rPr/>
            </w:pPr>
            <w:r>
              <w:rPr/>
              <w:t>1,158</w:t>
            </w:r>
          </w:p>
        </w:tc>
        <w:tc>
          <w:tcPr>
            <w:tcW w:w="75" w:type="dxa"/>
            <w:tcBorders/>
            <w:shd w:fill="auto" w:val="clear"/>
            <w:vAlign w:val="center"/>
          </w:tcPr>
          <w:p>
            <w:pPr>
              <w:pStyle w:val="TableContents"/>
              <w:spacing w:before="0" w:after="283"/>
              <w:rPr/>
            </w:pPr>
            <w:r>
              <w:rPr/>
              <w:t>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chairman of the Management Board, Bulent Altan, received remuneration for his activities as CEO of the subsidiary Mynaric USA Inc., which is already included in the remuneration granted and paid. The other Management Board members did not receive any remuneration during their term for their activities in a subsidiary. </w:t>
      </w:r>
    </w:p>
    <w:p>
      <w:pPr>
        <w:pStyle w:val="TextBody"/>
        <w:spacing w:before="0" w:after="0"/>
        <w:jc w:val="both"/>
        <w:rPr>
          <w:highlight w:val="white"/>
        </w:rPr>
      </w:pPr>
      <w:r>
        <w:rPr>
          <w:highlight w:val="white"/>
        </w:rPr>
        <w:t> </w:t>
      </w:r>
    </w:p>
    <w:tbl>
      <w:tblPr>
        <w:tblW w:w="3430" w:type="dxa"/>
        <w:jc w:val="left"/>
        <w:tblInd w:w="0" w:type="dxa"/>
        <w:tblCellMar>
          <w:top w:w="0" w:type="dxa"/>
          <w:left w:w="0" w:type="dxa"/>
          <w:bottom w:w="0" w:type="dxa"/>
          <w:right w:w="0" w:type="dxa"/>
        </w:tblCellMar>
      </w:tblPr>
      <w:tblGrid>
        <w:gridCol w:w="515"/>
        <w:gridCol w:w="2915"/>
      </w:tblGrid>
      <w:tr>
        <w:trPr/>
        <w:tc>
          <w:tcPr>
            <w:tcW w:w="515" w:type="dxa"/>
            <w:tcBorders/>
            <w:shd w:fill="auto" w:val="clear"/>
            <w:vAlign w:val="center"/>
          </w:tcPr>
          <w:p>
            <w:pPr>
              <w:pStyle w:val="TableContents"/>
              <w:spacing w:before="0" w:after="0"/>
              <w:jc w:val="both"/>
              <w:rPr>
                <w:b/>
                <w:spacing w:val="0"/>
              </w:rPr>
            </w:pPr>
            <w:r>
              <w:rPr>
                <w:b/>
                <w:spacing w:val="0"/>
              </w:rPr>
              <w:t>32.3.</w:t>
            </w:r>
          </w:p>
        </w:tc>
        <w:tc>
          <w:tcPr>
            <w:tcW w:w="2915"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Supervisory Board remuneration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remuneration system of the Supervisory Board is based on the Company’s size, the duties and responsibilities of the Supervisory Board members, and the Company’s economic situation and expected future development. The remuneration of the Supervisory Board is governed by section 14 of the Company’s Articles of Association, which was amended on the Annual General Meeting on July 14, 2022. Accordingly, the Supervisory Board members receive a fixed annual remuneration, payable after the end of the fiscal year. The remuneration amounts to €60,000.00 per year, with the chairman receiving twice that amount and the deputy chairman receiving one and a half times this amount. An attendance fee of €500.00 are paid for Supervisory Board meetings. Supervisory Board members who are also members of the Audit Committee shall receive a remuneration in the amount of € 20,000.00 for each full financial year of membership of the Audit Committee in addition to the remuneration for their activities on the Supervisory Board as member, Chairman or Deputy Chairman. The Chairman of the Audit Committee shall receive one and a half times the remuneration. Members of the Supervisory Board receive reimbursement for their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out-of-pocket</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expenses, however, as well as reimbursement of the value-added tax on their remuneration and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out-of-pocket</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expenses. In addition, the Company bears the costs of D&amp;O liability insurance for the Supervisory Board members. The Company does not grant any loans to the Supervisory Board members.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annual remuneration for the Supervisory Board is as follows: </w:t>
      </w:r>
    </w:p>
    <w:p>
      <w:pPr>
        <w:pStyle w:val="TextBody"/>
        <w:spacing w:before="0" w:after="0"/>
        <w:jc w:val="left"/>
        <w:rPr>
          <w:highlight w:val="white"/>
        </w:rPr>
      </w:pPr>
      <w:r>
        <w:rPr>
          <w:highlight w:val="white"/>
        </w:rPr>
        <w:t> </w:t>
      </w:r>
    </w:p>
    <w:tbl>
      <w:tblPr>
        <w:tblW w:w="6437" w:type="dxa"/>
        <w:jc w:val="left"/>
        <w:tblInd w:w="0" w:type="dxa"/>
        <w:tblCellMar>
          <w:top w:w="0" w:type="dxa"/>
          <w:left w:w="0" w:type="dxa"/>
          <w:bottom w:w="0" w:type="dxa"/>
          <w:right w:w="0" w:type="dxa"/>
        </w:tblCellMar>
      </w:tblPr>
      <w:tblGrid>
        <w:gridCol w:w="1775"/>
        <w:gridCol w:w="120"/>
        <w:gridCol w:w="184"/>
        <w:gridCol w:w="1171"/>
        <w:gridCol w:w="67"/>
        <w:gridCol w:w="134"/>
        <w:gridCol w:w="184"/>
        <w:gridCol w:w="1171"/>
        <w:gridCol w:w="67"/>
        <w:gridCol w:w="134"/>
        <w:gridCol w:w="184"/>
        <w:gridCol w:w="1171"/>
        <w:gridCol w:w="75"/>
      </w:tblGrid>
      <w:tr>
        <w:trPr/>
        <w:tc>
          <w:tcPr>
            <w:tcW w:w="17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7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467" w:type="dxa"/>
            <w:gridSpan w:val="10"/>
            <w:tcBorders/>
            <w:shd w:fill="auto" w:val="clear"/>
            <w:vAlign w:val="center"/>
          </w:tcPr>
          <w:p>
            <w:pPr>
              <w:pStyle w:val="TableContents"/>
              <w:spacing w:before="0" w:after="283"/>
              <w:jc w:val="center"/>
              <w:rPr/>
            </w:pPr>
            <w:r>
              <w:rPr/>
              <w:t>For the years ended</w:t>
            </w:r>
          </w:p>
        </w:tc>
        <w:tc>
          <w:tcPr>
            <w:tcW w:w="75" w:type="dxa"/>
            <w:tcBorders/>
            <w:shd w:fill="auto" w:val="clear"/>
            <w:vAlign w:val="center"/>
          </w:tcPr>
          <w:p>
            <w:pPr>
              <w:pStyle w:val="TableContents"/>
              <w:spacing w:before="0" w:after="283"/>
              <w:rPr/>
            </w:pPr>
            <w:r>
              <w:rPr/>
              <w:t> </w:t>
            </w:r>
          </w:p>
        </w:tc>
      </w:tr>
      <w:tr>
        <w:trPr/>
        <w:tc>
          <w:tcPr>
            <w:tcW w:w="1775"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355" w:type="dxa"/>
            <w:gridSpan w:val="2"/>
            <w:tcBorders/>
            <w:shd w:fill="auto" w:val="clear"/>
            <w:vAlign w:val="center"/>
          </w:tcPr>
          <w:p>
            <w:pPr>
              <w:pStyle w:val="TableContents"/>
              <w:spacing w:before="0" w:after="283"/>
              <w:jc w:val="center"/>
              <w:rPr/>
            </w:pPr>
            <w:r>
              <w:rPr/>
              <w:t>December 31,</w:t>
              <w:br/>
              <w:t>2022</w:t>
            </w:r>
          </w:p>
        </w:tc>
        <w:tc>
          <w:tcPr>
            <w:tcW w:w="6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355" w:type="dxa"/>
            <w:gridSpan w:val="2"/>
            <w:tcBorders/>
            <w:shd w:fill="auto" w:val="clear"/>
            <w:vAlign w:val="center"/>
          </w:tcPr>
          <w:p>
            <w:pPr>
              <w:pStyle w:val="TableContents"/>
              <w:spacing w:before="0" w:after="283"/>
              <w:jc w:val="center"/>
              <w:rPr/>
            </w:pPr>
            <w:r>
              <w:rPr/>
              <w:t>December 31,</w:t>
              <w:br/>
              <w:t>2021</w:t>
            </w:r>
          </w:p>
        </w:tc>
        <w:tc>
          <w:tcPr>
            <w:tcW w:w="6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355" w:type="dxa"/>
            <w:gridSpan w:val="2"/>
            <w:tcBorders/>
            <w:shd w:fill="auto" w:val="clear"/>
            <w:vAlign w:val="center"/>
          </w:tcPr>
          <w:p>
            <w:pPr>
              <w:pStyle w:val="TableContents"/>
              <w:spacing w:before="0" w:after="283"/>
              <w:jc w:val="center"/>
              <w:rPr/>
            </w:pPr>
            <w:r>
              <w:rPr/>
              <w:t>December 31,</w:t>
              <w:br/>
              <w:t>2020</w:t>
            </w:r>
          </w:p>
        </w:tc>
        <w:tc>
          <w:tcPr>
            <w:tcW w:w="75" w:type="dxa"/>
            <w:tcBorders/>
            <w:shd w:fill="auto" w:val="clear"/>
            <w:vAlign w:val="center"/>
          </w:tcPr>
          <w:p>
            <w:pPr>
              <w:pStyle w:val="TableContents"/>
              <w:spacing w:before="0" w:after="283"/>
              <w:rPr/>
            </w:pPr>
            <w:r>
              <w:rPr/>
              <w:t> </w:t>
            </w:r>
          </w:p>
        </w:tc>
      </w:tr>
      <w:tr>
        <w:trPr/>
        <w:tc>
          <w:tcPr>
            <w:tcW w:w="17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Dr. Manfred Krischke</w:t>
            </w:r>
          </w:p>
        </w:tc>
        <w:tc>
          <w:tcPr>
            <w:tcW w:w="12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171" w:type="dxa"/>
            <w:tcBorders/>
            <w:shd w:fill="CCEEFF" w:val="clear"/>
            <w:vAlign w:val="center"/>
          </w:tcPr>
          <w:p>
            <w:pPr>
              <w:pStyle w:val="TableContents"/>
              <w:spacing w:before="0" w:after="283"/>
              <w:jc w:val="right"/>
              <w:rPr/>
            </w:pPr>
            <w:r>
              <w:rPr/>
              <w:t>151</w:t>
            </w:r>
          </w:p>
        </w:tc>
        <w:tc>
          <w:tcPr>
            <w:tcW w:w="67"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171" w:type="dxa"/>
            <w:tcBorders/>
            <w:shd w:fill="CCEEFF" w:val="clear"/>
            <w:vAlign w:val="center"/>
          </w:tcPr>
          <w:p>
            <w:pPr>
              <w:pStyle w:val="TableContents"/>
              <w:spacing w:before="0" w:after="283"/>
              <w:jc w:val="right"/>
              <w:rPr/>
            </w:pPr>
            <w:r>
              <w:rPr/>
              <w:t>80</w:t>
            </w:r>
          </w:p>
        </w:tc>
        <w:tc>
          <w:tcPr>
            <w:tcW w:w="67"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171" w:type="dxa"/>
            <w:tcBorders/>
            <w:shd w:fill="CCEEFF" w:val="clear"/>
            <w:vAlign w:val="center"/>
          </w:tcPr>
          <w:p>
            <w:pPr>
              <w:pStyle w:val="TableContents"/>
              <w:spacing w:before="0" w:after="283"/>
              <w:jc w:val="right"/>
              <w:rPr/>
            </w:pPr>
            <w:r>
              <w:rPr/>
              <w:t>40</w:t>
            </w:r>
          </w:p>
        </w:tc>
        <w:tc>
          <w:tcPr>
            <w:tcW w:w="75" w:type="dxa"/>
            <w:tcBorders/>
            <w:shd w:fill="CCEEFF" w:val="clear"/>
            <w:vAlign w:val="center"/>
          </w:tcPr>
          <w:p>
            <w:pPr>
              <w:pStyle w:val="TableContents"/>
              <w:spacing w:before="0" w:after="283"/>
              <w:rPr/>
            </w:pPr>
            <w:r>
              <w:rPr/>
              <w:t> </w:t>
            </w:r>
          </w:p>
        </w:tc>
      </w:tr>
      <w:tr>
        <w:trPr/>
        <w:tc>
          <w:tcPr>
            <w:tcW w:w="17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Peter Müller-Brühl</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right"/>
              <w:rPr/>
            </w:pPr>
            <w:r>
              <w:rPr/>
              <w:t>121</w:t>
            </w:r>
          </w:p>
        </w:tc>
        <w:tc>
          <w:tcPr>
            <w:tcW w:w="6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right"/>
              <w:rPr/>
            </w:pPr>
            <w:r>
              <w:rPr/>
              <w:t>50</w:t>
            </w:r>
          </w:p>
        </w:tc>
        <w:tc>
          <w:tcPr>
            <w:tcW w:w="6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right"/>
              <w:rPr/>
            </w:pPr>
            <w:r>
              <w:rPr/>
              <w:t>20</w:t>
            </w:r>
          </w:p>
        </w:tc>
        <w:tc>
          <w:tcPr>
            <w:tcW w:w="75" w:type="dxa"/>
            <w:tcBorders/>
            <w:shd w:fill="auto" w:val="clear"/>
            <w:vAlign w:val="center"/>
          </w:tcPr>
          <w:p>
            <w:pPr>
              <w:pStyle w:val="TableContents"/>
              <w:spacing w:before="0" w:after="283"/>
              <w:rPr/>
            </w:pPr>
            <w:r>
              <w:rPr/>
              <w:t> </w:t>
            </w:r>
          </w:p>
        </w:tc>
      </w:tr>
      <w:tr>
        <w:trPr/>
        <w:tc>
          <w:tcPr>
            <w:tcW w:w="17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Steve Geskos</w:t>
            </w:r>
          </w:p>
        </w:tc>
        <w:tc>
          <w:tcPr>
            <w:tcW w:w="12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171" w:type="dxa"/>
            <w:tcBorders/>
            <w:shd w:fill="CCEEFF" w:val="clear"/>
            <w:vAlign w:val="center"/>
          </w:tcPr>
          <w:p>
            <w:pPr>
              <w:pStyle w:val="TableContents"/>
              <w:spacing w:before="0" w:after="283"/>
              <w:jc w:val="right"/>
              <w:rPr/>
            </w:pPr>
            <w:r>
              <w:rPr/>
              <w:t>101</w:t>
            </w:r>
          </w:p>
        </w:tc>
        <w:tc>
          <w:tcPr>
            <w:tcW w:w="67"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171" w:type="dxa"/>
            <w:tcBorders/>
            <w:shd w:fill="CCEEFF" w:val="clear"/>
            <w:vAlign w:val="center"/>
          </w:tcPr>
          <w:p>
            <w:pPr>
              <w:pStyle w:val="TableContents"/>
              <w:spacing w:before="0" w:after="283"/>
              <w:jc w:val="right"/>
              <w:rPr/>
            </w:pPr>
            <w:r>
              <w:rPr/>
              <w:t>32</w:t>
            </w:r>
          </w:p>
        </w:tc>
        <w:tc>
          <w:tcPr>
            <w:tcW w:w="67"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171" w:type="dxa"/>
            <w:tcBorders/>
            <w:shd w:fill="CCEEFF" w:val="clear"/>
            <w:vAlign w:val="center"/>
          </w:tcPr>
          <w:p>
            <w:pPr>
              <w:pStyle w:val="TableContents"/>
              <w:spacing w:before="0" w:after="283"/>
              <w:jc w:val="right"/>
              <w:rPr/>
            </w:pPr>
            <w:r>
              <w:rPr/>
              <w:t>0</w:t>
            </w:r>
          </w:p>
        </w:tc>
        <w:tc>
          <w:tcPr>
            <w:tcW w:w="75" w:type="dxa"/>
            <w:tcBorders/>
            <w:shd w:fill="CCEEFF" w:val="clear"/>
            <w:vAlign w:val="center"/>
          </w:tcPr>
          <w:p>
            <w:pPr>
              <w:pStyle w:val="TableContents"/>
              <w:spacing w:before="0" w:after="283"/>
              <w:rPr/>
            </w:pPr>
            <w:r>
              <w:rPr/>
              <w:t> </w:t>
            </w:r>
          </w:p>
        </w:tc>
      </w:tr>
      <w:tr>
        <w:trPr/>
        <w:tc>
          <w:tcPr>
            <w:tcW w:w="17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Wincent Wobbe</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right"/>
              <w:rPr/>
            </w:pPr>
            <w:r>
              <w:rPr/>
              <w:t>67</w:t>
            </w:r>
          </w:p>
        </w:tc>
        <w:tc>
          <w:tcPr>
            <w:tcW w:w="6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right"/>
              <w:rPr/>
            </w:pPr>
            <w:r>
              <w:rPr/>
              <w:t>19</w:t>
            </w:r>
          </w:p>
        </w:tc>
        <w:tc>
          <w:tcPr>
            <w:tcW w:w="6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right"/>
              <w:rPr/>
            </w:pPr>
            <w:r>
              <w:rPr/>
              <w:t>0</w:t>
            </w:r>
          </w:p>
        </w:tc>
        <w:tc>
          <w:tcPr>
            <w:tcW w:w="75" w:type="dxa"/>
            <w:tcBorders/>
            <w:shd w:fill="auto" w:val="clear"/>
            <w:vAlign w:val="center"/>
          </w:tcPr>
          <w:p>
            <w:pPr>
              <w:pStyle w:val="TableContents"/>
              <w:spacing w:before="0" w:after="283"/>
              <w:rPr/>
            </w:pPr>
            <w:r>
              <w:rPr/>
              <w:t> </w:t>
            </w:r>
          </w:p>
        </w:tc>
      </w:tr>
      <w:tr>
        <w:trPr/>
        <w:tc>
          <w:tcPr>
            <w:tcW w:w="17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Hans Koenigsmann</w:t>
            </w:r>
          </w:p>
        </w:tc>
        <w:tc>
          <w:tcPr>
            <w:tcW w:w="12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171" w:type="dxa"/>
            <w:tcBorders/>
            <w:shd w:fill="CCEEFF" w:val="clear"/>
            <w:vAlign w:val="center"/>
          </w:tcPr>
          <w:p>
            <w:pPr>
              <w:pStyle w:val="TableContents"/>
              <w:spacing w:before="0" w:after="283"/>
              <w:jc w:val="right"/>
              <w:rPr/>
            </w:pPr>
            <w:r>
              <w:rPr/>
              <w:t>66</w:t>
            </w:r>
          </w:p>
        </w:tc>
        <w:tc>
          <w:tcPr>
            <w:tcW w:w="67"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171" w:type="dxa"/>
            <w:tcBorders/>
            <w:shd w:fill="CCEEFF" w:val="clear"/>
            <w:vAlign w:val="center"/>
          </w:tcPr>
          <w:p>
            <w:pPr>
              <w:pStyle w:val="TableContents"/>
              <w:spacing w:before="0" w:after="283"/>
              <w:jc w:val="right"/>
              <w:rPr/>
            </w:pPr>
            <w:r>
              <w:rPr/>
              <w:t>12</w:t>
            </w:r>
          </w:p>
        </w:tc>
        <w:tc>
          <w:tcPr>
            <w:tcW w:w="67"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171" w:type="dxa"/>
            <w:tcBorders/>
            <w:shd w:fill="CCEEFF" w:val="clear"/>
            <w:vAlign w:val="center"/>
          </w:tcPr>
          <w:p>
            <w:pPr>
              <w:pStyle w:val="TableContents"/>
              <w:spacing w:before="0" w:after="283"/>
              <w:jc w:val="right"/>
              <w:rPr/>
            </w:pPr>
            <w:r>
              <w:rPr/>
              <w:t>0</w:t>
            </w:r>
          </w:p>
        </w:tc>
        <w:tc>
          <w:tcPr>
            <w:tcW w:w="75" w:type="dxa"/>
            <w:tcBorders/>
            <w:shd w:fill="CCEEFF" w:val="clear"/>
            <w:vAlign w:val="center"/>
          </w:tcPr>
          <w:p>
            <w:pPr>
              <w:pStyle w:val="TableContents"/>
              <w:spacing w:before="0" w:after="283"/>
              <w:rPr/>
            </w:pPr>
            <w:r>
              <w:rPr/>
              <w:t> </w:t>
            </w:r>
          </w:p>
        </w:tc>
      </w:tr>
      <w:tr>
        <w:trPr/>
        <w:tc>
          <w:tcPr>
            <w:tcW w:w="17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Dr. Gerd Gruppe</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right"/>
              <w:rPr/>
            </w:pPr>
            <w:r>
              <w:rPr/>
              <w:t>0</w:t>
            </w:r>
          </w:p>
        </w:tc>
        <w:tc>
          <w:tcPr>
            <w:tcW w:w="6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right"/>
              <w:rPr/>
            </w:pPr>
            <w:r>
              <w:rPr/>
              <w:t>39</w:t>
            </w:r>
          </w:p>
        </w:tc>
        <w:tc>
          <w:tcPr>
            <w:tcW w:w="6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right"/>
              <w:rPr/>
            </w:pPr>
            <w:r>
              <w:rPr/>
              <w:t>30</w:t>
            </w:r>
          </w:p>
        </w:tc>
        <w:tc>
          <w:tcPr>
            <w:tcW w:w="75" w:type="dxa"/>
            <w:tcBorders/>
            <w:shd w:fill="auto" w:val="clear"/>
            <w:vAlign w:val="center"/>
          </w:tcPr>
          <w:p>
            <w:pPr>
              <w:pStyle w:val="TableContents"/>
              <w:spacing w:before="0" w:after="283"/>
              <w:rPr/>
            </w:pPr>
            <w:r>
              <w:rPr/>
              <w:t> </w:t>
            </w:r>
          </w:p>
        </w:tc>
      </w:tr>
      <w:tr>
        <w:trPr/>
        <w:tc>
          <w:tcPr>
            <w:tcW w:w="17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Thomas Hanke</w:t>
            </w:r>
          </w:p>
        </w:tc>
        <w:tc>
          <w:tcPr>
            <w:tcW w:w="12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171" w:type="dxa"/>
            <w:tcBorders/>
            <w:shd w:fill="CCEEFF" w:val="clear"/>
            <w:vAlign w:val="center"/>
          </w:tcPr>
          <w:p>
            <w:pPr>
              <w:pStyle w:val="TableContents"/>
              <w:spacing w:before="0" w:after="283"/>
              <w:jc w:val="right"/>
              <w:rPr/>
            </w:pPr>
            <w:r>
              <w:rPr/>
              <w:t>0</w:t>
            </w:r>
          </w:p>
        </w:tc>
        <w:tc>
          <w:tcPr>
            <w:tcW w:w="67"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171" w:type="dxa"/>
            <w:tcBorders/>
            <w:shd w:fill="CCEEFF" w:val="clear"/>
            <w:vAlign w:val="center"/>
          </w:tcPr>
          <w:p>
            <w:pPr>
              <w:pStyle w:val="TableContents"/>
              <w:spacing w:before="0" w:after="283"/>
              <w:jc w:val="right"/>
              <w:rPr/>
            </w:pPr>
            <w:r>
              <w:rPr/>
              <w:t>16</w:t>
            </w:r>
          </w:p>
        </w:tc>
        <w:tc>
          <w:tcPr>
            <w:tcW w:w="67"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171" w:type="dxa"/>
            <w:tcBorders/>
            <w:shd w:fill="CCEEFF" w:val="clear"/>
            <w:vAlign w:val="center"/>
          </w:tcPr>
          <w:p>
            <w:pPr>
              <w:pStyle w:val="TableContents"/>
              <w:spacing w:before="0" w:after="283"/>
              <w:jc w:val="right"/>
              <w:rPr/>
            </w:pPr>
            <w:r>
              <w:rPr/>
              <w:t>11</w:t>
            </w:r>
          </w:p>
        </w:tc>
        <w:tc>
          <w:tcPr>
            <w:tcW w:w="75" w:type="dxa"/>
            <w:tcBorders/>
            <w:shd w:fill="CCEEFF" w:val="clear"/>
            <w:vAlign w:val="center"/>
          </w:tcPr>
          <w:p>
            <w:pPr>
              <w:pStyle w:val="TableContents"/>
              <w:spacing w:before="0" w:after="283"/>
              <w:rPr/>
            </w:pPr>
            <w:r>
              <w:rPr/>
              <w:t> </w:t>
            </w:r>
          </w:p>
        </w:tc>
      </w:tr>
      <w:tr>
        <w:trPr/>
        <w:tc>
          <w:tcPr>
            <w:tcW w:w="17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Dr. Thomas Billeter</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right"/>
              <w:rPr/>
            </w:pPr>
            <w:r>
              <w:rPr/>
              <w:t>0</w:t>
            </w:r>
          </w:p>
        </w:tc>
        <w:tc>
          <w:tcPr>
            <w:tcW w:w="6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right"/>
              <w:rPr/>
            </w:pPr>
            <w:r>
              <w:rPr/>
              <w:t>15</w:t>
            </w:r>
          </w:p>
        </w:tc>
        <w:tc>
          <w:tcPr>
            <w:tcW w:w="6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right"/>
              <w:rPr/>
            </w:pPr>
            <w:r>
              <w:rPr/>
              <w:t>20</w:t>
            </w:r>
          </w:p>
        </w:tc>
        <w:tc>
          <w:tcPr>
            <w:tcW w:w="75" w:type="dxa"/>
            <w:tcBorders/>
            <w:shd w:fill="auto" w:val="clear"/>
            <w:vAlign w:val="center"/>
          </w:tcPr>
          <w:p>
            <w:pPr>
              <w:pStyle w:val="TableContents"/>
              <w:spacing w:before="0" w:after="283"/>
              <w:rPr/>
            </w:pPr>
            <w:r>
              <w:rPr/>
              <w:t> </w:t>
            </w:r>
          </w:p>
        </w:tc>
      </w:tr>
      <w:tr>
        <w:trPr/>
        <w:tc>
          <w:tcPr>
            <w:tcW w:w="17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Thomas Mayrhofer</w:t>
            </w:r>
          </w:p>
        </w:tc>
        <w:tc>
          <w:tcPr>
            <w:tcW w:w="12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171" w:type="dxa"/>
            <w:tcBorders/>
            <w:shd w:fill="CCEEFF" w:val="clear"/>
            <w:vAlign w:val="center"/>
          </w:tcPr>
          <w:p>
            <w:pPr>
              <w:pStyle w:val="TableContents"/>
              <w:spacing w:before="0" w:after="283"/>
              <w:jc w:val="right"/>
              <w:rPr/>
            </w:pPr>
            <w:r>
              <w:rPr/>
              <w:t>0</w:t>
            </w:r>
          </w:p>
        </w:tc>
        <w:tc>
          <w:tcPr>
            <w:tcW w:w="67"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171" w:type="dxa"/>
            <w:tcBorders/>
            <w:shd w:fill="CCEEFF" w:val="clear"/>
            <w:vAlign w:val="center"/>
          </w:tcPr>
          <w:p>
            <w:pPr>
              <w:pStyle w:val="TableContents"/>
              <w:spacing w:before="0" w:after="283"/>
              <w:jc w:val="right"/>
              <w:rPr/>
            </w:pPr>
            <w:r>
              <w:rPr/>
              <w:t>0</w:t>
            </w:r>
          </w:p>
        </w:tc>
        <w:tc>
          <w:tcPr>
            <w:tcW w:w="67"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171" w:type="dxa"/>
            <w:tcBorders/>
            <w:shd w:fill="CCEEFF" w:val="clear"/>
            <w:vAlign w:val="center"/>
          </w:tcPr>
          <w:p>
            <w:pPr>
              <w:pStyle w:val="TableContents"/>
              <w:spacing w:before="0" w:after="283"/>
              <w:jc w:val="right"/>
              <w:rPr/>
            </w:pPr>
            <w:r>
              <w:rPr/>
              <w:t>9</w:t>
            </w:r>
          </w:p>
        </w:tc>
        <w:tc>
          <w:tcPr>
            <w:tcW w:w="75" w:type="dxa"/>
            <w:tcBorders/>
            <w:shd w:fill="CCEEFF" w:val="clear"/>
            <w:vAlign w:val="center"/>
          </w:tcPr>
          <w:p>
            <w:pPr>
              <w:pStyle w:val="TableContents"/>
              <w:spacing w:before="0" w:after="283"/>
              <w:rPr/>
            </w:pPr>
            <w:r>
              <w:rPr/>
              <w:t> </w:t>
            </w:r>
          </w:p>
        </w:tc>
      </w:tr>
      <w:tr>
        <w:trPr/>
        <w:tc>
          <w:tcPr>
            <w:tcW w:w="17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right"/>
              <w:rPr/>
            </w:pPr>
            <w:r>
              <w:rPr/>
              <w:t>506</w:t>
            </w:r>
          </w:p>
        </w:tc>
        <w:tc>
          <w:tcPr>
            <w:tcW w:w="6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right"/>
              <w:rPr/>
            </w:pPr>
            <w:r>
              <w:rPr/>
              <w:t>263</w:t>
            </w:r>
          </w:p>
        </w:tc>
        <w:tc>
          <w:tcPr>
            <w:tcW w:w="6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right"/>
              <w:rPr/>
            </w:pPr>
            <w:r>
              <w:rPr/>
              <w:t>130</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F-4</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1</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Shareholdings of management and supervisory board members</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Based on available information, the board members have the following shareholdings:</w:t>
      </w:r>
    </w:p>
    <w:p>
      <w:pPr>
        <w:pStyle w:val="TextBody"/>
        <w:spacing w:before="0" w:after="0"/>
        <w:jc w:val="left"/>
        <w:rPr>
          <w:highlight w:val="white"/>
        </w:rPr>
      </w:pPr>
      <w:r>
        <w:rPr>
          <w:highlight w:val="white"/>
        </w:rPr>
        <w:t> </w:t>
      </w:r>
    </w:p>
    <w:tbl>
      <w:tblPr>
        <w:tblW w:w="5735" w:type="dxa"/>
        <w:jc w:val="left"/>
        <w:tblInd w:w="0" w:type="dxa"/>
        <w:tblCellMar>
          <w:top w:w="0" w:type="dxa"/>
          <w:left w:w="0" w:type="dxa"/>
          <w:bottom w:w="0" w:type="dxa"/>
          <w:right w:w="0" w:type="dxa"/>
        </w:tblCellMar>
      </w:tblPr>
      <w:tblGrid>
        <w:gridCol w:w="1715"/>
        <w:gridCol w:w="120"/>
        <w:gridCol w:w="94"/>
        <w:gridCol w:w="1261"/>
        <w:gridCol w:w="60"/>
        <w:gridCol w:w="120"/>
        <w:gridCol w:w="94"/>
        <w:gridCol w:w="1261"/>
        <w:gridCol w:w="60"/>
        <w:gridCol w:w="120"/>
        <w:gridCol w:w="226"/>
        <w:gridCol w:w="529"/>
        <w:gridCol w:w="75"/>
      </w:tblGrid>
      <w:tr>
        <w:trPr/>
        <w:tc>
          <w:tcPr>
            <w:tcW w:w="17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715" w:type="dxa"/>
            <w:tcBorders/>
            <w:shd w:fill="auto" w:val="clear"/>
            <w:vAlign w:val="center"/>
          </w:tcPr>
          <w:p>
            <w:pPr>
              <w:pStyle w:val="TableContents"/>
              <w:spacing w:before="0" w:after="283"/>
              <w:rPr/>
            </w:pPr>
            <w:r>
              <w:rPr/>
              <w:t>Number of shares</w:t>
            </w:r>
          </w:p>
        </w:tc>
        <w:tc>
          <w:tcPr>
            <w:tcW w:w="120" w:type="dxa"/>
            <w:tcBorders/>
            <w:shd w:fill="auto" w:val="clear"/>
            <w:vAlign w:val="center"/>
          </w:tcPr>
          <w:p>
            <w:pPr>
              <w:pStyle w:val="TableContents"/>
              <w:spacing w:before="0" w:after="283"/>
              <w:rPr/>
            </w:pPr>
            <w:r>
              <w:rPr/>
              <w:t>  </w:t>
            </w:r>
          </w:p>
        </w:tc>
        <w:tc>
          <w:tcPr>
            <w:tcW w:w="1355" w:type="dxa"/>
            <w:gridSpan w:val="2"/>
            <w:tcBorders/>
            <w:shd w:fill="auto" w:val="clear"/>
            <w:vAlign w:val="center"/>
          </w:tcPr>
          <w:p>
            <w:pPr>
              <w:pStyle w:val="TableContents"/>
              <w:spacing w:before="0" w:after="283"/>
              <w:jc w:val="center"/>
              <w:rPr/>
            </w:pPr>
            <w:r>
              <w:rPr/>
              <w:t>December 31,</w:t>
              <w:b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55" w:type="dxa"/>
            <w:gridSpan w:val="2"/>
            <w:tcBorders/>
            <w:shd w:fill="auto" w:val="clear"/>
            <w:vAlign w:val="center"/>
          </w:tcPr>
          <w:p>
            <w:pPr>
              <w:pStyle w:val="TableContents"/>
              <w:spacing w:before="0" w:after="283"/>
              <w:jc w:val="center"/>
              <w:rPr/>
            </w:pPr>
            <w:r>
              <w:rPr/>
              <w:t>December 31,</w:t>
              <w:b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5" w:type="dxa"/>
            <w:gridSpan w:val="2"/>
            <w:tcBorders/>
            <w:shd w:fill="auto" w:val="clear"/>
            <w:vAlign w:val="center"/>
          </w:tcPr>
          <w:p>
            <w:pPr>
              <w:pStyle w:val="TableContents"/>
              <w:spacing w:before="0" w:after="283"/>
              <w:jc w:val="center"/>
              <w:rPr/>
            </w:pPr>
            <w:r>
              <w:rPr/>
              <w:t>Change</w:t>
            </w:r>
          </w:p>
        </w:tc>
        <w:tc>
          <w:tcPr>
            <w:tcW w:w="75" w:type="dxa"/>
            <w:tcBorders/>
            <w:shd w:fill="auto" w:val="clear"/>
            <w:vAlign w:val="center"/>
          </w:tcPr>
          <w:p>
            <w:pPr>
              <w:pStyle w:val="TableContents"/>
              <w:spacing w:before="0" w:after="283"/>
              <w:rPr/>
            </w:pPr>
            <w:r>
              <w:rPr/>
              <w:t> </w:t>
            </w:r>
          </w:p>
        </w:tc>
      </w:tr>
      <w:tr>
        <w:trPr/>
        <w:tc>
          <w:tcPr>
            <w:tcW w:w="17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Peter Müller-Brühl</w:t>
            </w:r>
          </w:p>
        </w:tc>
        <w:tc>
          <w:tcPr>
            <w:tcW w:w="12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rPr/>
            </w:pPr>
            <w:r>
              <w:rPr/>
              <w:t> </w:t>
            </w:r>
          </w:p>
        </w:tc>
        <w:tc>
          <w:tcPr>
            <w:tcW w:w="1261" w:type="dxa"/>
            <w:tcBorders/>
            <w:shd w:fill="CCEEFF" w:val="clear"/>
            <w:vAlign w:val="center"/>
          </w:tcPr>
          <w:p>
            <w:pPr>
              <w:pStyle w:val="TableContents"/>
              <w:spacing w:before="0" w:after="283"/>
              <w:jc w:val="right"/>
              <w:rPr/>
            </w:pPr>
            <w:r>
              <w:rPr/>
              <w:t>4,445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rPr/>
            </w:pPr>
            <w:r>
              <w:rPr/>
              <w:t> </w:t>
            </w:r>
          </w:p>
        </w:tc>
        <w:tc>
          <w:tcPr>
            <w:tcW w:w="1261" w:type="dxa"/>
            <w:tcBorders/>
            <w:shd w:fill="CCEEFF" w:val="clear"/>
            <w:vAlign w:val="center"/>
          </w:tcPr>
          <w:p>
            <w:pPr>
              <w:pStyle w:val="TableContents"/>
              <w:spacing w:before="0" w:after="283"/>
              <w:jc w:val="right"/>
              <w:rPr/>
            </w:pPr>
            <w:r>
              <w:rPr/>
              <w:t>4,445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6" w:type="dxa"/>
            <w:tcBorders/>
            <w:shd w:fill="CCEEFF" w:val="clear"/>
            <w:vAlign w:val="center"/>
          </w:tcPr>
          <w:p>
            <w:pPr>
              <w:pStyle w:val="TableContents"/>
              <w:spacing w:before="0" w:after="283"/>
              <w:rPr/>
            </w:pPr>
            <w:r>
              <w:rPr/>
              <w:t> </w:t>
            </w:r>
          </w:p>
        </w:tc>
        <w:tc>
          <w:tcPr>
            <w:tcW w:w="529" w:type="dxa"/>
            <w:tcBorders/>
            <w:shd w:fill="CCEEFF" w:val="clear"/>
            <w:vAlign w:val="center"/>
          </w:tcPr>
          <w:p>
            <w:pPr>
              <w:pStyle w:val="TableContents"/>
              <w:spacing w:before="0" w:after="283"/>
              <w:jc w:val="right"/>
              <w:rPr/>
            </w:pPr>
            <w:r>
              <w:rPr/>
              <w:t>0</w:t>
            </w:r>
          </w:p>
        </w:tc>
        <w:tc>
          <w:tcPr>
            <w:tcW w:w="75" w:type="dxa"/>
            <w:tcBorders/>
            <w:shd w:fill="CCEEFF" w:val="clear"/>
            <w:vAlign w:val="center"/>
          </w:tcPr>
          <w:p>
            <w:pPr>
              <w:pStyle w:val="TableContents"/>
              <w:spacing w:before="0" w:after="283"/>
              <w:rPr/>
            </w:pPr>
            <w:r>
              <w:rPr/>
              <w:t> </w:t>
            </w:r>
          </w:p>
        </w:tc>
      </w:tr>
      <w:tr>
        <w:trPr/>
        <w:tc>
          <w:tcPr>
            <w:tcW w:w="17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Joachim Horwath</w:t>
            </w:r>
          </w:p>
        </w:tc>
        <w:tc>
          <w:tcPr>
            <w:tcW w:w="120"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before="0" w:after="283"/>
              <w:rPr/>
            </w:pPr>
            <w:r>
              <w:rPr/>
              <w:t> </w:t>
            </w:r>
          </w:p>
        </w:tc>
        <w:tc>
          <w:tcPr>
            <w:tcW w:w="1261" w:type="dxa"/>
            <w:tcBorders/>
            <w:shd w:fill="auto" w:val="clear"/>
            <w:vAlign w:val="center"/>
          </w:tcPr>
          <w:p>
            <w:pPr>
              <w:pStyle w:val="TableContents"/>
              <w:spacing w:before="0" w:after="283"/>
              <w:jc w:val="right"/>
              <w:rPr/>
            </w:pPr>
            <w:r>
              <w:rPr/>
              <w:t>220,527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before="0" w:after="283"/>
              <w:rPr/>
            </w:pPr>
            <w:r>
              <w:rPr/>
              <w:t> </w:t>
            </w:r>
          </w:p>
        </w:tc>
        <w:tc>
          <w:tcPr>
            <w:tcW w:w="1261" w:type="dxa"/>
            <w:tcBorders/>
            <w:shd w:fill="auto" w:val="clear"/>
            <w:vAlign w:val="center"/>
          </w:tcPr>
          <w:p>
            <w:pPr>
              <w:pStyle w:val="TableContents"/>
              <w:spacing w:before="0" w:after="283"/>
              <w:jc w:val="right"/>
              <w:rPr/>
            </w:pPr>
            <w:r>
              <w:rPr/>
              <w:t>220,527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c>
          <w:tcPr>
            <w:tcW w:w="529" w:type="dxa"/>
            <w:tcBorders/>
            <w:shd w:fill="auto" w:val="clear"/>
            <w:vAlign w:val="center"/>
          </w:tcPr>
          <w:p>
            <w:pPr>
              <w:pStyle w:val="TableContents"/>
              <w:spacing w:before="0" w:after="283"/>
              <w:jc w:val="right"/>
              <w:rPr/>
            </w:pPr>
            <w:r>
              <w:rPr/>
              <w:t>0</w:t>
            </w:r>
          </w:p>
        </w:tc>
        <w:tc>
          <w:tcPr>
            <w:tcW w:w="75" w:type="dxa"/>
            <w:tcBorders/>
            <w:shd w:fill="auto" w:val="clear"/>
            <w:vAlign w:val="center"/>
          </w:tcPr>
          <w:p>
            <w:pPr>
              <w:pStyle w:val="TableContents"/>
              <w:spacing w:before="0" w:after="283"/>
              <w:rPr/>
            </w:pPr>
            <w:r>
              <w:rPr/>
              <w:t> </w:t>
            </w:r>
          </w:p>
        </w:tc>
      </w:tr>
      <w:tr>
        <w:trPr/>
        <w:tc>
          <w:tcPr>
            <w:tcW w:w="17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Bulent Altan</w:t>
            </w:r>
          </w:p>
        </w:tc>
        <w:tc>
          <w:tcPr>
            <w:tcW w:w="12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rPr/>
            </w:pPr>
            <w:r>
              <w:rPr/>
              <w:t> </w:t>
            </w:r>
          </w:p>
        </w:tc>
        <w:tc>
          <w:tcPr>
            <w:tcW w:w="1261" w:type="dxa"/>
            <w:tcBorders/>
            <w:shd w:fill="CCEEFF" w:val="clear"/>
            <w:vAlign w:val="center"/>
          </w:tcPr>
          <w:p>
            <w:pPr>
              <w:pStyle w:val="TableContents"/>
              <w:spacing w:before="0" w:after="283"/>
              <w:jc w:val="right"/>
              <w:rPr/>
            </w:pPr>
            <w:r>
              <w:rPr/>
              <w:t>1,136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rPr/>
            </w:pPr>
            <w:r>
              <w:rPr/>
              <w:t> </w:t>
            </w:r>
          </w:p>
        </w:tc>
        <w:tc>
          <w:tcPr>
            <w:tcW w:w="1261" w:type="dxa"/>
            <w:tcBorders/>
            <w:shd w:fill="CCEEFF" w:val="clear"/>
            <w:vAlign w:val="center"/>
          </w:tcPr>
          <w:p>
            <w:pPr>
              <w:pStyle w:val="TableContents"/>
              <w:spacing w:before="0" w:after="283"/>
              <w:jc w:val="right"/>
              <w:rPr/>
            </w:pPr>
            <w:r>
              <w:rPr/>
              <w:t>1,136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6" w:type="dxa"/>
            <w:tcBorders/>
            <w:shd w:fill="CCEEFF" w:val="clear"/>
            <w:vAlign w:val="center"/>
          </w:tcPr>
          <w:p>
            <w:pPr>
              <w:pStyle w:val="TableContents"/>
              <w:spacing w:before="0" w:after="283"/>
              <w:rPr/>
            </w:pPr>
            <w:r>
              <w:rPr/>
              <w:t> </w:t>
            </w:r>
          </w:p>
        </w:tc>
        <w:tc>
          <w:tcPr>
            <w:tcW w:w="529" w:type="dxa"/>
            <w:tcBorders/>
            <w:shd w:fill="CCEEFF" w:val="clear"/>
            <w:vAlign w:val="center"/>
          </w:tcPr>
          <w:p>
            <w:pPr>
              <w:pStyle w:val="TableContents"/>
              <w:spacing w:before="0" w:after="283"/>
              <w:jc w:val="right"/>
              <w:rPr/>
            </w:pPr>
            <w:r>
              <w:rPr/>
              <w:t>0</w:t>
            </w:r>
          </w:p>
        </w:tc>
        <w:tc>
          <w:tcPr>
            <w:tcW w:w="75" w:type="dxa"/>
            <w:tcBorders/>
            <w:shd w:fill="CCEEFF" w:val="clear"/>
            <w:vAlign w:val="center"/>
          </w:tcPr>
          <w:p>
            <w:pPr>
              <w:pStyle w:val="TableContents"/>
              <w:spacing w:before="0" w:after="283"/>
              <w:rPr/>
            </w:pPr>
            <w:r>
              <w:rPr/>
              <w:t> </w:t>
            </w:r>
          </w:p>
        </w:tc>
      </w:tr>
      <w:tr>
        <w:trPr/>
        <w:tc>
          <w:tcPr>
            <w:tcW w:w="17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Stefan </w:t>
            </w:r>
          </w:p>
          <w:p>
            <w:pPr>
              <w:pStyle w:val="TableContents"/>
              <w:spacing w:before="0" w:after="0"/>
              <w:rPr>
                <w:rFonts w:ascii="Times New Roman" w:hAnsi="Times New Roman"/>
                <w:spacing w:val="0"/>
                <w:sz w:val="20"/>
              </w:rPr>
            </w:pPr>
            <w:r>
              <w:rPr>
                <w:rFonts w:ascii="Times New Roman" w:hAnsi="Times New Roman"/>
                <w:spacing w:val="0"/>
                <w:sz w:val="20"/>
              </w:rPr>
              <w:t>Berndt-von</w:t>
            </w:r>
          </w:p>
          <w:p>
            <w:pPr>
              <w:pStyle w:val="TableContents"/>
              <w:spacing w:before="0" w:after="0"/>
              <w:rPr>
                <w:rFonts w:ascii="Times New Roman" w:hAnsi="Times New Roman"/>
                <w:sz w:val="20"/>
              </w:rPr>
            </w:pPr>
            <w:r>
              <w:rPr>
                <w:rFonts w:ascii="Times New Roman" w:hAnsi="Times New Roman"/>
                <w:sz w:val="20"/>
              </w:rPr>
              <w:t>Bülow</w:t>
            </w:r>
          </w:p>
        </w:tc>
        <w:tc>
          <w:tcPr>
            <w:tcW w:w="120"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before="0" w:after="283"/>
              <w:rPr/>
            </w:pPr>
            <w:r>
              <w:rPr/>
              <w:t> </w:t>
            </w:r>
          </w:p>
        </w:tc>
        <w:tc>
          <w:tcPr>
            <w:tcW w:w="1261" w:type="dxa"/>
            <w:tcBorders/>
            <w:shd w:fill="auto" w:val="clear"/>
            <w:vAlign w:val="center"/>
          </w:tcPr>
          <w:p>
            <w:pPr>
              <w:pStyle w:val="TableContents"/>
              <w:spacing w:before="0" w:after="283"/>
              <w:jc w:val="right"/>
              <w:rPr/>
            </w:pPr>
            <w:r>
              <w:rPr/>
              <w:t>174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before="0" w:after="283"/>
              <w:rPr/>
            </w:pPr>
            <w:r>
              <w:rPr/>
              <w:t> </w:t>
            </w:r>
          </w:p>
        </w:tc>
        <w:tc>
          <w:tcPr>
            <w:tcW w:w="1261" w:type="dxa"/>
            <w:tcBorders/>
            <w:shd w:fill="auto" w:val="clear"/>
            <w:vAlign w:val="center"/>
          </w:tcPr>
          <w:p>
            <w:pPr>
              <w:pStyle w:val="TableContents"/>
              <w:spacing w:before="0" w:after="283"/>
              <w:jc w:val="right"/>
              <w:rPr/>
            </w:pPr>
            <w:r>
              <w:rPr/>
              <w:t>174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c>
          <w:tcPr>
            <w:tcW w:w="529" w:type="dxa"/>
            <w:tcBorders/>
            <w:shd w:fill="auto" w:val="clear"/>
            <w:vAlign w:val="center"/>
          </w:tcPr>
          <w:p>
            <w:pPr>
              <w:pStyle w:val="TableContents"/>
              <w:spacing w:before="0" w:after="283"/>
              <w:jc w:val="right"/>
              <w:rPr/>
            </w:pPr>
            <w:r>
              <w:rPr/>
              <w:t>0</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5065" w:type="dxa"/>
        <w:jc w:val="left"/>
        <w:tblInd w:w="0" w:type="dxa"/>
        <w:tblCellMar>
          <w:top w:w="0" w:type="dxa"/>
          <w:left w:w="0" w:type="dxa"/>
          <w:bottom w:w="0" w:type="dxa"/>
          <w:right w:w="0" w:type="dxa"/>
        </w:tblCellMar>
      </w:tblPr>
      <w:tblGrid>
        <w:gridCol w:w="335"/>
        <w:gridCol w:w="4730"/>
      </w:tblGrid>
      <w:tr>
        <w:trPr/>
        <w:tc>
          <w:tcPr>
            <w:tcW w:w="335" w:type="dxa"/>
            <w:tcBorders/>
            <w:shd w:fill="auto" w:val="clear"/>
            <w:vAlign w:val="center"/>
          </w:tcPr>
          <w:p>
            <w:pPr>
              <w:pStyle w:val="TableContents"/>
              <w:spacing w:before="0" w:after="0"/>
              <w:jc w:val="both"/>
              <w:rPr>
                <w:b/>
                <w:spacing w:val="0"/>
              </w:rPr>
            </w:pPr>
            <w:r>
              <w:rPr>
                <w:b/>
                <w:spacing w:val="0"/>
              </w:rPr>
              <w:t>33.</w:t>
            </w:r>
          </w:p>
        </w:tc>
        <w:tc>
          <w:tcPr>
            <w:tcW w:w="4730"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Financial Instruments and Financial Risk Management </w:t>
            </w:r>
          </w:p>
        </w:tc>
      </w:tr>
    </w:tbl>
    <w:p>
      <w:pPr>
        <w:pStyle w:val="TextBody"/>
        <w:spacing w:before="0" w:after="0"/>
        <w:jc w:val="both"/>
        <w:rPr>
          <w:highlight w:val="white"/>
        </w:rPr>
      </w:pPr>
      <w:r>
        <w:rPr>
          <w:highlight w:val="white"/>
        </w:rPr>
        <w:t> </w:t>
      </w:r>
    </w:p>
    <w:tbl>
      <w:tblPr>
        <w:tblW w:w="2440" w:type="dxa"/>
        <w:jc w:val="left"/>
        <w:tblInd w:w="0" w:type="dxa"/>
        <w:tblCellMar>
          <w:top w:w="0" w:type="dxa"/>
          <w:left w:w="0" w:type="dxa"/>
          <w:bottom w:w="0" w:type="dxa"/>
          <w:right w:w="0" w:type="dxa"/>
        </w:tblCellMar>
      </w:tblPr>
      <w:tblGrid>
        <w:gridCol w:w="515"/>
        <w:gridCol w:w="1925"/>
      </w:tblGrid>
      <w:tr>
        <w:trPr/>
        <w:tc>
          <w:tcPr>
            <w:tcW w:w="515" w:type="dxa"/>
            <w:tcBorders/>
            <w:shd w:fill="auto" w:val="clear"/>
            <w:vAlign w:val="center"/>
          </w:tcPr>
          <w:p>
            <w:pPr>
              <w:pStyle w:val="TableContents"/>
              <w:spacing w:before="0" w:after="0"/>
              <w:jc w:val="both"/>
              <w:rPr>
                <w:b/>
                <w:spacing w:val="0"/>
              </w:rPr>
            </w:pPr>
            <w:r>
              <w:rPr>
                <w:b/>
                <w:spacing w:val="0"/>
              </w:rPr>
              <w:t>33.1.</w:t>
            </w:r>
          </w:p>
        </w:tc>
        <w:tc>
          <w:tcPr>
            <w:tcW w:w="1925"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Financial instruments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financial instruments were allocated to the following categories: </w:t>
      </w:r>
    </w:p>
    <w:p>
      <w:pPr>
        <w:pStyle w:val="TextBody"/>
        <w:spacing w:before="0" w:after="0"/>
        <w:jc w:val="left"/>
        <w:rPr>
          <w:highlight w:val="white"/>
        </w:rPr>
      </w:pPr>
      <w:r>
        <w:rPr>
          <w:highlight w:val="white"/>
        </w:rPr>
        <w:t> </w:t>
      </w:r>
    </w:p>
    <w:tbl>
      <w:tblPr>
        <w:tblW w:w="7433" w:type="dxa"/>
        <w:jc w:val="left"/>
        <w:tblInd w:w="0" w:type="dxa"/>
        <w:tblCellMar>
          <w:top w:w="0" w:type="dxa"/>
          <w:left w:w="0" w:type="dxa"/>
          <w:bottom w:w="0" w:type="dxa"/>
          <w:right w:w="0" w:type="dxa"/>
        </w:tblCellMar>
      </w:tblPr>
      <w:tblGrid>
        <w:gridCol w:w="2450"/>
        <w:gridCol w:w="120"/>
        <w:gridCol w:w="73"/>
        <w:gridCol w:w="836"/>
        <w:gridCol w:w="73"/>
        <w:gridCol w:w="147"/>
        <w:gridCol w:w="113"/>
        <w:gridCol w:w="1062"/>
        <w:gridCol w:w="60"/>
        <w:gridCol w:w="120"/>
        <w:gridCol w:w="73"/>
        <w:gridCol w:w="836"/>
        <w:gridCol w:w="73"/>
        <w:gridCol w:w="147"/>
        <w:gridCol w:w="113"/>
        <w:gridCol w:w="1062"/>
        <w:gridCol w:w="75"/>
      </w:tblGrid>
      <w:tr>
        <w:trPr/>
        <w:tc>
          <w:tcPr>
            <w:tcW w:w="24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4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04" w:type="dxa"/>
            <w:gridSpan w:val="6"/>
            <w:tcBorders/>
            <w:shd w:fill="auto" w:val="clear"/>
            <w:vAlign w:val="center"/>
          </w:tcPr>
          <w:p>
            <w:pPr>
              <w:pStyle w:val="TableContents"/>
              <w:spacing w:before="0" w:after="283"/>
              <w:jc w:val="center"/>
              <w:rPr/>
            </w:pPr>
            <w:r>
              <w:rPr/>
              <w:t>December 31,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04" w:type="dxa"/>
            <w:gridSpan w:val="6"/>
            <w:tcBorders/>
            <w:shd w:fill="auto" w:val="clear"/>
            <w:vAlign w:val="center"/>
          </w:tcPr>
          <w:p>
            <w:pPr>
              <w:pStyle w:val="TableContents"/>
              <w:spacing w:before="0" w:after="283"/>
              <w:jc w:val="center"/>
              <w:rPr/>
            </w:pPr>
            <w:r>
              <w:rPr/>
              <w:t>December 31, 2021</w:t>
            </w:r>
          </w:p>
        </w:tc>
        <w:tc>
          <w:tcPr>
            <w:tcW w:w="75" w:type="dxa"/>
            <w:tcBorders/>
            <w:shd w:fill="auto" w:val="clear"/>
            <w:vAlign w:val="center"/>
          </w:tcPr>
          <w:p>
            <w:pPr>
              <w:pStyle w:val="TableContents"/>
              <w:spacing w:before="0" w:after="283"/>
              <w:rPr/>
            </w:pPr>
            <w:r>
              <w:rPr/>
              <w:t> </w:t>
            </w:r>
          </w:p>
        </w:tc>
      </w:tr>
      <w:tr>
        <w:trPr/>
        <w:tc>
          <w:tcPr>
            <w:tcW w:w="2450"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909" w:type="dxa"/>
            <w:gridSpan w:val="2"/>
            <w:tcBorders/>
            <w:shd w:fill="auto" w:val="clear"/>
            <w:vAlign w:val="center"/>
          </w:tcPr>
          <w:p>
            <w:pPr>
              <w:pStyle w:val="TableContents"/>
              <w:spacing w:before="0" w:after="283"/>
              <w:jc w:val="center"/>
              <w:rPr/>
            </w:pPr>
            <w:r>
              <w:rPr/>
              <w:t>Current</w:t>
            </w:r>
          </w:p>
        </w:tc>
        <w:tc>
          <w:tcPr>
            <w:tcW w:w="73"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175" w:type="dxa"/>
            <w:gridSpan w:val="2"/>
            <w:tcBorders/>
            <w:shd w:fill="auto" w:val="clear"/>
            <w:vAlign w:val="center"/>
          </w:tcPr>
          <w:p>
            <w:pPr>
              <w:pStyle w:val="TableContents"/>
              <w:spacing w:before="0" w:after="0"/>
              <w:jc w:val="center"/>
              <w:rPr>
                <w:spacing w:val="0"/>
              </w:rPr>
            </w:pPr>
            <w:r>
              <w:rPr>
                <w:spacing w:val="0"/>
              </w:rPr>
              <w:t>Non-current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9" w:type="dxa"/>
            <w:gridSpan w:val="2"/>
            <w:tcBorders/>
            <w:shd w:fill="auto" w:val="clear"/>
            <w:vAlign w:val="center"/>
          </w:tcPr>
          <w:p>
            <w:pPr>
              <w:pStyle w:val="TableContents"/>
              <w:spacing w:before="0" w:after="283"/>
              <w:jc w:val="center"/>
              <w:rPr/>
            </w:pPr>
            <w:r>
              <w:rPr/>
              <w:t>Current</w:t>
            </w:r>
          </w:p>
        </w:tc>
        <w:tc>
          <w:tcPr>
            <w:tcW w:w="73"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175" w:type="dxa"/>
            <w:gridSpan w:val="2"/>
            <w:tcBorders/>
            <w:shd w:fill="auto" w:val="clear"/>
            <w:vAlign w:val="center"/>
          </w:tcPr>
          <w:p>
            <w:pPr>
              <w:pStyle w:val="TableContents"/>
              <w:spacing w:before="0" w:after="0"/>
              <w:jc w:val="center"/>
              <w:rPr>
                <w:spacing w:val="0"/>
              </w:rPr>
            </w:pPr>
            <w:r>
              <w:rPr>
                <w:spacing w:val="0"/>
              </w:rPr>
              <w:t>Non-current</w:t>
            </w:r>
          </w:p>
        </w:tc>
        <w:tc>
          <w:tcPr>
            <w:tcW w:w="75" w:type="dxa"/>
            <w:tcBorders/>
            <w:shd w:fill="auto" w:val="clear"/>
            <w:vAlign w:val="center"/>
          </w:tcPr>
          <w:p>
            <w:pPr>
              <w:pStyle w:val="TableContents"/>
              <w:spacing w:before="0" w:after="283"/>
              <w:rPr/>
            </w:pPr>
            <w:r>
              <w:rPr/>
              <w:t> </w:t>
            </w:r>
          </w:p>
        </w:tc>
      </w:tr>
      <w:tr>
        <w:trPr/>
        <w:tc>
          <w:tcPr>
            <w:tcW w:w="245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Financial Assets (AC)</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836"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rPr/>
            </w:pPr>
            <w:r>
              <w:rPr/>
              <w:t> </w:t>
            </w:r>
          </w:p>
        </w:tc>
        <w:tc>
          <w:tcPr>
            <w:tcW w:w="106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836"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rPr/>
            </w:pPr>
            <w:r>
              <w:rPr/>
              <w:t> </w:t>
            </w:r>
          </w:p>
        </w:tc>
        <w:tc>
          <w:tcPr>
            <w:tcW w:w="1062"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24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financial assets</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836" w:type="dxa"/>
            <w:tcBorders/>
            <w:shd w:fill="auto" w:val="clear"/>
            <w:vAlign w:val="center"/>
          </w:tcPr>
          <w:p>
            <w:pPr>
              <w:pStyle w:val="TableContents"/>
              <w:spacing w:before="0" w:after="283"/>
              <w:jc w:val="right"/>
              <w:rPr/>
            </w:pPr>
            <w:r>
              <w:rPr/>
              <w:t>48</w:t>
            </w:r>
          </w:p>
        </w:tc>
        <w:tc>
          <w:tcPr>
            <w:tcW w:w="73"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283"/>
              <w:rPr/>
            </w:pPr>
            <w:r>
              <w:rPr/>
              <w:t> </w:t>
            </w:r>
          </w:p>
        </w:tc>
        <w:tc>
          <w:tcPr>
            <w:tcW w:w="1062" w:type="dxa"/>
            <w:tcBorders/>
            <w:shd w:fill="auto" w:val="clear"/>
            <w:vAlign w:val="center"/>
          </w:tcPr>
          <w:p>
            <w:pPr>
              <w:pStyle w:val="TableContents"/>
              <w:spacing w:before="0" w:after="283"/>
              <w:jc w:val="right"/>
              <w:rPr/>
            </w:pPr>
            <w:r>
              <w:rPr/>
              <w:t>449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836" w:type="dxa"/>
            <w:tcBorders/>
            <w:shd w:fill="auto" w:val="clear"/>
            <w:vAlign w:val="center"/>
          </w:tcPr>
          <w:p>
            <w:pPr>
              <w:pStyle w:val="TableContents"/>
              <w:spacing w:before="0" w:after="283"/>
              <w:jc w:val="right"/>
              <w:rPr/>
            </w:pPr>
            <w:r>
              <w:rPr/>
              <w:t>143</w:t>
            </w:r>
          </w:p>
        </w:tc>
        <w:tc>
          <w:tcPr>
            <w:tcW w:w="73"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283"/>
              <w:rPr/>
            </w:pPr>
            <w:r>
              <w:rPr/>
              <w:t> </w:t>
            </w:r>
          </w:p>
        </w:tc>
        <w:tc>
          <w:tcPr>
            <w:tcW w:w="1062" w:type="dxa"/>
            <w:tcBorders/>
            <w:shd w:fill="auto" w:val="clear"/>
            <w:vAlign w:val="center"/>
          </w:tcPr>
          <w:p>
            <w:pPr>
              <w:pStyle w:val="TableContents"/>
              <w:spacing w:before="0" w:after="283"/>
              <w:jc w:val="right"/>
              <w:rPr/>
            </w:pPr>
            <w:r>
              <w:rPr/>
              <w:t>411</w:t>
            </w:r>
          </w:p>
        </w:tc>
        <w:tc>
          <w:tcPr>
            <w:tcW w:w="75" w:type="dxa"/>
            <w:tcBorders/>
            <w:shd w:fill="auto" w:val="clear"/>
            <w:vAlign w:val="center"/>
          </w:tcPr>
          <w:p>
            <w:pPr>
              <w:pStyle w:val="TableContents"/>
              <w:spacing w:before="0" w:after="283"/>
              <w:rPr/>
            </w:pPr>
            <w:r>
              <w:rPr/>
              <w:t> </w:t>
            </w:r>
          </w:p>
        </w:tc>
      </w:tr>
      <w:tr>
        <w:trPr/>
        <w:tc>
          <w:tcPr>
            <w:tcW w:w="24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836" w:type="dxa"/>
            <w:tcBorders/>
            <w:shd w:fill="CCEEFF" w:val="clear"/>
            <w:vAlign w:val="center"/>
          </w:tcPr>
          <w:p>
            <w:pPr>
              <w:pStyle w:val="TableContents"/>
              <w:spacing w:before="0" w:after="283"/>
              <w:jc w:val="right"/>
              <w:rPr/>
            </w:pPr>
            <w:r>
              <w:rPr/>
              <w:t>10,238</w:t>
            </w:r>
          </w:p>
        </w:tc>
        <w:tc>
          <w:tcPr>
            <w:tcW w:w="73"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rPr/>
            </w:pPr>
            <w:r>
              <w:rPr/>
              <w:t> </w:t>
            </w:r>
          </w:p>
        </w:tc>
        <w:tc>
          <w:tcPr>
            <w:tcW w:w="1062"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836" w:type="dxa"/>
            <w:tcBorders/>
            <w:shd w:fill="CCEEFF" w:val="clear"/>
            <w:vAlign w:val="center"/>
          </w:tcPr>
          <w:p>
            <w:pPr>
              <w:pStyle w:val="TableContents"/>
              <w:spacing w:before="0" w:after="283"/>
              <w:jc w:val="right"/>
              <w:rPr/>
            </w:pPr>
            <w:r>
              <w:rPr/>
              <w:t>48,143</w:t>
            </w:r>
          </w:p>
        </w:tc>
        <w:tc>
          <w:tcPr>
            <w:tcW w:w="73"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rPr/>
            </w:pPr>
            <w:r>
              <w:rPr/>
              <w:t> </w:t>
            </w:r>
          </w:p>
        </w:tc>
        <w:tc>
          <w:tcPr>
            <w:tcW w:w="1062" w:type="dxa"/>
            <w:tcBorders/>
            <w:shd w:fill="CCEEFF" w:val="clear"/>
            <w:vAlign w:val="center"/>
          </w:tcPr>
          <w:p>
            <w:pPr>
              <w:pStyle w:val="TableContents"/>
              <w:spacing w:before="0" w:after="283"/>
              <w:jc w:val="right"/>
              <w:rPr/>
            </w:pPr>
            <w:r>
              <w:rPr/>
              <w:t>0</w:t>
            </w:r>
          </w:p>
        </w:tc>
        <w:tc>
          <w:tcPr>
            <w:tcW w:w="75" w:type="dxa"/>
            <w:tcBorders/>
            <w:shd w:fill="CCEEFF" w:val="clear"/>
            <w:vAlign w:val="center"/>
          </w:tcPr>
          <w:p>
            <w:pPr>
              <w:pStyle w:val="TableContents"/>
              <w:spacing w:before="0" w:after="283"/>
              <w:rPr/>
            </w:pPr>
            <w:r>
              <w:rPr/>
              <w:t> </w:t>
            </w:r>
          </w:p>
        </w:tc>
      </w:tr>
      <w:tr>
        <w:trPr/>
        <w:tc>
          <w:tcPr>
            <w:tcW w:w="24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Trade receivables</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836" w:type="dxa"/>
            <w:tcBorders/>
            <w:shd w:fill="auto" w:val="clear"/>
            <w:vAlign w:val="center"/>
          </w:tcPr>
          <w:p>
            <w:pPr>
              <w:pStyle w:val="TableContents"/>
              <w:spacing w:before="0" w:after="283"/>
              <w:jc w:val="right"/>
              <w:rPr/>
            </w:pPr>
            <w:r>
              <w:rPr/>
              <w:t>1,101</w:t>
            </w:r>
          </w:p>
        </w:tc>
        <w:tc>
          <w:tcPr>
            <w:tcW w:w="73"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283"/>
              <w:rPr/>
            </w:pPr>
            <w:r>
              <w:rPr/>
              <w:t> </w:t>
            </w:r>
          </w:p>
        </w:tc>
        <w:tc>
          <w:tcPr>
            <w:tcW w:w="1062"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836" w:type="dxa"/>
            <w:tcBorders/>
            <w:shd w:fill="auto" w:val="clear"/>
            <w:vAlign w:val="center"/>
          </w:tcPr>
          <w:p>
            <w:pPr>
              <w:pStyle w:val="TableContents"/>
              <w:spacing w:before="0" w:after="283"/>
              <w:jc w:val="right"/>
              <w:rPr/>
            </w:pPr>
            <w:r>
              <w:rPr/>
              <w:t>0</w:t>
            </w:r>
          </w:p>
        </w:tc>
        <w:tc>
          <w:tcPr>
            <w:tcW w:w="73"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283"/>
              <w:rPr/>
            </w:pPr>
            <w:r>
              <w:rPr/>
              <w:t> </w:t>
            </w:r>
          </w:p>
        </w:tc>
        <w:tc>
          <w:tcPr>
            <w:tcW w:w="1062" w:type="dxa"/>
            <w:tcBorders/>
            <w:shd w:fill="auto" w:val="clear"/>
            <w:vAlign w:val="center"/>
          </w:tcPr>
          <w:p>
            <w:pPr>
              <w:pStyle w:val="TableContents"/>
              <w:spacing w:before="0" w:after="283"/>
              <w:jc w:val="right"/>
              <w:rPr/>
            </w:pPr>
            <w:r>
              <w:rPr/>
              <w:t>0</w:t>
            </w:r>
          </w:p>
        </w:tc>
        <w:tc>
          <w:tcPr>
            <w:tcW w:w="75" w:type="dxa"/>
            <w:tcBorders/>
            <w:shd w:fill="auto" w:val="clear"/>
            <w:vAlign w:val="center"/>
          </w:tcPr>
          <w:p>
            <w:pPr>
              <w:pStyle w:val="TableContents"/>
              <w:spacing w:before="0" w:after="283"/>
              <w:rPr/>
            </w:pPr>
            <w:r>
              <w:rPr/>
              <w:t> </w:t>
            </w:r>
          </w:p>
        </w:tc>
      </w:tr>
      <w:tr>
        <w:trPr/>
        <w:tc>
          <w:tcPr>
            <w:tcW w:w="245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0"/>
              <w:rPr>
                <w:spacing w:val="0"/>
              </w:rPr>
            </w:pPr>
            <w:r>
              <w:rPr>
                <w:spacing w:val="0"/>
              </w:rPr>
              <w:t> </w:t>
            </w:r>
          </w:p>
        </w:tc>
        <w:tc>
          <w:tcPr>
            <w:tcW w:w="836" w:type="dxa"/>
            <w:tcBorders/>
            <w:shd w:fill="CCEEFF" w:val="clear"/>
            <w:vAlign w:val="center"/>
          </w:tcPr>
          <w:p>
            <w:pPr>
              <w:pStyle w:val="TableContents"/>
              <w:spacing w:before="0" w:after="0"/>
              <w:jc w:val="right"/>
              <w:rPr>
                <w:b/>
                <w:spacing w:val="0"/>
              </w:rPr>
            </w:pPr>
            <w:r>
              <w:rPr>
                <w:b/>
                <w:spacing w:val="0"/>
              </w:rPr>
              <w:t>11,387</w:t>
            </w:r>
          </w:p>
        </w:tc>
        <w:tc>
          <w:tcPr>
            <w:tcW w:w="73" w:type="dxa"/>
            <w:tcBorders/>
            <w:shd w:fill="CCEEFF" w:val="clear"/>
            <w:vAlign w:val="center"/>
          </w:tcPr>
          <w:p>
            <w:pPr>
              <w:pStyle w:val="TableContents"/>
              <w:spacing w:before="0" w:after="0"/>
              <w:rPr>
                <w:spacing w:val="0"/>
              </w:rPr>
            </w:pPr>
            <w:r>
              <w:rPr>
                <w:spacing w:val="0"/>
              </w:rPr>
              <w:t> </w:t>
            </w:r>
          </w:p>
        </w:tc>
        <w:tc>
          <w:tcPr>
            <w:tcW w:w="147"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0"/>
              <w:rPr>
                <w:spacing w:val="0"/>
              </w:rPr>
            </w:pPr>
            <w:r>
              <w:rPr>
                <w:spacing w:val="0"/>
              </w:rPr>
              <w:t> </w:t>
            </w:r>
          </w:p>
        </w:tc>
        <w:tc>
          <w:tcPr>
            <w:tcW w:w="1062" w:type="dxa"/>
            <w:tcBorders/>
            <w:shd w:fill="CCEEFF" w:val="clear"/>
            <w:vAlign w:val="center"/>
          </w:tcPr>
          <w:p>
            <w:pPr>
              <w:pStyle w:val="TableContents"/>
              <w:spacing w:before="0" w:after="0"/>
              <w:jc w:val="right"/>
              <w:rPr>
                <w:b/>
                <w:spacing w:val="0"/>
              </w:rPr>
            </w:pPr>
            <w:r>
              <w:rPr>
                <w:b/>
                <w:spacing w:val="0"/>
              </w:rPr>
              <w:t>449</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0"/>
              <w:rPr>
                <w:spacing w:val="0"/>
              </w:rPr>
            </w:pPr>
            <w:r>
              <w:rPr>
                <w:spacing w:val="0"/>
              </w:rPr>
              <w:t> </w:t>
            </w:r>
          </w:p>
        </w:tc>
        <w:tc>
          <w:tcPr>
            <w:tcW w:w="836" w:type="dxa"/>
            <w:tcBorders/>
            <w:shd w:fill="CCEEFF" w:val="clear"/>
            <w:vAlign w:val="center"/>
          </w:tcPr>
          <w:p>
            <w:pPr>
              <w:pStyle w:val="TableContents"/>
              <w:spacing w:before="0" w:after="0"/>
              <w:jc w:val="right"/>
              <w:rPr>
                <w:b/>
                <w:spacing w:val="0"/>
              </w:rPr>
            </w:pPr>
            <w:r>
              <w:rPr>
                <w:b/>
                <w:spacing w:val="0"/>
              </w:rPr>
              <w:t>48,286</w:t>
            </w:r>
          </w:p>
        </w:tc>
        <w:tc>
          <w:tcPr>
            <w:tcW w:w="73" w:type="dxa"/>
            <w:tcBorders/>
            <w:shd w:fill="CCEEFF" w:val="clear"/>
            <w:vAlign w:val="center"/>
          </w:tcPr>
          <w:p>
            <w:pPr>
              <w:pStyle w:val="TableContents"/>
              <w:spacing w:before="0" w:after="0"/>
              <w:rPr>
                <w:spacing w:val="0"/>
              </w:rPr>
            </w:pPr>
            <w:r>
              <w:rPr>
                <w:spacing w:val="0"/>
              </w:rPr>
              <w:t> </w:t>
            </w:r>
          </w:p>
        </w:tc>
        <w:tc>
          <w:tcPr>
            <w:tcW w:w="147"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0"/>
              <w:rPr>
                <w:spacing w:val="0"/>
              </w:rPr>
            </w:pPr>
            <w:r>
              <w:rPr>
                <w:spacing w:val="0"/>
              </w:rPr>
              <w:t> </w:t>
            </w:r>
          </w:p>
        </w:tc>
        <w:tc>
          <w:tcPr>
            <w:tcW w:w="1062" w:type="dxa"/>
            <w:tcBorders/>
            <w:shd w:fill="CCEEFF" w:val="clear"/>
            <w:vAlign w:val="center"/>
          </w:tcPr>
          <w:p>
            <w:pPr>
              <w:pStyle w:val="TableContents"/>
              <w:spacing w:before="0" w:after="0"/>
              <w:jc w:val="right"/>
              <w:rPr>
                <w:b/>
                <w:spacing w:val="0"/>
              </w:rPr>
            </w:pPr>
            <w:r>
              <w:rPr>
                <w:b/>
                <w:spacing w:val="0"/>
              </w:rPr>
              <w:t>411</w:t>
            </w:r>
          </w:p>
        </w:tc>
        <w:tc>
          <w:tcPr>
            <w:tcW w:w="75" w:type="dxa"/>
            <w:tcBorders/>
            <w:shd w:fill="CCEEFF" w:val="clear"/>
            <w:vAlign w:val="center"/>
          </w:tcPr>
          <w:p>
            <w:pPr>
              <w:pStyle w:val="TableContents"/>
              <w:spacing w:before="0" w:after="0"/>
              <w:rPr>
                <w:spacing w:val="0"/>
              </w:rPr>
            </w:pPr>
            <w:r>
              <w:rPr>
                <w:spacing w:val="0"/>
              </w:rPr>
              <w:t> </w:t>
            </w:r>
          </w:p>
        </w:tc>
      </w:tr>
      <w:tr>
        <w:trPr/>
        <w:tc>
          <w:tcPr>
            <w:tcW w:w="245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Financial Assets (FVTPL)</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spacing w:val="0"/>
              </w:rPr>
            </w:pPr>
            <w:r>
              <w:rPr>
                <w:spacing w:val="0"/>
              </w:rPr>
              <w:t> </w:t>
            </w:r>
          </w:p>
        </w:tc>
        <w:tc>
          <w:tcPr>
            <w:tcW w:w="836" w:type="dxa"/>
            <w:tcBorders/>
            <w:shd w:fill="auto" w:val="clear"/>
            <w:vAlign w:val="center"/>
          </w:tcPr>
          <w:p>
            <w:pPr>
              <w:pStyle w:val="TableContents"/>
              <w:spacing w:before="0" w:after="0"/>
              <w:jc w:val="right"/>
              <w:rPr>
                <w:b/>
                <w:spacing w:val="0"/>
              </w:rPr>
            </w:pPr>
            <w:r>
              <w:rPr>
                <w:b/>
                <w:spacing w:val="0"/>
              </w:rPr>
              <w:t>172</w:t>
            </w:r>
          </w:p>
        </w:tc>
        <w:tc>
          <w:tcPr>
            <w:tcW w:w="73" w:type="dxa"/>
            <w:tcBorders/>
            <w:shd w:fill="auto" w:val="clear"/>
            <w:vAlign w:val="center"/>
          </w:tcPr>
          <w:p>
            <w:pPr>
              <w:pStyle w:val="TableContents"/>
              <w:spacing w:before="0" w:after="0"/>
              <w:rPr>
                <w:spacing w:val="0"/>
              </w:rPr>
            </w:pPr>
            <w:r>
              <w:rPr>
                <w:spacing w:val="0"/>
              </w:rPr>
              <w:t> </w:t>
            </w:r>
          </w:p>
        </w:tc>
        <w:tc>
          <w:tcPr>
            <w:tcW w:w="147"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0"/>
              <w:rPr>
                <w:spacing w:val="0"/>
              </w:rPr>
            </w:pPr>
            <w:r>
              <w:rPr>
                <w:spacing w:val="0"/>
              </w:rPr>
              <w:t> </w:t>
            </w:r>
          </w:p>
        </w:tc>
        <w:tc>
          <w:tcPr>
            <w:tcW w:w="1062" w:type="dxa"/>
            <w:tcBorders/>
            <w:shd w:fill="auto" w:val="clear"/>
            <w:vAlign w:val="center"/>
          </w:tcPr>
          <w:p>
            <w:pPr>
              <w:pStyle w:val="TableContents"/>
              <w:spacing w:before="0" w:after="0"/>
              <w:jc w:val="right"/>
              <w:rPr>
                <w:b/>
                <w:spacing w:val="0"/>
              </w:rPr>
            </w:pPr>
            <w:r>
              <w:rPr>
                <w:b/>
                <w:spacing w:val="0"/>
              </w:rPr>
              <w:t>0</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spacing w:val="0"/>
              </w:rPr>
            </w:pPr>
            <w:r>
              <w:rPr>
                <w:spacing w:val="0"/>
              </w:rPr>
              <w:t> </w:t>
            </w:r>
          </w:p>
        </w:tc>
        <w:tc>
          <w:tcPr>
            <w:tcW w:w="836" w:type="dxa"/>
            <w:tcBorders/>
            <w:shd w:fill="auto" w:val="clear"/>
            <w:vAlign w:val="center"/>
          </w:tcPr>
          <w:p>
            <w:pPr>
              <w:pStyle w:val="TableContents"/>
              <w:spacing w:before="0" w:after="0"/>
              <w:jc w:val="right"/>
              <w:rPr>
                <w:b/>
                <w:spacing w:val="0"/>
              </w:rPr>
            </w:pPr>
            <w:r>
              <w:rPr>
                <w:b/>
                <w:spacing w:val="0"/>
              </w:rPr>
              <w:t>0</w:t>
            </w:r>
          </w:p>
        </w:tc>
        <w:tc>
          <w:tcPr>
            <w:tcW w:w="73" w:type="dxa"/>
            <w:tcBorders/>
            <w:shd w:fill="auto" w:val="clear"/>
            <w:vAlign w:val="center"/>
          </w:tcPr>
          <w:p>
            <w:pPr>
              <w:pStyle w:val="TableContents"/>
              <w:spacing w:before="0" w:after="0"/>
              <w:rPr>
                <w:spacing w:val="0"/>
              </w:rPr>
            </w:pPr>
            <w:r>
              <w:rPr>
                <w:spacing w:val="0"/>
              </w:rPr>
              <w:t> </w:t>
            </w:r>
          </w:p>
        </w:tc>
        <w:tc>
          <w:tcPr>
            <w:tcW w:w="147"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0"/>
              <w:rPr>
                <w:spacing w:val="0"/>
              </w:rPr>
            </w:pPr>
            <w:r>
              <w:rPr>
                <w:spacing w:val="0"/>
              </w:rPr>
              <w:t> </w:t>
            </w:r>
          </w:p>
        </w:tc>
        <w:tc>
          <w:tcPr>
            <w:tcW w:w="1062" w:type="dxa"/>
            <w:tcBorders/>
            <w:shd w:fill="auto" w:val="clear"/>
            <w:vAlign w:val="center"/>
          </w:tcPr>
          <w:p>
            <w:pPr>
              <w:pStyle w:val="TableContents"/>
              <w:spacing w:before="0" w:after="0"/>
              <w:jc w:val="right"/>
              <w:rPr>
                <w:b/>
                <w:spacing w:val="0"/>
              </w:rPr>
            </w:pPr>
            <w:r>
              <w:rPr>
                <w:b/>
                <w:spacing w:val="0"/>
              </w:rPr>
              <w:t>0</w:t>
            </w:r>
          </w:p>
        </w:tc>
        <w:tc>
          <w:tcPr>
            <w:tcW w:w="75" w:type="dxa"/>
            <w:tcBorders/>
            <w:shd w:fill="auto" w:val="clear"/>
            <w:vAlign w:val="center"/>
          </w:tcPr>
          <w:p>
            <w:pPr>
              <w:pStyle w:val="TableContents"/>
              <w:spacing w:before="0" w:after="0"/>
              <w:rPr>
                <w:spacing w:val="0"/>
              </w:rPr>
            </w:pPr>
            <w:r>
              <w:rPr>
                <w:spacing w:val="0"/>
              </w:rPr>
              <w:t> </w:t>
            </w:r>
          </w:p>
        </w:tc>
      </w:tr>
      <w:tr>
        <w:trPr/>
        <w:tc>
          <w:tcPr>
            <w:tcW w:w="245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 Financial Assets</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0"/>
              <w:rPr>
                <w:spacing w:val="0"/>
              </w:rPr>
            </w:pPr>
            <w:r>
              <w:rPr>
                <w:spacing w:val="0"/>
              </w:rPr>
              <w:t> </w:t>
            </w:r>
          </w:p>
        </w:tc>
        <w:tc>
          <w:tcPr>
            <w:tcW w:w="836" w:type="dxa"/>
            <w:tcBorders/>
            <w:shd w:fill="CCEEFF" w:val="clear"/>
            <w:vAlign w:val="center"/>
          </w:tcPr>
          <w:p>
            <w:pPr>
              <w:pStyle w:val="TableContents"/>
              <w:spacing w:before="0" w:after="0"/>
              <w:jc w:val="right"/>
              <w:rPr>
                <w:b/>
                <w:spacing w:val="0"/>
              </w:rPr>
            </w:pPr>
            <w:r>
              <w:rPr>
                <w:b/>
                <w:spacing w:val="0"/>
              </w:rPr>
              <w:t>11,559</w:t>
            </w:r>
          </w:p>
        </w:tc>
        <w:tc>
          <w:tcPr>
            <w:tcW w:w="73" w:type="dxa"/>
            <w:tcBorders/>
            <w:shd w:fill="CCEEFF" w:val="clear"/>
            <w:vAlign w:val="center"/>
          </w:tcPr>
          <w:p>
            <w:pPr>
              <w:pStyle w:val="TableContents"/>
              <w:spacing w:before="0" w:after="0"/>
              <w:rPr>
                <w:spacing w:val="0"/>
              </w:rPr>
            </w:pPr>
            <w:r>
              <w:rPr>
                <w:spacing w:val="0"/>
              </w:rPr>
              <w:t> </w:t>
            </w:r>
          </w:p>
        </w:tc>
        <w:tc>
          <w:tcPr>
            <w:tcW w:w="147"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0"/>
              <w:rPr>
                <w:spacing w:val="0"/>
              </w:rPr>
            </w:pPr>
            <w:r>
              <w:rPr>
                <w:spacing w:val="0"/>
              </w:rPr>
              <w:t> </w:t>
            </w:r>
          </w:p>
        </w:tc>
        <w:tc>
          <w:tcPr>
            <w:tcW w:w="1062" w:type="dxa"/>
            <w:tcBorders/>
            <w:shd w:fill="CCEEFF" w:val="clear"/>
            <w:vAlign w:val="center"/>
          </w:tcPr>
          <w:p>
            <w:pPr>
              <w:pStyle w:val="TableContents"/>
              <w:spacing w:before="0" w:after="0"/>
              <w:jc w:val="right"/>
              <w:rPr>
                <w:b/>
                <w:spacing w:val="0"/>
              </w:rPr>
            </w:pPr>
            <w:r>
              <w:rPr>
                <w:b/>
                <w:spacing w:val="0"/>
              </w:rPr>
              <w:t>449</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0"/>
              <w:rPr>
                <w:spacing w:val="0"/>
              </w:rPr>
            </w:pPr>
            <w:r>
              <w:rPr>
                <w:spacing w:val="0"/>
              </w:rPr>
              <w:t> </w:t>
            </w:r>
          </w:p>
        </w:tc>
        <w:tc>
          <w:tcPr>
            <w:tcW w:w="836" w:type="dxa"/>
            <w:tcBorders/>
            <w:shd w:fill="CCEEFF" w:val="clear"/>
            <w:vAlign w:val="center"/>
          </w:tcPr>
          <w:p>
            <w:pPr>
              <w:pStyle w:val="TableContents"/>
              <w:spacing w:before="0" w:after="0"/>
              <w:jc w:val="right"/>
              <w:rPr>
                <w:b/>
                <w:spacing w:val="0"/>
              </w:rPr>
            </w:pPr>
            <w:r>
              <w:rPr>
                <w:b/>
                <w:spacing w:val="0"/>
              </w:rPr>
              <w:t>48,286</w:t>
            </w:r>
          </w:p>
        </w:tc>
        <w:tc>
          <w:tcPr>
            <w:tcW w:w="73" w:type="dxa"/>
            <w:tcBorders/>
            <w:shd w:fill="CCEEFF" w:val="clear"/>
            <w:vAlign w:val="center"/>
          </w:tcPr>
          <w:p>
            <w:pPr>
              <w:pStyle w:val="TableContents"/>
              <w:spacing w:before="0" w:after="0"/>
              <w:rPr>
                <w:spacing w:val="0"/>
              </w:rPr>
            </w:pPr>
            <w:r>
              <w:rPr>
                <w:spacing w:val="0"/>
              </w:rPr>
              <w:t> </w:t>
            </w:r>
          </w:p>
        </w:tc>
        <w:tc>
          <w:tcPr>
            <w:tcW w:w="147"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0"/>
              <w:rPr>
                <w:spacing w:val="0"/>
              </w:rPr>
            </w:pPr>
            <w:r>
              <w:rPr>
                <w:spacing w:val="0"/>
              </w:rPr>
              <w:t> </w:t>
            </w:r>
          </w:p>
        </w:tc>
        <w:tc>
          <w:tcPr>
            <w:tcW w:w="1062" w:type="dxa"/>
            <w:tcBorders/>
            <w:shd w:fill="CCEEFF" w:val="clear"/>
            <w:vAlign w:val="center"/>
          </w:tcPr>
          <w:p>
            <w:pPr>
              <w:pStyle w:val="TableContents"/>
              <w:spacing w:before="0" w:after="0"/>
              <w:jc w:val="right"/>
              <w:rPr>
                <w:b/>
                <w:spacing w:val="0"/>
              </w:rPr>
            </w:pPr>
            <w:r>
              <w:rPr>
                <w:b/>
                <w:spacing w:val="0"/>
              </w:rPr>
              <w:t>411</w:t>
            </w:r>
          </w:p>
        </w:tc>
        <w:tc>
          <w:tcPr>
            <w:tcW w:w="75" w:type="dxa"/>
            <w:tcBorders/>
            <w:shd w:fill="CCEEFF" w:val="clear"/>
            <w:vAlign w:val="center"/>
          </w:tcPr>
          <w:p>
            <w:pPr>
              <w:pStyle w:val="TableContents"/>
              <w:spacing w:before="0" w:after="0"/>
              <w:rPr>
                <w:spacing w:val="0"/>
              </w:rPr>
            </w:pPr>
            <w:r>
              <w:rPr>
                <w:spacing w:val="0"/>
              </w:rPr>
              <w:t> </w:t>
            </w:r>
          </w:p>
        </w:tc>
      </w:tr>
      <w:tr>
        <w:trPr/>
        <w:tc>
          <w:tcPr>
            <w:tcW w:w="245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Financial Liabilities (FLAC)</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836"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283"/>
              <w:rPr/>
            </w:pPr>
            <w:r>
              <w:rPr/>
              <w:t> </w:t>
            </w:r>
          </w:p>
        </w:tc>
        <w:tc>
          <w:tcPr>
            <w:tcW w:w="106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836"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283"/>
              <w:rPr/>
            </w:pPr>
            <w:r>
              <w:rPr/>
              <w:t> </w:t>
            </w:r>
          </w:p>
        </w:tc>
        <w:tc>
          <w:tcPr>
            <w:tcW w:w="1062"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4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Trade and other payables</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836" w:type="dxa"/>
            <w:tcBorders/>
            <w:shd w:fill="CCEEFF" w:val="clear"/>
            <w:vAlign w:val="center"/>
          </w:tcPr>
          <w:p>
            <w:pPr>
              <w:pStyle w:val="TableContents"/>
              <w:spacing w:before="0" w:after="283"/>
              <w:jc w:val="right"/>
              <w:rPr/>
            </w:pPr>
            <w:r>
              <w:rPr/>
              <w:t>9,238</w:t>
            </w:r>
          </w:p>
        </w:tc>
        <w:tc>
          <w:tcPr>
            <w:tcW w:w="73"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rPr/>
            </w:pPr>
            <w:r>
              <w:rPr/>
              <w:t> </w:t>
            </w:r>
          </w:p>
        </w:tc>
        <w:tc>
          <w:tcPr>
            <w:tcW w:w="1062"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836" w:type="dxa"/>
            <w:tcBorders/>
            <w:shd w:fill="CCEEFF" w:val="clear"/>
            <w:vAlign w:val="center"/>
          </w:tcPr>
          <w:p>
            <w:pPr>
              <w:pStyle w:val="TableContents"/>
              <w:spacing w:before="0" w:after="283"/>
              <w:jc w:val="right"/>
              <w:rPr/>
            </w:pPr>
            <w:r>
              <w:rPr/>
              <w:t>8,396</w:t>
            </w:r>
          </w:p>
        </w:tc>
        <w:tc>
          <w:tcPr>
            <w:tcW w:w="73"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rPr/>
            </w:pPr>
            <w:r>
              <w:rPr/>
              <w:t> </w:t>
            </w:r>
          </w:p>
        </w:tc>
        <w:tc>
          <w:tcPr>
            <w:tcW w:w="1062" w:type="dxa"/>
            <w:tcBorders/>
            <w:shd w:fill="CCEEFF" w:val="clear"/>
            <w:vAlign w:val="center"/>
          </w:tcPr>
          <w:p>
            <w:pPr>
              <w:pStyle w:val="TableContents"/>
              <w:spacing w:before="0" w:after="283"/>
              <w:jc w:val="right"/>
              <w:rPr/>
            </w:pPr>
            <w:r>
              <w:rPr/>
              <w:t>0</w:t>
            </w:r>
          </w:p>
        </w:tc>
        <w:tc>
          <w:tcPr>
            <w:tcW w:w="75" w:type="dxa"/>
            <w:tcBorders/>
            <w:shd w:fill="CCEEFF" w:val="clear"/>
            <w:vAlign w:val="center"/>
          </w:tcPr>
          <w:p>
            <w:pPr>
              <w:pStyle w:val="TableContents"/>
              <w:spacing w:before="0" w:after="283"/>
              <w:rPr/>
            </w:pPr>
            <w:r>
              <w:rPr/>
              <w:t> </w:t>
            </w:r>
          </w:p>
        </w:tc>
      </w:tr>
      <w:tr>
        <w:trPr/>
        <w:tc>
          <w:tcPr>
            <w:tcW w:w="24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Lease liabilities</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836" w:type="dxa"/>
            <w:tcBorders/>
            <w:shd w:fill="auto" w:val="clear"/>
            <w:vAlign w:val="center"/>
          </w:tcPr>
          <w:p>
            <w:pPr>
              <w:pStyle w:val="TableContents"/>
              <w:spacing w:before="0" w:after="283"/>
              <w:jc w:val="right"/>
              <w:rPr/>
            </w:pPr>
            <w:r>
              <w:rPr/>
              <w:t>1,855</w:t>
            </w:r>
          </w:p>
        </w:tc>
        <w:tc>
          <w:tcPr>
            <w:tcW w:w="73"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283"/>
              <w:rPr/>
            </w:pPr>
            <w:r>
              <w:rPr/>
              <w:t> </w:t>
            </w:r>
          </w:p>
        </w:tc>
        <w:tc>
          <w:tcPr>
            <w:tcW w:w="1062" w:type="dxa"/>
            <w:tcBorders/>
            <w:shd w:fill="auto" w:val="clear"/>
            <w:vAlign w:val="center"/>
          </w:tcPr>
          <w:p>
            <w:pPr>
              <w:pStyle w:val="TableContents"/>
              <w:spacing w:before="0" w:after="283"/>
              <w:jc w:val="right"/>
              <w:rPr/>
            </w:pPr>
            <w:r>
              <w:rPr/>
              <w:t>7,087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836" w:type="dxa"/>
            <w:tcBorders/>
            <w:shd w:fill="auto" w:val="clear"/>
            <w:vAlign w:val="center"/>
          </w:tcPr>
          <w:p>
            <w:pPr>
              <w:pStyle w:val="TableContents"/>
              <w:spacing w:before="0" w:after="283"/>
              <w:jc w:val="right"/>
              <w:rPr/>
            </w:pPr>
            <w:r>
              <w:rPr/>
              <w:t>1,638</w:t>
            </w:r>
          </w:p>
        </w:tc>
        <w:tc>
          <w:tcPr>
            <w:tcW w:w="73"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283"/>
              <w:rPr/>
            </w:pPr>
            <w:r>
              <w:rPr/>
              <w:t> </w:t>
            </w:r>
          </w:p>
        </w:tc>
        <w:tc>
          <w:tcPr>
            <w:tcW w:w="1062" w:type="dxa"/>
            <w:tcBorders/>
            <w:shd w:fill="auto" w:val="clear"/>
            <w:vAlign w:val="center"/>
          </w:tcPr>
          <w:p>
            <w:pPr>
              <w:pStyle w:val="TableContents"/>
              <w:spacing w:before="0" w:after="283"/>
              <w:jc w:val="right"/>
              <w:rPr/>
            </w:pPr>
            <w:r>
              <w:rPr/>
              <w:t>7,389</w:t>
            </w:r>
          </w:p>
        </w:tc>
        <w:tc>
          <w:tcPr>
            <w:tcW w:w="75" w:type="dxa"/>
            <w:tcBorders/>
            <w:shd w:fill="auto" w:val="clear"/>
            <w:vAlign w:val="center"/>
          </w:tcPr>
          <w:p>
            <w:pPr>
              <w:pStyle w:val="TableContents"/>
              <w:spacing w:before="0" w:after="283"/>
              <w:rPr/>
            </w:pPr>
            <w:r>
              <w:rPr/>
              <w:t> </w:t>
            </w:r>
          </w:p>
        </w:tc>
      </w:tr>
      <w:tr>
        <w:trPr/>
        <w:tc>
          <w:tcPr>
            <w:tcW w:w="24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 Financial Liabilities</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836" w:type="dxa"/>
            <w:tcBorders/>
            <w:shd w:fill="CCEEFF" w:val="clear"/>
            <w:vAlign w:val="center"/>
          </w:tcPr>
          <w:p>
            <w:pPr>
              <w:pStyle w:val="TableContents"/>
              <w:spacing w:before="0" w:after="283"/>
              <w:jc w:val="right"/>
              <w:rPr/>
            </w:pPr>
            <w:r>
              <w:rPr/>
              <w:t>14,530</w:t>
            </w:r>
          </w:p>
        </w:tc>
        <w:tc>
          <w:tcPr>
            <w:tcW w:w="73"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rPr/>
            </w:pPr>
            <w:r>
              <w:rPr/>
              <w:t> </w:t>
            </w:r>
          </w:p>
        </w:tc>
        <w:tc>
          <w:tcPr>
            <w:tcW w:w="1062" w:type="dxa"/>
            <w:tcBorders/>
            <w:shd w:fill="CCEEFF" w:val="clear"/>
            <w:vAlign w:val="center"/>
          </w:tcPr>
          <w:p>
            <w:pPr>
              <w:pStyle w:val="TableContents"/>
              <w:spacing w:before="0" w:after="283"/>
              <w:jc w:val="right"/>
              <w:rPr/>
            </w:pPr>
            <w:r>
              <w:rPr/>
              <w:t>249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836" w:type="dxa"/>
            <w:tcBorders/>
            <w:shd w:fill="CCEEFF" w:val="clear"/>
            <w:vAlign w:val="center"/>
          </w:tcPr>
          <w:p>
            <w:pPr>
              <w:pStyle w:val="TableContents"/>
              <w:spacing w:before="0" w:after="283"/>
              <w:jc w:val="right"/>
              <w:rPr/>
            </w:pPr>
            <w:r>
              <w:rPr/>
              <w:t>37</w:t>
            </w:r>
          </w:p>
        </w:tc>
        <w:tc>
          <w:tcPr>
            <w:tcW w:w="73"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rPr/>
            </w:pPr>
            <w:r>
              <w:rPr/>
              <w:t> </w:t>
            </w:r>
          </w:p>
        </w:tc>
        <w:tc>
          <w:tcPr>
            <w:tcW w:w="1062" w:type="dxa"/>
            <w:tcBorders/>
            <w:shd w:fill="CCEEFF" w:val="clear"/>
            <w:vAlign w:val="center"/>
          </w:tcPr>
          <w:p>
            <w:pPr>
              <w:pStyle w:val="TableContents"/>
              <w:spacing w:before="0" w:after="283"/>
              <w:jc w:val="right"/>
              <w:rPr/>
            </w:pPr>
            <w:r>
              <w:rPr/>
              <w:t>0</w:t>
            </w:r>
          </w:p>
        </w:tc>
        <w:tc>
          <w:tcPr>
            <w:tcW w:w="75" w:type="dxa"/>
            <w:tcBorders/>
            <w:shd w:fill="CCEEFF" w:val="clear"/>
            <w:vAlign w:val="center"/>
          </w:tcPr>
          <w:p>
            <w:pPr>
              <w:pStyle w:val="TableContents"/>
              <w:spacing w:before="0" w:after="283"/>
              <w:rPr/>
            </w:pPr>
            <w:r>
              <w:rPr/>
              <w:t> </w:t>
            </w:r>
          </w:p>
        </w:tc>
      </w:tr>
      <w:tr>
        <w:trPr/>
        <w:tc>
          <w:tcPr>
            <w:tcW w:w="245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 Financial Liabilities</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spacing w:val="0"/>
              </w:rPr>
            </w:pPr>
            <w:r>
              <w:rPr>
                <w:spacing w:val="0"/>
              </w:rPr>
              <w:t> </w:t>
            </w:r>
          </w:p>
        </w:tc>
        <w:tc>
          <w:tcPr>
            <w:tcW w:w="836" w:type="dxa"/>
            <w:tcBorders/>
            <w:shd w:fill="auto" w:val="clear"/>
            <w:vAlign w:val="center"/>
          </w:tcPr>
          <w:p>
            <w:pPr>
              <w:pStyle w:val="TableContents"/>
              <w:spacing w:before="0" w:after="0"/>
              <w:jc w:val="right"/>
              <w:rPr>
                <w:b/>
                <w:spacing w:val="0"/>
              </w:rPr>
            </w:pPr>
            <w:r>
              <w:rPr>
                <w:b/>
                <w:spacing w:val="0"/>
              </w:rPr>
              <w:t>25,623</w:t>
            </w:r>
          </w:p>
        </w:tc>
        <w:tc>
          <w:tcPr>
            <w:tcW w:w="73" w:type="dxa"/>
            <w:tcBorders/>
            <w:shd w:fill="auto" w:val="clear"/>
            <w:vAlign w:val="center"/>
          </w:tcPr>
          <w:p>
            <w:pPr>
              <w:pStyle w:val="TableContents"/>
              <w:spacing w:before="0" w:after="0"/>
              <w:rPr>
                <w:spacing w:val="0"/>
              </w:rPr>
            </w:pPr>
            <w:r>
              <w:rPr>
                <w:spacing w:val="0"/>
              </w:rPr>
              <w:t> </w:t>
            </w:r>
          </w:p>
        </w:tc>
        <w:tc>
          <w:tcPr>
            <w:tcW w:w="147"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0"/>
              <w:rPr>
                <w:spacing w:val="0"/>
              </w:rPr>
            </w:pPr>
            <w:r>
              <w:rPr>
                <w:spacing w:val="0"/>
              </w:rPr>
              <w:t> </w:t>
            </w:r>
          </w:p>
        </w:tc>
        <w:tc>
          <w:tcPr>
            <w:tcW w:w="1062" w:type="dxa"/>
            <w:tcBorders/>
            <w:shd w:fill="auto" w:val="clear"/>
            <w:vAlign w:val="center"/>
          </w:tcPr>
          <w:p>
            <w:pPr>
              <w:pStyle w:val="TableContents"/>
              <w:spacing w:before="0" w:after="0"/>
              <w:jc w:val="right"/>
              <w:rPr>
                <w:b/>
                <w:spacing w:val="0"/>
              </w:rPr>
            </w:pPr>
            <w:r>
              <w:rPr>
                <w:b/>
                <w:spacing w:val="0"/>
              </w:rPr>
              <w:t>7,336</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0"/>
              <w:rPr>
                <w:spacing w:val="0"/>
              </w:rPr>
            </w:pPr>
            <w:r>
              <w:rPr>
                <w:spacing w:val="0"/>
              </w:rPr>
              <w:t> </w:t>
            </w:r>
          </w:p>
        </w:tc>
        <w:tc>
          <w:tcPr>
            <w:tcW w:w="836" w:type="dxa"/>
            <w:tcBorders/>
            <w:shd w:fill="auto" w:val="clear"/>
            <w:vAlign w:val="center"/>
          </w:tcPr>
          <w:p>
            <w:pPr>
              <w:pStyle w:val="TableContents"/>
              <w:spacing w:before="0" w:after="0"/>
              <w:jc w:val="right"/>
              <w:rPr>
                <w:b/>
                <w:spacing w:val="0"/>
              </w:rPr>
            </w:pPr>
            <w:r>
              <w:rPr>
                <w:b/>
                <w:spacing w:val="0"/>
              </w:rPr>
              <w:t>10,071</w:t>
            </w:r>
          </w:p>
        </w:tc>
        <w:tc>
          <w:tcPr>
            <w:tcW w:w="73" w:type="dxa"/>
            <w:tcBorders/>
            <w:shd w:fill="auto" w:val="clear"/>
            <w:vAlign w:val="center"/>
          </w:tcPr>
          <w:p>
            <w:pPr>
              <w:pStyle w:val="TableContents"/>
              <w:spacing w:before="0" w:after="0"/>
              <w:rPr>
                <w:spacing w:val="0"/>
              </w:rPr>
            </w:pPr>
            <w:r>
              <w:rPr>
                <w:spacing w:val="0"/>
              </w:rPr>
              <w:t> </w:t>
            </w:r>
          </w:p>
        </w:tc>
        <w:tc>
          <w:tcPr>
            <w:tcW w:w="147"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0"/>
              <w:rPr>
                <w:spacing w:val="0"/>
              </w:rPr>
            </w:pPr>
            <w:r>
              <w:rPr>
                <w:spacing w:val="0"/>
              </w:rPr>
              <w:t> </w:t>
            </w:r>
          </w:p>
        </w:tc>
        <w:tc>
          <w:tcPr>
            <w:tcW w:w="1062" w:type="dxa"/>
            <w:tcBorders/>
            <w:shd w:fill="auto" w:val="clear"/>
            <w:vAlign w:val="center"/>
          </w:tcPr>
          <w:p>
            <w:pPr>
              <w:pStyle w:val="TableContents"/>
              <w:spacing w:before="0" w:after="0"/>
              <w:jc w:val="right"/>
              <w:rPr>
                <w:b/>
                <w:spacing w:val="0"/>
              </w:rPr>
            </w:pPr>
            <w:r>
              <w:rPr>
                <w:b/>
                <w:spacing w:val="0"/>
              </w:rPr>
              <w:t>7,389</w:t>
            </w:r>
          </w:p>
        </w:tc>
        <w:tc>
          <w:tcPr>
            <w:tcW w:w="75" w:type="dxa"/>
            <w:tcBorders/>
            <w:shd w:fill="auto" w:val="clear"/>
            <w:vAlign w:val="center"/>
          </w:tcPr>
          <w:p>
            <w:pPr>
              <w:pStyle w:val="TableContents"/>
              <w:spacing w:before="0" w:after="0"/>
              <w:rPr>
                <w:spacing w:val="0"/>
              </w:rPr>
            </w:pPr>
            <w:r>
              <w:rPr>
                <w:spacing w:val="0"/>
              </w:rPr>
              <w:t> </w:t>
            </w:r>
          </w:p>
        </w:tc>
      </w:tr>
    </w:tbl>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For other financial assets of the AC category, trade receivables, and cash and cash equivalents, it is assumed that their carrying amounts correspond to their fair values due to their short terms.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carrying amount of </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financial assets of the category AC approximates the fair value. These include bank balances and </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non-interest-bearing</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security deposits. The carrying amount approximates the fair value.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carrying amount of current financial liabilities in the category FLAC, such as trade payables and other financial liabilities, corresponds to the fair value due to their short terms.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carrying amount of </w:t>
      </w:r>
    </w:p>
    <w:p>
      <w:pPr>
        <w:pStyle w:val="TextBody"/>
        <w:spacing w:before="240" w:after="0"/>
        <w:jc w:val="both"/>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financial liabilities in the category FLAC, such as other financial liabilities approximate the fair value. Any difference between the carrying amount and the fair value is immaterial due to the fact, that are contracted close to the period end and therefore, reflect the market situation at period end. The lease liabilities are discounted in accordance with the requirements set out in IFRS 16.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As of December 31, 2022, the fair value of the prepayment option of the loan amounts to €172 thousand (December 31, 2021: €0). The prepayment option is recognized as other financial asset at FVTPL and was calculated by applying an option pricing model. This model uses the risk-free interest rate, the credit spread of the group and the interest rate volatility as material input factors. The volatility is considered as material unobservable input factor (Level 3).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table below summarizes the impact on the fair values of Level 3 instruments by changing the significant unobservable input factors. </w:t>
      </w:r>
    </w:p>
    <w:p>
      <w:pPr>
        <w:pStyle w:val="TextBody"/>
        <w:spacing w:before="0" w:after="0"/>
        <w:jc w:val="left"/>
        <w:rPr>
          <w:highlight w:val="white"/>
        </w:rPr>
      </w:pPr>
      <w:r>
        <w:rPr>
          <w:highlight w:val="white"/>
        </w:rPr>
        <w:t> </w:t>
      </w:r>
    </w:p>
    <w:tbl>
      <w:tblPr>
        <w:tblW w:w="5484" w:type="dxa"/>
        <w:jc w:val="left"/>
        <w:tblInd w:w="0" w:type="dxa"/>
        <w:tblCellMar>
          <w:top w:w="0" w:type="dxa"/>
          <w:left w:w="0" w:type="dxa"/>
          <w:bottom w:w="0" w:type="dxa"/>
          <w:right w:w="0" w:type="dxa"/>
        </w:tblCellMar>
      </w:tblPr>
      <w:tblGrid>
        <w:gridCol w:w="3395"/>
        <w:gridCol w:w="120"/>
        <w:gridCol w:w="118"/>
        <w:gridCol w:w="667"/>
        <w:gridCol w:w="92"/>
        <w:gridCol w:w="187"/>
        <w:gridCol w:w="153"/>
        <w:gridCol w:w="677"/>
        <w:gridCol w:w="75"/>
      </w:tblGrid>
      <w:tr>
        <w:trPr/>
        <w:tc>
          <w:tcPr>
            <w:tcW w:w="33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395" w:type="dxa"/>
            <w:vMerge w:val="restart"/>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894" w:type="dxa"/>
            <w:gridSpan w:val="6"/>
            <w:tcBorders/>
            <w:shd w:fill="auto" w:val="clear"/>
            <w:vAlign w:val="center"/>
          </w:tcPr>
          <w:p>
            <w:pPr>
              <w:pStyle w:val="TableContents"/>
              <w:spacing w:before="0" w:after="0"/>
              <w:jc w:val="center"/>
              <w:rPr>
                <w:rFonts w:ascii="Times New Roman" w:hAnsi="Times New Roman"/>
                <w:sz w:val="16"/>
              </w:rPr>
            </w:pPr>
            <w:r>
              <w:rPr>
                <w:rFonts w:ascii="Times New Roman" w:hAnsi="Times New Roman"/>
                <w:sz w:val="16"/>
              </w:rPr>
              <w:t>December 31, 2022</w:t>
            </w:r>
          </w:p>
          <w:p>
            <w:pPr>
              <w:pStyle w:val="TableContents"/>
              <w:spacing w:before="0" w:after="20"/>
              <w:jc w:val="center"/>
              <w:rPr>
                <w:rFonts w:ascii="Times New Roman" w:hAnsi="Times New Roman"/>
                <w:sz w:val="16"/>
              </w:rPr>
            </w:pPr>
            <w:r>
              <w:rPr>
                <w:rFonts w:ascii="Times New Roman" w:hAnsi="Times New Roman"/>
                <w:sz w:val="16"/>
              </w:rPr>
              <w:t>Profit or loss</w:t>
            </w:r>
          </w:p>
        </w:tc>
        <w:tc>
          <w:tcPr>
            <w:tcW w:w="75" w:type="dxa"/>
            <w:tcBorders/>
            <w:shd w:fill="auto" w:val="clear"/>
            <w:vAlign w:val="center"/>
          </w:tcPr>
          <w:p>
            <w:pPr>
              <w:pStyle w:val="TableContents"/>
              <w:spacing w:before="0" w:after="283"/>
              <w:rPr/>
            </w:pPr>
            <w:r>
              <w:rPr/>
              <w:t> </w:t>
            </w:r>
          </w:p>
        </w:tc>
      </w:tr>
      <w:tr>
        <w:trPr/>
        <w:tc>
          <w:tcPr>
            <w:tcW w:w="339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785" w:type="dxa"/>
            <w:gridSpan w:val="2"/>
            <w:tcBorders/>
            <w:shd w:fill="auto" w:val="clear"/>
            <w:vAlign w:val="center"/>
          </w:tcPr>
          <w:p>
            <w:pPr>
              <w:pStyle w:val="TableContents"/>
              <w:spacing w:before="0" w:after="283"/>
              <w:jc w:val="center"/>
              <w:rPr/>
            </w:pPr>
            <w:r>
              <w:rPr/>
              <w:t>increase</w:t>
            </w:r>
          </w:p>
        </w:tc>
        <w:tc>
          <w:tcPr>
            <w:tcW w:w="92"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283"/>
              <w:rPr/>
            </w:pPr>
            <w:r>
              <w:rPr/>
              <w:t>  </w:t>
            </w:r>
          </w:p>
        </w:tc>
        <w:tc>
          <w:tcPr>
            <w:tcW w:w="830" w:type="dxa"/>
            <w:gridSpan w:val="2"/>
            <w:tcBorders/>
            <w:shd w:fill="auto" w:val="clear"/>
            <w:vAlign w:val="center"/>
          </w:tcPr>
          <w:p>
            <w:pPr>
              <w:pStyle w:val="TableContents"/>
              <w:spacing w:before="0" w:after="283"/>
              <w:jc w:val="center"/>
              <w:rPr/>
            </w:pPr>
            <w:r>
              <w:rPr/>
              <w:t>decrease</w:t>
            </w:r>
          </w:p>
        </w:tc>
        <w:tc>
          <w:tcPr>
            <w:tcW w:w="75" w:type="dxa"/>
            <w:tcBorders/>
            <w:shd w:fill="auto" w:val="clear"/>
            <w:vAlign w:val="center"/>
          </w:tcPr>
          <w:p>
            <w:pPr>
              <w:pStyle w:val="TableContents"/>
              <w:spacing w:before="0" w:after="283"/>
              <w:rPr/>
            </w:pPr>
            <w:r>
              <w:rPr/>
              <w:t> </w:t>
            </w:r>
          </w:p>
        </w:tc>
      </w:tr>
      <w:tr>
        <w:trPr/>
        <w:tc>
          <w:tcPr>
            <w:tcW w:w="33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Interest rate volatility (movement +/- 5%)</w:t>
            </w:r>
          </w:p>
        </w:tc>
        <w:tc>
          <w:tcPr>
            <w:tcW w:w="120" w:type="dxa"/>
            <w:tcBorders/>
            <w:shd w:fill="CCEEFF" w:val="clear"/>
            <w:vAlign w:val="center"/>
          </w:tcPr>
          <w:p>
            <w:pPr>
              <w:pStyle w:val="TableContents"/>
              <w:spacing w:before="0" w:after="283"/>
              <w:rPr/>
            </w:pPr>
            <w:r>
              <w:rPr/>
              <w:t>  </w:t>
            </w:r>
          </w:p>
        </w:tc>
        <w:tc>
          <w:tcPr>
            <w:tcW w:w="118" w:type="dxa"/>
            <w:tcBorders/>
            <w:shd w:fill="CCEEFF" w:val="clear"/>
            <w:vAlign w:val="center"/>
          </w:tcPr>
          <w:p>
            <w:pPr>
              <w:pStyle w:val="TableContents"/>
              <w:spacing w:before="0" w:after="283"/>
              <w:rPr/>
            </w:pPr>
            <w:r>
              <w:rPr/>
              <w:t> </w:t>
            </w:r>
          </w:p>
        </w:tc>
        <w:tc>
          <w:tcPr>
            <w:tcW w:w="667" w:type="dxa"/>
            <w:tcBorders/>
            <w:shd w:fill="CCEEFF" w:val="clear"/>
            <w:vAlign w:val="center"/>
          </w:tcPr>
          <w:p>
            <w:pPr>
              <w:pStyle w:val="TableContents"/>
              <w:spacing w:before="0" w:after="283"/>
              <w:jc w:val="right"/>
              <w:rPr/>
            </w:pPr>
            <w:r>
              <w:rPr/>
              <w:t>5</w:t>
            </w:r>
          </w:p>
        </w:tc>
        <w:tc>
          <w:tcPr>
            <w:tcW w:w="92"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677" w:type="dxa"/>
            <w:tcBorders/>
            <w:shd w:fill="CCEEFF" w:val="clear"/>
            <w:vAlign w:val="center"/>
          </w:tcPr>
          <w:p>
            <w:pPr>
              <w:pStyle w:val="TableContents"/>
              <w:spacing w:before="0" w:after="283"/>
              <w:jc w:val="right"/>
              <w:rPr/>
            </w:pPr>
            <w:r>
              <w:rPr/>
              <w:t>-5</w:t>
            </w:r>
          </w:p>
        </w:tc>
        <w:tc>
          <w:tcPr>
            <w:tcW w:w="75" w:type="dxa"/>
            <w:tcBorders/>
            <w:shd w:fill="CCEEFF" w:val="clear"/>
            <w:vAlign w:val="center"/>
          </w:tcPr>
          <w:p>
            <w:pPr>
              <w:pStyle w:val="TableContents"/>
              <w:spacing w:before="0" w:after="283"/>
              <w:rPr/>
            </w:pPr>
            <w:r>
              <w:rPr/>
              <w:t> </w:t>
            </w:r>
          </w:p>
        </w:tc>
      </w:tr>
      <w:tr>
        <w:trPr/>
        <w:tc>
          <w:tcPr>
            <w:tcW w:w="33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Credit Spread (movement +/- 1%)</w:t>
            </w:r>
          </w:p>
        </w:tc>
        <w:tc>
          <w:tcPr>
            <w:tcW w:w="120"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667" w:type="dxa"/>
            <w:tcBorders/>
            <w:shd w:fill="auto" w:val="clear"/>
            <w:vAlign w:val="center"/>
          </w:tcPr>
          <w:p>
            <w:pPr>
              <w:pStyle w:val="TableContents"/>
              <w:spacing w:before="0" w:after="283"/>
              <w:jc w:val="right"/>
              <w:rPr/>
            </w:pPr>
            <w:r>
              <w:rPr/>
              <w:t>-29</w:t>
            </w:r>
          </w:p>
        </w:tc>
        <w:tc>
          <w:tcPr>
            <w:tcW w:w="92"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677" w:type="dxa"/>
            <w:tcBorders/>
            <w:shd w:fill="auto" w:val="clear"/>
            <w:vAlign w:val="center"/>
          </w:tcPr>
          <w:p>
            <w:pPr>
              <w:pStyle w:val="TableContents"/>
              <w:spacing w:before="0" w:after="283"/>
              <w:jc w:val="right"/>
              <w:rPr/>
            </w:pPr>
            <w:r>
              <w:rPr/>
              <w:t>29</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F-4</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2</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both"/>
        <w:rPr>
          <w:rFonts w:ascii="Times New Roman" w:hAnsi="Times New Roman"/>
          <w:sz w:val="20"/>
          <w:highlight w:val="white"/>
        </w:rPr>
      </w:pPr>
      <w:r>
        <w:rPr>
          <w:rFonts w:ascii="Times New Roman" w:hAnsi="Times New Roman"/>
          <w:sz w:val="20"/>
          <w:highlight w:val="white"/>
        </w:rPr>
        <w:t xml:space="preserve">Changes in level 3 financial instruments in 2022 are shown in the following table: </w:t>
      </w:r>
    </w:p>
    <w:p>
      <w:pPr>
        <w:pStyle w:val="TextBody"/>
        <w:spacing w:before="0" w:after="0"/>
        <w:jc w:val="left"/>
        <w:rPr>
          <w:highlight w:val="white"/>
        </w:rPr>
      </w:pPr>
      <w:r>
        <w:rPr>
          <w:highlight w:val="white"/>
        </w:rPr>
        <w:t> </w:t>
      </w:r>
    </w:p>
    <w:tbl>
      <w:tblPr>
        <w:tblW w:w="9464" w:type="dxa"/>
        <w:jc w:val="left"/>
        <w:tblInd w:w="0" w:type="dxa"/>
        <w:tblCellMar>
          <w:top w:w="0" w:type="dxa"/>
          <w:left w:w="0" w:type="dxa"/>
          <w:bottom w:w="0" w:type="dxa"/>
          <w:right w:w="0" w:type="dxa"/>
        </w:tblCellMar>
      </w:tblPr>
      <w:tblGrid>
        <w:gridCol w:w="1640"/>
        <w:gridCol w:w="120"/>
        <w:gridCol w:w="135"/>
        <w:gridCol w:w="860"/>
        <w:gridCol w:w="60"/>
        <w:gridCol w:w="120"/>
        <w:gridCol w:w="129"/>
        <w:gridCol w:w="821"/>
        <w:gridCol w:w="60"/>
        <w:gridCol w:w="120"/>
        <w:gridCol w:w="280"/>
        <w:gridCol w:w="655"/>
        <w:gridCol w:w="60"/>
        <w:gridCol w:w="120"/>
        <w:gridCol w:w="311"/>
        <w:gridCol w:w="2363"/>
        <w:gridCol w:w="60"/>
        <w:gridCol w:w="120"/>
        <w:gridCol w:w="184"/>
        <w:gridCol w:w="1171"/>
        <w:gridCol w:w="75"/>
      </w:tblGrid>
      <w:tr>
        <w:trPr/>
        <w:tc>
          <w:tcPr>
            <w:tcW w:w="16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23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640"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995" w:type="dxa"/>
            <w:gridSpan w:val="2"/>
            <w:tcBorders/>
            <w:shd w:fill="auto" w:val="clear"/>
            <w:vAlign w:val="center"/>
          </w:tcPr>
          <w:p>
            <w:pPr>
              <w:pStyle w:val="TableContents"/>
              <w:spacing w:before="0" w:after="283"/>
              <w:jc w:val="center"/>
              <w:rPr/>
            </w:pPr>
            <w:r>
              <w:rPr/>
              <w:t>Fair value</w:t>
              <w:br/>
              <w:t>January 1,</w:t>
              <w:b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50" w:type="dxa"/>
            <w:gridSpan w:val="2"/>
            <w:tcBorders/>
            <w:shd w:fill="auto" w:val="clear"/>
            <w:vAlign w:val="center"/>
          </w:tcPr>
          <w:p>
            <w:pPr>
              <w:pStyle w:val="TableContents"/>
              <w:spacing w:before="0" w:after="283"/>
              <w:jc w:val="center"/>
              <w:rPr/>
            </w:pPr>
            <w:r>
              <w:rPr/>
              <w:t>Additions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5" w:type="dxa"/>
            <w:gridSpan w:val="2"/>
            <w:tcBorders/>
            <w:shd w:fill="auto" w:val="clear"/>
            <w:vAlign w:val="center"/>
          </w:tcPr>
          <w:p>
            <w:pPr>
              <w:pStyle w:val="TableContents"/>
              <w:spacing w:before="0" w:after="283"/>
              <w:jc w:val="center"/>
              <w:rPr/>
            </w:pPr>
            <w:r>
              <w:rPr/>
              <w:t>Disposals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74" w:type="dxa"/>
            <w:gridSpan w:val="2"/>
            <w:tcBorders/>
            <w:shd w:fill="auto" w:val="clear"/>
            <w:vAlign w:val="center"/>
          </w:tcPr>
          <w:p>
            <w:pPr>
              <w:pStyle w:val="TableContents"/>
              <w:spacing w:before="0" w:after="283"/>
              <w:jc w:val="center"/>
              <w:rPr/>
            </w:pPr>
            <w:r>
              <w:rPr/>
              <w:t>Gains/(losses) recognized in</w:t>
              <w:br/>
              <w:t>financial income /expenses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55" w:type="dxa"/>
            <w:gridSpan w:val="2"/>
            <w:tcBorders/>
            <w:shd w:fill="auto" w:val="clear"/>
            <w:vAlign w:val="center"/>
          </w:tcPr>
          <w:p>
            <w:pPr>
              <w:pStyle w:val="TableContents"/>
              <w:spacing w:before="0" w:after="283"/>
              <w:jc w:val="center"/>
              <w:rPr/>
            </w:pPr>
            <w:r>
              <w:rPr/>
              <w:t>Fair value</w:t>
              <w:br/>
              <w:t>December 31,</w:t>
              <w:br/>
              <w:t>2022</w:t>
            </w:r>
          </w:p>
        </w:tc>
        <w:tc>
          <w:tcPr>
            <w:tcW w:w="75" w:type="dxa"/>
            <w:tcBorders/>
            <w:shd w:fill="auto" w:val="clear"/>
            <w:vAlign w:val="center"/>
          </w:tcPr>
          <w:p>
            <w:pPr>
              <w:pStyle w:val="TableContents"/>
              <w:spacing w:before="0" w:after="283"/>
              <w:rPr/>
            </w:pPr>
            <w:r>
              <w:rPr/>
              <w:t> </w:t>
            </w:r>
          </w:p>
        </w:tc>
      </w:tr>
      <w:tr>
        <w:trPr/>
        <w:tc>
          <w:tcPr>
            <w:tcW w:w="16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Other financial and </w:t>
            </w:r>
          </w:p>
          <w:p>
            <w:pPr>
              <w:pStyle w:val="TableContents"/>
              <w:spacing w:before="0" w:after="0"/>
              <w:rPr>
                <w:rFonts w:ascii="Times New Roman" w:hAnsi="Times New Roman"/>
                <w:spacing w:val="0"/>
                <w:sz w:val="20"/>
              </w:rPr>
            </w:pPr>
            <w:r>
              <w:rPr>
                <w:rFonts w:ascii="Times New Roman" w:hAnsi="Times New Roman"/>
                <w:spacing w:val="0"/>
                <w:sz w:val="20"/>
              </w:rPr>
              <w:t>non-financial</w:t>
            </w:r>
          </w:p>
          <w:p>
            <w:pPr>
              <w:pStyle w:val="TableContents"/>
              <w:spacing w:before="0" w:after="0"/>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rPr/>
            </w:pPr>
            <w:r>
              <w:rPr/>
              <w:t> </w:t>
            </w:r>
          </w:p>
        </w:tc>
        <w:tc>
          <w:tcPr>
            <w:tcW w:w="821" w:type="dxa"/>
            <w:tcBorders/>
            <w:shd w:fill="CCEEFF" w:val="clear"/>
            <w:vAlign w:val="center"/>
          </w:tcPr>
          <w:p>
            <w:pPr>
              <w:pStyle w:val="TableContents"/>
              <w:spacing w:before="0" w:after="283"/>
              <w:jc w:val="right"/>
              <w:rPr/>
            </w:pPr>
            <w:r>
              <w:rPr/>
              <w:t>454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rPr/>
            </w:pPr>
            <w:r>
              <w:rPr/>
              <w:t> </w:t>
            </w:r>
          </w:p>
        </w:tc>
        <w:tc>
          <w:tcPr>
            <w:tcW w:w="655"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11" w:type="dxa"/>
            <w:tcBorders/>
            <w:shd w:fill="CCEEFF" w:val="clear"/>
            <w:vAlign w:val="center"/>
          </w:tcPr>
          <w:p>
            <w:pPr>
              <w:pStyle w:val="TableContents"/>
              <w:spacing w:before="0" w:after="283"/>
              <w:rPr/>
            </w:pPr>
            <w:r>
              <w:rPr/>
              <w:t> </w:t>
            </w:r>
          </w:p>
        </w:tc>
        <w:tc>
          <w:tcPr>
            <w:tcW w:w="2363" w:type="dxa"/>
            <w:tcBorders/>
            <w:shd w:fill="CCEEFF" w:val="clear"/>
            <w:vAlign w:val="center"/>
          </w:tcPr>
          <w:p>
            <w:pPr>
              <w:pStyle w:val="TableContents"/>
              <w:spacing w:before="0" w:after="283"/>
              <w:jc w:val="right"/>
              <w:rPr/>
            </w:pPr>
            <w:r>
              <w:rPr/>
              <w:t>-282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171" w:type="dxa"/>
            <w:tcBorders/>
            <w:shd w:fill="CCEEFF" w:val="clear"/>
            <w:vAlign w:val="center"/>
          </w:tcPr>
          <w:p>
            <w:pPr>
              <w:pStyle w:val="TableContents"/>
              <w:spacing w:before="0" w:after="283"/>
              <w:jc w:val="right"/>
              <w:rPr/>
            </w:pPr>
            <w:r>
              <w:rPr/>
              <w:t>172</w:t>
            </w:r>
          </w:p>
        </w:tc>
        <w:tc>
          <w:tcPr>
            <w:tcW w:w="75" w:type="dxa"/>
            <w:tcBorders/>
            <w:shd w:fill="CCEEFF"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net gains/losses by measurement category are as follows: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1886"/>
        <w:gridCol w:w="120"/>
        <w:gridCol w:w="770"/>
        <w:gridCol w:w="120"/>
        <w:gridCol w:w="3958"/>
        <w:gridCol w:w="120"/>
        <w:gridCol w:w="367"/>
        <w:gridCol w:w="2788"/>
        <w:gridCol w:w="76"/>
      </w:tblGrid>
      <w:tr>
        <w:trPr/>
        <w:tc>
          <w:tcPr>
            <w:tcW w:w="188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1886" w:type="dxa"/>
            <w:tcBorders/>
            <w:shd w:fill="auto" w:val="clear"/>
            <w:vAlign w:val="center"/>
          </w:tcPr>
          <w:p>
            <w:pPr>
              <w:pStyle w:val="TableContents"/>
              <w:spacing w:before="0" w:after="283"/>
              <w:rPr/>
            </w:pPr>
            <w:r>
              <w:rPr/>
              <w:t>2022 - € thousand</w:t>
            </w:r>
          </w:p>
        </w:tc>
        <w:tc>
          <w:tcPr>
            <w:tcW w:w="120"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5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55" w:type="dxa"/>
            <w:gridSpan w:val="2"/>
            <w:tcBorders/>
            <w:shd w:fill="auto" w:val="clear"/>
            <w:vAlign w:val="center"/>
          </w:tcPr>
          <w:p>
            <w:pPr>
              <w:pStyle w:val="TableContents"/>
              <w:spacing w:before="0" w:after="283"/>
              <w:jc w:val="center"/>
              <w:rPr/>
            </w:pPr>
            <w:r>
              <w:rPr/>
              <w:t>Other income and expense items,</w:t>
              <w:br/>
              <w:t>or gain and loss items</w:t>
            </w:r>
          </w:p>
        </w:tc>
        <w:tc>
          <w:tcPr>
            <w:tcW w:w="76" w:type="dxa"/>
            <w:tcBorders/>
            <w:shd w:fill="auto" w:val="clear"/>
            <w:vAlign w:val="center"/>
          </w:tcPr>
          <w:p>
            <w:pPr>
              <w:pStyle w:val="TableContents"/>
              <w:spacing w:before="0" w:after="283"/>
              <w:rPr/>
            </w:pPr>
            <w:r>
              <w:rPr/>
              <w:t> </w:t>
            </w:r>
          </w:p>
        </w:tc>
      </w:tr>
      <w:tr>
        <w:trPr/>
        <w:tc>
          <w:tcPr>
            <w:tcW w:w="1886"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Financial assets</w:t>
            </w:r>
          </w:p>
        </w:tc>
        <w:tc>
          <w:tcPr>
            <w:tcW w:w="120"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rPr/>
            </w:pPr>
            <w:r>
              <w:rPr/>
              <w:t>AC</w:t>
            </w:r>
          </w:p>
        </w:tc>
        <w:tc>
          <w:tcPr>
            <w:tcW w:w="120" w:type="dxa"/>
            <w:tcBorders/>
            <w:shd w:fill="CCEEFF" w:val="clear"/>
            <w:vAlign w:val="center"/>
          </w:tcPr>
          <w:p>
            <w:pPr>
              <w:pStyle w:val="TableContents"/>
              <w:spacing w:before="0" w:after="283"/>
              <w:rPr/>
            </w:pPr>
            <w:r>
              <w:rPr/>
              <w:t>  </w:t>
            </w:r>
          </w:p>
        </w:tc>
        <w:tc>
          <w:tcPr>
            <w:tcW w:w="3958" w:type="dxa"/>
            <w:tcBorders/>
            <w:shd w:fill="CCEEFF" w:val="clear"/>
            <w:vAlign w:val="center"/>
          </w:tcPr>
          <w:p>
            <w:pPr>
              <w:pStyle w:val="TableContents"/>
              <w:spacing w:before="0" w:after="283"/>
              <w:rPr/>
            </w:pPr>
            <w:r>
              <w:rPr/>
              <w:t>Measured at amortized cost</w:t>
            </w:r>
          </w:p>
        </w:tc>
        <w:tc>
          <w:tcPr>
            <w:tcW w:w="120" w:type="dxa"/>
            <w:tcBorders/>
            <w:shd w:fill="CCEEFF" w:val="clear"/>
            <w:vAlign w:val="center"/>
          </w:tcPr>
          <w:p>
            <w:pPr>
              <w:pStyle w:val="TableContents"/>
              <w:spacing w:before="0" w:after="283"/>
              <w:rPr/>
            </w:pPr>
            <w:r>
              <w:rPr/>
              <w:t>  </w:t>
            </w:r>
          </w:p>
        </w:tc>
        <w:tc>
          <w:tcPr>
            <w:tcW w:w="367" w:type="dxa"/>
            <w:tcBorders/>
            <w:shd w:fill="CCEEFF" w:val="clear"/>
            <w:vAlign w:val="center"/>
          </w:tcPr>
          <w:p>
            <w:pPr>
              <w:pStyle w:val="TableContents"/>
              <w:spacing w:before="0" w:after="283"/>
              <w:rPr/>
            </w:pPr>
            <w:r>
              <w:rPr/>
              <w:t> </w:t>
            </w:r>
          </w:p>
        </w:tc>
        <w:tc>
          <w:tcPr>
            <w:tcW w:w="2788" w:type="dxa"/>
            <w:tcBorders/>
            <w:shd w:fill="CCEEFF" w:val="clear"/>
            <w:vAlign w:val="center"/>
          </w:tcPr>
          <w:p>
            <w:pPr>
              <w:pStyle w:val="TableContents"/>
              <w:spacing w:before="0" w:after="283"/>
              <w:jc w:val="right"/>
              <w:rPr/>
            </w:pPr>
            <w:r>
              <w:rPr/>
              <w:t>0</w:t>
            </w:r>
          </w:p>
        </w:tc>
        <w:tc>
          <w:tcPr>
            <w:tcW w:w="76" w:type="dxa"/>
            <w:tcBorders/>
            <w:shd w:fill="CCEEFF" w:val="clear"/>
            <w:vAlign w:val="center"/>
          </w:tcPr>
          <w:p>
            <w:pPr>
              <w:pStyle w:val="TableContents"/>
              <w:spacing w:before="0" w:after="283"/>
              <w:rPr/>
            </w:pPr>
            <w:r>
              <w:rPr/>
              <w:t> </w:t>
            </w:r>
          </w:p>
        </w:tc>
      </w:tr>
      <w:tr>
        <w:trPr/>
        <w:tc>
          <w:tcPr>
            <w:tcW w:w="1886"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Derivative Financial Assets</w:t>
            </w:r>
          </w:p>
        </w:tc>
        <w:tc>
          <w:tcPr>
            <w:tcW w:w="120"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rPr/>
            </w:pPr>
            <w:r>
              <w:rPr/>
              <w:t>FVTPL</w:t>
            </w:r>
          </w:p>
        </w:tc>
        <w:tc>
          <w:tcPr>
            <w:tcW w:w="120" w:type="dxa"/>
            <w:tcBorders/>
            <w:shd w:fill="auto" w:val="clear"/>
            <w:vAlign w:val="center"/>
          </w:tcPr>
          <w:p>
            <w:pPr>
              <w:pStyle w:val="TableContents"/>
              <w:spacing w:before="0" w:after="283"/>
              <w:rPr/>
            </w:pPr>
            <w:r>
              <w:rPr/>
              <w:t>  </w:t>
            </w:r>
          </w:p>
        </w:tc>
        <w:tc>
          <w:tcPr>
            <w:tcW w:w="3958" w:type="dxa"/>
            <w:tcBorders/>
            <w:shd w:fill="auto" w:val="clear"/>
            <w:vAlign w:val="center"/>
          </w:tcPr>
          <w:p>
            <w:pPr>
              <w:pStyle w:val="TableContents"/>
              <w:spacing w:before="0" w:after="283"/>
              <w:rPr/>
            </w:pPr>
            <w:r>
              <w:rPr/>
              <w:t>measured subsequently at fair value through profit or loss</w:t>
            </w:r>
          </w:p>
        </w:tc>
        <w:tc>
          <w:tcPr>
            <w:tcW w:w="120" w:type="dxa"/>
            <w:tcBorders/>
            <w:shd w:fill="auto" w:val="clear"/>
            <w:vAlign w:val="center"/>
          </w:tcPr>
          <w:p>
            <w:pPr>
              <w:pStyle w:val="TableContents"/>
              <w:spacing w:before="0" w:after="283"/>
              <w:rPr/>
            </w:pPr>
            <w:r>
              <w:rPr/>
              <w:t>  </w:t>
            </w:r>
          </w:p>
        </w:tc>
        <w:tc>
          <w:tcPr>
            <w:tcW w:w="367" w:type="dxa"/>
            <w:tcBorders/>
            <w:shd w:fill="auto" w:val="clear"/>
            <w:vAlign w:val="center"/>
          </w:tcPr>
          <w:p>
            <w:pPr>
              <w:pStyle w:val="TableContents"/>
              <w:spacing w:before="0" w:after="283"/>
              <w:rPr/>
            </w:pPr>
            <w:r>
              <w:rPr/>
              <w:t> </w:t>
            </w:r>
          </w:p>
        </w:tc>
        <w:tc>
          <w:tcPr>
            <w:tcW w:w="2788" w:type="dxa"/>
            <w:tcBorders/>
            <w:shd w:fill="auto" w:val="clear"/>
            <w:vAlign w:val="center"/>
          </w:tcPr>
          <w:p>
            <w:pPr>
              <w:pStyle w:val="TableContents"/>
              <w:spacing w:before="0" w:after="283"/>
              <w:jc w:val="right"/>
              <w:rPr/>
            </w:pPr>
            <w:r>
              <w:rPr/>
              <w:t>-282</w:t>
            </w:r>
          </w:p>
        </w:tc>
        <w:tc>
          <w:tcPr>
            <w:tcW w:w="76"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1886"/>
        <w:gridCol w:w="120"/>
        <w:gridCol w:w="770"/>
        <w:gridCol w:w="120"/>
        <w:gridCol w:w="3958"/>
        <w:gridCol w:w="120"/>
        <w:gridCol w:w="946"/>
        <w:gridCol w:w="2209"/>
        <w:gridCol w:w="76"/>
      </w:tblGrid>
      <w:tr>
        <w:trPr/>
        <w:tc>
          <w:tcPr>
            <w:tcW w:w="188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2209"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1886" w:type="dxa"/>
            <w:tcBorders/>
            <w:shd w:fill="auto" w:val="clear"/>
            <w:vAlign w:val="center"/>
          </w:tcPr>
          <w:p>
            <w:pPr>
              <w:pStyle w:val="TableContents"/>
              <w:spacing w:before="0" w:after="283"/>
              <w:rPr/>
            </w:pPr>
            <w:r>
              <w:rPr/>
              <w:t>2021 - € thousand</w:t>
            </w:r>
          </w:p>
        </w:tc>
        <w:tc>
          <w:tcPr>
            <w:tcW w:w="120"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5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55" w:type="dxa"/>
            <w:gridSpan w:val="2"/>
            <w:tcBorders/>
            <w:shd w:fill="auto" w:val="clear"/>
            <w:vAlign w:val="center"/>
          </w:tcPr>
          <w:p>
            <w:pPr>
              <w:pStyle w:val="TableContents"/>
              <w:spacing w:before="0" w:after="283"/>
              <w:jc w:val="center"/>
              <w:rPr/>
            </w:pPr>
            <w:r>
              <w:rPr/>
              <w:t>Other income and expense items,</w:t>
              <w:br/>
              <w:t>or gain and loss items</w:t>
            </w:r>
          </w:p>
        </w:tc>
        <w:tc>
          <w:tcPr>
            <w:tcW w:w="76" w:type="dxa"/>
            <w:tcBorders/>
            <w:shd w:fill="auto" w:val="clear"/>
            <w:vAlign w:val="center"/>
          </w:tcPr>
          <w:p>
            <w:pPr>
              <w:pStyle w:val="TableContents"/>
              <w:spacing w:before="0" w:after="283"/>
              <w:rPr/>
            </w:pPr>
            <w:r>
              <w:rPr/>
              <w:t> </w:t>
            </w:r>
          </w:p>
        </w:tc>
      </w:tr>
      <w:tr>
        <w:trPr/>
        <w:tc>
          <w:tcPr>
            <w:tcW w:w="1886"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Financial assets</w:t>
            </w:r>
          </w:p>
        </w:tc>
        <w:tc>
          <w:tcPr>
            <w:tcW w:w="120"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rPr/>
            </w:pPr>
            <w:r>
              <w:rPr/>
              <w:t>AC</w:t>
            </w:r>
          </w:p>
        </w:tc>
        <w:tc>
          <w:tcPr>
            <w:tcW w:w="120" w:type="dxa"/>
            <w:tcBorders/>
            <w:shd w:fill="CCEEFF" w:val="clear"/>
            <w:vAlign w:val="center"/>
          </w:tcPr>
          <w:p>
            <w:pPr>
              <w:pStyle w:val="TableContents"/>
              <w:spacing w:before="0" w:after="283"/>
              <w:rPr/>
            </w:pPr>
            <w:r>
              <w:rPr/>
              <w:t>  </w:t>
            </w:r>
          </w:p>
        </w:tc>
        <w:tc>
          <w:tcPr>
            <w:tcW w:w="3958" w:type="dxa"/>
            <w:tcBorders/>
            <w:shd w:fill="CCEEFF" w:val="clear"/>
            <w:vAlign w:val="center"/>
          </w:tcPr>
          <w:p>
            <w:pPr>
              <w:pStyle w:val="TableContents"/>
              <w:spacing w:before="0" w:after="283"/>
              <w:rPr/>
            </w:pPr>
            <w:r>
              <w:rPr/>
              <w:t>Measured at amortized cost</w:t>
            </w:r>
          </w:p>
        </w:tc>
        <w:tc>
          <w:tcPr>
            <w:tcW w:w="120" w:type="dxa"/>
            <w:tcBorders/>
            <w:shd w:fill="CCEEFF" w:val="clear"/>
            <w:vAlign w:val="center"/>
          </w:tcPr>
          <w:p>
            <w:pPr>
              <w:pStyle w:val="TableContents"/>
              <w:spacing w:before="0" w:after="283"/>
              <w:rPr/>
            </w:pPr>
            <w:r>
              <w:rPr/>
              <w:t>  </w:t>
            </w:r>
          </w:p>
        </w:tc>
        <w:tc>
          <w:tcPr>
            <w:tcW w:w="946" w:type="dxa"/>
            <w:tcBorders/>
            <w:shd w:fill="CCEEFF" w:val="clear"/>
            <w:vAlign w:val="center"/>
          </w:tcPr>
          <w:p>
            <w:pPr>
              <w:pStyle w:val="TableContents"/>
              <w:spacing w:before="0" w:after="283"/>
              <w:rPr/>
            </w:pPr>
            <w:r>
              <w:rPr/>
              <w:t> </w:t>
            </w:r>
          </w:p>
        </w:tc>
        <w:tc>
          <w:tcPr>
            <w:tcW w:w="2209" w:type="dxa"/>
            <w:tcBorders/>
            <w:shd w:fill="CCEEFF" w:val="clear"/>
            <w:vAlign w:val="center"/>
          </w:tcPr>
          <w:p>
            <w:pPr>
              <w:pStyle w:val="TableContents"/>
              <w:spacing w:before="0" w:after="283"/>
              <w:jc w:val="right"/>
              <w:rPr/>
            </w:pPr>
            <w:r>
              <w:rPr/>
              <w:t>0</w:t>
            </w:r>
          </w:p>
        </w:tc>
        <w:tc>
          <w:tcPr>
            <w:tcW w:w="76" w:type="dxa"/>
            <w:tcBorders/>
            <w:shd w:fill="CCEEFF" w:val="clear"/>
            <w:vAlign w:val="center"/>
          </w:tcPr>
          <w:p>
            <w:pPr>
              <w:pStyle w:val="TableContents"/>
              <w:spacing w:before="0" w:after="283"/>
              <w:rPr/>
            </w:pPr>
            <w:r>
              <w:rPr/>
              <w:t> </w:t>
            </w:r>
          </w:p>
        </w:tc>
      </w:tr>
      <w:tr>
        <w:trPr/>
        <w:tc>
          <w:tcPr>
            <w:tcW w:w="1886"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Derivative Financial Assets</w:t>
            </w:r>
          </w:p>
        </w:tc>
        <w:tc>
          <w:tcPr>
            <w:tcW w:w="120"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rPr/>
            </w:pPr>
            <w:r>
              <w:rPr/>
              <w:t>FVTPL</w:t>
            </w:r>
          </w:p>
        </w:tc>
        <w:tc>
          <w:tcPr>
            <w:tcW w:w="120" w:type="dxa"/>
            <w:tcBorders/>
            <w:shd w:fill="auto" w:val="clear"/>
            <w:vAlign w:val="center"/>
          </w:tcPr>
          <w:p>
            <w:pPr>
              <w:pStyle w:val="TableContents"/>
              <w:spacing w:before="0" w:after="283"/>
              <w:rPr/>
            </w:pPr>
            <w:r>
              <w:rPr/>
              <w:t>  </w:t>
            </w:r>
          </w:p>
        </w:tc>
        <w:tc>
          <w:tcPr>
            <w:tcW w:w="3958" w:type="dxa"/>
            <w:tcBorders/>
            <w:shd w:fill="auto" w:val="clear"/>
            <w:vAlign w:val="center"/>
          </w:tcPr>
          <w:p>
            <w:pPr>
              <w:pStyle w:val="TableContents"/>
              <w:spacing w:before="0" w:after="283"/>
              <w:rPr/>
            </w:pPr>
            <w:r>
              <w:rPr/>
              <w:t>measured subsequently at fair value through profit or loss</w:t>
            </w:r>
          </w:p>
        </w:tc>
        <w:tc>
          <w:tcPr>
            <w:tcW w:w="120"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rPr/>
            </w:pPr>
            <w:r>
              <w:rPr/>
              <w:t> </w:t>
            </w:r>
          </w:p>
        </w:tc>
        <w:tc>
          <w:tcPr>
            <w:tcW w:w="2209" w:type="dxa"/>
            <w:tcBorders/>
            <w:shd w:fill="auto" w:val="clear"/>
            <w:vAlign w:val="center"/>
          </w:tcPr>
          <w:p>
            <w:pPr>
              <w:pStyle w:val="TableContents"/>
              <w:spacing w:before="0" w:after="283"/>
              <w:jc w:val="right"/>
              <w:rPr/>
            </w:pPr>
            <w:r>
              <w:rPr/>
              <w:t>0</w:t>
            </w:r>
          </w:p>
        </w:tc>
        <w:tc>
          <w:tcPr>
            <w:tcW w:w="76"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1886"/>
        <w:gridCol w:w="120"/>
        <w:gridCol w:w="770"/>
        <w:gridCol w:w="120"/>
        <w:gridCol w:w="3958"/>
        <w:gridCol w:w="120"/>
        <w:gridCol w:w="946"/>
        <w:gridCol w:w="2209"/>
        <w:gridCol w:w="76"/>
      </w:tblGrid>
      <w:tr>
        <w:trPr/>
        <w:tc>
          <w:tcPr>
            <w:tcW w:w="188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2209"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1886" w:type="dxa"/>
            <w:tcBorders/>
            <w:shd w:fill="auto" w:val="clear"/>
            <w:vAlign w:val="center"/>
          </w:tcPr>
          <w:p>
            <w:pPr>
              <w:pStyle w:val="TableContents"/>
              <w:spacing w:before="0" w:after="283"/>
              <w:rPr/>
            </w:pPr>
            <w:r>
              <w:rPr/>
              <w:t>2020 - € thousand</w:t>
            </w:r>
          </w:p>
        </w:tc>
        <w:tc>
          <w:tcPr>
            <w:tcW w:w="120"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5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55" w:type="dxa"/>
            <w:gridSpan w:val="2"/>
            <w:tcBorders/>
            <w:shd w:fill="auto" w:val="clear"/>
            <w:vAlign w:val="center"/>
          </w:tcPr>
          <w:p>
            <w:pPr>
              <w:pStyle w:val="TableContents"/>
              <w:spacing w:before="0" w:after="283"/>
              <w:jc w:val="center"/>
              <w:rPr/>
            </w:pPr>
            <w:r>
              <w:rPr/>
              <w:t>Other income and expense items,</w:t>
              <w:br/>
              <w:t>or gain and loss items</w:t>
            </w:r>
          </w:p>
        </w:tc>
        <w:tc>
          <w:tcPr>
            <w:tcW w:w="76" w:type="dxa"/>
            <w:tcBorders/>
            <w:shd w:fill="auto" w:val="clear"/>
            <w:vAlign w:val="center"/>
          </w:tcPr>
          <w:p>
            <w:pPr>
              <w:pStyle w:val="TableContents"/>
              <w:spacing w:before="0" w:after="283"/>
              <w:rPr/>
            </w:pPr>
            <w:r>
              <w:rPr/>
              <w:t> </w:t>
            </w:r>
          </w:p>
        </w:tc>
      </w:tr>
      <w:tr>
        <w:trPr/>
        <w:tc>
          <w:tcPr>
            <w:tcW w:w="1886"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Financial assets</w:t>
            </w:r>
          </w:p>
        </w:tc>
        <w:tc>
          <w:tcPr>
            <w:tcW w:w="120" w:type="dxa"/>
            <w:tcBorders/>
            <w:shd w:fill="CCEEFF" w:val="clear"/>
            <w:vAlign w:val="center"/>
          </w:tcPr>
          <w:p>
            <w:pPr>
              <w:pStyle w:val="TableContents"/>
              <w:spacing w:before="0" w:after="283"/>
              <w:rPr/>
            </w:pPr>
            <w:r>
              <w:rPr/>
              <w:t>  </w:t>
            </w:r>
          </w:p>
        </w:tc>
        <w:tc>
          <w:tcPr>
            <w:tcW w:w="770" w:type="dxa"/>
            <w:tcBorders/>
            <w:shd w:fill="CCEEFF" w:val="clear"/>
            <w:vAlign w:val="center"/>
          </w:tcPr>
          <w:p>
            <w:pPr>
              <w:pStyle w:val="TableContents"/>
              <w:spacing w:before="0" w:after="283"/>
              <w:rPr/>
            </w:pPr>
            <w:r>
              <w:rPr/>
              <w:t>AC</w:t>
            </w:r>
          </w:p>
        </w:tc>
        <w:tc>
          <w:tcPr>
            <w:tcW w:w="120" w:type="dxa"/>
            <w:tcBorders/>
            <w:shd w:fill="CCEEFF" w:val="clear"/>
            <w:vAlign w:val="center"/>
          </w:tcPr>
          <w:p>
            <w:pPr>
              <w:pStyle w:val="TableContents"/>
              <w:spacing w:before="0" w:after="283"/>
              <w:rPr/>
            </w:pPr>
            <w:r>
              <w:rPr/>
              <w:t>  </w:t>
            </w:r>
          </w:p>
        </w:tc>
        <w:tc>
          <w:tcPr>
            <w:tcW w:w="3958" w:type="dxa"/>
            <w:tcBorders/>
            <w:shd w:fill="CCEEFF" w:val="clear"/>
            <w:vAlign w:val="center"/>
          </w:tcPr>
          <w:p>
            <w:pPr>
              <w:pStyle w:val="TableContents"/>
              <w:spacing w:before="0" w:after="283"/>
              <w:rPr/>
            </w:pPr>
            <w:r>
              <w:rPr/>
              <w:t>Measured at amortized cost</w:t>
            </w:r>
          </w:p>
        </w:tc>
        <w:tc>
          <w:tcPr>
            <w:tcW w:w="120" w:type="dxa"/>
            <w:tcBorders/>
            <w:shd w:fill="CCEEFF" w:val="clear"/>
            <w:vAlign w:val="center"/>
          </w:tcPr>
          <w:p>
            <w:pPr>
              <w:pStyle w:val="TableContents"/>
              <w:spacing w:before="0" w:after="283"/>
              <w:rPr/>
            </w:pPr>
            <w:r>
              <w:rPr/>
              <w:t>  </w:t>
            </w:r>
          </w:p>
        </w:tc>
        <w:tc>
          <w:tcPr>
            <w:tcW w:w="946" w:type="dxa"/>
            <w:tcBorders/>
            <w:shd w:fill="CCEEFF" w:val="clear"/>
            <w:vAlign w:val="center"/>
          </w:tcPr>
          <w:p>
            <w:pPr>
              <w:pStyle w:val="TableContents"/>
              <w:spacing w:before="0" w:after="283"/>
              <w:rPr/>
            </w:pPr>
            <w:r>
              <w:rPr/>
              <w:t> </w:t>
            </w:r>
          </w:p>
        </w:tc>
        <w:tc>
          <w:tcPr>
            <w:tcW w:w="2209" w:type="dxa"/>
            <w:tcBorders/>
            <w:shd w:fill="CCEEFF" w:val="clear"/>
            <w:vAlign w:val="center"/>
          </w:tcPr>
          <w:p>
            <w:pPr>
              <w:pStyle w:val="TableContents"/>
              <w:spacing w:before="0" w:after="283"/>
              <w:jc w:val="right"/>
              <w:rPr/>
            </w:pPr>
            <w:r>
              <w:rPr/>
              <w:t>0</w:t>
            </w:r>
          </w:p>
        </w:tc>
        <w:tc>
          <w:tcPr>
            <w:tcW w:w="76" w:type="dxa"/>
            <w:tcBorders/>
            <w:shd w:fill="CCEEFF" w:val="clear"/>
            <w:vAlign w:val="center"/>
          </w:tcPr>
          <w:p>
            <w:pPr>
              <w:pStyle w:val="TableContents"/>
              <w:spacing w:before="0" w:after="283"/>
              <w:rPr/>
            </w:pPr>
            <w:r>
              <w:rPr/>
              <w:t> </w:t>
            </w:r>
          </w:p>
        </w:tc>
      </w:tr>
      <w:tr>
        <w:trPr/>
        <w:tc>
          <w:tcPr>
            <w:tcW w:w="1886"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Derivative Financial Assets</w:t>
            </w:r>
          </w:p>
        </w:tc>
        <w:tc>
          <w:tcPr>
            <w:tcW w:w="120"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rPr/>
            </w:pPr>
            <w:r>
              <w:rPr/>
              <w:t>FVTPL</w:t>
            </w:r>
          </w:p>
        </w:tc>
        <w:tc>
          <w:tcPr>
            <w:tcW w:w="120" w:type="dxa"/>
            <w:tcBorders/>
            <w:shd w:fill="auto" w:val="clear"/>
            <w:vAlign w:val="center"/>
          </w:tcPr>
          <w:p>
            <w:pPr>
              <w:pStyle w:val="TableContents"/>
              <w:spacing w:before="0" w:after="283"/>
              <w:rPr/>
            </w:pPr>
            <w:r>
              <w:rPr/>
              <w:t>  </w:t>
            </w:r>
          </w:p>
        </w:tc>
        <w:tc>
          <w:tcPr>
            <w:tcW w:w="3958" w:type="dxa"/>
            <w:tcBorders/>
            <w:shd w:fill="auto" w:val="clear"/>
            <w:vAlign w:val="center"/>
          </w:tcPr>
          <w:p>
            <w:pPr>
              <w:pStyle w:val="TableContents"/>
              <w:spacing w:before="0" w:after="283"/>
              <w:rPr/>
            </w:pPr>
            <w:r>
              <w:rPr/>
              <w:t>measured subsequently at fair value through profit or loss</w:t>
            </w:r>
          </w:p>
        </w:tc>
        <w:tc>
          <w:tcPr>
            <w:tcW w:w="120"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rPr/>
            </w:pPr>
            <w:r>
              <w:rPr/>
              <w:t> </w:t>
            </w:r>
          </w:p>
        </w:tc>
        <w:tc>
          <w:tcPr>
            <w:tcW w:w="2209" w:type="dxa"/>
            <w:tcBorders/>
            <w:shd w:fill="auto" w:val="clear"/>
            <w:vAlign w:val="center"/>
          </w:tcPr>
          <w:p>
            <w:pPr>
              <w:pStyle w:val="TableContents"/>
              <w:spacing w:before="0" w:after="283"/>
              <w:jc w:val="right"/>
              <w:rPr/>
            </w:pPr>
            <w:r>
              <w:rPr/>
              <w:t>0</w:t>
            </w:r>
          </w:p>
        </w:tc>
        <w:tc>
          <w:tcPr>
            <w:tcW w:w="76"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2920" w:type="dxa"/>
        <w:jc w:val="left"/>
        <w:tblInd w:w="0" w:type="dxa"/>
        <w:tblCellMar>
          <w:top w:w="0" w:type="dxa"/>
          <w:left w:w="0" w:type="dxa"/>
          <w:bottom w:w="0" w:type="dxa"/>
          <w:right w:w="0" w:type="dxa"/>
        </w:tblCellMar>
      </w:tblPr>
      <w:tblGrid>
        <w:gridCol w:w="515"/>
        <w:gridCol w:w="2405"/>
      </w:tblGrid>
      <w:tr>
        <w:trPr/>
        <w:tc>
          <w:tcPr>
            <w:tcW w:w="515" w:type="dxa"/>
            <w:tcBorders/>
            <w:shd w:fill="auto" w:val="clear"/>
            <w:vAlign w:val="center"/>
          </w:tcPr>
          <w:p>
            <w:pPr>
              <w:pStyle w:val="TableContents"/>
              <w:spacing w:before="0" w:after="0"/>
              <w:jc w:val="left"/>
              <w:rPr>
                <w:b/>
                <w:spacing w:val="0"/>
              </w:rPr>
            </w:pPr>
            <w:r>
              <w:rPr>
                <w:b/>
                <w:spacing w:val="0"/>
              </w:rPr>
              <w:t>33.2.</w:t>
            </w:r>
          </w:p>
        </w:tc>
        <w:tc>
          <w:tcPr>
            <w:tcW w:w="240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Financial risk management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Group is exposed to the following risks from the use of financial instruments: </w:t>
      </w:r>
    </w:p>
    <w:p>
      <w:pPr>
        <w:pStyle w:val="TextBody"/>
        <w:spacing w:before="0" w:after="0"/>
        <w:jc w:val="both"/>
        <w:rPr>
          <w:highlight w:val="white"/>
        </w:rPr>
      </w:pPr>
      <w:r>
        <w:rPr>
          <w:highlight w:val="white"/>
        </w:rPr>
        <w:t> </w:t>
      </w:r>
    </w:p>
    <w:tbl>
      <w:tblPr>
        <w:tblW w:w="2635" w:type="dxa"/>
        <w:jc w:val="left"/>
        <w:tblInd w:w="0" w:type="dxa"/>
        <w:tblCellMar>
          <w:top w:w="0" w:type="dxa"/>
          <w:left w:w="0" w:type="dxa"/>
          <w:bottom w:w="0" w:type="dxa"/>
          <w:right w:w="0" w:type="dxa"/>
        </w:tblCellMar>
      </w:tblPr>
      <w:tblGrid>
        <w:gridCol w:w="75"/>
        <w:gridCol w:w="110"/>
        <w:gridCol w:w="60"/>
        <w:gridCol w:w="23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3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Credit risk (see Note 33.2 a)) </w:t>
            </w:r>
          </w:p>
        </w:tc>
      </w:tr>
    </w:tbl>
    <w:p>
      <w:pPr>
        <w:pStyle w:val="TextBody"/>
        <w:spacing w:before="0" w:after="0"/>
        <w:jc w:val="left"/>
        <w:rPr>
          <w:highlight w:val="white"/>
        </w:rPr>
      </w:pPr>
      <w:r>
        <w:rPr>
          <w:highlight w:val="white"/>
        </w:rPr>
        <w:t> </w:t>
      </w:r>
    </w:p>
    <w:tbl>
      <w:tblPr>
        <w:tblW w:w="2920" w:type="dxa"/>
        <w:jc w:val="left"/>
        <w:tblInd w:w="0" w:type="dxa"/>
        <w:tblCellMar>
          <w:top w:w="0" w:type="dxa"/>
          <w:left w:w="0" w:type="dxa"/>
          <w:bottom w:w="0" w:type="dxa"/>
          <w:right w:w="0" w:type="dxa"/>
        </w:tblCellMar>
      </w:tblPr>
      <w:tblGrid>
        <w:gridCol w:w="75"/>
        <w:gridCol w:w="110"/>
        <w:gridCol w:w="60"/>
        <w:gridCol w:w="26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6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Liquidity risk (see Note 33.2 b)) </w:t>
            </w:r>
          </w:p>
        </w:tc>
      </w:tr>
    </w:tbl>
    <w:p>
      <w:pPr>
        <w:pStyle w:val="TextBody"/>
        <w:spacing w:before="0" w:after="0"/>
        <w:jc w:val="left"/>
        <w:rPr>
          <w:highlight w:val="white"/>
        </w:rPr>
      </w:pPr>
      <w:r>
        <w:rPr>
          <w:highlight w:val="white"/>
        </w:rPr>
        <w:t> </w:t>
      </w:r>
    </w:p>
    <w:tbl>
      <w:tblPr>
        <w:tblW w:w="2710" w:type="dxa"/>
        <w:jc w:val="left"/>
        <w:tblInd w:w="0" w:type="dxa"/>
        <w:tblCellMar>
          <w:top w:w="0" w:type="dxa"/>
          <w:left w:w="0" w:type="dxa"/>
          <w:bottom w:w="0" w:type="dxa"/>
          <w:right w:w="0" w:type="dxa"/>
        </w:tblCellMar>
      </w:tblPr>
      <w:tblGrid>
        <w:gridCol w:w="75"/>
        <w:gridCol w:w="110"/>
        <w:gridCol w:w="60"/>
        <w:gridCol w:w="24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4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Market risk (see Note 33.2 c)) </w:t>
            </w:r>
          </w:p>
        </w:tc>
      </w:tr>
    </w:tbl>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Principles of risk management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Management Board of the Company is responsible for the structure and control of the Group’s risk management. For this purpose, the Management Board has appointed employees who are responsible for monitoring and developing the Group’s risk management policies. The employees submit regular reports to the Management Board about their activities. The risk management policies and the risk management systems are reviewed regularly to reflect changes in market conditions and the Group’s activities. </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Capital risk management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Group’s primary financial objectives include increasing the enterprise value on a sustained basis, ensuring solvency at all times to safeguard the Company’s ability as a going concern, and maintaining an optimal capital structure. Ensuring sufficient available liquidity is of key significance in this context. These objectives are managed by means of an integrated controlling concept, in which as part of the monthly closing process, management is provided with current indicators for various items of the financial statements and therefore also for changes in equity, and as the basis for necessary entrepreneurial decisions. The equity ratio as of December 31, 2022, was 34.6% (2021: 78.6%, 2020: 81.7%). The strong decrease of the equity ratio is due to the high consolidated net loss for the year of the financial year 2022 as well as the increase in other financial liabilities and other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non-financial</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liabilities. The equity ratio was calculated as the ratio of total equity to total assets.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There have been no changes in the Group’s overall capital risk management strategy relative to 2021. </w:t>
      </w:r>
    </w:p>
    <w:p>
      <w:pPr>
        <w:pStyle w:val="TextBody"/>
        <w:spacing w:before="0" w:after="0"/>
        <w:jc w:val="left"/>
        <w:rPr>
          <w:highlight w:val="white"/>
        </w:rPr>
      </w:pPr>
      <w:r>
        <w:rPr>
          <w:highlight w:val="white"/>
        </w:rPr>
        <w:t> </w:t>
      </w:r>
    </w:p>
    <w:tbl>
      <w:tblPr>
        <w:tblW w:w="1285" w:type="dxa"/>
        <w:jc w:val="left"/>
        <w:tblInd w:w="0" w:type="dxa"/>
        <w:tblCellMar>
          <w:top w:w="0" w:type="dxa"/>
          <w:left w:w="0" w:type="dxa"/>
          <w:bottom w:w="0" w:type="dxa"/>
          <w:right w:w="0" w:type="dxa"/>
        </w:tblCellMar>
      </w:tblPr>
      <w:tblGrid>
        <w:gridCol w:w="75"/>
        <w:gridCol w:w="215"/>
        <w:gridCol w:w="995"/>
      </w:tblGrid>
      <w:tr>
        <w:trPr/>
        <w:tc>
          <w:tcPr>
            <w:tcW w:w="75"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jc w:val="both"/>
              <w:rPr>
                <w:b/>
                <w:spacing w:val="0"/>
              </w:rPr>
            </w:pPr>
            <w:r>
              <w:rPr>
                <w:b/>
                <w:spacing w:val="0"/>
              </w:rPr>
              <w:t>a)</w:t>
            </w:r>
          </w:p>
        </w:tc>
        <w:tc>
          <w:tcPr>
            <w:tcW w:w="995"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Credit risk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Credit risk is the risk of financial loss if a customer or counterparty to a financial instrument fails to meet its contractual obligations. Credit risk arises principally from the Group’s trade receivables and its cash and cash equivalents. The carrying amounts of the other financial assets and of contract assets correspond to the maximum credit risk exposure.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F-4</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3</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both"/>
        <w:rPr>
          <w:rFonts w:ascii="Times New Roman" w:hAnsi="Times New Roman"/>
          <w:sz w:val="20"/>
          <w:highlight w:val="white"/>
        </w:rPr>
      </w:pPr>
      <w:r>
        <w:rPr>
          <w:rFonts w:ascii="Times New Roman" w:hAnsi="Times New Roman"/>
          <w:sz w:val="20"/>
          <w:highlight w:val="white"/>
        </w:rPr>
        <w:t xml:space="preserve">When determining whether the credit risk of a financial asset has increased significantly since initial recognition and when estimating ECLs, the Group considers reasonable and supportable information that is relevant and available without undue cost or effort. This includes both quantitative and qualitative information and analysis, based on the Group’s historical experience and informed credit assessment, that includes forward-looking information. The Group assumes that the credit risk on a financial asset has increased significantly if it is more than 30 days past due.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Group considers a financial asset to be in default when the debtor is unlikely to pay its credit obligations to the Group in full, without recourse by the Group to actions such as realizing security (if any is held) or the financial assets Is more than 90 days past due.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Impairments of financial assets are recognized in profit or loss as follows: </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Trade receivables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Group’s exposure to credit risk is influenced mainly by the individual characteristics of each customer. However, the Group’s Management Board also considers the factors that may influence the credit risk of the customer base, including the credit risk associated with the industries, countries, and regions in which the customers are operating.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Detailed disclosures concerning the concentration of revenue in particular areas/regions can be found in Note 6. Segment reporting and information on geographical areas.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Group has a receivables management system that facilitates initial and ongoing analysis of customer creditworthiness individually. This analysis comprises external ratings, information by credit agencies (if available), industry information, and, in some cases, information provided by banks. Before the Group enters a business relationship, a salesperson has to submit this opportunity into a Sales Triage with the purpose to analyze all facets of the opportunity. Prior to entering into business relationship with a customer, a member of the sales department enters the opportunity in a “sales triage” tool which analyzes key facts of the opportunity. The Group limits its credit risk from trade receivables by determining a maximum.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overall credit risk exposure is considered low. </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Other financial assets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As of the reporting date, other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financial assets primarily include security deposits for rental agreements of the Mynaric Group. Other current financial assets include mainly receivables from suppliers.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credit risk exposure resulting from receivables from security deposits is considered low since the deposits are hold at separate accounts restricted from usage for other purposes. </w:t>
      </w:r>
    </w:p>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Cash and cash equivalents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estimated loss allowance for cash and cash equivalents was calculated based upon expected losses within 12 months and reflects the short terms to maturity. As of December 31, 2022, the expected credit loss is not material and therefore was not recognized. </w:t>
      </w:r>
    </w:p>
    <w:p>
      <w:pPr>
        <w:pStyle w:val="TextBody"/>
        <w:spacing w:before="0" w:after="0"/>
        <w:jc w:val="both"/>
        <w:rPr>
          <w:highlight w:val="white"/>
        </w:rPr>
      </w:pPr>
      <w:r>
        <w:rPr>
          <w:highlight w:val="white"/>
        </w:rPr>
        <w:t> </w:t>
      </w:r>
    </w:p>
    <w:tbl>
      <w:tblPr>
        <w:tblW w:w="1555" w:type="dxa"/>
        <w:jc w:val="left"/>
        <w:tblInd w:w="0" w:type="dxa"/>
        <w:tblCellMar>
          <w:top w:w="0" w:type="dxa"/>
          <w:left w:w="0" w:type="dxa"/>
          <w:bottom w:w="0" w:type="dxa"/>
          <w:right w:w="0" w:type="dxa"/>
        </w:tblCellMar>
      </w:tblPr>
      <w:tblGrid>
        <w:gridCol w:w="75"/>
        <w:gridCol w:w="230"/>
        <w:gridCol w:w="1250"/>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0"/>
              <w:jc w:val="both"/>
              <w:rPr>
                <w:b/>
                <w:spacing w:val="0"/>
              </w:rPr>
            </w:pPr>
            <w:r>
              <w:rPr>
                <w:b/>
                <w:spacing w:val="0"/>
              </w:rPr>
              <w:t>b)</w:t>
            </w:r>
          </w:p>
        </w:tc>
        <w:tc>
          <w:tcPr>
            <w:tcW w:w="1250"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Liquidity risk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Liquidity risk is the risk that the Group might not be able to settle its financial liabilities as contractually agreed by delivering cash or other financial assets. The Group’s objective for liquidity management is to ensure that to the extent possible, sufficient cash funds are available at all times to be able to meet its payment obligations when due under both normal and stress scenarios, without having to bear any unsustainable losses or damage to the Group’s reputation.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Group uses activity-based cost accounting to calculate the costs of its product and services. This enables the Group to monitor cash requirements and to optimize cash inflows on capital employed.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Prudent liquidity risk management means being able to meet obligations when due at any time and, beyond that, maintaining sufficient cash and cash equivalents for unplanned expenditures. Management applies rolling forecasts to monitor cash and cash equivalents based upon expected cash flows. This is generally done centrally for the Group.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F-4</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4</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both"/>
        <w:rPr>
          <w:rFonts w:ascii="Times New Roman" w:hAnsi="Times New Roman"/>
          <w:sz w:val="20"/>
          <w:highlight w:val="white"/>
        </w:rPr>
      </w:pPr>
      <w:r>
        <w:rPr>
          <w:rFonts w:ascii="Times New Roman" w:hAnsi="Times New Roman"/>
          <w:sz w:val="20"/>
          <w:highlight w:val="white"/>
        </w:rPr>
        <w:t>To ensure the Group’s solvency and its ability as a going concern, Mynaric implemented an adapted profit and liquidity planning for the year 2023. To ensure the financing, the subsidiary, Mynaric USA Inc. (“Mynaric USA”), entered into a new five-year term loan credit agreement in the amount</w:t>
      </w:r>
    </w:p>
    <w:p>
      <w:pPr>
        <w:pStyle w:val="TextBody"/>
        <w:spacing w:before="0" w:after="0"/>
        <w:jc w:val="both"/>
        <w:rPr>
          <w:spacing w:val="0"/>
          <w:highlight w:val="white"/>
        </w:rPr>
      </w:pPr>
      <w:r>
        <w:rPr>
          <w:spacing w:val="0"/>
          <w:highlight w:val="white"/>
        </w:rPr>
        <w:t> </w:t>
      </w:r>
    </w:p>
    <w:p>
      <w:pPr>
        <w:pStyle w:val="TextBody"/>
        <w:spacing w:before="0" w:after="0"/>
        <w:jc w:val="both"/>
        <w:rPr>
          <w:rFonts w:ascii="Times New Roman" w:hAnsi="Times New Roman"/>
          <w:sz w:val="20"/>
          <w:highlight w:val="white"/>
        </w:rPr>
      </w:pPr>
      <w:r>
        <w:rPr>
          <w:rFonts w:ascii="Times New Roman" w:hAnsi="Times New Roman"/>
          <w:sz w:val="20"/>
          <w:highlight w:val="white"/>
        </w:rPr>
        <w:t>of</w:t>
      </w:r>
    </w:p>
    <w:p>
      <w:pPr>
        <w:pStyle w:val="TextBody"/>
        <w:spacing w:before="0" w:after="0"/>
        <w:jc w:val="both"/>
        <w:rPr>
          <w:spacing w:val="0"/>
          <w:highlight w:val="white"/>
        </w:rPr>
      </w:pPr>
      <w:r>
        <w:rPr>
          <w:spacing w:val="0"/>
          <w:highlight w:val="white"/>
        </w:rPr>
        <w:t> </w:t>
      </w:r>
    </w:p>
    <w:p>
      <w:pPr>
        <w:pStyle w:val="TextBody"/>
        <w:spacing w:before="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$75.0 million</w:t>
      </w:r>
    </w:p>
    <w:p>
      <w:pPr>
        <w:pStyle w:val="TextBody"/>
        <w:spacing w:before="0" w:after="0"/>
        <w:jc w:val="both"/>
        <w:rPr>
          <w:rFonts w:ascii="Times New Roman" w:hAnsi="Times New Roman"/>
          <w:sz w:val="20"/>
          <w:highlight w:val="white"/>
        </w:rPr>
      </w:pPr>
      <w:r>
        <w:rPr>
          <w:rFonts w:ascii="Times New Roman" w:hAnsi="Times New Roman"/>
          <w:sz w:val="20"/>
          <w:highlight w:val="white"/>
        </w:rPr>
        <w:t xml:space="preserve">, and Mynaric AG received an equity investment in the amount of </w:t>
      </w:r>
    </w:p>
    <w:p>
      <w:pPr>
        <w:pStyle w:val="TextBody"/>
        <w:spacing w:before="0" w:after="0"/>
        <w:ind w:left="0" w:right="0" w:hanging="0"/>
        <w:jc w:val="both"/>
        <w:rPr>
          <w:spacing w:val="0"/>
          <w:highlight w:val="white"/>
        </w:rPr>
      </w:pPr>
      <w:r>
        <w:rPr>
          <w:spacing w:val="0"/>
          <w:highlight w:val="white"/>
        </w:rPr>
        <w:t>€</w:t>
      </w:r>
      <w:r>
        <w:rPr>
          <w:rFonts w:ascii="Times New Roman" w:hAnsi="Times New Roman"/>
          <w:spacing w:val="0"/>
          <w:sz w:val="20"/>
          <w:highlight w:val="white"/>
        </w:rPr>
        <w:t>12.4 million</w:t>
      </w:r>
    </w:p>
    <w:p>
      <w:pPr>
        <w:pStyle w:val="TextBody"/>
        <w:spacing w:before="0" w:after="0"/>
        <w:jc w:val="both"/>
        <w:rPr>
          <w:highlight w:val="white"/>
        </w:rPr>
      </w:pPr>
      <w:r>
        <w:rPr>
          <w:highlight w:val="white"/>
        </w:rPr>
        <w:t> </w:t>
      </w:r>
      <w:r>
        <w:rPr>
          <w:rFonts w:ascii="Times New Roman" w:hAnsi="Times New Roman"/>
          <w:sz w:val="20"/>
          <w:highlight w:val="white"/>
        </w:rPr>
        <w:t>on April </w:t>
      </w:r>
    </w:p>
    <w:p>
      <w:pPr>
        <w:pStyle w:val="TextBody"/>
        <w:spacing w:before="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25</w:t>
      </w:r>
    </w:p>
    <w:p>
      <w:pPr>
        <w:pStyle w:val="TextBody"/>
        <w:spacing w:before="0" w:after="0"/>
        <w:jc w:val="both"/>
        <w:rPr>
          <w:rFonts w:ascii="Times New Roman" w:hAnsi="Times New Roman"/>
          <w:sz w:val="20"/>
          <w:highlight w:val="white"/>
        </w:rPr>
      </w:pPr>
      <w:r>
        <w:rPr>
          <w:rFonts w:ascii="Times New Roman" w:hAnsi="Times New Roman"/>
          <w:sz w:val="20"/>
          <w:highlight w:val="white"/>
        </w:rPr>
        <w:t xml:space="preserve">, 2023. For further information refer to Note 36 (“Events after the reporting date”). </w:t>
      </w:r>
    </w:p>
    <w:p>
      <w:pPr>
        <w:pStyle w:val="TextBody"/>
        <w:spacing w:before="240" w:after="0"/>
        <w:jc w:val="both"/>
        <w:rPr>
          <w:rFonts w:ascii="Times New Roman" w:hAnsi="Times New Roman"/>
          <w:sz w:val="20"/>
          <w:highlight w:val="white"/>
        </w:rPr>
      </w:pPr>
      <w:r>
        <w:rPr>
          <w:rFonts w:ascii="Times New Roman" w:hAnsi="Times New Roman"/>
          <w:sz w:val="20"/>
          <w:highlight w:val="white"/>
        </w:rPr>
        <w:t xml:space="preserve">The following table shows the remaining contractual terms of financial liabilities as of the reporting date, including estimated interest payments. The amounts presented are undiscounted gross amounts, including contractual interest payments but excluding the presentation of netting effects. </w:t>
      </w:r>
    </w:p>
    <w:p>
      <w:pPr>
        <w:pStyle w:val="TextBody"/>
        <w:spacing w:before="0" w:after="0"/>
        <w:jc w:val="left"/>
        <w:rPr>
          <w:highlight w:val="white"/>
        </w:rPr>
      </w:pPr>
      <w:r>
        <w:rPr>
          <w:highlight w:val="white"/>
        </w:rPr>
        <w:t> </w:t>
      </w:r>
    </w:p>
    <w:tbl>
      <w:tblPr>
        <w:tblW w:w="7760" w:type="dxa"/>
        <w:jc w:val="left"/>
        <w:tblInd w:w="0" w:type="dxa"/>
        <w:tblCellMar>
          <w:top w:w="0" w:type="dxa"/>
          <w:left w:w="0" w:type="dxa"/>
          <w:bottom w:w="0" w:type="dxa"/>
          <w:right w:w="0" w:type="dxa"/>
        </w:tblCellMar>
      </w:tblPr>
      <w:tblGrid>
        <w:gridCol w:w="2075"/>
        <w:gridCol w:w="120"/>
        <w:gridCol w:w="69"/>
        <w:gridCol w:w="791"/>
        <w:gridCol w:w="60"/>
        <w:gridCol w:w="120"/>
        <w:gridCol w:w="60"/>
        <w:gridCol w:w="680"/>
        <w:gridCol w:w="60"/>
        <w:gridCol w:w="120"/>
        <w:gridCol w:w="78"/>
        <w:gridCol w:w="737"/>
        <w:gridCol w:w="60"/>
        <w:gridCol w:w="120"/>
        <w:gridCol w:w="78"/>
        <w:gridCol w:w="737"/>
        <w:gridCol w:w="60"/>
        <w:gridCol w:w="120"/>
        <w:gridCol w:w="60"/>
        <w:gridCol w:w="560"/>
        <w:gridCol w:w="60"/>
        <w:gridCol w:w="120"/>
        <w:gridCol w:w="60"/>
        <w:gridCol w:w="680"/>
        <w:gridCol w:w="75"/>
      </w:tblGrid>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0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490" w:type="dxa"/>
            <w:gridSpan w:val="22"/>
            <w:tcBorders/>
            <w:shd w:fill="auto" w:val="clear"/>
            <w:vAlign w:val="center"/>
          </w:tcPr>
          <w:p>
            <w:pPr>
              <w:pStyle w:val="TableContents"/>
              <w:spacing w:before="0" w:after="283"/>
              <w:jc w:val="center"/>
              <w:rPr/>
            </w:pPr>
            <w:r>
              <w:rPr/>
              <w:t>December 31, 2022</w:t>
            </w:r>
          </w:p>
        </w:tc>
        <w:tc>
          <w:tcPr>
            <w:tcW w:w="75" w:type="dxa"/>
            <w:tcBorders/>
            <w:shd w:fill="auto"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jc w:val="center"/>
              <w:rPr/>
            </w:pPr>
            <w:r>
              <w:rPr/>
              <w:t>Carrying</w:t>
              <w:br/>
              <w:t>amount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0" w:type="dxa"/>
            <w:gridSpan w:val="2"/>
            <w:tcBorders/>
            <w:shd w:fill="auto" w:val="clear"/>
            <w:vAlign w:val="center"/>
          </w:tcPr>
          <w:p>
            <w:pPr>
              <w:pStyle w:val="TableContents"/>
              <w:spacing w:before="0" w:after="283"/>
              <w:jc w:val="center"/>
              <w:rPr/>
            </w:pPr>
            <w:r>
              <w:rPr/>
              <w:t>less</w:t>
              <w:br/>
              <w:t>than 1</w:t>
              <w:br/>
              <w:t>year</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15" w:type="dxa"/>
            <w:gridSpan w:val="2"/>
            <w:tcBorders/>
            <w:shd w:fill="auto" w:val="clear"/>
            <w:vAlign w:val="center"/>
          </w:tcPr>
          <w:p>
            <w:pPr>
              <w:pStyle w:val="TableContents"/>
              <w:spacing w:before="0" w:after="283"/>
              <w:jc w:val="center"/>
              <w:rPr/>
            </w:pPr>
            <w:r>
              <w:rPr/>
              <w:t>between</w:t>
              <w:br/>
              <w:t>1 and 2</w:t>
              <w:br/>
              <w:t>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15" w:type="dxa"/>
            <w:gridSpan w:val="2"/>
            <w:tcBorders/>
            <w:shd w:fill="auto" w:val="clear"/>
            <w:vAlign w:val="center"/>
          </w:tcPr>
          <w:p>
            <w:pPr>
              <w:pStyle w:val="TableContents"/>
              <w:spacing w:before="0" w:after="283"/>
              <w:jc w:val="center"/>
              <w:rPr/>
            </w:pPr>
            <w:r>
              <w:rPr/>
              <w:t>between</w:t>
              <w:br/>
              <w:t>3 and 5</w:t>
              <w:br/>
              <w:t>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283"/>
              <w:jc w:val="center"/>
              <w:rPr/>
            </w:pPr>
            <w:r>
              <w:rPr/>
              <w:t>more</w:t>
              <w:br/>
              <w:t>than 5</w:t>
              <w:br/>
              <w:t>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0" w:type="dxa"/>
            <w:gridSpan w:val="2"/>
            <w:tcBorders/>
            <w:shd w:fill="auto" w:val="clear"/>
            <w:vAlign w:val="center"/>
          </w:tcPr>
          <w:p>
            <w:pPr>
              <w:pStyle w:val="TableContents"/>
              <w:spacing w:before="0" w:after="283"/>
              <w:jc w:val="center"/>
              <w:rPr/>
            </w:pPr>
            <w:r>
              <w:rPr/>
              <w:t>Total</w:t>
            </w:r>
          </w:p>
        </w:tc>
        <w:tc>
          <w:tcPr>
            <w:tcW w:w="75" w:type="dxa"/>
            <w:tcBorders/>
            <w:shd w:fill="auto" w:val="clear"/>
            <w:vAlign w:val="center"/>
          </w:tcPr>
          <w:p>
            <w:pPr>
              <w:pStyle w:val="TableContents"/>
              <w:spacing w:before="0" w:after="283"/>
              <w:rPr/>
            </w:pPr>
            <w:r>
              <w:rPr/>
              <w:t> </w:t>
            </w:r>
          </w:p>
        </w:tc>
      </w:tr>
      <w:tr>
        <w:trPr/>
        <w:tc>
          <w:tcPr>
            <w:tcW w:w="20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Trade and other payables</w:t>
            </w:r>
          </w:p>
        </w:tc>
        <w:tc>
          <w:tcPr>
            <w:tcW w:w="12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791" w:type="dxa"/>
            <w:tcBorders/>
            <w:shd w:fill="CCEEFF" w:val="clear"/>
            <w:vAlign w:val="center"/>
          </w:tcPr>
          <w:p>
            <w:pPr>
              <w:pStyle w:val="TableContents"/>
              <w:spacing w:before="0" w:after="283"/>
              <w:jc w:val="right"/>
              <w:rPr/>
            </w:pPr>
            <w:r>
              <w:rPr/>
              <w:t>9,238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9,238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9,238</w:t>
            </w:r>
          </w:p>
        </w:tc>
        <w:tc>
          <w:tcPr>
            <w:tcW w:w="75" w:type="dxa"/>
            <w:tcBorders/>
            <w:shd w:fill="CCEEFF"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Lease liabilities</w:t>
            </w:r>
          </w:p>
        </w:tc>
        <w:tc>
          <w:tcPr>
            <w:tcW w:w="12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8,942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1,901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1,905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3,405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2,372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9,583</w:t>
            </w:r>
          </w:p>
        </w:tc>
        <w:tc>
          <w:tcPr>
            <w:tcW w:w="75" w:type="dxa"/>
            <w:tcBorders/>
            <w:shd w:fill="auto" w:val="clear"/>
            <w:vAlign w:val="center"/>
          </w:tcPr>
          <w:p>
            <w:pPr>
              <w:pStyle w:val="TableContents"/>
              <w:spacing w:before="0" w:after="283"/>
              <w:rPr/>
            </w:pPr>
            <w:r>
              <w:rPr/>
              <w:t> </w:t>
            </w:r>
          </w:p>
        </w:tc>
      </w:tr>
      <w:tr>
        <w:trPr/>
        <w:tc>
          <w:tcPr>
            <w:tcW w:w="20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 financial liabilities</w:t>
            </w:r>
          </w:p>
        </w:tc>
        <w:tc>
          <w:tcPr>
            <w:tcW w:w="12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791" w:type="dxa"/>
            <w:tcBorders/>
            <w:shd w:fill="CCEEFF" w:val="clear"/>
            <w:vAlign w:val="center"/>
          </w:tcPr>
          <w:p>
            <w:pPr>
              <w:pStyle w:val="TableContents"/>
              <w:spacing w:before="0" w:after="283"/>
              <w:jc w:val="right"/>
              <w:rPr/>
            </w:pPr>
            <w:r>
              <w:rPr/>
              <w:t>14,779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14,628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98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180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14,906</w:t>
            </w:r>
          </w:p>
        </w:tc>
        <w:tc>
          <w:tcPr>
            <w:tcW w:w="75" w:type="dxa"/>
            <w:tcBorders/>
            <w:shd w:fill="CCEEFF"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32,959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25,767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2,003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3,585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2,372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33,727</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7760" w:type="dxa"/>
        <w:jc w:val="left"/>
        <w:tblInd w:w="0" w:type="dxa"/>
        <w:tblCellMar>
          <w:top w:w="0" w:type="dxa"/>
          <w:left w:w="0" w:type="dxa"/>
          <w:bottom w:w="0" w:type="dxa"/>
          <w:right w:w="0" w:type="dxa"/>
        </w:tblCellMar>
      </w:tblPr>
      <w:tblGrid>
        <w:gridCol w:w="2075"/>
        <w:gridCol w:w="120"/>
        <w:gridCol w:w="69"/>
        <w:gridCol w:w="791"/>
        <w:gridCol w:w="60"/>
        <w:gridCol w:w="120"/>
        <w:gridCol w:w="60"/>
        <w:gridCol w:w="680"/>
        <w:gridCol w:w="60"/>
        <w:gridCol w:w="120"/>
        <w:gridCol w:w="78"/>
        <w:gridCol w:w="737"/>
        <w:gridCol w:w="60"/>
        <w:gridCol w:w="120"/>
        <w:gridCol w:w="78"/>
        <w:gridCol w:w="737"/>
        <w:gridCol w:w="60"/>
        <w:gridCol w:w="120"/>
        <w:gridCol w:w="60"/>
        <w:gridCol w:w="560"/>
        <w:gridCol w:w="60"/>
        <w:gridCol w:w="120"/>
        <w:gridCol w:w="60"/>
        <w:gridCol w:w="680"/>
        <w:gridCol w:w="75"/>
      </w:tblGrid>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0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490" w:type="dxa"/>
            <w:gridSpan w:val="22"/>
            <w:tcBorders/>
            <w:shd w:fill="auto" w:val="clear"/>
            <w:vAlign w:val="center"/>
          </w:tcPr>
          <w:p>
            <w:pPr>
              <w:pStyle w:val="TableContents"/>
              <w:spacing w:before="0" w:after="283"/>
              <w:jc w:val="center"/>
              <w:rPr/>
            </w:pPr>
            <w:r>
              <w:rPr/>
              <w:t>December 31, 2021</w:t>
            </w:r>
          </w:p>
        </w:tc>
        <w:tc>
          <w:tcPr>
            <w:tcW w:w="75" w:type="dxa"/>
            <w:tcBorders/>
            <w:shd w:fill="auto"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jc w:val="center"/>
              <w:rPr/>
            </w:pPr>
            <w:r>
              <w:rPr/>
              <w:t>Carrying</w:t>
              <w:br/>
              <w:t>amount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0" w:type="dxa"/>
            <w:gridSpan w:val="2"/>
            <w:tcBorders/>
            <w:shd w:fill="auto" w:val="clear"/>
            <w:vAlign w:val="center"/>
          </w:tcPr>
          <w:p>
            <w:pPr>
              <w:pStyle w:val="TableContents"/>
              <w:spacing w:before="0" w:after="283"/>
              <w:jc w:val="center"/>
              <w:rPr/>
            </w:pPr>
            <w:r>
              <w:rPr/>
              <w:t>less</w:t>
              <w:br/>
              <w:t>than 1</w:t>
              <w:br/>
              <w:t>year</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15" w:type="dxa"/>
            <w:gridSpan w:val="2"/>
            <w:tcBorders/>
            <w:shd w:fill="auto" w:val="clear"/>
            <w:vAlign w:val="center"/>
          </w:tcPr>
          <w:p>
            <w:pPr>
              <w:pStyle w:val="TableContents"/>
              <w:spacing w:before="0" w:after="283"/>
              <w:jc w:val="center"/>
              <w:rPr/>
            </w:pPr>
            <w:r>
              <w:rPr/>
              <w:t>between</w:t>
              <w:br/>
              <w:t>1 and 2</w:t>
              <w:br/>
              <w:t>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15" w:type="dxa"/>
            <w:gridSpan w:val="2"/>
            <w:tcBorders/>
            <w:shd w:fill="auto" w:val="clear"/>
            <w:vAlign w:val="center"/>
          </w:tcPr>
          <w:p>
            <w:pPr>
              <w:pStyle w:val="TableContents"/>
              <w:spacing w:before="0" w:after="283"/>
              <w:jc w:val="center"/>
              <w:rPr/>
            </w:pPr>
            <w:r>
              <w:rPr/>
              <w:t>between</w:t>
              <w:br/>
              <w:t>3 and 5</w:t>
              <w:br/>
              <w:t>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283"/>
              <w:jc w:val="center"/>
              <w:rPr/>
            </w:pPr>
            <w:r>
              <w:rPr/>
              <w:t>more</w:t>
              <w:br/>
              <w:t>than 5</w:t>
              <w:br/>
              <w:t>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0" w:type="dxa"/>
            <w:gridSpan w:val="2"/>
            <w:tcBorders/>
            <w:shd w:fill="auto" w:val="clear"/>
            <w:vAlign w:val="center"/>
          </w:tcPr>
          <w:p>
            <w:pPr>
              <w:pStyle w:val="TableContents"/>
              <w:spacing w:before="0" w:after="283"/>
              <w:jc w:val="center"/>
              <w:rPr/>
            </w:pPr>
            <w:r>
              <w:rPr/>
              <w:t>Total</w:t>
            </w:r>
          </w:p>
        </w:tc>
        <w:tc>
          <w:tcPr>
            <w:tcW w:w="75" w:type="dxa"/>
            <w:tcBorders/>
            <w:shd w:fill="auto" w:val="clear"/>
            <w:vAlign w:val="center"/>
          </w:tcPr>
          <w:p>
            <w:pPr>
              <w:pStyle w:val="TableContents"/>
              <w:spacing w:before="0" w:after="283"/>
              <w:rPr/>
            </w:pPr>
            <w:r>
              <w:rPr/>
              <w:t> </w:t>
            </w:r>
          </w:p>
        </w:tc>
      </w:tr>
      <w:tr>
        <w:trPr/>
        <w:tc>
          <w:tcPr>
            <w:tcW w:w="20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Trade and other payables</w:t>
            </w:r>
          </w:p>
        </w:tc>
        <w:tc>
          <w:tcPr>
            <w:tcW w:w="12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791" w:type="dxa"/>
            <w:tcBorders/>
            <w:shd w:fill="CCEEFF" w:val="clear"/>
            <w:vAlign w:val="center"/>
          </w:tcPr>
          <w:p>
            <w:pPr>
              <w:pStyle w:val="TableContents"/>
              <w:spacing w:before="0" w:after="283"/>
              <w:jc w:val="right"/>
              <w:rPr/>
            </w:pPr>
            <w:r>
              <w:rPr/>
              <w:t>8,396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8,396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8,396</w:t>
            </w:r>
          </w:p>
        </w:tc>
        <w:tc>
          <w:tcPr>
            <w:tcW w:w="75" w:type="dxa"/>
            <w:tcBorders/>
            <w:shd w:fill="CCEEFF"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Lease liabilities</w:t>
            </w:r>
          </w:p>
        </w:tc>
        <w:tc>
          <w:tcPr>
            <w:tcW w:w="12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9,027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1,640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1,605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3,148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3,328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9,721</w:t>
            </w:r>
          </w:p>
        </w:tc>
        <w:tc>
          <w:tcPr>
            <w:tcW w:w="75" w:type="dxa"/>
            <w:tcBorders/>
            <w:shd w:fill="auto" w:val="clear"/>
            <w:vAlign w:val="center"/>
          </w:tcPr>
          <w:p>
            <w:pPr>
              <w:pStyle w:val="TableContents"/>
              <w:spacing w:before="0" w:after="283"/>
              <w:rPr/>
            </w:pPr>
            <w:r>
              <w:rPr/>
              <w:t> </w:t>
            </w:r>
          </w:p>
        </w:tc>
      </w:tr>
      <w:tr>
        <w:trPr/>
        <w:tc>
          <w:tcPr>
            <w:tcW w:w="20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 financial liabilities</w:t>
            </w:r>
          </w:p>
        </w:tc>
        <w:tc>
          <w:tcPr>
            <w:tcW w:w="12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791" w:type="dxa"/>
            <w:tcBorders/>
            <w:shd w:fill="CCEEFF" w:val="clear"/>
            <w:vAlign w:val="center"/>
          </w:tcPr>
          <w:p>
            <w:pPr>
              <w:pStyle w:val="TableContents"/>
              <w:spacing w:before="0" w:after="283"/>
              <w:jc w:val="right"/>
              <w:rPr/>
            </w:pPr>
            <w:r>
              <w:rPr/>
              <w:t>37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37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37</w:t>
            </w:r>
          </w:p>
        </w:tc>
        <w:tc>
          <w:tcPr>
            <w:tcW w:w="75" w:type="dxa"/>
            <w:tcBorders/>
            <w:shd w:fill="CCEEFF"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17,460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10,073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1,605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3,148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3,328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18,154</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1360" w:type="dxa"/>
        <w:jc w:val="left"/>
        <w:tblInd w:w="0" w:type="dxa"/>
        <w:tblCellMar>
          <w:top w:w="0" w:type="dxa"/>
          <w:left w:w="0" w:type="dxa"/>
          <w:bottom w:w="0" w:type="dxa"/>
          <w:right w:w="0" w:type="dxa"/>
        </w:tblCellMar>
      </w:tblPr>
      <w:tblGrid>
        <w:gridCol w:w="75"/>
        <w:gridCol w:w="200"/>
        <w:gridCol w:w="108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0"/>
              <w:jc w:val="left"/>
              <w:rPr>
                <w:b/>
                <w:spacing w:val="0"/>
              </w:rPr>
            </w:pPr>
            <w:r>
              <w:rPr>
                <w:b/>
                <w:spacing w:val="0"/>
              </w:rPr>
              <w:t>c)</w:t>
            </w:r>
          </w:p>
        </w:tc>
        <w:tc>
          <w:tcPr>
            <w:tcW w:w="108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Market risk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Market risk is the risk that market prices, such as exchange rates, interest rates, or share prices, can change and thus can affect the Group’s income or the value of its holdings of financial instruments. The objective of market risk management is to manage and control market risk exposures within acceptable ranges, while simultaneously optimizing yield. </w:t>
      </w:r>
    </w:p>
    <w:p>
      <w:pPr>
        <w:pStyle w:val="TextBody"/>
        <w:spacing w:before="360" w:after="0"/>
        <w:jc w:val="left"/>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Currency risk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Group is exposed to transactional foreign currency risks to the extent that currencies in which sales and purchase transactions as well as receivables and lending transactions are denominated do not correspond to the functional currency of the Group companies. The functional currencies of the Group companies are the Euro and the US dollar. The transactions mentioned above are mainly denominated in Euro, USD, RMB, GBP and CHF.     </w:t>
      </w:r>
    </w:p>
    <w:p>
      <w:pPr>
        <w:pStyle w:val="TextBody"/>
        <w:spacing w:before="360" w:after="0"/>
        <w:jc w:val="left"/>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Effects of currency risk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following is a summary of quantitative information about the Group’s currency risk exposure provided to Group management: </w:t>
      </w:r>
    </w:p>
    <w:p>
      <w:pPr>
        <w:pStyle w:val="TextBody"/>
        <w:spacing w:before="0" w:after="0"/>
        <w:jc w:val="left"/>
        <w:rPr>
          <w:highlight w:val="white"/>
        </w:rPr>
      </w:pPr>
      <w:r>
        <w:rPr>
          <w:highlight w:val="white"/>
        </w:rPr>
        <w:t> </w:t>
      </w:r>
    </w:p>
    <w:tbl>
      <w:tblPr>
        <w:tblW w:w="4555" w:type="dxa"/>
        <w:jc w:val="left"/>
        <w:tblInd w:w="0" w:type="dxa"/>
        <w:tblCellMar>
          <w:top w:w="0" w:type="dxa"/>
          <w:left w:w="0" w:type="dxa"/>
          <w:bottom w:w="0" w:type="dxa"/>
          <w:right w:w="0" w:type="dxa"/>
        </w:tblCellMar>
      </w:tblPr>
      <w:tblGrid>
        <w:gridCol w:w="3620"/>
        <w:gridCol w:w="120"/>
        <w:gridCol w:w="60"/>
        <w:gridCol w:w="680"/>
        <w:gridCol w:w="75"/>
      </w:tblGrid>
      <w:tr>
        <w:trPr/>
        <w:tc>
          <w:tcPr>
            <w:tcW w:w="36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480" w:type="dxa"/>
            <w:gridSpan w:val="4"/>
            <w:tcBorders/>
            <w:shd w:fill="auto" w:val="clear"/>
            <w:vAlign w:val="center"/>
          </w:tcPr>
          <w:p>
            <w:pPr>
              <w:pStyle w:val="TableContents"/>
              <w:spacing w:before="0" w:after="0"/>
              <w:rPr>
                <w:rFonts w:ascii="Times New Roman" w:hAnsi="Times New Roman"/>
                <w:sz w:val="20"/>
              </w:rPr>
            </w:pPr>
            <w:r>
              <w:rPr>
                <w:rFonts w:ascii="Times New Roman" w:hAnsi="Times New Roman"/>
                <w:sz w:val="20"/>
              </w:rPr>
              <w:t>December 31, 2022</w:t>
            </w:r>
          </w:p>
        </w:tc>
        <w:tc>
          <w:tcPr>
            <w:tcW w:w="75" w:type="dxa"/>
            <w:tcBorders/>
            <w:shd w:fill="auto" w:val="clear"/>
            <w:vAlign w:val="center"/>
          </w:tcPr>
          <w:p>
            <w:pPr>
              <w:pStyle w:val="TableContents"/>
              <w:spacing w:before="0" w:after="0"/>
              <w:rPr/>
            </w:pPr>
            <w:r>
              <w:rPr/>
              <w:t> </w:t>
            </w:r>
          </w:p>
        </w:tc>
      </w:tr>
      <w:tr>
        <w:trPr/>
        <w:tc>
          <w:tcPr>
            <w:tcW w:w="3620" w:type="dxa"/>
            <w:tcBorders/>
            <w:shd w:fill="auto" w:val="clear"/>
            <w:vAlign w:val="center"/>
          </w:tcPr>
          <w:p>
            <w:pPr>
              <w:pStyle w:val="TableContents"/>
              <w:spacing w:before="0" w:after="283"/>
              <w:rPr/>
            </w:pPr>
            <w:r>
              <w:rPr/>
              <w:t> </w:t>
            </w:r>
          </w:p>
        </w:tc>
        <w:tc>
          <w:tcPr>
            <w:tcW w:w="935" w:type="dxa"/>
            <w:gridSpan w:val="4"/>
            <w:tcBorders/>
            <w:shd w:fill="auto" w:val="clear"/>
            <w:vAlign w:val="center"/>
          </w:tcPr>
          <w:p>
            <w:pPr>
              <w:pStyle w:val="TableContents"/>
              <w:spacing w:before="0" w:after="283"/>
              <w:rPr/>
            </w:pPr>
            <w:r>
              <w:rPr/>
              <w:t> </w:t>
            </w:r>
          </w:p>
        </w:tc>
      </w:tr>
      <w:tr>
        <w:trPr/>
        <w:tc>
          <w:tcPr>
            <w:tcW w:w="3620"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740" w:type="dxa"/>
            <w:gridSpan w:val="2"/>
            <w:tcBorders/>
            <w:shd w:fill="auto" w:val="clear"/>
            <w:vAlign w:val="center"/>
          </w:tcPr>
          <w:p>
            <w:pPr>
              <w:pStyle w:val="TableContents"/>
              <w:spacing w:before="0" w:after="283"/>
              <w:jc w:val="center"/>
              <w:rPr/>
            </w:pPr>
            <w:r>
              <w:rPr/>
              <w:t>USD</w:t>
            </w:r>
          </w:p>
        </w:tc>
        <w:tc>
          <w:tcPr>
            <w:tcW w:w="75" w:type="dxa"/>
            <w:tcBorders/>
            <w:shd w:fill="auto" w:val="clear"/>
            <w:vAlign w:val="center"/>
          </w:tcPr>
          <w:p>
            <w:pPr>
              <w:pStyle w:val="TableContents"/>
              <w:spacing w:before="0" w:after="283"/>
              <w:rPr/>
            </w:pPr>
            <w:r>
              <w:rPr/>
              <w:t> </w:t>
            </w:r>
          </w:p>
        </w:tc>
      </w:tr>
      <w:tr>
        <w:trPr/>
        <w:tc>
          <w:tcPr>
            <w:tcW w:w="36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Intercompany receivables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4,060</w:t>
            </w:r>
          </w:p>
        </w:tc>
        <w:tc>
          <w:tcPr>
            <w:tcW w:w="75" w:type="dxa"/>
            <w:tcBorders/>
            <w:shd w:fill="CCEEFF" w:val="clear"/>
            <w:vAlign w:val="center"/>
          </w:tcPr>
          <w:p>
            <w:pPr>
              <w:pStyle w:val="TableContents"/>
              <w:spacing w:before="0" w:after="283"/>
              <w:rPr/>
            </w:pPr>
            <w:r>
              <w:rPr/>
              <w:t> </w:t>
            </w:r>
          </w:p>
        </w:tc>
      </w:tr>
      <w:tr>
        <w:trPr/>
        <w:tc>
          <w:tcPr>
            <w:tcW w:w="36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Intercompany long-term lending’s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7,500</w:t>
            </w:r>
          </w:p>
        </w:tc>
        <w:tc>
          <w:tcPr>
            <w:tcW w:w="75" w:type="dxa"/>
            <w:tcBorders/>
            <w:shd w:fill="auto" w:val="clear"/>
            <w:vAlign w:val="center"/>
          </w:tcPr>
          <w:p>
            <w:pPr>
              <w:pStyle w:val="TableContents"/>
              <w:spacing w:before="0" w:after="283"/>
              <w:rPr/>
            </w:pPr>
            <w:r>
              <w:rPr/>
              <w:t> </w:t>
            </w:r>
          </w:p>
        </w:tc>
      </w:tr>
      <w:tr>
        <w:trPr/>
        <w:tc>
          <w:tcPr>
            <w:tcW w:w="36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3,868</w:t>
            </w:r>
          </w:p>
        </w:tc>
        <w:tc>
          <w:tcPr>
            <w:tcW w:w="75" w:type="dxa"/>
            <w:tcBorders/>
            <w:shd w:fill="CCEEFF" w:val="clear"/>
            <w:vAlign w:val="center"/>
          </w:tcPr>
          <w:p>
            <w:pPr>
              <w:pStyle w:val="TableContents"/>
              <w:spacing w:before="0" w:after="283"/>
              <w:rPr/>
            </w:pPr>
            <w:r>
              <w:rPr/>
              <w:t> </w:t>
            </w:r>
          </w:p>
        </w:tc>
      </w:tr>
      <w:tr>
        <w:trPr/>
        <w:tc>
          <w:tcPr>
            <w:tcW w:w="36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Intercompany payables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55</w:t>
            </w:r>
          </w:p>
        </w:tc>
        <w:tc>
          <w:tcPr>
            <w:tcW w:w="75" w:type="dxa"/>
            <w:tcBorders/>
            <w:shd w:fill="auto" w:val="clear"/>
            <w:vAlign w:val="center"/>
          </w:tcPr>
          <w:p>
            <w:pPr>
              <w:pStyle w:val="TableContents"/>
              <w:spacing w:before="0" w:after="283"/>
              <w:rPr/>
            </w:pPr>
            <w:r>
              <w:rPr/>
              <w:t> </w:t>
            </w:r>
          </w:p>
        </w:tc>
      </w:tr>
      <w:tr>
        <w:trPr/>
        <w:tc>
          <w:tcPr>
            <w:tcW w:w="36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Trade payables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142</w:t>
            </w:r>
          </w:p>
        </w:tc>
        <w:tc>
          <w:tcPr>
            <w:tcW w:w="75" w:type="dxa"/>
            <w:tcBorders/>
            <w:shd w:fill="CCEEFF" w:val="clear"/>
            <w:vAlign w:val="center"/>
          </w:tcPr>
          <w:p>
            <w:pPr>
              <w:pStyle w:val="TableContents"/>
              <w:spacing w:before="0" w:after="283"/>
              <w:rPr/>
            </w:pPr>
            <w:r>
              <w:rPr/>
              <w:t> </w:t>
            </w:r>
          </w:p>
        </w:tc>
      </w:tr>
      <w:tr>
        <w:trPr/>
        <w:tc>
          <w:tcPr>
            <w:tcW w:w="36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liabilities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435</w:t>
            </w:r>
          </w:p>
        </w:tc>
        <w:tc>
          <w:tcPr>
            <w:tcW w:w="75" w:type="dxa"/>
            <w:tcBorders/>
            <w:shd w:fill="auto" w:val="clear"/>
            <w:vAlign w:val="center"/>
          </w:tcPr>
          <w:p>
            <w:pPr>
              <w:pStyle w:val="TableContents"/>
              <w:spacing w:before="0" w:after="283"/>
              <w:rPr/>
            </w:pPr>
            <w:r>
              <w:rPr/>
              <w:t> </w:t>
            </w:r>
          </w:p>
        </w:tc>
      </w:tr>
      <w:tr>
        <w:trPr/>
        <w:tc>
          <w:tcPr>
            <w:tcW w:w="36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statement of financial position exposure</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14,796</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F-4</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5</w:t>
      </w:r>
    </w:p>
    <w:p>
      <w:pPr>
        <w:pStyle w:val="HorizontalLine"/>
        <w:rPr/>
      </w:pPr>
      <w:r>
        <w:rPr/>
      </w:r>
    </w:p>
    <w:p>
      <w:pPr>
        <w:pStyle w:val="TextBody"/>
        <w:spacing w:before="0" w:after="0"/>
        <w:rPr/>
      </w:pPr>
      <w:hyperlink w:anchor="toc">
        <w:r>
          <w:rPr>
            <w:rStyle w:val="InternetLink"/>
            <w:highlight w:val="white"/>
          </w:rPr>
          <w:t>Table of Contents</w:t>
        </w:r>
      </w:hyperlink>
    </w:p>
    <w:tbl>
      <w:tblPr>
        <w:tblW w:w="5430" w:type="dxa"/>
        <w:jc w:val="left"/>
        <w:tblInd w:w="0" w:type="dxa"/>
        <w:tblCellMar>
          <w:top w:w="0" w:type="dxa"/>
          <w:left w:w="0" w:type="dxa"/>
          <w:bottom w:w="0" w:type="dxa"/>
          <w:right w:w="0" w:type="dxa"/>
        </w:tblCellMar>
      </w:tblPr>
      <w:tblGrid>
        <w:gridCol w:w="3620"/>
        <w:gridCol w:w="120"/>
        <w:gridCol w:w="60"/>
        <w:gridCol w:w="635"/>
        <w:gridCol w:w="60"/>
        <w:gridCol w:w="120"/>
        <w:gridCol w:w="60"/>
        <w:gridCol w:w="680"/>
        <w:gridCol w:w="75"/>
      </w:tblGrid>
      <w:tr>
        <w:trPr/>
        <w:tc>
          <w:tcPr>
            <w:tcW w:w="36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355" w:type="dxa"/>
            <w:gridSpan w:val="8"/>
            <w:tcBorders/>
            <w:shd w:fill="auto" w:val="clear"/>
            <w:vAlign w:val="center"/>
          </w:tcPr>
          <w:p>
            <w:pPr>
              <w:pStyle w:val="TableContents"/>
              <w:spacing w:before="0" w:after="0"/>
              <w:rPr>
                <w:rFonts w:ascii="Times New Roman" w:hAnsi="Times New Roman"/>
                <w:sz w:val="20"/>
              </w:rPr>
            </w:pPr>
            <w:r>
              <w:rPr>
                <w:rFonts w:ascii="Times New Roman" w:hAnsi="Times New Roman"/>
                <w:sz w:val="20"/>
              </w:rPr>
              <w:t>December 31, 2021</w:t>
            </w:r>
          </w:p>
        </w:tc>
        <w:tc>
          <w:tcPr>
            <w:tcW w:w="75" w:type="dxa"/>
            <w:tcBorders/>
            <w:shd w:fill="auto" w:val="clear"/>
            <w:vAlign w:val="center"/>
          </w:tcPr>
          <w:p>
            <w:pPr>
              <w:pStyle w:val="TableContents"/>
              <w:spacing w:before="0" w:after="0"/>
              <w:rPr/>
            </w:pPr>
            <w:r>
              <w:rPr/>
              <w:t> </w:t>
            </w:r>
          </w:p>
        </w:tc>
      </w:tr>
      <w:tr>
        <w:trPr/>
        <w:tc>
          <w:tcPr>
            <w:tcW w:w="3620" w:type="dxa"/>
            <w:tcBorders/>
            <w:shd w:fill="auto" w:val="clear"/>
            <w:vAlign w:val="center"/>
          </w:tcPr>
          <w:p>
            <w:pPr>
              <w:pStyle w:val="TableContents"/>
              <w:spacing w:before="0" w:after="283"/>
              <w:rPr/>
            </w:pPr>
            <w:r>
              <w:rPr/>
              <w:t> </w:t>
            </w:r>
          </w:p>
        </w:tc>
        <w:tc>
          <w:tcPr>
            <w:tcW w:w="875" w:type="dxa"/>
            <w:gridSpan w:val="4"/>
            <w:tcBorders/>
            <w:shd w:fill="auto" w:val="clear"/>
            <w:vAlign w:val="center"/>
          </w:tcPr>
          <w:p>
            <w:pPr>
              <w:pStyle w:val="TableContents"/>
              <w:spacing w:before="0" w:after="283"/>
              <w:rPr/>
            </w:pPr>
            <w:r>
              <w:rPr/>
              <w:t> </w:t>
            </w:r>
          </w:p>
        </w:tc>
        <w:tc>
          <w:tcPr>
            <w:tcW w:w="935" w:type="dxa"/>
            <w:gridSpan w:val="4"/>
            <w:tcBorders/>
            <w:shd w:fill="auto" w:val="clear"/>
            <w:vAlign w:val="center"/>
          </w:tcPr>
          <w:p>
            <w:pPr>
              <w:pStyle w:val="TableContents"/>
              <w:spacing w:before="0" w:after="283"/>
              <w:rPr/>
            </w:pPr>
            <w:r>
              <w:rPr/>
              <w:t> </w:t>
            </w:r>
          </w:p>
        </w:tc>
      </w:tr>
      <w:tr>
        <w:trPr/>
        <w:tc>
          <w:tcPr>
            <w:tcW w:w="3620"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695" w:type="dxa"/>
            <w:gridSpan w:val="2"/>
            <w:tcBorders/>
            <w:shd w:fill="auto" w:val="clear"/>
            <w:vAlign w:val="center"/>
          </w:tcPr>
          <w:p>
            <w:pPr>
              <w:pStyle w:val="TableContents"/>
              <w:spacing w:before="0" w:after="283"/>
              <w:jc w:val="center"/>
              <w:rPr/>
            </w:pPr>
            <w:r>
              <w:rPr/>
              <w:t>EUR</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0" w:type="dxa"/>
            <w:gridSpan w:val="2"/>
            <w:tcBorders/>
            <w:shd w:fill="auto" w:val="clear"/>
            <w:vAlign w:val="center"/>
          </w:tcPr>
          <w:p>
            <w:pPr>
              <w:pStyle w:val="TableContents"/>
              <w:spacing w:before="0" w:after="283"/>
              <w:jc w:val="center"/>
              <w:rPr/>
            </w:pPr>
            <w:r>
              <w:rPr/>
              <w:t>USD</w:t>
            </w:r>
          </w:p>
        </w:tc>
        <w:tc>
          <w:tcPr>
            <w:tcW w:w="75" w:type="dxa"/>
            <w:tcBorders/>
            <w:shd w:fill="auto" w:val="clear"/>
            <w:vAlign w:val="center"/>
          </w:tcPr>
          <w:p>
            <w:pPr>
              <w:pStyle w:val="TableContents"/>
              <w:spacing w:before="0" w:after="283"/>
              <w:rPr/>
            </w:pPr>
            <w:r>
              <w:rPr/>
              <w:t> </w:t>
            </w:r>
          </w:p>
        </w:tc>
      </w:tr>
      <w:tr>
        <w:trPr/>
        <w:tc>
          <w:tcPr>
            <w:tcW w:w="36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Intercompany receivables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4,384</w:t>
            </w:r>
          </w:p>
        </w:tc>
        <w:tc>
          <w:tcPr>
            <w:tcW w:w="75" w:type="dxa"/>
            <w:tcBorders/>
            <w:shd w:fill="CCEEFF" w:val="clear"/>
            <w:vAlign w:val="center"/>
          </w:tcPr>
          <w:p>
            <w:pPr>
              <w:pStyle w:val="TableContents"/>
              <w:spacing w:before="0" w:after="283"/>
              <w:rPr/>
            </w:pPr>
            <w:r>
              <w:rPr/>
              <w:t> </w:t>
            </w:r>
          </w:p>
        </w:tc>
      </w:tr>
      <w:tr>
        <w:trPr/>
        <w:tc>
          <w:tcPr>
            <w:tcW w:w="36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financial assets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33</w:t>
            </w:r>
          </w:p>
        </w:tc>
        <w:tc>
          <w:tcPr>
            <w:tcW w:w="75" w:type="dxa"/>
            <w:tcBorders/>
            <w:shd w:fill="auto" w:val="clear"/>
            <w:vAlign w:val="center"/>
          </w:tcPr>
          <w:p>
            <w:pPr>
              <w:pStyle w:val="TableContents"/>
              <w:spacing w:before="0" w:after="283"/>
              <w:rPr/>
            </w:pPr>
            <w:r>
              <w:rPr/>
              <w:t> </w:t>
            </w:r>
          </w:p>
        </w:tc>
      </w:tr>
      <w:tr>
        <w:trPr/>
        <w:tc>
          <w:tcPr>
            <w:tcW w:w="36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32,713</w:t>
            </w:r>
          </w:p>
        </w:tc>
        <w:tc>
          <w:tcPr>
            <w:tcW w:w="75" w:type="dxa"/>
            <w:tcBorders/>
            <w:shd w:fill="CCEEFF" w:val="clear"/>
            <w:vAlign w:val="center"/>
          </w:tcPr>
          <w:p>
            <w:pPr>
              <w:pStyle w:val="TableContents"/>
              <w:spacing w:before="0" w:after="283"/>
              <w:rPr/>
            </w:pPr>
            <w:r>
              <w:rPr/>
              <w:t> </w:t>
            </w:r>
          </w:p>
        </w:tc>
      </w:tr>
      <w:tr>
        <w:trPr/>
        <w:tc>
          <w:tcPr>
            <w:tcW w:w="36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Intercompany payables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6,494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503</w:t>
            </w:r>
          </w:p>
        </w:tc>
        <w:tc>
          <w:tcPr>
            <w:tcW w:w="75" w:type="dxa"/>
            <w:tcBorders/>
            <w:shd w:fill="auto" w:val="clear"/>
            <w:vAlign w:val="center"/>
          </w:tcPr>
          <w:p>
            <w:pPr>
              <w:pStyle w:val="TableContents"/>
              <w:spacing w:before="0" w:after="283"/>
              <w:rPr/>
            </w:pPr>
            <w:r>
              <w:rPr/>
              <w:t> </w:t>
            </w:r>
          </w:p>
        </w:tc>
      </w:tr>
      <w:tr>
        <w:trPr/>
        <w:tc>
          <w:tcPr>
            <w:tcW w:w="36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Trade payables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83</w:t>
            </w:r>
          </w:p>
        </w:tc>
        <w:tc>
          <w:tcPr>
            <w:tcW w:w="75" w:type="dxa"/>
            <w:tcBorders/>
            <w:shd w:fill="CCEEFF" w:val="clear"/>
            <w:vAlign w:val="center"/>
          </w:tcPr>
          <w:p>
            <w:pPr>
              <w:pStyle w:val="TableContents"/>
              <w:spacing w:before="0" w:after="283"/>
              <w:rPr/>
            </w:pPr>
            <w:r>
              <w:rPr/>
              <w:t> </w:t>
            </w:r>
          </w:p>
        </w:tc>
      </w:tr>
      <w:tr>
        <w:trPr/>
        <w:tc>
          <w:tcPr>
            <w:tcW w:w="36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liabilities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185</w:t>
            </w:r>
          </w:p>
        </w:tc>
        <w:tc>
          <w:tcPr>
            <w:tcW w:w="75" w:type="dxa"/>
            <w:tcBorders/>
            <w:shd w:fill="auto" w:val="clear"/>
            <w:vAlign w:val="center"/>
          </w:tcPr>
          <w:p>
            <w:pPr>
              <w:pStyle w:val="TableContents"/>
              <w:spacing w:before="0" w:after="283"/>
              <w:rPr/>
            </w:pPr>
            <w:r>
              <w:rPr/>
              <w:t> </w:t>
            </w:r>
          </w:p>
        </w:tc>
      </w:tr>
      <w:tr>
        <w:trPr/>
        <w:tc>
          <w:tcPr>
            <w:tcW w:w="36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statement of financial position exposure</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-6,494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36,359</w:t>
            </w:r>
          </w:p>
        </w:tc>
        <w:tc>
          <w:tcPr>
            <w:tcW w:w="75" w:type="dxa"/>
            <w:tcBorders/>
            <w:shd w:fill="CCEEFF" w:val="clear"/>
            <w:vAlign w:val="center"/>
          </w:tcPr>
          <w:p>
            <w:pPr>
              <w:pStyle w:val="TableContents"/>
              <w:spacing w:before="0" w:after="283"/>
              <w:rPr/>
            </w:pPr>
            <w:r>
              <w:rPr/>
              <w:t> </w:t>
            </w:r>
          </w:p>
        </w:tc>
      </w:tr>
    </w:tbl>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Sensitivity analysis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A potential appreciation (depreciation) of EUR, USD against other currencies as of December 31 would have influenced the measurement of financial instruments denominated in foreign currency and would have affected equity and profit or loss in the amounts presented below. The analysis assumes that all other influencing factors, above all the interest rates, remain constant. The effects of the forecast sales and purchase transactions are ignored. </w:t>
      </w:r>
    </w:p>
    <w:p>
      <w:pPr>
        <w:pStyle w:val="TextBody"/>
        <w:spacing w:before="0" w:after="0"/>
        <w:jc w:val="left"/>
        <w:rPr>
          <w:highlight w:val="white"/>
        </w:rPr>
      </w:pPr>
      <w:r>
        <w:rPr>
          <w:highlight w:val="white"/>
        </w:rPr>
        <w:t> </w:t>
      </w:r>
    </w:p>
    <w:tbl>
      <w:tblPr>
        <w:tblW w:w="9970" w:type="dxa"/>
        <w:jc w:val="left"/>
        <w:tblInd w:w="0" w:type="dxa"/>
        <w:tblCellMar>
          <w:top w:w="0" w:type="dxa"/>
          <w:left w:w="0" w:type="dxa"/>
          <w:bottom w:w="0" w:type="dxa"/>
          <w:right w:w="0" w:type="dxa"/>
        </w:tblCellMar>
      </w:tblPr>
      <w:tblGrid>
        <w:gridCol w:w="1070"/>
        <w:gridCol w:w="120"/>
        <w:gridCol w:w="149"/>
        <w:gridCol w:w="951"/>
        <w:gridCol w:w="134"/>
        <w:gridCol w:w="268"/>
        <w:gridCol w:w="150"/>
        <w:gridCol w:w="1145"/>
        <w:gridCol w:w="60"/>
        <w:gridCol w:w="120"/>
        <w:gridCol w:w="105"/>
        <w:gridCol w:w="995"/>
        <w:gridCol w:w="101"/>
        <w:gridCol w:w="203"/>
        <w:gridCol w:w="110"/>
        <w:gridCol w:w="1185"/>
        <w:gridCol w:w="60"/>
        <w:gridCol w:w="120"/>
        <w:gridCol w:w="134"/>
        <w:gridCol w:w="1018"/>
        <w:gridCol w:w="134"/>
        <w:gridCol w:w="268"/>
        <w:gridCol w:w="175"/>
        <w:gridCol w:w="1120"/>
        <w:gridCol w:w="75"/>
      </w:tblGrid>
      <w:tr>
        <w:trPr/>
        <w:tc>
          <w:tcPr>
            <w:tcW w:w="10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895" w:type="dxa"/>
            <w:gridSpan w:val="24"/>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Effects on Group profit/loss</w:t>
            </w:r>
          </w:p>
        </w:tc>
        <w:tc>
          <w:tcPr>
            <w:tcW w:w="75" w:type="dxa"/>
            <w:tcBorders/>
            <w:shd w:fill="CCEEFF" w:val="clear"/>
            <w:vAlign w:val="center"/>
          </w:tcPr>
          <w:p>
            <w:pPr>
              <w:pStyle w:val="TableContents"/>
              <w:spacing w:before="0" w:after="0"/>
              <w:rPr/>
            </w:pPr>
            <w:r>
              <w:rPr/>
              <w:t> </w:t>
            </w:r>
          </w:p>
        </w:tc>
      </w:tr>
      <w:tr>
        <w:trPr/>
        <w:tc>
          <w:tcPr>
            <w:tcW w:w="10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97" w:type="dxa"/>
            <w:gridSpan w:val="6"/>
            <w:tcBorders/>
            <w:shd w:fill="auto" w:val="clear"/>
            <w:vAlign w:val="center"/>
          </w:tcPr>
          <w:p>
            <w:pPr>
              <w:pStyle w:val="TableContents"/>
              <w:spacing w:before="0" w:after="283"/>
              <w:jc w:val="center"/>
              <w:rPr/>
            </w:pPr>
            <w:r>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99" w:type="dxa"/>
            <w:gridSpan w:val="6"/>
            <w:tcBorders/>
            <w:shd w:fill="auto" w:val="clear"/>
            <w:vAlign w:val="center"/>
          </w:tcPr>
          <w:p>
            <w:pPr>
              <w:pStyle w:val="TableContents"/>
              <w:spacing w:before="0" w:after="283"/>
              <w:jc w:val="center"/>
              <w:rPr/>
            </w:pPr>
            <w:r>
              <w:rP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849" w:type="dxa"/>
            <w:gridSpan w:val="6"/>
            <w:tcBorders/>
            <w:shd w:fill="auto" w:val="clear"/>
            <w:vAlign w:val="center"/>
          </w:tcPr>
          <w:p>
            <w:pPr>
              <w:pStyle w:val="TableContents"/>
              <w:spacing w:before="0" w:after="283"/>
              <w:jc w:val="center"/>
              <w:rPr/>
            </w:pPr>
            <w:r>
              <w:rPr/>
              <w:t>2020</w:t>
            </w:r>
          </w:p>
        </w:tc>
        <w:tc>
          <w:tcPr>
            <w:tcW w:w="75" w:type="dxa"/>
            <w:tcBorders/>
            <w:shd w:fill="auto" w:val="clear"/>
            <w:vAlign w:val="center"/>
          </w:tcPr>
          <w:p>
            <w:pPr>
              <w:pStyle w:val="TableContents"/>
              <w:spacing w:before="0" w:after="283"/>
              <w:rPr/>
            </w:pPr>
            <w:r>
              <w:rPr/>
              <w:t> </w:t>
            </w:r>
          </w:p>
        </w:tc>
      </w:tr>
      <w:tr>
        <w:trPr/>
        <w:tc>
          <w:tcPr>
            <w:tcW w:w="10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97" w:type="dxa"/>
            <w:gridSpan w:val="6"/>
            <w:tcBorders/>
            <w:shd w:fill="auto" w:val="clear"/>
            <w:vAlign w:val="center"/>
          </w:tcPr>
          <w:p>
            <w:pPr>
              <w:pStyle w:val="TableContents"/>
              <w:spacing w:before="0" w:after="283"/>
              <w:jc w:val="center"/>
              <w:rPr/>
            </w:pPr>
            <w:r>
              <w:rPr/>
              <w:t>Changes in exchange rates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99" w:type="dxa"/>
            <w:gridSpan w:val="6"/>
            <w:tcBorders/>
            <w:shd w:fill="auto" w:val="clear"/>
            <w:vAlign w:val="center"/>
          </w:tcPr>
          <w:p>
            <w:pPr>
              <w:pStyle w:val="TableContents"/>
              <w:spacing w:before="0" w:after="283"/>
              <w:jc w:val="center"/>
              <w:rPr/>
            </w:pPr>
            <w:r>
              <w:rPr/>
              <w:t>Changes in exchange rates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849" w:type="dxa"/>
            <w:gridSpan w:val="6"/>
            <w:tcBorders/>
            <w:shd w:fill="auto" w:val="clear"/>
            <w:vAlign w:val="center"/>
          </w:tcPr>
          <w:p>
            <w:pPr>
              <w:pStyle w:val="TableContents"/>
              <w:spacing w:before="0" w:after="283"/>
              <w:jc w:val="center"/>
              <w:rPr/>
            </w:pPr>
            <w:r>
              <w:rPr/>
              <w:t>Changes in exchange rates</w:t>
            </w:r>
          </w:p>
        </w:tc>
        <w:tc>
          <w:tcPr>
            <w:tcW w:w="75" w:type="dxa"/>
            <w:tcBorders/>
            <w:shd w:fill="auto" w:val="clear"/>
            <w:vAlign w:val="center"/>
          </w:tcPr>
          <w:p>
            <w:pPr>
              <w:pStyle w:val="TableContents"/>
              <w:spacing w:before="0" w:after="283"/>
              <w:rPr/>
            </w:pPr>
            <w:r>
              <w:rPr/>
              <w:t> </w:t>
            </w:r>
          </w:p>
        </w:tc>
      </w:tr>
      <w:tr>
        <w:trPr/>
        <w:tc>
          <w:tcPr>
            <w:tcW w:w="1070"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100" w:type="dxa"/>
            <w:gridSpan w:val="2"/>
            <w:tcBorders/>
            <w:shd w:fill="auto" w:val="clear"/>
            <w:vAlign w:val="center"/>
          </w:tcPr>
          <w:p>
            <w:pPr>
              <w:pStyle w:val="TableContents"/>
              <w:spacing w:before="0" w:after="283"/>
              <w:jc w:val="center"/>
              <w:rPr/>
            </w:pPr>
            <w:r>
              <w:rPr/>
              <w:t>Increase by</w:t>
              <w:br/>
              <w:t>5%</w:t>
            </w:r>
          </w:p>
        </w:tc>
        <w:tc>
          <w:tcPr>
            <w:tcW w:w="134" w:type="dxa"/>
            <w:tcBorders/>
            <w:shd w:fill="auto" w:val="clear"/>
            <w:vAlign w:val="center"/>
          </w:tcPr>
          <w:p>
            <w:pPr>
              <w:pStyle w:val="TableContents"/>
              <w:spacing w:before="0" w:after="283"/>
              <w:rPr/>
            </w:pPr>
            <w:r>
              <w:rPr/>
              <w:t> </w:t>
            </w:r>
          </w:p>
        </w:tc>
        <w:tc>
          <w:tcPr>
            <w:tcW w:w="268" w:type="dxa"/>
            <w:tcBorders/>
            <w:shd w:fill="auto" w:val="clear"/>
            <w:vAlign w:val="center"/>
          </w:tcPr>
          <w:p>
            <w:pPr>
              <w:pStyle w:val="TableContents"/>
              <w:spacing w:before="0" w:after="283"/>
              <w:rPr/>
            </w:pPr>
            <w:r>
              <w:rPr/>
              <w:t>  </w:t>
            </w:r>
          </w:p>
        </w:tc>
        <w:tc>
          <w:tcPr>
            <w:tcW w:w="1295" w:type="dxa"/>
            <w:gridSpan w:val="2"/>
            <w:tcBorders/>
            <w:shd w:fill="auto" w:val="clear"/>
            <w:vAlign w:val="center"/>
          </w:tcPr>
          <w:p>
            <w:pPr>
              <w:pStyle w:val="TableContents"/>
              <w:spacing w:before="0" w:after="283"/>
              <w:jc w:val="center"/>
              <w:rPr/>
            </w:pPr>
            <w:r>
              <w:rPr/>
              <w:t>Reduction by</w:t>
              <w:br/>
              <w:t>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0" w:type="dxa"/>
            <w:gridSpan w:val="2"/>
            <w:tcBorders/>
            <w:shd w:fill="auto" w:val="clear"/>
            <w:vAlign w:val="center"/>
          </w:tcPr>
          <w:p>
            <w:pPr>
              <w:pStyle w:val="TableContents"/>
              <w:spacing w:before="0" w:after="283"/>
              <w:jc w:val="center"/>
              <w:rPr/>
            </w:pPr>
            <w:r>
              <w:rPr/>
              <w:t>Increase by</w:t>
              <w:br/>
              <w:t>5%</w:t>
            </w:r>
          </w:p>
        </w:tc>
        <w:tc>
          <w:tcPr>
            <w:tcW w:w="101"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95" w:type="dxa"/>
            <w:gridSpan w:val="2"/>
            <w:tcBorders/>
            <w:shd w:fill="auto" w:val="clear"/>
            <w:vAlign w:val="center"/>
          </w:tcPr>
          <w:p>
            <w:pPr>
              <w:pStyle w:val="TableContents"/>
              <w:spacing w:before="0" w:after="283"/>
              <w:jc w:val="center"/>
              <w:rPr/>
            </w:pPr>
            <w:r>
              <w:rPr/>
              <w:t>Reduction by</w:t>
              <w:br/>
              <w:t>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52" w:type="dxa"/>
            <w:gridSpan w:val="2"/>
            <w:tcBorders/>
            <w:shd w:fill="auto" w:val="clear"/>
            <w:vAlign w:val="center"/>
          </w:tcPr>
          <w:p>
            <w:pPr>
              <w:pStyle w:val="TableContents"/>
              <w:spacing w:before="0" w:after="283"/>
              <w:jc w:val="center"/>
              <w:rPr/>
            </w:pPr>
            <w:r>
              <w:rPr/>
              <w:t>Increase by</w:t>
              <w:br/>
              <w:t>5%</w:t>
            </w:r>
          </w:p>
        </w:tc>
        <w:tc>
          <w:tcPr>
            <w:tcW w:w="134" w:type="dxa"/>
            <w:tcBorders/>
            <w:shd w:fill="auto" w:val="clear"/>
            <w:vAlign w:val="center"/>
          </w:tcPr>
          <w:p>
            <w:pPr>
              <w:pStyle w:val="TableContents"/>
              <w:spacing w:before="0" w:after="283"/>
              <w:rPr/>
            </w:pPr>
            <w:r>
              <w:rPr/>
              <w:t> </w:t>
            </w:r>
          </w:p>
        </w:tc>
        <w:tc>
          <w:tcPr>
            <w:tcW w:w="268" w:type="dxa"/>
            <w:tcBorders/>
            <w:shd w:fill="auto" w:val="clear"/>
            <w:vAlign w:val="center"/>
          </w:tcPr>
          <w:p>
            <w:pPr>
              <w:pStyle w:val="TableContents"/>
              <w:spacing w:before="0" w:after="283"/>
              <w:rPr/>
            </w:pPr>
            <w:r>
              <w:rPr/>
              <w:t>  </w:t>
            </w:r>
          </w:p>
        </w:tc>
        <w:tc>
          <w:tcPr>
            <w:tcW w:w="1295" w:type="dxa"/>
            <w:gridSpan w:val="2"/>
            <w:tcBorders/>
            <w:shd w:fill="auto" w:val="clear"/>
            <w:vAlign w:val="center"/>
          </w:tcPr>
          <w:p>
            <w:pPr>
              <w:pStyle w:val="TableContents"/>
              <w:spacing w:before="0" w:after="283"/>
              <w:jc w:val="center"/>
              <w:rPr/>
            </w:pPr>
            <w:r>
              <w:rPr/>
              <w:t>Reduction by</w:t>
              <w:br/>
              <w:t>5%</w:t>
            </w:r>
          </w:p>
        </w:tc>
        <w:tc>
          <w:tcPr>
            <w:tcW w:w="75" w:type="dxa"/>
            <w:tcBorders/>
            <w:shd w:fill="auto" w:val="clear"/>
            <w:vAlign w:val="center"/>
          </w:tcPr>
          <w:p>
            <w:pPr>
              <w:pStyle w:val="TableContents"/>
              <w:spacing w:before="0" w:after="283"/>
              <w:rPr/>
            </w:pPr>
            <w:r>
              <w:rPr/>
              <w:t> </w:t>
            </w:r>
          </w:p>
        </w:tc>
      </w:tr>
      <w:tr>
        <w:trPr/>
        <w:tc>
          <w:tcPr>
            <w:tcW w:w="10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EUR</w:t>
            </w:r>
          </w:p>
        </w:tc>
        <w:tc>
          <w:tcPr>
            <w:tcW w:w="12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951" w:type="dxa"/>
            <w:tcBorders/>
            <w:shd w:fill="CCEEFF" w:val="clear"/>
            <w:vAlign w:val="center"/>
          </w:tcPr>
          <w:p>
            <w:pPr>
              <w:pStyle w:val="TableContents"/>
              <w:spacing w:before="0" w:after="283"/>
              <w:jc w:val="right"/>
              <w:rPr/>
            </w:pPr>
            <w:r>
              <w:rPr/>
              <w:t>0</w:t>
            </w:r>
          </w:p>
        </w:tc>
        <w:tc>
          <w:tcPr>
            <w:tcW w:w="134" w:type="dxa"/>
            <w:tcBorders/>
            <w:shd w:fill="CCEEFF" w:val="clear"/>
            <w:vAlign w:val="center"/>
          </w:tcPr>
          <w:p>
            <w:pPr>
              <w:pStyle w:val="TableContents"/>
              <w:spacing w:before="0" w:after="283"/>
              <w:rPr/>
            </w:pPr>
            <w:r>
              <w:rPr/>
              <w:t> </w:t>
            </w:r>
          </w:p>
        </w:tc>
        <w:tc>
          <w:tcPr>
            <w:tcW w:w="268"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1145"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-328</w:t>
            </w:r>
          </w:p>
        </w:tc>
        <w:tc>
          <w:tcPr>
            <w:tcW w:w="101"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185" w:type="dxa"/>
            <w:tcBorders/>
            <w:shd w:fill="CCEEFF" w:val="clear"/>
            <w:vAlign w:val="center"/>
          </w:tcPr>
          <w:p>
            <w:pPr>
              <w:pStyle w:val="TableContents"/>
              <w:spacing w:before="0" w:after="283"/>
              <w:jc w:val="right"/>
              <w:rPr/>
            </w:pPr>
            <w:r>
              <w:rPr/>
              <w:t>328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018" w:type="dxa"/>
            <w:tcBorders/>
            <w:shd w:fill="CCEEFF" w:val="clear"/>
            <w:vAlign w:val="center"/>
          </w:tcPr>
          <w:p>
            <w:pPr>
              <w:pStyle w:val="TableContents"/>
              <w:spacing w:before="0" w:after="283"/>
              <w:jc w:val="right"/>
              <w:rPr/>
            </w:pPr>
            <w:r>
              <w:rPr/>
              <w:t>-262</w:t>
            </w:r>
          </w:p>
        </w:tc>
        <w:tc>
          <w:tcPr>
            <w:tcW w:w="134" w:type="dxa"/>
            <w:tcBorders/>
            <w:shd w:fill="CCEEFF" w:val="clear"/>
            <w:vAlign w:val="center"/>
          </w:tcPr>
          <w:p>
            <w:pPr>
              <w:pStyle w:val="TableContents"/>
              <w:spacing w:before="0" w:after="283"/>
              <w:rPr/>
            </w:pPr>
            <w:r>
              <w:rPr/>
              <w:t> </w:t>
            </w:r>
          </w:p>
        </w:tc>
        <w:tc>
          <w:tcPr>
            <w:tcW w:w="268"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1120" w:type="dxa"/>
            <w:tcBorders/>
            <w:shd w:fill="CCEEFF" w:val="clear"/>
            <w:vAlign w:val="center"/>
          </w:tcPr>
          <w:p>
            <w:pPr>
              <w:pStyle w:val="TableContents"/>
              <w:spacing w:before="0" w:after="283"/>
              <w:jc w:val="right"/>
              <w:rPr/>
            </w:pPr>
            <w:r>
              <w:rPr/>
              <w:t>262</w:t>
            </w:r>
          </w:p>
        </w:tc>
        <w:tc>
          <w:tcPr>
            <w:tcW w:w="75" w:type="dxa"/>
            <w:tcBorders/>
            <w:shd w:fill="CCEEFF" w:val="clear"/>
            <w:vAlign w:val="center"/>
          </w:tcPr>
          <w:p>
            <w:pPr>
              <w:pStyle w:val="TableContents"/>
              <w:spacing w:before="0" w:after="283"/>
              <w:rPr/>
            </w:pPr>
            <w:r>
              <w:rPr/>
              <w:t> </w:t>
            </w:r>
          </w:p>
        </w:tc>
      </w:tr>
      <w:tr>
        <w:trPr/>
        <w:tc>
          <w:tcPr>
            <w:tcW w:w="10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USD</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951" w:type="dxa"/>
            <w:tcBorders/>
            <w:shd w:fill="auto" w:val="clear"/>
            <w:vAlign w:val="center"/>
          </w:tcPr>
          <w:p>
            <w:pPr>
              <w:pStyle w:val="TableContents"/>
              <w:spacing w:before="0" w:after="283"/>
              <w:jc w:val="right"/>
              <w:rPr/>
            </w:pPr>
            <w:r>
              <w:rPr/>
              <w:t>740</w:t>
            </w:r>
          </w:p>
        </w:tc>
        <w:tc>
          <w:tcPr>
            <w:tcW w:w="134" w:type="dxa"/>
            <w:tcBorders/>
            <w:shd w:fill="auto" w:val="clear"/>
            <w:vAlign w:val="center"/>
          </w:tcPr>
          <w:p>
            <w:pPr>
              <w:pStyle w:val="TableContents"/>
              <w:spacing w:before="0" w:after="283"/>
              <w:rPr/>
            </w:pPr>
            <w:r>
              <w:rPr/>
              <w:t> </w:t>
            </w:r>
          </w:p>
        </w:tc>
        <w:tc>
          <w:tcPr>
            <w:tcW w:w="268"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right"/>
              <w:rPr/>
            </w:pPr>
            <w:r>
              <w:rPr/>
              <w:t>-740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1,818</w:t>
            </w:r>
          </w:p>
        </w:tc>
        <w:tc>
          <w:tcPr>
            <w:tcW w:w="101"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185" w:type="dxa"/>
            <w:tcBorders/>
            <w:shd w:fill="auto" w:val="clear"/>
            <w:vAlign w:val="center"/>
          </w:tcPr>
          <w:p>
            <w:pPr>
              <w:pStyle w:val="TableContents"/>
              <w:spacing w:before="0" w:after="283"/>
              <w:jc w:val="right"/>
              <w:rPr/>
            </w:pPr>
            <w:r>
              <w:rPr/>
              <w:t>-1,818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018" w:type="dxa"/>
            <w:tcBorders/>
            <w:shd w:fill="auto" w:val="clear"/>
            <w:vAlign w:val="center"/>
          </w:tcPr>
          <w:p>
            <w:pPr>
              <w:pStyle w:val="TableContents"/>
              <w:spacing w:before="0" w:after="283"/>
              <w:jc w:val="right"/>
              <w:rPr/>
            </w:pPr>
            <w:r>
              <w:rPr/>
              <w:t>35</w:t>
            </w:r>
          </w:p>
        </w:tc>
        <w:tc>
          <w:tcPr>
            <w:tcW w:w="134" w:type="dxa"/>
            <w:tcBorders/>
            <w:shd w:fill="auto" w:val="clear"/>
            <w:vAlign w:val="center"/>
          </w:tcPr>
          <w:p>
            <w:pPr>
              <w:pStyle w:val="TableContents"/>
              <w:spacing w:before="0" w:after="283"/>
              <w:rPr/>
            </w:pPr>
            <w:r>
              <w:rPr/>
              <w:t> </w:t>
            </w:r>
          </w:p>
        </w:tc>
        <w:tc>
          <w:tcPr>
            <w:tcW w:w="268"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1120" w:type="dxa"/>
            <w:tcBorders/>
            <w:shd w:fill="auto" w:val="clear"/>
            <w:vAlign w:val="center"/>
          </w:tcPr>
          <w:p>
            <w:pPr>
              <w:pStyle w:val="TableContents"/>
              <w:spacing w:before="0" w:after="283"/>
              <w:jc w:val="right"/>
              <w:rPr/>
            </w:pPr>
            <w:r>
              <w:rPr/>
              <w:t>-35</w:t>
            </w:r>
          </w:p>
        </w:tc>
        <w:tc>
          <w:tcPr>
            <w:tcW w:w="75" w:type="dxa"/>
            <w:tcBorders/>
            <w:shd w:fill="auto" w:val="clear"/>
            <w:vAlign w:val="center"/>
          </w:tcPr>
          <w:p>
            <w:pPr>
              <w:pStyle w:val="TableContents"/>
              <w:spacing w:before="0" w:after="283"/>
              <w:rPr/>
            </w:pPr>
            <w:r>
              <w:rPr/>
              <w:t> </w:t>
            </w:r>
          </w:p>
        </w:tc>
      </w:tr>
      <w:tr>
        <w:trPr/>
        <w:tc>
          <w:tcPr>
            <w:tcW w:w="10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951" w:type="dxa"/>
            <w:tcBorders/>
            <w:shd w:fill="CCEEFF" w:val="clear"/>
            <w:vAlign w:val="center"/>
          </w:tcPr>
          <w:p>
            <w:pPr>
              <w:pStyle w:val="TableContents"/>
              <w:spacing w:before="0" w:after="283"/>
              <w:jc w:val="right"/>
              <w:rPr/>
            </w:pPr>
            <w:r>
              <w:rPr/>
              <w:t>740</w:t>
            </w:r>
          </w:p>
        </w:tc>
        <w:tc>
          <w:tcPr>
            <w:tcW w:w="134" w:type="dxa"/>
            <w:tcBorders/>
            <w:shd w:fill="CCEEFF" w:val="clear"/>
            <w:vAlign w:val="center"/>
          </w:tcPr>
          <w:p>
            <w:pPr>
              <w:pStyle w:val="TableContents"/>
              <w:spacing w:before="0" w:after="283"/>
              <w:rPr/>
            </w:pPr>
            <w:r>
              <w:rPr/>
              <w:t> </w:t>
            </w:r>
          </w:p>
        </w:tc>
        <w:tc>
          <w:tcPr>
            <w:tcW w:w="268"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1145" w:type="dxa"/>
            <w:tcBorders/>
            <w:shd w:fill="CCEEFF" w:val="clear"/>
            <w:vAlign w:val="center"/>
          </w:tcPr>
          <w:p>
            <w:pPr>
              <w:pStyle w:val="TableContents"/>
              <w:spacing w:before="0" w:after="283"/>
              <w:jc w:val="right"/>
              <w:rPr/>
            </w:pPr>
            <w:r>
              <w:rPr/>
              <w:t>-740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1,490</w:t>
            </w:r>
          </w:p>
        </w:tc>
        <w:tc>
          <w:tcPr>
            <w:tcW w:w="101"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185" w:type="dxa"/>
            <w:tcBorders/>
            <w:shd w:fill="CCEEFF" w:val="clear"/>
            <w:vAlign w:val="center"/>
          </w:tcPr>
          <w:p>
            <w:pPr>
              <w:pStyle w:val="TableContents"/>
              <w:spacing w:before="0" w:after="283"/>
              <w:jc w:val="right"/>
              <w:rPr/>
            </w:pPr>
            <w:r>
              <w:rPr/>
              <w:t>-1,490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018" w:type="dxa"/>
            <w:tcBorders/>
            <w:shd w:fill="CCEEFF" w:val="clear"/>
            <w:vAlign w:val="center"/>
          </w:tcPr>
          <w:p>
            <w:pPr>
              <w:pStyle w:val="TableContents"/>
              <w:spacing w:before="0" w:after="283"/>
              <w:jc w:val="right"/>
              <w:rPr/>
            </w:pPr>
            <w:r>
              <w:rPr/>
              <w:t>-227</w:t>
            </w:r>
          </w:p>
        </w:tc>
        <w:tc>
          <w:tcPr>
            <w:tcW w:w="134" w:type="dxa"/>
            <w:tcBorders/>
            <w:shd w:fill="CCEEFF" w:val="clear"/>
            <w:vAlign w:val="center"/>
          </w:tcPr>
          <w:p>
            <w:pPr>
              <w:pStyle w:val="TableContents"/>
              <w:spacing w:before="0" w:after="283"/>
              <w:rPr/>
            </w:pPr>
            <w:r>
              <w:rPr/>
              <w:t> </w:t>
            </w:r>
          </w:p>
        </w:tc>
        <w:tc>
          <w:tcPr>
            <w:tcW w:w="268"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1120" w:type="dxa"/>
            <w:tcBorders/>
            <w:shd w:fill="CCEEFF" w:val="clear"/>
            <w:vAlign w:val="center"/>
          </w:tcPr>
          <w:p>
            <w:pPr>
              <w:pStyle w:val="TableContents"/>
              <w:spacing w:before="0" w:after="283"/>
              <w:jc w:val="right"/>
              <w:rPr/>
            </w:pPr>
            <w:r>
              <w:rPr/>
              <w:t>227</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9970" w:type="dxa"/>
        <w:jc w:val="left"/>
        <w:tblInd w:w="0" w:type="dxa"/>
        <w:tblCellMar>
          <w:top w:w="0" w:type="dxa"/>
          <w:left w:w="0" w:type="dxa"/>
          <w:bottom w:w="0" w:type="dxa"/>
          <w:right w:w="0" w:type="dxa"/>
        </w:tblCellMar>
      </w:tblPr>
      <w:tblGrid>
        <w:gridCol w:w="1070"/>
        <w:gridCol w:w="120"/>
        <w:gridCol w:w="149"/>
        <w:gridCol w:w="951"/>
        <w:gridCol w:w="134"/>
        <w:gridCol w:w="268"/>
        <w:gridCol w:w="150"/>
        <w:gridCol w:w="1145"/>
        <w:gridCol w:w="60"/>
        <w:gridCol w:w="120"/>
        <w:gridCol w:w="105"/>
        <w:gridCol w:w="995"/>
        <w:gridCol w:w="101"/>
        <w:gridCol w:w="203"/>
        <w:gridCol w:w="110"/>
        <w:gridCol w:w="1185"/>
        <w:gridCol w:w="60"/>
        <w:gridCol w:w="120"/>
        <w:gridCol w:w="134"/>
        <w:gridCol w:w="1018"/>
        <w:gridCol w:w="134"/>
        <w:gridCol w:w="268"/>
        <w:gridCol w:w="175"/>
        <w:gridCol w:w="1120"/>
        <w:gridCol w:w="75"/>
      </w:tblGrid>
      <w:tr>
        <w:trPr/>
        <w:tc>
          <w:tcPr>
            <w:tcW w:w="10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895" w:type="dxa"/>
            <w:gridSpan w:val="24"/>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Effects on Group equity</w:t>
            </w:r>
          </w:p>
        </w:tc>
        <w:tc>
          <w:tcPr>
            <w:tcW w:w="75" w:type="dxa"/>
            <w:tcBorders/>
            <w:shd w:fill="CCEEFF" w:val="clear"/>
            <w:vAlign w:val="center"/>
          </w:tcPr>
          <w:p>
            <w:pPr>
              <w:pStyle w:val="TableContents"/>
              <w:spacing w:before="0" w:after="0"/>
              <w:rPr/>
            </w:pPr>
            <w:r>
              <w:rPr/>
              <w:t> </w:t>
            </w:r>
          </w:p>
        </w:tc>
      </w:tr>
      <w:tr>
        <w:trPr/>
        <w:tc>
          <w:tcPr>
            <w:tcW w:w="10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97" w:type="dxa"/>
            <w:gridSpan w:val="6"/>
            <w:tcBorders/>
            <w:shd w:fill="auto" w:val="clear"/>
            <w:vAlign w:val="center"/>
          </w:tcPr>
          <w:p>
            <w:pPr>
              <w:pStyle w:val="TableContents"/>
              <w:spacing w:before="0" w:after="283"/>
              <w:jc w:val="center"/>
              <w:rPr/>
            </w:pPr>
            <w:r>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99" w:type="dxa"/>
            <w:gridSpan w:val="6"/>
            <w:tcBorders/>
            <w:shd w:fill="auto" w:val="clear"/>
            <w:vAlign w:val="center"/>
          </w:tcPr>
          <w:p>
            <w:pPr>
              <w:pStyle w:val="TableContents"/>
              <w:spacing w:before="0" w:after="283"/>
              <w:jc w:val="center"/>
              <w:rPr/>
            </w:pPr>
            <w:r>
              <w:rP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849" w:type="dxa"/>
            <w:gridSpan w:val="6"/>
            <w:tcBorders/>
            <w:shd w:fill="auto" w:val="clear"/>
            <w:vAlign w:val="center"/>
          </w:tcPr>
          <w:p>
            <w:pPr>
              <w:pStyle w:val="TableContents"/>
              <w:spacing w:before="0" w:after="283"/>
              <w:jc w:val="center"/>
              <w:rPr/>
            </w:pPr>
            <w:r>
              <w:rPr/>
              <w:t>2020</w:t>
            </w:r>
          </w:p>
        </w:tc>
        <w:tc>
          <w:tcPr>
            <w:tcW w:w="75" w:type="dxa"/>
            <w:tcBorders/>
            <w:shd w:fill="auto" w:val="clear"/>
            <w:vAlign w:val="center"/>
          </w:tcPr>
          <w:p>
            <w:pPr>
              <w:pStyle w:val="TableContents"/>
              <w:spacing w:before="0" w:after="283"/>
              <w:rPr/>
            </w:pPr>
            <w:r>
              <w:rPr/>
              <w:t> </w:t>
            </w:r>
          </w:p>
        </w:tc>
      </w:tr>
      <w:tr>
        <w:trPr/>
        <w:tc>
          <w:tcPr>
            <w:tcW w:w="10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97" w:type="dxa"/>
            <w:gridSpan w:val="6"/>
            <w:tcBorders/>
            <w:shd w:fill="auto" w:val="clear"/>
            <w:vAlign w:val="center"/>
          </w:tcPr>
          <w:p>
            <w:pPr>
              <w:pStyle w:val="TableContents"/>
              <w:spacing w:before="0" w:after="283"/>
              <w:jc w:val="center"/>
              <w:rPr/>
            </w:pPr>
            <w:r>
              <w:rPr/>
              <w:t>Changes in exchange rates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99" w:type="dxa"/>
            <w:gridSpan w:val="6"/>
            <w:tcBorders/>
            <w:shd w:fill="auto" w:val="clear"/>
            <w:vAlign w:val="center"/>
          </w:tcPr>
          <w:p>
            <w:pPr>
              <w:pStyle w:val="TableContents"/>
              <w:spacing w:before="0" w:after="283"/>
              <w:jc w:val="center"/>
              <w:rPr/>
            </w:pPr>
            <w:r>
              <w:rPr/>
              <w:t>Changes in exchange rates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849" w:type="dxa"/>
            <w:gridSpan w:val="6"/>
            <w:tcBorders/>
            <w:shd w:fill="auto" w:val="clear"/>
            <w:vAlign w:val="center"/>
          </w:tcPr>
          <w:p>
            <w:pPr>
              <w:pStyle w:val="TableContents"/>
              <w:spacing w:before="0" w:after="283"/>
              <w:jc w:val="center"/>
              <w:rPr/>
            </w:pPr>
            <w:r>
              <w:rPr/>
              <w:t>Changes in exchange rates</w:t>
            </w:r>
          </w:p>
        </w:tc>
        <w:tc>
          <w:tcPr>
            <w:tcW w:w="75" w:type="dxa"/>
            <w:tcBorders/>
            <w:shd w:fill="auto" w:val="clear"/>
            <w:vAlign w:val="center"/>
          </w:tcPr>
          <w:p>
            <w:pPr>
              <w:pStyle w:val="TableContents"/>
              <w:spacing w:before="0" w:after="283"/>
              <w:rPr/>
            </w:pPr>
            <w:r>
              <w:rPr/>
              <w:t> </w:t>
            </w:r>
          </w:p>
        </w:tc>
      </w:tr>
      <w:tr>
        <w:trPr/>
        <w:tc>
          <w:tcPr>
            <w:tcW w:w="1070"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100" w:type="dxa"/>
            <w:gridSpan w:val="2"/>
            <w:tcBorders/>
            <w:shd w:fill="auto" w:val="clear"/>
            <w:vAlign w:val="center"/>
          </w:tcPr>
          <w:p>
            <w:pPr>
              <w:pStyle w:val="TableContents"/>
              <w:spacing w:before="0" w:after="283"/>
              <w:jc w:val="center"/>
              <w:rPr/>
            </w:pPr>
            <w:r>
              <w:rPr/>
              <w:t>Increase by</w:t>
              <w:br/>
              <w:t>5%</w:t>
            </w:r>
          </w:p>
        </w:tc>
        <w:tc>
          <w:tcPr>
            <w:tcW w:w="134" w:type="dxa"/>
            <w:tcBorders/>
            <w:shd w:fill="auto" w:val="clear"/>
            <w:vAlign w:val="center"/>
          </w:tcPr>
          <w:p>
            <w:pPr>
              <w:pStyle w:val="TableContents"/>
              <w:spacing w:before="0" w:after="283"/>
              <w:rPr/>
            </w:pPr>
            <w:r>
              <w:rPr/>
              <w:t> </w:t>
            </w:r>
          </w:p>
        </w:tc>
        <w:tc>
          <w:tcPr>
            <w:tcW w:w="268" w:type="dxa"/>
            <w:tcBorders/>
            <w:shd w:fill="auto" w:val="clear"/>
            <w:vAlign w:val="center"/>
          </w:tcPr>
          <w:p>
            <w:pPr>
              <w:pStyle w:val="TableContents"/>
              <w:spacing w:before="0" w:after="283"/>
              <w:rPr/>
            </w:pPr>
            <w:r>
              <w:rPr/>
              <w:t>  </w:t>
            </w:r>
          </w:p>
        </w:tc>
        <w:tc>
          <w:tcPr>
            <w:tcW w:w="1295" w:type="dxa"/>
            <w:gridSpan w:val="2"/>
            <w:tcBorders/>
            <w:shd w:fill="auto" w:val="clear"/>
            <w:vAlign w:val="center"/>
          </w:tcPr>
          <w:p>
            <w:pPr>
              <w:pStyle w:val="TableContents"/>
              <w:spacing w:before="0" w:after="283"/>
              <w:jc w:val="center"/>
              <w:rPr/>
            </w:pPr>
            <w:r>
              <w:rPr/>
              <w:t>Reduction by</w:t>
              <w:br/>
              <w:t>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0" w:type="dxa"/>
            <w:gridSpan w:val="2"/>
            <w:tcBorders/>
            <w:shd w:fill="auto" w:val="clear"/>
            <w:vAlign w:val="center"/>
          </w:tcPr>
          <w:p>
            <w:pPr>
              <w:pStyle w:val="TableContents"/>
              <w:spacing w:before="0" w:after="283"/>
              <w:jc w:val="center"/>
              <w:rPr/>
            </w:pPr>
            <w:r>
              <w:rPr/>
              <w:t>Increase by</w:t>
              <w:br/>
              <w:t>5%</w:t>
            </w:r>
          </w:p>
        </w:tc>
        <w:tc>
          <w:tcPr>
            <w:tcW w:w="101"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95" w:type="dxa"/>
            <w:gridSpan w:val="2"/>
            <w:tcBorders/>
            <w:shd w:fill="auto" w:val="clear"/>
            <w:vAlign w:val="center"/>
          </w:tcPr>
          <w:p>
            <w:pPr>
              <w:pStyle w:val="TableContents"/>
              <w:spacing w:before="0" w:after="283"/>
              <w:jc w:val="center"/>
              <w:rPr/>
            </w:pPr>
            <w:r>
              <w:rPr/>
              <w:t>Reduction by</w:t>
              <w:br/>
              <w:t>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52" w:type="dxa"/>
            <w:gridSpan w:val="2"/>
            <w:tcBorders/>
            <w:shd w:fill="auto" w:val="clear"/>
            <w:vAlign w:val="center"/>
          </w:tcPr>
          <w:p>
            <w:pPr>
              <w:pStyle w:val="TableContents"/>
              <w:spacing w:before="0" w:after="283"/>
              <w:jc w:val="center"/>
              <w:rPr/>
            </w:pPr>
            <w:r>
              <w:rPr/>
              <w:t>Increase by</w:t>
              <w:br/>
              <w:t>5%</w:t>
            </w:r>
          </w:p>
        </w:tc>
        <w:tc>
          <w:tcPr>
            <w:tcW w:w="134" w:type="dxa"/>
            <w:tcBorders/>
            <w:shd w:fill="auto" w:val="clear"/>
            <w:vAlign w:val="center"/>
          </w:tcPr>
          <w:p>
            <w:pPr>
              <w:pStyle w:val="TableContents"/>
              <w:spacing w:before="0" w:after="283"/>
              <w:rPr/>
            </w:pPr>
            <w:r>
              <w:rPr/>
              <w:t> </w:t>
            </w:r>
          </w:p>
        </w:tc>
        <w:tc>
          <w:tcPr>
            <w:tcW w:w="268" w:type="dxa"/>
            <w:tcBorders/>
            <w:shd w:fill="auto" w:val="clear"/>
            <w:vAlign w:val="center"/>
          </w:tcPr>
          <w:p>
            <w:pPr>
              <w:pStyle w:val="TableContents"/>
              <w:spacing w:before="0" w:after="283"/>
              <w:rPr/>
            </w:pPr>
            <w:r>
              <w:rPr/>
              <w:t>  </w:t>
            </w:r>
          </w:p>
        </w:tc>
        <w:tc>
          <w:tcPr>
            <w:tcW w:w="1295" w:type="dxa"/>
            <w:gridSpan w:val="2"/>
            <w:tcBorders/>
            <w:shd w:fill="auto" w:val="clear"/>
            <w:vAlign w:val="center"/>
          </w:tcPr>
          <w:p>
            <w:pPr>
              <w:pStyle w:val="TableContents"/>
              <w:spacing w:before="0" w:after="283"/>
              <w:jc w:val="center"/>
              <w:rPr/>
            </w:pPr>
            <w:r>
              <w:rPr/>
              <w:t>Reduction by</w:t>
              <w:br/>
              <w:t>5%</w:t>
            </w:r>
          </w:p>
        </w:tc>
        <w:tc>
          <w:tcPr>
            <w:tcW w:w="75" w:type="dxa"/>
            <w:tcBorders/>
            <w:shd w:fill="auto" w:val="clear"/>
            <w:vAlign w:val="center"/>
          </w:tcPr>
          <w:p>
            <w:pPr>
              <w:pStyle w:val="TableContents"/>
              <w:spacing w:before="0" w:after="283"/>
              <w:rPr/>
            </w:pPr>
            <w:r>
              <w:rPr/>
              <w:t> </w:t>
            </w:r>
          </w:p>
        </w:tc>
      </w:tr>
      <w:tr>
        <w:trPr/>
        <w:tc>
          <w:tcPr>
            <w:tcW w:w="10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EUR</w:t>
            </w:r>
          </w:p>
        </w:tc>
        <w:tc>
          <w:tcPr>
            <w:tcW w:w="12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951" w:type="dxa"/>
            <w:tcBorders/>
            <w:shd w:fill="CCEEFF" w:val="clear"/>
            <w:vAlign w:val="center"/>
          </w:tcPr>
          <w:p>
            <w:pPr>
              <w:pStyle w:val="TableContents"/>
              <w:spacing w:before="0" w:after="283"/>
              <w:jc w:val="right"/>
              <w:rPr/>
            </w:pPr>
            <w:r>
              <w:rPr/>
              <w:t>0</w:t>
            </w:r>
          </w:p>
        </w:tc>
        <w:tc>
          <w:tcPr>
            <w:tcW w:w="134" w:type="dxa"/>
            <w:tcBorders/>
            <w:shd w:fill="CCEEFF" w:val="clear"/>
            <w:vAlign w:val="center"/>
          </w:tcPr>
          <w:p>
            <w:pPr>
              <w:pStyle w:val="TableContents"/>
              <w:spacing w:before="0" w:after="283"/>
              <w:rPr/>
            </w:pPr>
            <w:r>
              <w:rPr/>
              <w:t> </w:t>
            </w:r>
          </w:p>
        </w:tc>
        <w:tc>
          <w:tcPr>
            <w:tcW w:w="268"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1145"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-325</w:t>
            </w:r>
          </w:p>
        </w:tc>
        <w:tc>
          <w:tcPr>
            <w:tcW w:w="101"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185" w:type="dxa"/>
            <w:tcBorders/>
            <w:shd w:fill="CCEEFF" w:val="clear"/>
            <w:vAlign w:val="center"/>
          </w:tcPr>
          <w:p>
            <w:pPr>
              <w:pStyle w:val="TableContents"/>
              <w:spacing w:before="0" w:after="283"/>
              <w:jc w:val="right"/>
              <w:rPr/>
            </w:pPr>
            <w:r>
              <w:rPr/>
              <w:t>325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018" w:type="dxa"/>
            <w:tcBorders/>
            <w:shd w:fill="CCEEFF" w:val="clear"/>
            <w:vAlign w:val="center"/>
          </w:tcPr>
          <w:p>
            <w:pPr>
              <w:pStyle w:val="TableContents"/>
              <w:spacing w:before="0" w:after="283"/>
              <w:jc w:val="right"/>
              <w:rPr/>
            </w:pPr>
            <w:r>
              <w:rPr/>
              <w:t>-233</w:t>
            </w:r>
          </w:p>
        </w:tc>
        <w:tc>
          <w:tcPr>
            <w:tcW w:w="134" w:type="dxa"/>
            <w:tcBorders/>
            <w:shd w:fill="CCEEFF" w:val="clear"/>
            <w:vAlign w:val="center"/>
          </w:tcPr>
          <w:p>
            <w:pPr>
              <w:pStyle w:val="TableContents"/>
              <w:spacing w:before="0" w:after="283"/>
              <w:rPr/>
            </w:pPr>
            <w:r>
              <w:rPr/>
              <w:t> </w:t>
            </w:r>
          </w:p>
        </w:tc>
        <w:tc>
          <w:tcPr>
            <w:tcW w:w="268"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1120" w:type="dxa"/>
            <w:tcBorders/>
            <w:shd w:fill="CCEEFF" w:val="clear"/>
            <w:vAlign w:val="center"/>
          </w:tcPr>
          <w:p>
            <w:pPr>
              <w:pStyle w:val="TableContents"/>
              <w:spacing w:before="0" w:after="283"/>
              <w:jc w:val="right"/>
              <w:rPr/>
            </w:pPr>
            <w:r>
              <w:rPr/>
              <w:t>233</w:t>
            </w:r>
          </w:p>
        </w:tc>
        <w:tc>
          <w:tcPr>
            <w:tcW w:w="75" w:type="dxa"/>
            <w:tcBorders/>
            <w:shd w:fill="CCEEFF" w:val="clear"/>
            <w:vAlign w:val="center"/>
          </w:tcPr>
          <w:p>
            <w:pPr>
              <w:pStyle w:val="TableContents"/>
              <w:spacing w:before="0" w:after="283"/>
              <w:rPr/>
            </w:pPr>
            <w:r>
              <w:rPr/>
              <w:t> </w:t>
            </w:r>
          </w:p>
        </w:tc>
      </w:tr>
      <w:tr>
        <w:trPr/>
        <w:tc>
          <w:tcPr>
            <w:tcW w:w="10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USD</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951" w:type="dxa"/>
            <w:tcBorders/>
            <w:shd w:fill="auto" w:val="clear"/>
            <w:vAlign w:val="center"/>
          </w:tcPr>
          <w:p>
            <w:pPr>
              <w:pStyle w:val="TableContents"/>
              <w:spacing w:before="0" w:after="283"/>
              <w:jc w:val="right"/>
              <w:rPr/>
            </w:pPr>
            <w:r>
              <w:rPr/>
              <w:t>740</w:t>
            </w:r>
          </w:p>
        </w:tc>
        <w:tc>
          <w:tcPr>
            <w:tcW w:w="134" w:type="dxa"/>
            <w:tcBorders/>
            <w:shd w:fill="auto" w:val="clear"/>
            <w:vAlign w:val="center"/>
          </w:tcPr>
          <w:p>
            <w:pPr>
              <w:pStyle w:val="TableContents"/>
              <w:spacing w:before="0" w:after="283"/>
              <w:rPr/>
            </w:pPr>
            <w:r>
              <w:rPr/>
              <w:t> </w:t>
            </w:r>
          </w:p>
        </w:tc>
        <w:tc>
          <w:tcPr>
            <w:tcW w:w="268"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right"/>
              <w:rPr/>
            </w:pPr>
            <w:r>
              <w:rPr/>
              <w:t>-740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1,818</w:t>
            </w:r>
          </w:p>
        </w:tc>
        <w:tc>
          <w:tcPr>
            <w:tcW w:w="101"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185" w:type="dxa"/>
            <w:tcBorders/>
            <w:shd w:fill="auto" w:val="clear"/>
            <w:vAlign w:val="center"/>
          </w:tcPr>
          <w:p>
            <w:pPr>
              <w:pStyle w:val="TableContents"/>
              <w:spacing w:before="0" w:after="283"/>
              <w:jc w:val="right"/>
              <w:rPr/>
            </w:pPr>
            <w:r>
              <w:rPr/>
              <w:t>-1,818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018" w:type="dxa"/>
            <w:tcBorders/>
            <w:shd w:fill="auto" w:val="clear"/>
            <w:vAlign w:val="center"/>
          </w:tcPr>
          <w:p>
            <w:pPr>
              <w:pStyle w:val="TableContents"/>
              <w:spacing w:before="0" w:after="283"/>
              <w:jc w:val="right"/>
              <w:rPr/>
            </w:pPr>
            <w:r>
              <w:rPr/>
              <w:t>35</w:t>
            </w:r>
          </w:p>
        </w:tc>
        <w:tc>
          <w:tcPr>
            <w:tcW w:w="134" w:type="dxa"/>
            <w:tcBorders/>
            <w:shd w:fill="auto" w:val="clear"/>
            <w:vAlign w:val="center"/>
          </w:tcPr>
          <w:p>
            <w:pPr>
              <w:pStyle w:val="TableContents"/>
              <w:spacing w:before="0" w:after="283"/>
              <w:rPr/>
            </w:pPr>
            <w:r>
              <w:rPr/>
              <w:t> </w:t>
            </w:r>
          </w:p>
        </w:tc>
        <w:tc>
          <w:tcPr>
            <w:tcW w:w="268"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1120" w:type="dxa"/>
            <w:tcBorders/>
            <w:shd w:fill="auto" w:val="clear"/>
            <w:vAlign w:val="center"/>
          </w:tcPr>
          <w:p>
            <w:pPr>
              <w:pStyle w:val="TableContents"/>
              <w:spacing w:before="0" w:after="283"/>
              <w:jc w:val="right"/>
              <w:rPr/>
            </w:pPr>
            <w:r>
              <w:rPr/>
              <w:t>-35</w:t>
            </w:r>
          </w:p>
        </w:tc>
        <w:tc>
          <w:tcPr>
            <w:tcW w:w="75" w:type="dxa"/>
            <w:tcBorders/>
            <w:shd w:fill="auto" w:val="clear"/>
            <w:vAlign w:val="center"/>
          </w:tcPr>
          <w:p>
            <w:pPr>
              <w:pStyle w:val="TableContents"/>
              <w:spacing w:before="0" w:after="283"/>
              <w:rPr/>
            </w:pPr>
            <w:r>
              <w:rPr/>
              <w:t> </w:t>
            </w:r>
          </w:p>
        </w:tc>
      </w:tr>
      <w:tr>
        <w:trPr/>
        <w:tc>
          <w:tcPr>
            <w:tcW w:w="10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951" w:type="dxa"/>
            <w:tcBorders/>
            <w:shd w:fill="CCEEFF" w:val="clear"/>
            <w:vAlign w:val="center"/>
          </w:tcPr>
          <w:p>
            <w:pPr>
              <w:pStyle w:val="TableContents"/>
              <w:spacing w:before="0" w:after="283"/>
              <w:jc w:val="right"/>
              <w:rPr/>
            </w:pPr>
            <w:r>
              <w:rPr/>
              <w:t>740</w:t>
            </w:r>
          </w:p>
        </w:tc>
        <w:tc>
          <w:tcPr>
            <w:tcW w:w="134" w:type="dxa"/>
            <w:tcBorders/>
            <w:shd w:fill="CCEEFF" w:val="clear"/>
            <w:vAlign w:val="center"/>
          </w:tcPr>
          <w:p>
            <w:pPr>
              <w:pStyle w:val="TableContents"/>
              <w:spacing w:before="0" w:after="283"/>
              <w:rPr/>
            </w:pPr>
            <w:r>
              <w:rPr/>
              <w:t> </w:t>
            </w:r>
          </w:p>
        </w:tc>
        <w:tc>
          <w:tcPr>
            <w:tcW w:w="268"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1145" w:type="dxa"/>
            <w:tcBorders/>
            <w:shd w:fill="CCEEFF" w:val="clear"/>
            <w:vAlign w:val="center"/>
          </w:tcPr>
          <w:p>
            <w:pPr>
              <w:pStyle w:val="TableContents"/>
              <w:spacing w:before="0" w:after="283"/>
              <w:jc w:val="right"/>
              <w:rPr/>
            </w:pPr>
            <w:r>
              <w:rPr/>
              <w:t>-740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1,493</w:t>
            </w:r>
          </w:p>
        </w:tc>
        <w:tc>
          <w:tcPr>
            <w:tcW w:w="101"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185" w:type="dxa"/>
            <w:tcBorders/>
            <w:shd w:fill="CCEEFF" w:val="clear"/>
            <w:vAlign w:val="center"/>
          </w:tcPr>
          <w:p>
            <w:pPr>
              <w:pStyle w:val="TableContents"/>
              <w:spacing w:before="0" w:after="283"/>
              <w:jc w:val="right"/>
              <w:rPr/>
            </w:pPr>
            <w:r>
              <w:rPr/>
              <w:t>-1,493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018" w:type="dxa"/>
            <w:tcBorders/>
            <w:shd w:fill="CCEEFF" w:val="clear"/>
            <w:vAlign w:val="center"/>
          </w:tcPr>
          <w:p>
            <w:pPr>
              <w:pStyle w:val="TableContents"/>
              <w:spacing w:before="0" w:after="283"/>
              <w:jc w:val="right"/>
              <w:rPr/>
            </w:pPr>
            <w:r>
              <w:rPr/>
              <w:t>-198</w:t>
            </w:r>
          </w:p>
        </w:tc>
        <w:tc>
          <w:tcPr>
            <w:tcW w:w="134" w:type="dxa"/>
            <w:tcBorders/>
            <w:shd w:fill="CCEEFF" w:val="clear"/>
            <w:vAlign w:val="center"/>
          </w:tcPr>
          <w:p>
            <w:pPr>
              <w:pStyle w:val="TableContents"/>
              <w:spacing w:before="0" w:after="283"/>
              <w:rPr/>
            </w:pPr>
            <w:r>
              <w:rPr/>
              <w:t> </w:t>
            </w:r>
          </w:p>
        </w:tc>
        <w:tc>
          <w:tcPr>
            <w:tcW w:w="268"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1120" w:type="dxa"/>
            <w:tcBorders/>
            <w:shd w:fill="CCEEFF" w:val="clear"/>
            <w:vAlign w:val="center"/>
          </w:tcPr>
          <w:p>
            <w:pPr>
              <w:pStyle w:val="TableContents"/>
              <w:spacing w:before="0" w:after="283"/>
              <w:jc w:val="right"/>
              <w:rPr/>
            </w:pPr>
            <w:r>
              <w:rPr/>
              <w:t>198</w:t>
            </w:r>
          </w:p>
        </w:tc>
        <w:tc>
          <w:tcPr>
            <w:tcW w:w="75" w:type="dxa"/>
            <w:tcBorders/>
            <w:shd w:fill="CCEEFF"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following exchange rates were used: </w:t>
      </w:r>
    </w:p>
    <w:p>
      <w:pPr>
        <w:pStyle w:val="TextBody"/>
        <w:spacing w:before="0" w:after="0"/>
        <w:jc w:val="left"/>
        <w:rPr>
          <w:highlight w:val="white"/>
        </w:rPr>
      </w:pPr>
      <w:r>
        <w:rPr>
          <w:highlight w:val="white"/>
        </w:rPr>
        <w:t> </w:t>
      </w:r>
    </w:p>
    <w:tbl>
      <w:tblPr>
        <w:tblW w:w="7115" w:type="dxa"/>
        <w:jc w:val="left"/>
        <w:tblInd w:w="0" w:type="dxa"/>
        <w:tblCellMar>
          <w:top w:w="0" w:type="dxa"/>
          <w:left w:w="0" w:type="dxa"/>
          <w:bottom w:w="0" w:type="dxa"/>
          <w:right w:w="0" w:type="dxa"/>
        </w:tblCellMar>
      </w:tblPr>
      <w:tblGrid>
        <w:gridCol w:w="860"/>
        <w:gridCol w:w="120"/>
        <w:gridCol w:w="60"/>
        <w:gridCol w:w="800"/>
        <w:gridCol w:w="60"/>
        <w:gridCol w:w="120"/>
        <w:gridCol w:w="60"/>
        <w:gridCol w:w="800"/>
        <w:gridCol w:w="60"/>
        <w:gridCol w:w="120"/>
        <w:gridCol w:w="60"/>
        <w:gridCol w:w="800"/>
        <w:gridCol w:w="60"/>
        <w:gridCol w:w="120"/>
        <w:gridCol w:w="60"/>
        <w:gridCol w:w="800"/>
        <w:gridCol w:w="60"/>
        <w:gridCol w:w="120"/>
        <w:gridCol w:w="60"/>
        <w:gridCol w:w="800"/>
        <w:gridCol w:w="60"/>
        <w:gridCol w:w="120"/>
        <w:gridCol w:w="60"/>
        <w:gridCol w:w="800"/>
        <w:gridCol w:w="75"/>
      </w:tblGrid>
      <w:tr>
        <w:trPr/>
        <w:tc>
          <w:tcPr>
            <w:tcW w:w="8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8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940" w:type="dxa"/>
            <w:gridSpan w:val="10"/>
            <w:tcBorders/>
            <w:shd w:fill="auto" w:val="clear"/>
            <w:vAlign w:val="center"/>
          </w:tcPr>
          <w:p>
            <w:pPr>
              <w:pStyle w:val="TableContents"/>
              <w:spacing w:before="0" w:after="283"/>
              <w:jc w:val="center"/>
              <w:rPr/>
            </w:pPr>
            <w:r>
              <w:rPr/>
              <w:t>Average rate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940" w:type="dxa"/>
            <w:gridSpan w:val="10"/>
            <w:tcBorders/>
            <w:shd w:fill="auto" w:val="clear"/>
            <w:vAlign w:val="center"/>
          </w:tcPr>
          <w:p>
            <w:pPr>
              <w:pStyle w:val="TableContents"/>
              <w:spacing w:before="0" w:after="283"/>
              <w:jc w:val="center"/>
              <w:rPr/>
            </w:pPr>
            <w:r>
              <w:rPr/>
              <w:t>Spot exchange rate as of</w:t>
              <w:br/>
              <w:t>the reporting date</w:t>
            </w:r>
          </w:p>
        </w:tc>
        <w:tc>
          <w:tcPr>
            <w:tcW w:w="75" w:type="dxa"/>
            <w:tcBorders/>
            <w:shd w:fill="auto" w:val="clear"/>
            <w:vAlign w:val="center"/>
          </w:tcPr>
          <w:p>
            <w:pPr>
              <w:pStyle w:val="TableContents"/>
              <w:spacing w:before="0" w:after="283"/>
              <w:rPr/>
            </w:pPr>
            <w:r>
              <w:rPr/>
              <w:t> </w:t>
            </w:r>
          </w:p>
        </w:tc>
      </w:tr>
      <w:tr>
        <w:trPr/>
        <w:tc>
          <w:tcPr>
            <w:tcW w:w="8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jc w:val="center"/>
              <w:rPr/>
            </w:pPr>
            <w:r>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jc w:val="center"/>
              <w:rPr/>
            </w:pPr>
            <w:r>
              <w:rP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jc w:val="center"/>
              <w:rPr/>
            </w:pPr>
            <w:r>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jc w:val="center"/>
              <w:rPr/>
            </w:pPr>
            <w:r>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jc w:val="center"/>
              <w:rPr/>
            </w:pPr>
            <w:r>
              <w:rP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jc w:val="center"/>
              <w:rPr/>
            </w:pPr>
            <w:r>
              <w:rPr/>
              <w:t>2020</w:t>
            </w:r>
          </w:p>
        </w:tc>
        <w:tc>
          <w:tcPr>
            <w:tcW w:w="75" w:type="dxa"/>
            <w:tcBorders/>
            <w:shd w:fill="auto" w:val="clear"/>
            <w:vAlign w:val="center"/>
          </w:tcPr>
          <w:p>
            <w:pPr>
              <w:pStyle w:val="TableContents"/>
              <w:spacing w:before="0" w:after="283"/>
              <w:rPr/>
            </w:pPr>
            <w:r>
              <w:rPr/>
              <w:t> </w:t>
            </w:r>
          </w:p>
        </w:tc>
      </w:tr>
      <w:tr>
        <w:trPr/>
        <w:tc>
          <w:tcPr>
            <w:tcW w:w="8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EUR/USD</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0.95441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0.84819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0.87322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0.93756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0.88292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0.89160</w:t>
            </w:r>
          </w:p>
        </w:tc>
        <w:tc>
          <w:tcPr>
            <w:tcW w:w="75" w:type="dxa"/>
            <w:tcBorders/>
            <w:shd w:fill="CCEEFF" w:val="clear"/>
            <w:vAlign w:val="center"/>
          </w:tcPr>
          <w:p>
            <w:pPr>
              <w:pStyle w:val="TableContents"/>
              <w:spacing w:before="0" w:after="283"/>
              <w:rPr/>
            </w:pPr>
            <w:r>
              <w:rPr/>
              <w:t> </w:t>
            </w:r>
          </w:p>
        </w:tc>
      </w:tr>
    </w:tbl>
    <w:p>
      <w:pPr>
        <w:pStyle w:val="TextBody"/>
        <w:spacing w:before="360" w:after="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Interest rate risk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As of the reporting date, the Group does have an embedded derivative related to the loan, which is included in the other financial and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non-financial</w:t>
      </w:r>
    </w:p>
    <w:p>
      <w:pPr>
        <w:pStyle w:val="TextBody"/>
        <w:spacing w:before="120" w:after="0"/>
        <w:jc w:val="both"/>
        <w:rPr>
          <w:rFonts w:ascii="Times New Roman" w:hAnsi="Times New Roman"/>
          <w:sz w:val="20"/>
          <w:highlight w:val="white"/>
        </w:rPr>
      </w:pPr>
      <w:r>
        <w:rPr>
          <w:rFonts w:ascii="Times New Roman" w:hAnsi="Times New Roman"/>
          <w:sz w:val="20"/>
          <w:highlight w:val="white"/>
        </w:rPr>
        <w:t>liabilities in the amount of €172 thousand (December 31, 2021: €0, December 31, 2020: €0). This derivative is exposed interest rate changes. A sensitivity analysis and their effects on the consolidated equity is disclosed in Note 33.1.</w:t>
      </w:r>
    </w:p>
    <w:p>
      <w:pPr>
        <w:pStyle w:val="TextBody"/>
        <w:spacing w:before="0" w:after="0"/>
        <w:ind w:left="0" w:right="0" w:hanging="0"/>
        <w:jc w:val="left"/>
        <w:rPr>
          <w:spacing w:val="0"/>
          <w:highlight w:val="white"/>
        </w:rPr>
      </w:pPr>
      <w:r>
        <w:rPr>
          <w:spacing w:val="0"/>
          <w:highlight w:val="white"/>
        </w:rPr>
        <w:t> </w:t>
      </w:r>
    </w:p>
    <w:tbl>
      <w:tblPr>
        <w:tblW w:w="6370" w:type="dxa"/>
        <w:jc w:val="left"/>
        <w:tblInd w:w="0" w:type="dxa"/>
        <w:tblCellMar>
          <w:top w:w="0" w:type="dxa"/>
          <w:left w:w="0" w:type="dxa"/>
          <w:bottom w:w="0" w:type="dxa"/>
          <w:right w:w="0" w:type="dxa"/>
        </w:tblCellMar>
      </w:tblPr>
      <w:tblGrid>
        <w:gridCol w:w="335"/>
        <w:gridCol w:w="6035"/>
      </w:tblGrid>
      <w:tr>
        <w:trPr/>
        <w:tc>
          <w:tcPr>
            <w:tcW w:w="335" w:type="dxa"/>
            <w:tcBorders/>
            <w:shd w:fill="auto" w:val="clear"/>
            <w:vAlign w:val="center"/>
          </w:tcPr>
          <w:p>
            <w:pPr>
              <w:pStyle w:val="TableContents"/>
              <w:spacing w:before="0" w:after="0"/>
              <w:jc w:val="both"/>
              <w:rPr>
                <w:b/>
                <w:spacing w:val="0"/>
              </w:rPr>
            </w:pPr>
            <w:r>
              <w:rPr>
                <w:b/>
                <w:spacing w:val="0"/>
              </w:rPr>
              <w:t>34.</w:t>
            </w:r>
          </w:p>
        </w:tc>
        <w:tc>
          <w:tcPr>
            <w:tcW w:w="6035"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Contingent Liabilities, Commitments, and Other Financial Obligations </w:t>
            </w:r>
          </w:p>
        </w:tc>
      </w:tr>
    </w:tbl>
    <w:p>
      <w:pPr>
        <w:pStyle w:val="TextBody"/>
        <w:spacing w:before="0" w:after="0"/>
        <w:jc w:val="both"/>
        <w:rPr>
          <w:highlight w:val="white"/>
        </w:rPr>
      </w:pPr>
      <w:r>
        <w:rPr>
          <w:highlight w:val="white"/>
        </w:rPr>
        <w:t> </w:t>
      </w:r>
    </w:p>
    <w:tbl>
      <w:tblPr>
        <w:tblW w:w="2365" w:type="dxa"/>
        <w:jc w:val="left"/>
        <w:tblInd w:w="0" w:type="dxa"/>
        <w:tblCellMar>
          <w:top w:w="0" w:type="dxa"/>
          <w:left w:w="0" w:type="dxa"/>
          <w:bottom w:w="0" w:type="dxa"/>
          <w:right w:w="0" w:type="dxa"/>
        </w:tblCellMar>
      </w:tblPr>
      <w:tblGrid>
        <w:gridCol w:w="515"/>
        <w:gridCol w:w="1850"/>
      </w:tblGrid>
      <w:tr>
        <w:trPr/>
        <w:tc>
          <w:tcPr>
            <w:tcW w:w="515" w:type="dxa"/>
            <w:tcBorders/>
            <w:shd w:fill="auto" w:val="clear"/>
            <w:vAlign w:val="center"/>
          </w:tcPr>
          <w:p>
            <w:pPr>
              <w:pStyle w:val="TableContents"/>
              <w:spacing w:before="0" w:after="0"/>
              <w:jc w:val="both"/>
              <w:rPr>
                <w:b/>
                <w:spacing w:val="0"/>
              </w:rPr>
            </w:pPr>
            <w:r>
              <w:rPr>
                <w:b/>
                <w:spacing w:val="0"/>
              </w:rPr>
              <w:t>34.1.</w:t>
            </w:r>
          </w:p>
        </w:tc>
        <w:tc>
          <w:tcPr>
            <w:tcW w:w="1850"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Contingent liabilities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Within the course of its ordinary activities, the Group may be involved in legal disputes from time to time. Based on the assessment of the Management Board as well as legal counsel, there are no claims beyond the litigation risks reported in the provisions that may be significant with regard to the Company’s business and its financial position and performance. </w:t>
      </w:r>
    </w:p>
    <w:p>
      <w:pPr>
        <w:pStyle w:val="TextBody"/>
        <w:spacing w:before="0" w:after="0"/>
        <w:jc w:val="both"/>
        <w:rPr>
          <w:highlight w:val="white"/>
        </w:rPr>
      </w:pPr>
      <w:r>
        <w:rPr>
          <w:highlight w:val="white"/>
        </w:rPr>
        <w:t> </w:t>
      </w:r>
    </w:p>
    <w:tbl>
      <w:tblPr>
        <w:tblW w:w="1780" w:type="dxa"/>
        <w:jc w:val="left"/>
        <w:tblInd w:w="0" w:type="dxa"/>
        <w:tblCellMar>
          <w:top w:w="0" w:type="dxa"/>
          <w:left w:w="0" w:type="dxa"/>
          <w:bottom w:w="0" w:type="dxa"/>
          <w:right w:w="0" w:type="dxa"/>
        </w:tblCellMar>
      </w:tblPr>
      <w:tblGrid>
        <w:gridCol w:w="515"/>
        <w:gridCol w:w="1265"/>
      </w:tblGrid>
      <w:tr>
        <w:trPr/>
        <w:tc>
          <w:tcPr>
            <w:tcW w:w="515" w:type="dxa"/>
            <w:tcBorders/>
            <w:shd w:fill="auto" w:val="clear"/>
            <w:vAlign w:val="center"/>
          </w:tcPr>
          <w:p>
            <w:pPr>
              <w:pStyle w:val="TableContents"/>
              <w:spacing w:before="0" w:after="0"/>
              <w:jc w:val="both"/>
              <w:rPr>
                <w:b/>
                <w:spacing w:val="0"/>
              </w:rPr>
            </w:pPr>
            <w:r>
              <w:rPr>
                <w:b/>
                <w:spacing w:val="0"/>
              </w:rPr>
              <w:t>34.2.</w:t>
            </w:r>
          </w:p>
        </w:tc>
        <w:tc>
          <w:tcPr>
            <w:tcW w:w="1265"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Commitments </w:t>
            </w:r>
          </w:p>
        </w:tc>
      </w:tr>
    </w:tbl>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As in the previous year, there are no commitments arising under guarantees. </w:t>
      </w:r>
    </w:p>
    <w:p>
      <w:pPr>
        <w:pStyle w:val="TextBody"/>
        <w:spacing w:before="0" w:after="0"/>
        <w:jc w:val="both"/>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F-4</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6</w:t>
      </w:r>
    </w:p>
    <w:p>
      <w:pPr>
        <w:pStyle w:val="HorizontalLine"/>
        <w:rPr/>
      </w:pPr>
      <w:r>
        <w:rPr/>
      </w:r>
    </w:p>
    <w:p>
      <w:pPr>
        <w:pStyle w:val="TextBody"/>
        <w:spacing w:before="0" w:after="0"/>
        <w:rPr/>
      </w:pPr>
      <w:hyperlink w:anchor="toc">
        <w:r>
          <w:rPr>
            <w:rStyle w:val="InternetLink"/>
            <w:highlight w:val="white"/>
          </w:rPr>
          <w:t>Table of Contents</w:t>
        </w:r>
      </w:hyperlink>
    </w:p>
    <w:tbl>
      <w:tblPr>
        <w:tblW w:w="2875" w:type="dxa"/>
        <w:jc w:val="left"/>
        <w:tblInd w:w="0" w:type="dxa"/>
        <w:tblCellMar>
          <w:top w:w="0" w:type="dxa"/>
          <w:left w:w="0" w:type="dxa"/>
          <w:bottom w:w="0" w:type="dxa"/>
          <w:right w:w="0" w:type="dxa"/>
        </w:tblCellMar>
      </w:tblPr>
      <w:tblGrid>
        <w:gridCol w:w="515"/>
        <w:gridCol w:w="2360"/>
      </w:tblGrid>
      <w:tr>
        <w:trPr/>
        <w:tc>
          <w:tcPr>
            <w:tcW w:w="515" w:type="dxa"/>
            <w:tcBorders/>
            <w:shd w:fill="auto" w:val="clear"/>
            <w:vAlign w:val="center"/>
          </w:tcPr>
          <w:p>
            <w:pPr>
              <w:pStyle w:val="TableContents"/>
              <w:spacing w:before="0" w:after="0"/>
              <w:jc w:val="left"/>
              <w:rPr>
                <w:b/>
                <w:spacing w:val="0"/>
              </w:rPr>
            </w:pPr>
            <w:r>
              <w:rPr>
                <w:b/>
                <w:spacing w:val="0"/>
              </w:rPr>
              <w:t>34.3.</w:t>
            </w:r>
          </w:p>
        </w:tc>
        <w:tc>
          <w:tcPr>
            <w:tcW w:w="236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Other financial obligations </w:t>
            </w:r>
          </w:p>
        </w:tc>
      </w:tr>
    </w:tbl>
    <w:p>
      <w:pPr>
        <w:pStyle w:val="TextBody"/>
        <w:spacing w:before="120" w:after="0"/>
        <w:ind w:left="0" w:right="0" w:hanging="0"/>
        <w:jc w:val="left"/>
        <w:rPr>
          <w:rFonts w:ascii="Times New Roman" w:hAnsi="Times New Roman"/>
          <w:sz w:val="20"/>
          <w:highlight w:val="white"/>
        </w:rPr>
      </w:pPr>
      <w:r>
        <w:rPr>
          <w:rFonts w:ascii="Times New Roman" w:hAnsi="Times New Roman"/>
          <w:sz w:val="20"/>
          <w:highlight w:val="white"/>
        </w:rPr>
        <w:t xml:space="preserve">Other financial obligations as of December 31, 2022, are as follows: </w:t>
      </w:r>
    </w:p>
    <w:p>
      <w:pPr>
        <w:pStyle w:val="TextBody"/>
        <w:spacing w:before="0" w:after="0"/>
        <w:ind w:left="0" w:right="0" w:hanging="0"/>
        <w:jc w:val="left"/>
        <w:rPr>
          <w:highlight w:val="white"/>
        </w:rPr>
      </w:pPr>
      <w:r>
        <w:rPr>
          <w:highlight w:val="white"/>
        </w:rPr>
        <w:t> </w:t>
      </w:r>
    </w:p>
    <w:tbl>
      <w:tblPr>
        <w:tblW w:w="6265" w:type="dxa"/>
        <w:jc w:val="left"/>
        <w:tblInd w:w="0" w:type="dxa"/>
        <w:tblCellMar>
          <w:top w:w="0" w:type="dxa"/>
          <w:left w:w="0" w:type="dxa"/>
          <w:bottom w:w="0" w:type="dxa"/>
          <w:right w:w="0" w:type="dxa"/>
        </w:tblCellMar>
      </w:tblPr>
      <w:tblGrid>
        <w:gridCol w:w="1820"/>
        <w:gridCol w:w="120"/>
        <w:gridCol w:w="110"/>
        <w:gridCol w:w="1035"/>
        <w:gridCol w:w="60"/>
        <w:gridCol w:w="120"/>
        <w:gridCol w:w="107"/>
        <w:gridCol w:w="1008"/>
        <w:gridCol w:w="60"/>
        <w:gridCol w:w="120"/>
        <w:gridCol w:w="80"/>
        <w:gridCol w:w="750"/>
        <w:gridCol w:w="60"/>
        <w:gridCol w:w="120"/>
        <w:gridCol w:w="60"/>
        <w:gridCol w:w="560"/>
        <w:gridCol w:w="75"/>
      </w:tblGrid>
      <w:tr>
        <w:trPr/>
        <w:tc>
          <w:tcPr>
            <w:tcW w:w="18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8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December 31, 2022</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00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7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1820" w:type="dxa"/>
            <w:tcBorders/>
            <w:shd w:fill="auto" w:val="clear"/>
            <w:vAlign w:val="center"/>
          </w:tcPr>
          <w:p>
            <w:pPr>
              <w:pStyle w:val="TableContents"/>
              <w:spacing w:before="0" w:after="283"/>
              <w:rPr/>
            </w:pPr>
            <w:r>
              <w:rPr/>
              <w:t> </w:t>
            </w:r>
          </w:p>
        </w:tc>
        <w:tc>
          <w:tcPr>
            <w:tcW w:w="1325" w:type="dxa"/>
            <w:gridSpan w:val="4"/>
            <w:tcBorders/>
            <w:shd w:fill="auto" w:val="clear"/>
            <w:vAlign w:val="center"/>
          </w:tcPr>
          <w:p>
            <w:pPr>
              <w:pStyle w:val="TableContents"/>
              <w:spacing w:before="0" w:after="283"/>
              <w:rPr/>
            </w:pPr>
            <w:r>
              <w:rPr/>
              <w:t> </w:t>
            </w:r>
          </w:p>
        </w:tc>
        <w:tc>
          <w:tcPr>
            <w:tcW w:w="1295" w:type="dxa"/>
            <w:gridSpan w:val="4"/>
            <w:tcBorders/>
            <w:shd w:fill="auto" w:val="clear"/>
            <w:vAlign w:val="center"/>
          </w:tcPr>
          <w:p>
            <w:pPr>
              <w:pStyle w:val="TableContents"/>
              <w:spacing w:before="0" w:after="283"/>
              <w:rPr/>
            </w:pPr>
            <w:r>
              <w:rPr/>
              <w:t> </w:t>
            </w:r>
          </w:p>
        </w:tc>
        <w:tc>
          <w:tcPr>
            <w:tcW w:w="1010" w:type="dxa"/>
            <w:gridSpan w:val="4"/>
            <w:tcBorders/>
            <w:shd w:fill="auto" w:val="clear"/>
            <w:vAlign w:val="center"/>
          </w:tcPr>
          <w:p>
            <w:pPr>
              <w:pStyle w:val="TableContents"/>
              <w:spacing w:before="0" w:after="283"/>
              <w:rPr/>
            </w:pPr>
            <w:r>
              <w:rPr/>
              <w:t> </w:t>
            </w:r>
          </w:p>
        </w:tc>
        <w:tc>
          <w:tcPr>
            <w:tcW w:w="815" w:type="dxa"/>
            <w:gridSpan w:val="4"/>
            <w:tcBorders/>
            <w:shd w:fill="auto" w:val="clear"/>
            <w:vAlign w:val="center"/>
          </w:tcPr>
          <w:p>
            <w:pPr>
              <w:pStyle w:val="TableContents"/>
              <w:spacing w:before="0" w:after="283"/>
              <w:rPr/>
            </w:pPr>
            <w:r>
              <w:rPr/>
              <w:t> </w:t>
            </w:r>
          </w:p>
        </w:tc>
      </w:tr>
      <w:tr>
        <w:trPr/>
        <w:tc>
          <w:tcPr>
            <w:tcW w:w="1820"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145" w:type="dxa"/>
            <w:gridSpan w:val="2"/>
            <w:tcBorders/>
            <w:shd w:fill="auto" w:val="clear"/>
            <w:vAlign w:val="center"/>
          </w:tcPr>
          <w:p>
            <w:pPr>
              <w:pStyle w:val="TableContents"/>
              <w:spacing w:before="0" w:after="283"/>
              <w:jc w:val="center"/>
              <w:rPr/>
            </w:pPr>
            <w:r>
              <w:rPr/>
              <w:t>up to 1 year</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15" w:type="dxa"/>
            <w:gridSpan w:val="2"/>
            <w:tcBorders/>
            <w:shd w:fill="auto" w:val="clear"/>
            <w:vAlign w:val="center"/>
          </w:tcPr>
          <w:p>
            <w:pPr>
              <w:pStyle w:val="TableContents"/>
              <w:spacing w:before="0" w:after="283"/>
              <w:jc w:val="center"/>
              <w:rPr/>
            </w:pPr>
            <w:r>
              <w:rPr/>
              <w:t>1 to 5 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30" w:type="dxa"/>
            <w:gridSpan w:val="2"/>
            <w:tcBorders/>
            <w:shd w:fill="auto" w:val="clear"/>
            <w:vAlign w:val="center"/>
          </w:tcPr>
          <w:p>
            <w:pPr>
              <w:pStyle w:val="TableContents"/>
              <w:spacing w:before="0" w:after="283"/>
              <w:jc w:val="center"/>
              <w:rPr/>
            </w:pPr>
            <w:r>
              <w:rPr/>
              <w:t>&gt;5 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283"/>
              <w:jc w:val="center"/>
              <w:rPr/>
            </w:pPr>
            <w:r>
              <w:rPr/>
              <w:t>Total</w:t>
            </w:r>
          </w:p>
        </w:tc>
        <w:tc>
          <w:tcPr>
            <w:tcW w:w="75" w:type="dxa"/>
            <w:tcBorders/>
            <w:shd w:fill="auto" w:val="clear"/>
            <w:vAlign w:val="center"/>
          </w:tcPr>
          <w:p>
            <w:pPr>
              <w:pStyle w:val="TableContents"/>
              <w:spacing w:before="0" w:after="283"/>
              <w:rPr/>
            </w:pPr>
            <w:r>
              <w:rPr/>
              <w:t> </w:t>
            </w:r>
          </w:p>
        </w:tc>
      </w:tr>
      <w:tr>
        <w:trPr/>
        <w:tc>
          <w:tcPr>
            <w:tcW w:w="18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Incidental rental costs</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381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008" w:type="dxa"/>
            <w:tcBorders/>
            <w:shd w:fill="CCEEFF" w:val="clear"/>
            <w:vAlign w:val="center"/>
          </w:tcPr>
          <w:p>
            <w:pPr>
              <w:pStyle w:val="TableContents"/>
              <w:spacing w:before="0" w:after="283"/>
              <w:jc w:val="right"/>
              <w:rPr/>
            </w:pPr>
            <w:r>
              <w:rPr/>
              <w:t>2,438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750" w:type="dxa"/>
            <w:tcBorders/>
            <w:shd w:fill="CCEEFF" w:val="clear"/>
            <w:vAlign w:val="center"/>
          </w:tcPr>
          <w:p>
            <w:pPr>
              <w:pStyle w:val="TableContents"/>
              <w:spacing w:before="0" w:after="283"/>
              <w:jc w:val="right"/>
              <w:rPr/>
            </w:pPr>
            <w:r>
              <w:rPr/>
              <w:t>2,480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5,299</w:t>
            </w:r>
          </w:p>
        </w:tc>
        <w:tc>
          <w:tcPr>
            <w:tcW w:w="75" w:type="dxa"/>
            <w:tcBorders/>
            <w:shd w:fill="CCEEFF" w:val="clear"/>
            <w:vAlign w:val="center"/>
          </w:tcPr>
          <w:p>
            <w:pPr>
              <w:pStyle w:val="TableContents"/>
              <w:spacing w:before="0" w:after="283"/>
              <w:rPr/>
            </w:pPr>
            <w:r>
              <w:rPr/>
              <w:t> </w:t>
            </w:r>
          </w:p>
        </w:tc>
      </w:tr>
      <w:tr>
        <w:trPr/>
        <w:tc>
          <w:tcPr>
            <w:tcW w:w="18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Software and licenses</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1,012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008" w:type="dxa"/>
            <w:tcBorders/>
            <w:shd w:fill="auto" w:val="clear"/>
            <w:vAlign w:val="center"/>
          </w:tcPr>
          <w:p>
            <w:pPr>
              <w:pStyle w:val="TableContents"/>
              <w:spacing w:before="0" w:after="283"/>
              <w:jc w:val="right"/>
              <w:rPr/>
            </w:pPr>
            <w:r>
              <w:rPr/>
              <w:t>1,117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750" w:type="dxa"/>
            <w:tcBorders/>
            <w:shd w:fill="auto" w:val="clear"/>
            <w:vAlign w:val="center"/>
          </w:tcPr>
          <w:p>
            <w:pPr>
              <w:pStyle w:val="TableContents"/>
              <w:spacing w:before="0" w:after="283"/>
              <w:jc w:val="right"/>
              <w:rPr/>
            </w:pPr>
            <w:r>
              <w:rPr/>
              <w:t>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2,129</w:t>
            </w:r>
          </w:p>
        </w:tc>
        <w:tc>
          <w:tcPr>
            <w:tcW w:w="75" w:type="dxa"/>
            <w:tcBorders/>
            <w:shd w:fill="auto" w:val="clear"/>
            <w:vAlign w:val="center"/>
          </w:tcPr>
          <w:p>
            <w:pPr>
              <w:pStyle w:val="TableContents"/>
              <w:spacing w:before="0" w:after="283"/>
              <w:rPr/>
            </w:pPr>
            <w:r>
              <w:rPr/>
              <w:t> </w:t>
            </w:r>
          </w:p>
        </w:tc>
      </w:tr>
      <w:tr>
        <w:trPr/>
        <w:tc>
          <w:tcPr>
            <w:tcW w:w="182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262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008"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750"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262</w:t>
            </w:r>
          </w:p>
        </w:tc>
        <w:tc>
          <w:tcPr>
            <w:tcW w:w="75" w:type="dxa"/>
            <w:tcBorders/>
            <w:shd w:fill="CCEEFF" w:val="clear"/>
            <w:vAlign w:val="center"/>
          </w:tcPr>
          <w:p>
            <w:pPr>
              <w:pStyle w:val="TableContents"/>
              <w:spacing w:before="0" w:after="283"/>
              <w:rPr/>
            </w:pPr>
            <w:r>
              <w:rPr/>
              <w:t> </w:t>
            </w:r>
          </w:p>
        </w:tc>
      </w:tr>
      <w:tr>
        <w:trPr/>
        <w:tc>
          <w:tcPr>
            <w:tcW w:w="182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1,655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008" w:type="dxa"/>
            <w:tcBorders/>
            <w:shd w:fill="auto" w:val="clear"/>
            <w:vAlign w:val="center"/>
          </w:tcPr>
          <w:p>
            <w:pPr>
              <w:pStyle w:val="TableContents"/>
              <w:spacing w:before="0" w:after="283"/>
              <w:jc w:val="right"/>
              <w:rPr/>
            </w:pPr>
            <w:r>
              <w:rPr/>
              <w:t>3,555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750" w:type="dxa"/>
            <w:tcBorders/>
            <w:shd w:fill="auto" w:val="clear"/>
            <w:vAlign w:val="center"/>
          </w:tcPr>
          <w:p>
            <w:pPr>
              <w:pStyle w:val="TableContents"/>
              <w:spacing w:before="0" w:after="283"/>
              <w:jc w:val="right"/>
              <w:rPr/>
            </w:pPr>
            <w:r>
              <w:rPr/>
              <w:t>2,480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7,690</w:t>
            </w:r>
          </w:p>
        </w:tc>
        <w:tc>
          <w:tcPr>
            <w:tcW w:w="75" w:type="dxa"/>
            <w:tcBorders/>
            <w:shd w:fill="auto" w:val="clear"/>
            <w:vAlign w:val="center"/>
          </w:tcPr>
          <w:p>
            <w:pPr>
              <w:pStyle w:val="TableContents"/>
              <w:spacing w:before="0" w:after="283"/>
              <w:rPr/>
            </w:pPr>
            <w:r>
              <w:rPr/>
              <w:t> </w:t>
            </w:r>
          </w:p>
        </w:tc>
      </w:tr>
    </w:tbl>
    <w:p>
      <w:pPr>
        <w:pStyle w:val="TextBody"/>
        <w:spacing w:before="240" w:after="0"/>
        <w:ind w:left="0" w:right="0" w:hanging="0"/>
        <w:jc w:val="both"/>
        <w:rPr>
          <w:rFonts w:ascii="Times New Roman" w:hAnsi="Times New Roman"/>
          <w:sz w:val="20"/>
          <w:highlight w:val="white"/>
        </w:rPr>
      </w:pPr>
      <w:r>
        <w:rPr>
          <w:rFonts w:ascii="Times New Roman" w:hAnsi="Times New Roman"/>
          <w:sz w:val="20"/>
          <w:highlight w:val="white"/>
        </w:rPr>
        <w:t xml:space="preserve">The significant amount in financial obligations from software and licenses includes an agreement for the use of SAP. The other obligations are primarily service contracts. </w:t>
      </w:r>
    </w:p>
    <w:p>
      <w:pPr>
        <w:pStyle w:val="TextBody"/>
        <w:spacing w:before="240" w:after="0"/>
        <w:ind w:left="0" w:right="0" w:hanging="0"/>
        <w:jc w:val="both"/>
        <w:rPr>
          <w:rFonts w:ascii="Times New Roman" w:hAnsi="Times New Roman"/>
          <w:sz w:val="20"/>
          <w:highlight w:val="white"/>
        </w:rPr>
      </w:pPr>
      <w:r>
        <w:rPr>
          <w:rFonts w:ascii="Times New Roman" w:hAnsi="Times New Roman"/>
          <w:sz w:val="20"/>
          <w:highlight w:val="white"/>
        </w:rPr>
        <w:t>In addition, there are financial obligations from outstanding purchase orders for intangible assets and Property, plant and equipment in the following amounts:</w:t>
      </w:r>
    </w:p>
    <w:p>
      <w:pPr>
        <w:pStyle w:val="TextBody"/>
        <w:spacing w:before="0" w:after="0"/>
        <w:ind w:left="0" w:right="0" w:hanging="0"/>
        <w:jc w:val="both"/>
        <w:rPr>
          <w:highlight w:val="white"/>
        </w:rPr>
      </w:pPr>
      <w:r>
        <w:rPr>
          <w:highlight w:val="white"/>
        </w:rPr>
        <w:t> </w:t>
      </w:r>
    </w:p>
    <w:tbl>
      <w:tblPr>
        <w:tblW w:w="4045" w:type="dxa"/>
        <w:jc w:val="left"/>
        <w:tblInd w:w="0" w:type="dxa"/>
        <w:tblCellMar>
          <w:top w:w="0" w:type="dxa"/>
          <w:left w:w="0" w:type="dxa"/>
          <w:bottom w:w="0" w:type="dxa"/>
          <w:right w:w="0" w:type="dxa"/>
        </w:tblCellMar>
      </w:tblPr>
      <w:tblGrid>
        <w:gridCol w:w="2495"/>
        <w:gridCol w:w="120"/>
        <w:gridCol w:w="131"/>
        <w:gridCol w:w="1224"/>
        <w:gridCol w:w="75"/>
      </w:tblGrid>
      <w:tr>
        <w:trPr/>
        <w:tc>
          <w:tcPr>
            <w:tcW w:w="24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495" w:type="dxa"/>
            <w:tcBorders/>
            <w:shd w:fill="auto" w:val="clear"/>
            <w:vAlign w:val="center"/>
          </w:tcPr>
          <w:p>
            <w:pPr>
              <w:pStyle w:val="TableContents"/>
              <w:spacing w:before="0" w:after="283"/>
              <w:rPr/>
            </w:pPr>
            <w:r>
              <w:rPr/>
              <w:t xml:space="preserve">€ </w:t>
            </w:r>
            <w:r>
              <w:rPr/>
              <w:t>thousand</w:t>
            </w:r>
          </w:p>
        </w:tc>
        <w:tc>
          <w:tcPr>
            <w:tcW w:w="120" w:type="dxa"/>
            <w:tcBorders/>
            <w:shd w:fill="auto" w:val="clear"/>
            <w:vAlign w:val="center"/>
          </w:tcPr>
          <w:p>
            <w:pPr>
              <w:pStyle w:val="TableContents"/>
              <w:spacing w:before="0" w:after="283"/>
              <w:rPr/>
            </w:pPr>
            <w:r>
              <w:rPr/>
              <w:t>  </w:t>
            </w:r>
          </w:p>
        </w:tc>
        <w:tc>
          <w:tcPr>
            <w:tcW w:w="1355" w:type="dxa"/>
            <w:gridSpan w:val="2"/>
            <w:tcBorders/>
            <w:shd w:fill="auto" w:val="clear"/>
            <w:vAlign w:val="center"/>
          </w:tcPr>
          <w:p>
            <w:pPr>
              <w:pStyle w:val="TableContents"/>
              <w:spacing w:before="0" w:after="283"/>
              <w:jc w:val="center"/>
              <w:rPr/>
            </w:pPr>
            <w:r>
              <w:rPr/>
              <w:t>December 31,</w:t>
              <w:br/>
              <w:t>2022</w:t>
            </w:r>
          </w:p>
        </w:tc>
        <w:tc>
          <w:tcPr>
            <w:tcW w:w="75" w:type="dxa"/>
            <w:tcBorders/>
            <w:shd w:fill="auto" w:val="clear"/>
            <w:vAlign w:val="center"/>
          </w:tcPr>
          <w:p>
            <w:pPr>
              <w:pStyle w:val="TableContents"/>
              <w:spacing w:before="0" w:after="283"/>
              <w:rPr/>
            </w:pPr>
            <w:r>
              <w:rPr/>
              <w:t> </w:t>
            </w:r>
          </w:p>
        </w:tc>
      </w:tr>
      <w:tr>
        <w:trPr/>
        <w:tc>
          <w:tcPr>
            <w:tcW w:w="24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Intangible assets</w:t>
            </w:r>
          </w:p>
        </w:tc>
        <w:tc>
          <w:tcPr>
            <w:tcW w:w="12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1224" w:type="dxa"/>
            <w:tcBorders/>
            <w:shd w:fill="CCEEFF" w:val="clear"/>
            <w:vAlign w:val="center"/>
          </w:tcPr>
          <w:p>
            <w:pPr>
              <w:pStyle w:val="TableContents"/>
              <w:spacing w:before="0" w:after="283"/>
              <w:jc w:val="right"/>
              <w:rPr/>
            </w:pPr>
            <w:r>
              <w:rPr/>
              <w:t>14</w:t>
            </w:r>
          </w:p>
        </w:tc>
        <w:tc>
          <w:tcPr>
            <w:tcW w:w="75" w:type="dxa"/>
            <w:tcBorders/>
            <w:shd w:fill="CCEEFF" w:val="clear"/>
            <w:vAlign w:val="center"/>
          </w:tcPr>
          <w:p>
            <w:pPr>
              <w:pStyle w:val="TableContents"/>
              <w:spacing w:before="0" w:after="283"/>
              <w:rPr/>
            </w:pPr>
            <w:r>
              <w:rPr/>
              <w:t> </w:t>
            </w:r>
          </w:p>
        </w:tc>
      </w:tr>
      <w:tr>
        <w:trPr/>
        <w:tc>
          <w:tcPr>
            <w:tcW w:w="24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Property, plant and equipment</w:t>
            </w:r>
          </w:p>
        </w:tc>
        <w:tc>
          <w:tcPr>
            <w:tcW w:w="120"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1224" w:type="dxa"/>
            <w:tcBorders/>
            <w:shd w:fill="auto" w:val="clear"/>
            <w:vAlign w:val="center"/>
          </w:tcPr>
          <w:p>
            <w:pPr>
              <w:pStyle w:val="TableContents"/>
              <w:spacing w:before="0" w:after="283"/>
              <w:jc w:val="right"/>
              <w:rPr/>
            </w:pPr>
            <w:r>
              <w:rPr/>
              <w:t>1,258</w:t>
            </w:r>
          </w:p>
        </w:tc>
        <w:tc>
          <w:tcPr>
            <w:tcW w:w="75" w:type="dxa"/>
            <w:tcBorders/>
            <w:shd w:fill="auto" w:val="clear"/>
            <w:vAlign w:val="center"/>
          </w:tcPr>
          <w:p>
            <w:pPr>
              <w:pStyle w:val="TableContents"/>
              <w:spacing w:before="0" w:after="283"/>
              <w:rPr/>
            </w:pPr>
            <w:r>
              <w:rPr/>
              <w:t> </w:t>
            </w:r>
          </w:p>
        </w:tc>
      </w:tr>
      <w:tr>
        <w:trPr/>
        <w:tc>
          <w:tcPr>
            <w:tcW w:w="24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1224" w:type="dxa"/>
            <w:tcBorders/>
            <w:shd w:fill="CCEEFF" w:val="clear"/>
            <w:vAlign w:val="center"/>
          </w:tcPr>
          <w:p>
            <w:pPr>
              <w:pStyle w:val="TableContents"/>
              <w:spacing w:before="0" w:after="283"/>
              <w:jc w:val="right"/>
              <w:rPr/>
            </w:pPr>
            <w:r>
              <w:rPr/>
              <w:t>1,272</w:t>
            </w:r>
          </w:p>
        </w:tc>
        <w:tc>
          <w:tcPr>
            <w:tcW w:w="75" w:type="dxa"/>
            <w:tcBorders/>
            <w:shd w:fill="CCEEFF" w:val="clear"/>
            <w:vAlign w:val="center"/>
          </w:tcPr>
          <w:p>
            <w:pPr>
              <w:pStyle w:val="TableContents"/>
              <w:spacing w:before="0" w:after="283"/>
              <w:rPr/>
            </w:pPr>
            <w:r>
              <w:rPr/>
              <w:t> </w:t>
            </w:r>
          </w:p>
        </w:tc>
      </w:tr>
    </w:tbl>
    <w:p>
      <w:pPr>
        <w:pStyle w:val="TextBody"/>
        <w:spacing w:before="0" w:after="0"/>
        <w:ind w:left="0" w:right="0" w:hanging="0"/>
        <w:jc w:val="left"/>
        <w:rPr>
          <w:highlight w:val="white"/>
        </w:rPr>
      </w:pPr>
      <w:r>
        <w:rPr>
          <w:highlight w:val="white"/>
        </w:rPr>
        <w:t> </w:t>
      </w:r>
    </w:p>
    <w:tbl>
      <w:tblPr>
        <w:tblW w:w="3295" w:type="dxa"/>
        <w:jc w:val="left"/>
        <w:tblInd w:w="0" w:type="dxa"/>
        <w:tblCellMar>
          <w:top w:w="0" w:type="dxa"/>
          <w:left w:w="0" w:type="dxa"/>
          <w:bottom w:w="0" w:type="dxa"/>
          <w:right w:w="0" w:type="dxa"/>
        </w:tblCellMar>
      </w:tblPr>
      <w:tblGrid>
        <w:gridCol w:w="335"/>
        <w:gridCol w:w="2960"/>
      </w:tblGrid>
      <w:tr>
        <w:trPr/>
        <w:tc>
          <w:tcPr>
            <w:tcW w:w="335" w:type="dxa"/>
            <w:tcBorders/>
            <w:shd w:fill="auto" w:val="clear"/>
            <w:vAlign w:val="center"/>
          </w:tcPr>
          <w:p>
            <w:pPr>
              <w:pStyle w:val="TableContents"/>
              <w:spacing w:before="0" w:after="0"/>
              <w:jc w:val="both"/>
              <w:rPr>
                <w:b/>
                <w:spacing w:val="0"/>
              </w:rPr>
            </w:pPr>
            <w:r>
              <w:rPr>
                <w:b/>
                <w:spacing w:val="0"/>
              </w:rPr>
              <w:t>35.</w:t>
            </w:r>
          </w:p>
        </w:tc>
        <w:tc>
          <w:tcPr>
            <w:tcW w:w="2960"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Governing bodies of the Company </w:t>
            </w:r>
          </w:p>
        </w:tc>
      </w:tr>
    </w:tbl>
    <w:p>
      <w:pPr>
        <w:pStyle w:val="TextBody"/>
        <w:spacing w:before="120" w:after="0"/>
        <w:ind w:left="0" w:right="0" w:hanging="0"/>
        <w:jc w:val="both"/>
        <w:rPr>
          <w:rFonts w:ascii="Times New Roman" w:hAnsi="Times New Roman"/>
          <w:sz w:val="20"/>
          <w:highlight w:val="white"/>
        </w:rPr>
      </w:pPr>
      <w:r>
        <w:rPr>
          <w:rFonts w:ascii="Times New Roman" w:hAnsi="Times New Roman"/>
          <w:sz w:val="20"/>
          <w:highlight w:val="white"/>
        </w:rPr>
        <w:t xml:space="preserve">The Management Board consists of the following members: </w:t>
      </w:r>
    </w:p>
    <w:p>
      <w:pPr>
        <w:pStyle w:val="TextBody"/>
        <w:spacing w:before="0" w:after="0"/>
        <w:ind w:left="0" w:right="0" w:hanging="0"/>
        <w:jc w:val="left"/>
        <w:rPr>
          <w:highlight w:val="white"/>
        </w:rPr>
      </w:pPr>
      <w:r>
        <w:rPr>
          <w:highlight w:val="white"/>
        </w:rPr>
        <w:t> </w:t>
      </w:r>
    </w:p>
    <w:tbl>
      <w:tblPr>
        <w:tblW w:w="4780" w:type="dxa"/>
        <w:jc w:val="left"/>
        <w:tblInd w:w="0" w:type="dxa"/>
        <w:tblCellMar>
          <w:top w:w="0" w:type="dxa"/>
          <w:left w:w="0" w:type="dxa"/>
          <w:bottom w:w="0" w:type="dxa"/>
          <w:right w:w="0" w:type="dxa"/>
        </w:tblCellMar>
      </w:tblPr>
      <w:tblGrid>
        <w:gridCol w:w="75"/>
        <w:gridCol w:w="110"/>
        <w:gridCol w:w="60"/>
        <w:gridCol w:w="45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5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Bulent Altan, </w:t>
            </w:r>
          </w:p>
          <w:p>
            <w:pPr>
              <w:pStyle w:val="TableContents"/>
              <w:spacing w:before="0" w:after="0"/>
              <w:jc w:val="left"/>
              <w:rPr>
                <w:rFonts w:ascii="Times New Roman" w:hAnsi="Times New Roman"/>
                <w:spacing w:val="0"/>
                <w:sz w:val="20"/>
              </w:rPr>
            </w:pPr>
            <w:r>
              <w:rPr>
                <w:rFonts w:ascii="Times New Roman" w:hAnsi="Times New Roman"/>
                <w:spacing w:val="0"/>
                <w:sz w:val="20"/>
              </w:rPr>
              <w:t>Co-CEO,</w:t>
            </w:r>
          </w:p>
          <w:p>
            <w:pPr>
              <w:pStyle w:val="TableContents"/>
              <w:spacing w:before="0" w:after="0"/>
              <w:jc w:val="left"/>
              <w:rPr>
                <w:rFonts w:ascii="Times New Roman" w:hAnsi="Times New Roman"/>
                <w:sz w:val="20"/>
              </w:rPr>
            </w:pPr>
            <w:r>
              <w:rPr>
                <w:rFonts w:ascii="Times New Roman" w:hAnsi="Times New Roman"/>
                <w:sz w:val="20"/>
              </w:rPr>
              <w:t xml:space="preserve">Master of Science in Aerospace, Playa Vista, California </w:t>
            </w:r>
          </w:p>
        </w:tc>
      </w:tr>
    </w:tbl>
    <w:p>
      <w:pPr>
        <w:pStyle w:val="TextBody"/>
        <w:spacing w:before="0" w:after="0"/>
        <w:ind w:left="0" w:right="0" w:hanging="0"/>
        <w:jc w:val="left"/>
        <w:rPr>
          <w:highlight w:val="white"/>
        </w:rPr>
      </w:pPr>
      <w:r>
        <w:rPr>
          <w:highlight w:val="white"/>
        </w:rPr>
        <w:t> </w:t>
      </w:r>
    </w:p>
    <w:tbl>
      <w:tblPr>
        <w:tblW w:w="7420" w:type="dxa"/>
        <w:jc w:val="left"/>
        <w:tblInd w:w="0" w:type="dxa"/>
        <w:tblCellMar>
          <w:top w:w="0" w:type="dxa"/>
          <w:left w:w="0" w:type="dxa"/>
          <w:bottom w:w="0" w:type="dxa"/>
          <w:right w:w="0" w:type="dxa"/>
        </w:tblCellMar>
      </w:tblPr>
      <w:tblGrid>
        <w:gridCol w:w="75"/>
        <w:gridCol w:w="110"/>
        <w:gridCol w:w="60"/>
        <w:gridCol w:w="71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1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Mustafa Veziroglu, </w:t>
            </w:r>
          </w:p>
          <w:p>
            <w:pPr>
              <w:pStyle w:val="TableContents"/>
              <w:spacing w:before="0" w:after="0"/>
              <w:jc w:val="left"/>
              <w:rPr>
                <w:rFonts w:ascii="Times New Roman" w:hAnsi="Times New Roman"/>
                <w:spacing w:val="0"/>
                <w:sz w:val="20"/>
              </w:rPr>
            </w:pPr>
            <w:r>
              <w:rPr>
                <w:rFonts w:ascii="Times New Roman" w:hAnsi="Times New Roman"/>
                <w:spacing w:val="0"/>
                <w:sz w:val="20"/>
              </w:rPr>
              <w:t>Co-CEO,</w:t>
            </w:r>
          </w:p>
          <w:p>
            <w:pPr>
              <w:pStyle w:val="TableContents"/>
              <w:spacing w:before="0" w:after="0"/>
              <w:jc w:val="left"/>
              <w:rPr>
                <w:rFonts w:ascii="Times New Roman" w:hAnsi="Times New Roman"/>
                <w:sz w:val="20"/>
              </w:rPr>
            </w:pPr>
            <w:r>
              <w:rPr>
                <w:rFonts w:ascii="Times New Roman" w:hAnsi="Times New Roman"/>
                <w:sz w:val="20"/>
              </w:rPr>
              <w:t xml:space="preserve">Master of Business Administration, Monte Sereno, California, USA (since August 2022) </w:t>
            </w:r>
          </w:p>
        </w:tc>
      </w:tr>
    </w:tbl>
    <w:p>
      <w:pPr>
        <w:pStyle w:val="TextBody"/>
        <w:spacing w:before="0" w:after="0"/>
        <w:ind w:left="0" w:right="0" w:hanging="0"/>
        <w:jc w:val="left"/>
        <w:rPr>
          <w:highlight w:val="white"/>
        </w:rPr>
      </w:pPr>
      <w:r>
        <w:rPr>
          <w:highlight w:val="white"/>
        </w:rPr>
        <w:t> </w:t>
      </w:r>
    </w:p>
    <w:tbl>
      <w:tblPr>
        <w:tblW w:w="5035" w:type="dxa"/>
        <w:jc w:val="left"/>
        <w:tblInd w:w="0" w:type="dxa"/>
        <w:tblCellMar>
          <w:top w:w="0" w:type="dxa"/>
          <w:left w:w="0" w:type="dxa"/>
          <w:bottom w:w="0" w:type="dxa"/>
          <w:right w:w="0" w:type="dxa"/>
        </w:tblCellMar>
      </w:tblPr>
      <w:tblGrid>
        <w:gridCol w:w="75"/>
        <w:gridCol w:w="110"/>
        <w:gridCol w:w="60"/>
        <w:gridCol w:w="47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7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Stefan </w:t>
            </w:r>
          </w:p>
          <w:p>
            <w:pPr>
              <w:pStyle w:val="TableContents"/>
              <w:spacing w:before="0" w:after="0"/>
              <w:jc w:val="left"/>
              <w:rPr>
                <w:rFonts w:ascii="Times New Roman" w:hAnsi="Times New Roman"/>
                <w:spacing w:val="0"/>
                <w:sz w:val="20"/>
              </w:rPr>
            </w:pPr>
            <w:r>
              <w:rPr>
                <w:rFonts w:ascii="Times New Roman" w:hAnsi="Times New Roman"/>
                <w:spacing w:val="0"/>
                <w:sz w:val="20"/>
              </w:rPr>
              <w:t>Berndt-von</w:t>
            </w:r>
          </w:p>
          <w:p>
            <w:pPr>
              <w:pStyle w:val="TableContents"/>
              <w:spacing w:before="0" w:after="0"/>
              <w:jc w:val="left"/>
              <w:rPr>
                <w:rFonts w:ascii="Times New Roman" w:hAnsi="Times New Roman"/>
                <w:sz w:val="20"/>
              </w:rPr>
            </w:pPr>
            <w:r>
              <w:rPr>
                <w:rFonts w:ascii="Times New Roman" w:hAnsi="Times New Roman"/>
                <w:sz w:val="20"/>
              </w:rPr>
              <w:t xml:space="preserve">Bülow, CFO, graduate in business administration, Tutzing </w:t>
            </w:r>
          </w:p>
        </w:tc>
      </w:tr>
    </w:tbl>
    <w:p>
      <w:pPr>
        <w:pStyle w:val="TextBody"/>
        <w:spacing w:before="0" w:after="0"/>
        <w:ind w:left="0" w:right="0" w:hanging="0"/>
        <w:jc w:val="left"/>
        <w:rPr>
          <w:highlight w:val="white"/>
        </w:rPr>
      </w:pPr>
      <w:r>
        <w:rPr>
          <w:highlight w:val="white"/>
        </w:rPr>
        <w:t> </w:t>
      </w:r>
    </w:p>
    <w:tbl>
      <w:tblPr>
        <w:tblW w:w="3850" w:type="dxa"/>
        <w:jc w:val="left"/>
        <w:tblInd w:w="0" w:type="dxa"/>
        <w:tblCellMar>
          <w:top w:w="0" w:type="dxa"/>
          <w:left w:w="0" w:type="dxa"/>
          <w:bottom w:w="0" w:type="dxa"/>
          <w:right w:w="0" w:type="dxa"/>
        </w:tblCellMar>
      </w:tblPr>
      <w:tblGrid>
        <w:gridCol w:w="75"/>
        <w:gridCol w:w="110"/>
        <w:gridCol w:w="60"/>
        <w:gridCol w:w="36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6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Joachim Horwath, CTO, Dipl,-Ing, Gilching </w:t>
            </w:r>
          </w:p>
        </w:tc>
      </w:tr>
    </w:tbl>
    <w:p>
      <w:pPr>
        <w:pStyle w:val="TextBody"/>
        <w:spacing w:before="240" w:after="0"/>
        <w:ind w:left="0" w:right="0" w:hanging="0"/>
        <w:jc w:val="both"/>
        <w:rPr>
          <w:rFonts w:ascii="Times New Roman" w:hAnsi="Times New Roman"/>
          <w:sz w:val="20"/>
          <w:highlight w:val="white"/>
        </w:rPr>
      </w:pPr>
      <w:r>
        <w:rPr>
          <w:rFonts w:ascii="Times New Roman" w:hAnsi="Times New Roman"/>
          <w:sz w:val="20"/>
          <w:highlight w:val="white"/>
        </w:rPr>
        <w:t xml:space="preserve">The Supervisory Board consists of the following members: </w:t>
      </w:r>
    </w:p>
    <w:p>
      <w:pPr>
        <w:pStyle w:val="TextBody"/>
        <w:spacing w:before="0" w:after="0"/>
        <w:ind w:left="0" w:right="0" w:hanging="0"/>
        <w:jc w:val="left"/>
        <w:rPr>
          <w:highlight w:val="white"/>
        </w:rPr>
      </w:pPr>
      <w:r>
        <w:rPr>
          <w:highlight w:val="white"/>
        </w:rPr>
        <w:t> </w:t>
      </w:r>
    </w:p>
    <w:tbl>
      <w:tblPr>
        <w:tblW w:w="4705" w:type="dxa"/>
        <w:jc w:val="left"/>
        <w:tblInd w:w="0" w:type="dxa"/>
        <w:tblCellMar>
          <w:top w:w="0" w:type="dxa"/>
          <w:left w:w="0" w:type="dxa"/>
          <w:bottom w:w="0" w:type="dxa"/>
          <w:right w:w="0" w:type="dxa"/>
        </w:tblCellMar>
      </w:tblPr>
      <w:tblGrid>
        <w:gridCol w:w="75"/>
        <w:gridCol w:w="110"/>
        <w:gridCol w:w="60"/>
        <w:gridCol w:w="44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4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Dr, Manfred Krischke, Chairman, CEO of Cloudeo AG </w:t>
            </w:r>
          </w:p>
        </w:tc>
      </w:tr>
    </w:tbl>
    <w:p>
      <w:pPr>
        <w:pStyle w:val="TextBody"/>
        <w:spacing w:before="0" w:after="0"/>
        <w:ind w:left="0" w:right="0" w:hanging="0"/>
        <w:jc w:val="left"/>
        <w:rPr>
          <w:highlight w:val="white"/>
        </w:rPr>
      </w:pPr>
      <w:r>
        <w:rPr>
          <w:highlight w:val="white"/>
        </w:rPr>
        <w:t> </w:t>
      </w:r>
    </w:p>
    <w:tbl>
      <w:tblPr>
        <w:tblW w:w="6130" w:type="dxa"/>
        <w:jc w:val="left"/>
        <w:tblInd w:w="0" w:type="dxa"/>
        <w:tblCellMar>
          <w:top w:w="0" w:type="dxa"/>
          <w:left w:w="0" w:type="dxa"/>
          <w:bottom w:w="0" w:type="dxa"/>
          <w:right w:w="0" w:type="dxa"/>
        </w:tblCellMar>
      </w:tblPr>
      <w:tblGrid>
        <w:gridCol w:w="75"/>
        <w:gridCol w:w="110"/>
        <w:gridCol w:w="60"/>
        <w:gridCol w:w="58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8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Peter Müller-Brühl, Deputy Chairman, COO of GreenCom Networks AG </w:t>
            </w:r>
          </w:p>
        </w:tc>
      </w:tr>
    </w:tbl>
    <w:p>
      <w:pPr>
        <w:pStyle w:val="TextBody"/>
        <w:spacing w:before="0" w:after="0"/>
        <w:ind w:left="0" w:right="0" w:hanging="0"/>
        <w:jc w:val="left"/>
        <w:rPr>
          <w:highlight w:val="white"/>
        </w:rPr>
      </w:pPr>
      <w:r>
        <w:rPr>
          <w:highlight w:val="white"/>
        </w:rPr>
        <w:t> </w:t>
      </w:r>
    </w:p>
    <w:tbl>
      <w:tblPr>
        <w:tblW w:w="7465" w:type="dxa"/>
        <w:jc w:val="left"/>
        <w:tblInd w:w="0" w:type="dxa"/>
        <w:tblCellMar>
          <w:top w:w="0" w:type="dxa"/>
          <w:left w:w="0" w:type="dxa"/>
          <w:bottom w:w="0" w:type="dxa"/>
          <w:right w:w="0" w:type="dxa"/>
        </w:tblCellMar>
      </w:tblPr>
      <w:tblGrid>
        <w:gridCol w:w="75"/>
        <w:gridCol w:w="110"/>
        <w:gridCol w:w="60"/>
        <w:gridCol w:w="72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Steve Geskos, member of the Supervisory Board, Managing Director Rose Park Advisors </w:t>
            </w:r>
          </w:p>
        </w:tc>
      </w:tr>
    </w:tbl>
    <w:p>
      <w:pPr>
        <w:pStyle w:val="TextBody"/>
        <w:spacing w:before="0" w:after="0"/>
        <w:ind w:left="0" w:right="0" w:hanging="0"/>
        <w:jc w:val="left"/>
        <w:rPr>
          <w:highlight w:val="white"/>
        </w:rPr>
      </w:pPr>
      <w:r>
        <w:rPr>
          <w:highlight w:val="white"/>
        </w:rPr>
        <w:t> </w:t>
      </w:r>
    </w:p>
    <w:tbl>
      <w:tblPr>
        <w:tblW w:w="8875" w:type="dxa"/>
        <w:jc w:val="left"/>
        <w:tblInd w:w="0" w:type="dxa"/>
        <w:tblCellMar>
          <w:top w:w="0" w:type="dxa"/>
          <w:left w:w="0" w:type="dxa"/>
          <w:bottom w:w="0" w:type="dxa"/>
          <w:right w:w="0" w:type="dxa"/>
        </w:tblCellMar>
      </w:tblPr>
      <w:tblGrid>
        <w:gridCol w:w="75"/>
        <w:gridCol w:w="110"/>
        <w:gridCol w:w="60"/>
        <w:gridCol w:w="86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6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Hans Königsmann, member of the Supervisory Board, Former vice president of flight reliability at SpaceX </w:t>
            </w:r>
          </w:p>
        </w:tc>
      </w:tr>
    </w:tbl>
    <w:p>
      <w:pPr>
        <w:pStyle w:val="TextBody"/>
        <w:spacing w:before="0" w:after="0"/>
        <w:ind w:left="0" w:right="0" w:hanging="0"/>
        <w:jc w:val="left"/>
        <w:rPr>
          <w:highlight w:val="white"/>
        </w:rPr>
      </w:pPr>
      <w:r>
        <w:rPr>
          <w:highlight w:val="white"/>
        </w:rPr>
        <w:t> </w:t>
      </w:r>
    </w:p>
    <w:tbl>
      <w:tblPr>
        <w:tblW w:w="9625" w:type="dxa"/>
        <w:jc w:val="left"/>
        <w:tblInd w:w="0" w:type="dxa"/>
        <w:tblCellMar>
          <w:top w:w="0" w:type="dxa"/>
          <w:left w:w="0" w:type="dxa"/>
          <w:bottom w:w="0" w:type="dxa"/>
          <w:right w:w="0" w:type="dxa"/>
        </w:tblCellMar>
      </w:tblPr>
      <w:tblGrid>
        <w:gridCol w:w="75"/>
        <w:gridCol w:w="110"/>
        <w:gridCol w:w="60"/>
        <w:gridCol w:w="93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Vincent Wobbe, member of the Supervisory Board, Head of Public Markets Investments Apeiron Investment Group </w:t>
            </w:r>
          </w:p>
        </w:tc>
      </w:tr>
    </w:tbl>
    <w:p>
      <w:pPr>
        <w:pStyle w:val="TextBody"/>
        <w:spacing w:before="0" w:after="0"/>
        <w:ind w:left="0" w:right="0" w:hanging="0"/>
        <w:jc w:val="left"/>
        <w:rPr>
          <w:highlight w:val="white"/>
        </w:rPr>
      </w:pPr>
      <w:r>
        <w:rPr>
          <w:highlight w:val="white"/>
        </w:rPr>
        <w:t> </w:t>
      </w:r>
    </w:p>
    <w:tbl>
      <w:tblPr>
        <w:tblW w:w="2995" w:type="dxa"/>
        <w:jc w:val="left"/>
        <w:tblInd w:w="0" w:type="dxa"/>
        <w:tblCellMar>
          <w:top w:w="0" w:type="dxa"/>
          <w:left w:w="0" w:type="dxa"/>
          <w:bottom w:w="0" w:type="dxa"/>
          <w:right w:w="0" w:type="dxa"/>
        </w:tblCellMar>
      </w:tblPr>
      <w:tblGrid>
        <w:gridCol w:w="335"/>
        <w:gridCol w:w="2660"/>
      </w:tblGrid>
      <w:tr>
        <w:trPr/>
        <w:tc>
          <w:tcPr>
            <w:tcW w:w="335" w:type="dxa"/>
            <w:tcBorders/>
            <w:shd w:fill="auto" w:val="clear"/>
            <w:vAlign w:val="center"/>
          </w:tcPr>
          <w:p>
            <w:pPr>
              <w:pStyle w:val="TableContents"/>
              <w:spacing w:before="0" w:after="0"/>
              <w:jc w:val="both"/>
              <w:rPr>
                <w:b/>
                <w:spacing w:val="0"/>
              </w:rPr>
            </w:pPr>
            <w:r>
              <w:rPr>
                <w:b/>
                <w:spacing w:val="0"/>
              </w:rPr>
              <w:t>36.</w:t>
            </w:r>
          </w:p>
        </w:tc>
        <w:tc>
          <w:tcPr>
            <w:tcW w:w="2660" w:type="dxa"/>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 xml:space="preserve">Events after the reporting date </w:t>
            </w:r>
          </w:p>
        </w:tc>
      </w:tr>
    </w:tbl>
    <w:p>
      <w:pPr>
        <w:pStyle w:val="TextBody"/>
        <w:spacing w:before="120" w:after="0"/>
        <w:ind w:left="0" w:right="0" w:hanging="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Changes in the Management Board </w:t>
      </w:r>
    </w:p>
    <w:p>
      <w:pPr>
        <w:pStyle w:val="TextBody"/>
        <w:spacing w:before="120" w:after="0"/>
        <w:ind w:left="0" w:right="0" w:hanging="0"/>
        <w:jc w:val="both"/>
        <w:rPr>
          <w:rFonts w:ascii="Times New Roman" w:hAnsi="Times New Roman"/>
          <w:sz w:val="20"/>
          <w:highlight w:val="white"/>
        </w:rPr>
      </w:pPr>
      <w:r>
        <w:rPr>
          <w:rFonts w:ascii="Times New Roman" w:hAnsi="Times New Roman"/>
          <w:sz w:val="20"/>
          <w:highlight w:val="white"/>
        </w:rPr>
        <w:t xml:space="preserve">Mustafa Veziroglu has been appointed as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Co-CEO</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with Bulent Altan for the Mynaric AG as of February 1, 2023. </w:t>
      </w:r>
    </w:p>
    <w:p>
      <w:pPr>
        <w:pStyle w:val="TextBody"/>
        <w:spacing w:before="360" w:after="0"/>
        <w:ind w:left="0" w:right="0" w:hanging="0"/>
        <w:jc w:val="left"/>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Credit agreement 2023 </w:t>
      </w:r>
    </w:p>
    <w:p>
      <w:pPr>
        <w:pStyle w:val="TextBody"/>
        <w:spacing w:before="12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On April 25, 2023, our subsidiary, Mynaric USA Inc. (“Mynaric USA”), entered into a new</w:t>
      </w:r>
    </w:p>
    <w:p>
      <w:pPr>
        <w:pStyle w:val="TextBody"/>
        <w:spacing w:before="120" w:after="0"/>
        <w:jc w:val="both"/>
        <w:rPr>
          <w:highlight w:val="white"/>
        </w:rPr>
      </w:pPr>
      <w:r>
        <w:rPr>
          <w:highlight w:val="white"/>
        </w:rPr>
        <w:t> </w:t>
      </w:r>
    </w:p>
    <w:p>
      <w:pPr>
        <w:pStyle w:val="TextBody"/>
        <w:spacing w:before="12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five-year</w:t>
      </w:r>
    </w:p>
    <w:p>
      <w:pPr>
        <w:pStyle w:val="TextBody"/>
        <w:spacing w:before="12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term loan credit agreement with two funds affiliated with a U.S.-based global investment management firm (the “Lenders”), and Alter Domus (US) LLC, as administrative agent. Pursuant to the credit agreement 2023, the lenders agreed to provide Mynaric USA with a secured term loan facility in an aggregate principal amount of</w:t>
      </w:r>
    </w:p>
    <w:p>
      <w:pPr>
        <w:pStyle w:val="TextBody"/>
        <w:spacing w:before="120" w:after="0"/>
        <w:jc w:val="both"/>
        <w:rPr>
          <w:rFonts w:ascii="Times New Roman" w:hAnsi="Times New Roman"/>
          <w:sz w:val="20"/>
          <w:highlight w:val="white"/>
        </w:rPr>
      </w:pPr>
      <w:r>
        <w:rPr>
          <w:rFonts w:ascii="Times New Roman" w:hAnsi="Times New Roman"/>
          <w:sz w:val="20"/>
          <w:highlight w:val="white"/>
        </w:rPr>
        <w:t>$</w:t>
      </w:r>
    </w:p>
    <w:p>
      <w:pPr>
        <w:pStyle w:val="TextBody"/>
        <w:spacing w:before="12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75</w:t>
      </w:r>
    </w:p>
    <w:p>
      <w:pPr>
        <w:pStyle w:val="TextBody"/>
        <w:spacing w:before="120" w:after="0"/>
        <w:jc w:val="both"/>
        <w:rPr>
          <w:highlight w:val="white"/>
        </w:rPr>
      </w:pPr>
      <w:r>
        <w:rPr>
          <w:highlight w:val="white"/>
        </w:rPr>
        <w:t> </w:t>
      </w:r>
      <w:r>
        <w:rPr>
          <w:rFonts w:ascii="Times New Roman" w:hAnsi="Times New Roman"/>
          <w:sz w:val="20"/>
          <w:highlight w:val="white"/>
        </w:rPr>
        <w:t>m</w:t>
      </w:r>
    </w:p>
    <w:p>
      <w:pPr>
        <w:pStyle w:val="TextBody"/>
        <w:spacing w:before="12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illion. Mynaric USA drew the full amount of the facility (subject to a</w:t>
      </w:r>
    </w:p>
    <w:p>
      <w:pPr>
        <w:pStyle w:val="TextBody"/>
        <w:spacing w:before="12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1</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original issue discount) on the day of the execution of the credit agreement 2023. The loans under the credit agreement 2023 bear interest at a rate equal to Term SOFR for a 3-month tenor (subject to a 2% floor), plus a margin of 10%, and for the first two years, interest in an amount equal to 3% can be paid in kind by increasing the principal amount of the loans.</w:t>
      </w:r>
    </w:p>
    <w:p>
      <w:pPr>
        <w:pStyle w:val="TextBody"/>
        <w:spacing w:before="120" w:after="0"/>
        <w:jc w:val="both"/>
        <w:rPr>
          <w:highlight w:val="white"/>
        </w:rPr>
      </w:pPr>
      <w:r>
        <w:rPr>
          <w:highlight w:val="white"/>
        </w:rPr>
        <w:t> </w:t>
      </w:r>
    </w:p>
    <w:p>
      <w:pPr>
        <w:pStyle w:val="TextBody"/>
        <w:widowControl/>
        <w:spacing w:before="120" w:after="0"/>
        <w:ind w:left="0" w:right="0" w:hanging="0"/>
        <w:jc w:val="both"/>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In addition, the credit agreement 2023 requires Mynaric USA to pay an exit fee to the Lenders at the time the loans are repaid, prepaid or accelerated. The exit fee is calculated as 200% of “invested capital” less the cumulative amount of principal repayments and cash interest payments on the loans received prior to the exit date, with</w:t>
      </w:r>
    </w:p>
    <w:p>
      <w:pPr>
        <w:pStyle w:val="TextBody"/>
        <w:spacing w:before="120" w:after="0"/>
        <w:jc w:val="both"/>
        <w:rPr>
          <w:rFonts w:ascii="Times New Roman" w:hAnsi="Times New Roman"/>
          <w:sz w:val="20"/>
        </w:rPr>
      </w:pPr>
      <w:r>
        <w:rPr>
          <w:rFonts w:ascii="Times New Roman" w:hAnsi="Times New Roman"/>
          <w:sz w:val="20"/>
        </w:rPr>
      </w:r>
    </w:p>
    <w:p>
      <w:pPr>
        <w:pStyle w:val="TextBody"/>
        <w:spacing w:before="0" w:after="0"/>
        <w:ind w:left="0" w:right="0" w:hanging="0"/>
        <w:jc w:val="left"/>
        <w:rPr>
          <w:highlight w:val="white"/>
        </w:rPr>
      </w:pPr>
      <w:r>
        <w:rPr>
          <w:highlight w:val="white"/>
        </w:rPr>
        <w:t> </w:t>
      </w:r>
    </w:p>
    <w:p>
      <w:pPr>
        <w:pStyle w:val="TextBody"/>
        <w:spacing w:before="0" w:after="0"/>
        <w:ind w:left="0" w:right="0" w:hanging="0"/>
        <w:jc w:val="center"/>
        <w:rPr>
          <w:rFonts w:ascii="Times New Roman" w:hAnsi="Times New Roman"/>
          <w:sz w:val="20"/>
          <w:highlight w:val="white"/>
        </w:rPr>
      </w:pPr>
      <w:r>
        <w:rPr>
          <w:rFonts w:ascii="Times New Roman" w:hAnsi="Times New Roman"/>
          <w:sz w:val="20"/>
          <w:highlight w:val="white"/>
        </w:rPr>
        <w:t>F-47</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widowControl/>
        <w:spacing w:before="0" w:after="0"/>
        <w:ind w:left="0" w:right="0" w:hanging="0"/>
        <w:jc w:val="left"/>
        <w:rPr>
          <w:caps w:val="false"/>
          <w:smallCaps w:val="false"/>
          <w:color w:val="000000"/>
          <w:spacing w:val="0"/>
          <w:highlight w:val="white"/>
        </w:rPr>
      </w:pPr>
      <w:r>
        <w:rPr>
          <w:caps w:val="false"/>
          <w:smallCaps w:val="false"/>
          <w:color w:val="000000"/>
          <w:spacing w:val="0"/>
          <w:highlight w:val="white"/>
        </w:rPr>
        <w:t>“</w:t>
      </w:r>
      <w:r>
        <w:rPr>
          <w:rFonts w:ascii="Times New Roman" w:hAnsi="Times New Roman"/>
          <w:b w:val="false"/>
          <w:i w:val="false"/>
          <w:caps w:val="false"/>
          <w:smallCaps w:val="false"/>
          <w:color w:val="000000"/>
          <w:spacing w:val="0"/>
          <w:sz w:val="20"/>
          <w:highlight w:val="white"/>
        </w:rPr>
        <w:t>invested capital” defined to mean $74,250,000 plus the aggregate amount by which the principal amount of the loans is increased as a result of the payment of interest in kind. The exit fee percentage would be reduced to 185% if the exit fee is triggered prior to the fourth anniversary of the drawdown date and 180% if triggered prior to the third anniversary of the drawdown date. In addition, certain partial mandatory prepayments require the payment of a portion of the exit fee prior to the full repayment of the facility.</w:t>
      </w:r>
    </w:p>
    <w:p>
      <w:pPr>
        <w:pStyle w:val="TextBody"/>
        <w:widowControl/>
        <w:spacing w:before="0" w:after="0"/>
        <w:ind w:left="0" w:right="0" w:hanging="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The loans under the credit agreement 2023 are guaranteed by the Company and each of its subsidiaries and are secured by a security interest in substantially all of the assets of the borrower and each of the guarantors.</w:t>
      </w:r>
    </w:p>
    <w:p>
      <w:pPr>
        <w:pStyle w:val="TextBody"/>
        <w:spacing w:before="0" w:after="0"/>
        <w:ind w:left="0" w:right="0" w:hanging="0"/>
        <w:jc w:val="both"/>
        <w:rPr>
          <w:rFonts w:ascii="Times New Roman" w:hAnsi="Times New Roman"/>
          <w:sz w:val="20"/>
          <w:highlight w:val="white"/>
        </w:rPr>
      </w:pPr>
      <w:r>
        <w:rPr>
          <w:rFonts w:ascii="Times New Roman" w:hAnsi="Times New Roman"/>
          <w:sz w:val="20"/>
          <w:highlight w:val="white"/>
        </w:rPr>
        <w:br/>
        <w:t xml:space="preserve">A portion of the proceeds of the loans were used to repay in full the Company’s existing indebtedness under the credit agreement entered into in 2022 and for fees and expenses associated with entering into the credit agreement 2023, the remaining amount will be used for general corporate purposes. </w:t>
      </w:r>
    </w:p>
    <w:p>
      <w:pPr>
        <w:pStyle w:val="TextBody"/>
        <w:spacing w:before="240" w:after="0"/>
        <w:ind w:left="0" w:right="0" w:hanging="0"/>
        <w:jc w:val="both"/>
        <w:rPr>
          <w:rFonts w:ascii="Times New Roman" w:hAnsi="Times New Roman"/>
          <w:sz w:val="20"/>
          <w:highlight w:val="white"/>
        </w:rPr>
      </w:pPr>
      <w:r>
        <w:rPr>
          <w:rFonts w:ascii="Times New Roman" w:hAnsi="Times New Roman"/>
          <w:sz w:val="20"/>
          <w:highlight w:val="white"/>
        </w:rPr>
        <w:t xml:space="preserve">The credit agreement 2023 contains customary events of default, as well as customary affirmative and negative covenants, including covenants that limit the ability of the borrower and the guarantors to incur indebtedness or liens, make investments, sell assets, pay dividends or engage in mergers or other corporate transactions. Each such covenant is subject to customary exceptions and qualifications. In addition, the credit agreement 2023 contains financial maintenance covenants, including a covenant requiring the Company not to exceed a specified consolidated leverage ratio (as calculated in accordance with the credit agreement) as of the end of any quarter commencing with the quarter ending March 31, 2025 and a covenant requiring the Company to maintain minimum average weekly liquidity of $10 million during each quarter, commencing with the quarter ending June 30, 2023. </w:t>
      </w:r>
    </w:p>
    <w:p>
      <w:pPr>
        <w:pStyle w:val="TextBody"/>
        <w:spacing w:before="360" w:after="0"/>
        <w:ind w:left="0" w:right="0" w:hanging="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Equity Investment </w:t>
      </w:r>
    </w:p>
    <w:p>
      <w:pPr>
        <w:pStyle w:val="TextBody"/>
        <w:spacing w:before="12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In connection with the credit agreement 2023, on</w:t>
      </w:r>
    </w:p>
    <w:p>
      <w:pPr>
        <w:pStyle w:val="TextBody"/>
        <w:spacing w:before="120" w:after="0"/>
        <w:jc w:val="both"/>
        <w:rPr>
          <w:rFonts w:ascii="Times New Roman" w:hAnsi="Times New Roman"/>
          <w:sz w:val="20"/>
          <w:highlight w:val="white"/>
        </w:rPr>
      </w:pPr>
      <w:r>
        <w:rPr>
          <w:rFonts w:ascii="Times New Roman" w:hAnsi="Times New Roman"/>
          <w:sz w:val="20"/>
          <w:highlight w:val="white"/>
        </w:rPr>
        <w:t>April </w:t>
      </w:r>
    </w:p>
    <w:p>
      <w:pPr>
        <w:pStyle w:val="TextBody"/>
        <w:spacing w:before="12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25</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 2023, the Company and </w:t>
      </w:r>
    </w:p>
    <w:p>
      <w:pPr>
        <w:pStyle w:val="TextBody"/>
        <w:spacing w:before="12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two affiliates of the Lenders (the “Subscribers”)</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entered into a subscription agreement, pursuant to which </w:t>
      </w:r>
    </w:p>
    <w:p>
      <w:pPr>
        <w:pStyle w:val="TextBody"/>
        <w:spacing w:before="12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the Subscribers</w:t>
      </w:r>
    </w:p>
    <w:p>
      <w:pPr>
        <w:pStyle w:val="TextBody"/>
        <w:spacing w:before="120" w:after="0"/>
        <w:jc w:val="both"/>
        <w:rPr>
          <w:rFonts w:ascii="Times New Roman" w:hAnsi="Times New Roman"/>
          <w:sz w:val="20"/>
          <w:highlight w:val="white"/>
        </w:rPr>
      </w:pPr>
      <w:r>
        <w:rPr>
          <w:rFonts w:ascii="Times New Roman" w:hAnsi="Times New Roman"/>
          <w:sz w:val="20"/>
          <w:highlight w:val="white"/>
        </w:rPr>
        <w:t>subscribed for 401,309 </w:t>
      </w:r>
    </w:p>
    <w:p>
      <w:pPr>
        <w:pStyle w:val="TextBody"/>
        <w:spacing w:before="12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and 163,915</w:t>
      </w:r>
    </w:p>
    <w:p>
      <w:pPr>
        <w:pStyle w:val="TextBody"/>
        <w:spacing w:before="120" w:after="0"/>
        <w:jc w:val="both"/>
        <w:rPr>
          <w:spacing w:val="0"/>
          <w:highlight w:val="white"/>
        </w:rPr>
      </w:pPr>
      <w:r>
        <w:rPr>
          <w:spacing w:val="0"/>
          <w:highlight w:val="white"/>
        </w:rPr>
        <w:t>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new ordinary registered shares, </w:t>
      </w:r>
    </w:p>
    <w:p>
      <w:pPr>
        <w:pStyle w:val="TextBody"/>
        <w:spacing w:before="120" w:after="0"/>
        <w:ind w:left="0" w:right="0" w:hanging="0"/>
        <w:jc w:val="both"/>
        <w:rPr>
          <w:rFonts w:ascii="Times New Roman" w:hAnsi="Times New Roman"/>
          <w:spacing w:val="0"/>
          <w:sz w:val="20"/>
          <w:highlight w:val="white"/>
        </w:rPr>
      </w:pPr>
      <w:r>
        <w:rPr>
          <w:rFonts w:ascii="Times New Roman" w:hAnsi="Times New Roman"/>
          <w:spacing w:val="0"/>
          <w:sz w:val="20"/>
          <w:highlight w:val="white"/>
        </w:rPr>
        <w:t>respectively.</w:t>
      </w:r>
    </w:p>
    <w:p>
      <w:pPr>
        <w:pStyle w:val="TextBody"/>
        <w:spacing w:before="120" w:after="0"/>
        <w:jc w:val="both"/>
        <w:rPr>
          <w:spacing w:val="0"/>
          <w:highlight w:val="white"/>
        </w:rPr>
      </w:pPr>
      <w:r>
        <w:rPr>
          <w:spacing w:val="0"/>
          <w:highlight w:val="white"/>
        </w:rPr>
        <w:t> </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The placement price for the new shares was €22.019 per ordinary share, resulting in an aggregate proceeds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raised </w:t>
      </w:r>
    </w:p>
    <w:p>
      <w:pPr>
        <w:pStyle w:val="TextBody"/>
        <w:spacing w:before="120" w:after="0"/>
        <w:jc w:val="both"/>
        <w:rPr>
          <w:rFonts w:ascii="Times New Roman" w:hAnsi="Times New Roman"/>
          <w:sz w:val="20"/>
          <w:highlight w:val="white"/>
        </w:rPr>
      </w:pPr>
      <w:r>
        <w:rPr>
          <w:rFonts w:ascii="Times New Roman" w:hAnsi="Times New Roman"/>
          <w:sz w:val="20"/>
          <w:highlight w:val="white"/>
        </w:rPr>
        <w:t>of €12.4 million. On the same day, the management board of the Company resolved, with the approval of the supervisory board, to increase the Company’s share capital from €5,668,391.00 to €6,233,615.00 by issuing 565,224 new ordinary registered shares by partially utilizing the Authorized Capital 2022/I and with the exclusion of the shareholders’ subscription rights.</w:t>
      </w:r>
    </w:p>
    <w:p>
      <w:pPr>
        <w:pStyle w:val="TextBody"/>
        <w:spacing w:before="120" w:after="0"/>
        <w:jc w:val="both"/>
        <w:rPr>
          <w:spacing w:val="0"/>
          <w:highlight w:val="white"/>
        </w:rPr>
      </w:pPr>
      <w:r>
        <w:rPr>
          <w:spacing w:val="0"/>
          <w:highlight w:val="white"/>
        </w:rPr>
        <w:t>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We applied to the commercial register for the registration of the capital increase on April 27, 2023. Upon effectiveness of the capital increase, the Subscribers will own approximately 6.4% and 2.6%, respectively, of Mynaric’s total share capital. </w:t>
      </w:r>
    </w:p>
    <w:p>
      <w:pPr>
        <w:pStyle w:val="TextBody"/>
        <w:spacing w:before="360" w:after="0"/>
        <w:ind w:left="0" w:right="0" w:hanging="0"/>
        <w:jc w:val="both"/>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RSU Program 2022 </w:t>
      </w:r>
    </w:p>
    <w:p>
      <w:pPr>
        <w:pStyle w:val="TextBody"/>
        <w:spacing w:before="120" w:after="0"/>
        <w:ind w:left="0" w:right="0" w:hanging="0"/>
        <w:jc w:val="both"/>
        <w:rPr>
          <w:rFonts w:ascii="Times New Roman" w:hAnsi="Times New Roman"/>
          <w:sz w:val="20"/>
          <w:highlight w:val="white"/>
        </w:rPr>
      </w:pPr>
      <w:r>
        <w:rPr>
          <w:rFonts w:ascii="Times New Roman" w:hAnsi="Times New Roman"/>
          <w:sz w:val="20"/>
          <w:highlight w:val="white"/>
        </w:rPr>
        <w:t xml:space="preserve">In November 2022, a new RSU program agreement was set up for 262,147 subscription rights. The subscription right will be granted to selected employees of the Group of restricted stock units (RSUs). Under the RSU Program 2022, each beneficiary will be granted a specific Euro amount, which will be converted into a certain number of RSUs, which is dependent on the </w:t>
      </w:r>
    </w:p>
    <w:p>
      <w:pPr>
        <w:pStyle w:val="TextBody"/>
        <w:spacing w:before="120" w:after="0"/>
        <w:jc w:val="both"/>
        <w:rPr>
          <w:rFonts w:ascii="Times New Roman" w:hAnsi="Times New Roman"/>
          <w:spacing w:val="0"/>
          <w:sz w:val="20"/>
          <w:highlight w:val="white"/>
        </w:rPr>
      </w:pPr>
      <w:r>
        <w:rPr>
          <w:rFonts w:ascii="Times New Roman" w:hAnsi="Times New Roman"/>
          <w:spacing w:val="0"/>
          <w:sz w:val="20"/>
          <w:highlight w:val="white"/>
        </w:rPr>
        <w:t>six-month</w:t>
      </w:r>
    </w:p>
    <w:p>
      <w:pPr>
        <w:pStyle w:val="TextBody"/>
        <w:spacing w:before="120" w:after="0"/>
        <w:jc w:val="both"/>
        <w:rPr>
          <w:rFonts w:ascii="Times New Roman" w:hAnsi="Times New Roman"/>
          <w:sz w:val="20"/>
          <w:highlight w:val="white"/>
        </w:rPr>
      </w:pPr>
      <w:r>
        <w:rPr>
          <w:rFonts w:ascii="Times New Roman" w:hAnsi="Times New Roman"/>
          <w:sz w:val="20"/>
          <w:highlight w:val="white"/>
        </w:rPr>
        <w:t xml:space="preserve">average closing price of the shares or share certificates. </w:t>
      </w:r>
    </w:p>
    <w:p>
      <w:pPr>
        <w:pStyle w:val="TextBody"/>
        <w:spacing w:before="240" w:after="0"/>
        <w:ind w:left="0" w:right="0" w:hanging="0"/>
        <w:jc w:val="left"/>
        <w:rPr>
          <w:rFonts w:ascii="Times New Roman" w:hAnsi="Times New Roman"/>
          <w:sz w:val="20"/>
          <w:highlight w:val="white"/>
        </w:rPr>
      </w:pPr>
      <w:r>
        <w:rPr>
          <w:rFonts w:ascii="Times New Roman" w:hAnsi="Times New Roman"/>
          <w:sz w:val="20"/>
          <w:highlight w:val="white"/>
        </w:rPr>
        <w:t xml:space="preserve">RSUs will vest in instalments over a four-year vesting period as follows: </w:t>
      </w:r>
    </w:p>
    <w:p>
      <w:pPr>
        <w:pStyle w:val="TextBody"/>
        <w:spacing w:before="0" w:after="0"/>
        <w:ind w:left="0" w:right="0" w:hanging="0"/>
        <w:jc w:val="left"/>
        <w:rPr>
          <w:highlight w:val="white"/>
        </w:rPr>
      </w:pPr>
      <w:r>
        <w:rPr>
          <w:highlight w:val="white"/>
        </w:rPr>
        <w:t> </w:t>
      </w:r>
    </w:p>
    <w:tbl>
      <w:tblPr>
        <w:tblW w:w="4600" w:type="dxa"/>
        <w:jc w:val="left"/>
        <w:tblInd w:w="0" w:type="dxa"/>
        <w:tblCellMar>
          <w:top w:w="0" w:type="dxa"/>
          <w:left w:w="0" w:type="dxa"/>
          <w:bottom w:w="0" w:type="dxa"/>
          <w:right w:w="0" w:type="dxa"/>
        </w:tblCellMar>
      </w:tblPr>
      <w:tblGrid>
        <w:gridCol w:w="75"/>
        <w:gridCol w:w="110"/>
        <w:gridCol w:w="60"/>
        <w:gridCol w:w="43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3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25% of the RSUs vest 12 months after the grant date; </w:t>
            </w:r>
          </w:p>
        </w:tc>
      </w:tr>
    </w:tbl>
    <w:p>
      <w:pPr>
        <w:pStyle w:val="TextBody"/>
        <w:spacing w:before="0" w:after="0"/>
        <w:ind w:left="0" w:right="0" w:hanging="0"/>
        <w:jc w:val="left"/>
        <w:rPr>
          <w:highlight w:val="white"/>
        </w:rPr>
      </w:pPr>
      <w:r>
        <w:rPr>
          <w:highlight w:val="white"/>
        </w:rPr>
        <w:t> </w:t>
      </w:r>
    </w:p>
    <w:tbl>
      <w:tblPr>
        <w:tblW w:w="6850" w:type="dxa"/>
        <w:jc w:val="left"/>
        <w:tblInd w:w="0" w:type="dxa"/>
        <w:tblCellMar>
          <w:top w:w="0" w:type="dxa"/>
          <w:left w:w="0" w:type="dxa"/>
          <w:bottom w:w="0" w:type="dxa"/>
          <w:right w:w="0" w:type="dxa"/>
        </w:tblCellMar>
      </w:tblPr>
      <w:tblGrid>
        <w:gridCol w:w="75"/>
        <w:gridCol w:w="110"/>
        <w:gridCol w:w="60"/>
        <w:gridCol w:w="66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6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remaining unvested RSUs will vest in equal amounts each quarter thereafter. </w:t>
            </w:r>
          </w:p>
        </w:tc>
      </w:tr>
    </w:tbl>
    <w:p>
      <w:pPr>
        <w:pStyle w:val="TextBody"/>
        <w:spacing w:before="240" w:after="0"/>
        <w:ind w:left="0" w:right="0" w:hanging="0"/>
        <w:jc w:val="both"/>
        <w:rPr>
          <w:rFonts w:ascii="Times New Roman" w:hAnsi="Times New Roman"/>
          <w:sz w:val="20"/>
          <w:highlight w:val="white"/>
        </w:rPr>
      </w:pPr>
      <w:r>
        <w:rPr>
          <w:rFonts w:ascii="Times New Roman" w:hAnsi="Times New Roman"/>
          <w:sz w:val="20"/>
          <w:highlight w:val="white"/>
        </w:rPr>
        <w:t xml:space="preserve">At the discretion of the Company, vested RSUs are settled either (i) by way of new shares utilizing the Authorized Capital 2022/II (as described below under “Description of Share Capital and Articles of Association—Conditional Capital”) or (ii) by way of a cash settlement. </w:t>
      </w:r>
    </w:p>
    <w:p>
      <w:pPr>
        <w:pStyle w:val="TextBody"/>
        <w:spacing w:before="240" w:after="0"/>
        <w:ind w:left="0" w:right="0" w:hanging="0"/>
        <w:jc w:val="both"/>
        <w:rPr>
          <w:rFonts w:ascii="Times New Roman" w:hAnsi="Times New Roman"/>
          <w:sz w:val="20"/>
          <w:highlight w:val="white"/>
        </w:rPr>
      </w:pPr>
      <w:r>
        <w:rPr>
          <w:rFonts w:ascii="Times New Roman" w:hAnsi="Times New Roman"/>
          <w:sz w:val="20"/>
          <w:highlight w:val="white"/>
        </w:rPr>
        <w:t xml:space="preserve">The granting of RSUs from the RSU Program 2022 was classified and measured as equity-settled share-based payment in accordance with IFRS 2. </w:t>
      </w:r>
    </w:p>
    <w:p>
      <w:pPr>
        <w:pStyle w:val="TextBody"/>
        <w:spacing w:before="240" w:after="0"/>
        <w:ind w:left="0" w:right="0" w:hanging="0"/>
        <w:jc w:val="both"/>
        <w:rPr>
          <w:rFonts w:ascii="Times New Roman" w:hAnsi="Times New Roman"/>
          <w:sz w:val="20"/>
          <w:highlight w:val="white"/>
        </w:rPr>
      </w:pPr>
      <w:r>
        <w:rPr>
          <w:rFonts w:ascii="Times New Roman" w:hAnsi="Times New Roman"/>
          <w:sz w:val="20"/>
          <w:highlight w:val="white"/>
        </w:rPr>
        <w:t xml:space="preserve">The program was approved by the management board in February 2023 and by the supervisory board in March 2023. </w:t>
      </w:r>
    </w:p>
    <w:p>
      <w:pPr>
        <w:pStyle w:val="TextBody"/>
        <w:spacing w:before="360" w:after="0"/>
        <w:ind w:left="0" w:right="0" w:hanging="0"/>
        <w:jc w:val="both"/>
        <w:rPr>
          <w:rFonts w:ascii="Times New Roman" w:hAnsi="Times New Roman"/>
          <w:b/>
          <w:sz w:val="20"/>
          <w:highlight w:val="white"/>
        </w:rPr>
      </w:pPr>
      <w:r>
        <w:rPr>
          <w:rFonts w:ascii="Times New Roman" w:hAnsi="Times New Roman"/>
          <w:b/>
          <w:sz w:val="20"/>
          <w:highlight w:val="white"/>
        </w:rPr>
        <w:t xml:space="preserve">Gilching, </w:t>
      </w:r>
    </w:p>
    <w:p>
      <w:pPr>
        <w:pStyle w:val="TextBody"/>
        <w:spacing w:before="360" w:after="0"/>
        <w:ind w:left="0" w:right="0" w:hanging="0"/>
        <w:jc w:val="both"/>
        <w:rPr>
          <w:rFonts w:ascii="Times New Roman" w:hAnsi="Times New Roman"/>
          <w:b/>
          <w:spacing w:val="0"/>
          <w:sz w:val="20"/>
          <w:highlight w:val="white"/>
        </w:rPr>
      </w:pPr>
      <w:r>
        <w:rPr>
          <w:rFonts w:ascii="Times New Roman" w:hAnsi="Times New Roman"/>
          <w:b/>
          <w:spacing w:val="0"/>
          <w:sz w:val="20"/>
          <w:highlight w:val="white"/>
        </w:rPr>
        <w:t>April</w:t>
      </w:r>
    </w:p>
    <w:p>
      <w:pPr>
        <w:pStyle w:val="TextBody"/>
        <w:spacing w:before="360" w:after="0"/>
        <w:jc w:val="both"/>
        <w:rPr>
          <w:highlight w:val="white"/>
        </w:rPr>
      </w:pPr>
      <w:r>
        <w:rPr>
          <w:highlight w:val="white"/>
        </w:rPr>
        <w:t> </w:t>
      </w:r>
    </w:p>
    <w:p>
      <w:pPr>
        <w:pStyle w:val="TextBody"/>
        <w:spacing w:before="360" w:after="0"/>
        <w:jc w:val="both"/>
        <w:rPr>
          <w:rFonts w:ascii="Times New Roman" w:hAnsi="Times New Roman"/>
          <w:b/>
          <w:spacing w:val="0"/>
          <w:sz w:val="20"/>
          <w:highlight w:val="white"/>
        </w:rPr>
      </w:pPr>
      <w:r>
        <w:rPr>
          <w:rFonts w:ascii="Times New Roman" w:hAnsi="Times New Roman"/>
          <w:b/>
          <w:spacing w:val="0"/>
          <w:sz w:val="20"/>
          <w:highlight w:val="white"/>
        </w:rPr>
        <w:t>30</w:t>
      </w:r>
    </w:p>
    <w:p>
      <w:pPr>
        <w:pStyle w:val="TextBody"/>
        <w:spacing w:before="360" w:after="0"/>
        <w:jc w:val="both"/>
        <w:rPr>
          <w:rFonts w:ascii="Times New Roman" w:hAnsi="Times New Roman"/>
          <w:b/>
          <w:sz w:val="20"/>
          <w:highlight w:val="white"/>
        </w:rPr>
      </w:pPr>
      <w:r>
        <w:rPr>
          <w:rFonts w:ascii="Times New Roman" w:hAnsi="Times New Roman"/>
          <w:b/>
          <w:sz w:val="20"/>
          <w:highlight w:val="white"/>
        </w:rPr>
        <w:t xml:space="preserve">, 2023 </w:t>
      </w:r>
    </w:p>
    <w:p>
      <w:pPr>
        <w:pStyle w:val="TextBody"/>
        <w:spacing w:before="120" w:after="0"/>
        <w:ind w:left="0" w:right="0" w:hanging="0"/>
        <w:jc w:val="left"/>
        <w:rPr>
          <w:rFonts w:ascii="Times New Roman" w:hAnsi="Times New Roman"/>
          <w:b/>
          <w:i/>
          <w:caps w:val="false"/>
          <w:smallCaps w:val="false"/>
          <w:spacing w:val="0"/>
          <w:sz w:val="20"/>
          <w:highlight w:val="white"/>
        </w:rPr>
      </w:pPr>
      <w:r>
        <w:rPr>
          <w:rFonts w:ascii="Times New Roman" w:hAnsi="Times New Roman"/>
          <w:b/>
          <w:i/>
          <w:caps w:val="false"/>
          <w:smallCaps w:val="false"/>
          <w:spacing w:val="0"/>
          <w:sz w:val="20"/>
          <w:highlight w:val="white"/>
        </w:rPr>
        <w:t xml:space="preserve">The Management Board </w:t>
      </w:r>
    </w:p>
    <w:p>
      <w:pPr>
        <w:pStyle w:val="TextBody"/>
        <w:spacing w:before="0" w:after="0"/>
        <w:ind w:left="0" w:right="0" w:hanging="0"/>
        <w:jc w:val="left"/>
        <w:rPr>
          <w:highlight w:val="white"/>
        </w:rPr>
      </w:pPr>
      <w:r>
        <w:rPr>
          <w:highlight w:val="white"/>
        </w:rPr>
        <w:t> </w:t>
      </w:r>
    </w:p>
    <w:tbl>
      <w:tblPr>
        <w:tblW w:w="6890" w:type="dxa"/>
        <w:jc w:val="left"/>
        <w:tblInd w:w="0" w:type="dxa"/>
        <w:tblCellMar>
          <w:top w:w="0" w:type="dxa"/>
          <w:left w:w="0" w:type="dxa"/>
          <w:bottom w:w="0" w:type="dxa"/>
          <w:right w:w="0" w:type="dxa"/>
        </w:tblCellMar>
      </w:tblPr>
      <w:tblGrid>
        <w:gridCol w:w="1085"/>
        <w:gridCol w:w="120"/>
        <w:gridCol w:w="1535"/>
        <w:gridCol w:w="120"/>
        <w:gridCol w:w="1430"/>
        <w:gridCol w:w="120"/>
        <w:gridCol w:w="2480"/>
      </w:tblGrid>
      <w:tr>
        <w:trPr/>
        <w:tc>
          <w:tcPr>
            <w:tcW w:w="10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80" w:type="dxa"/>
            <w:tcBorders/>
            <w:shd w:fill="auto" w:val="clear"/>
            <w:vAlign w:val="center"/>
          </w:tcPr>
          <w:p>
            <w:pPr>
              <w:pStyle w:val="TableContents"/>
              <w:spacing w:before="0" w:after="283"/>
              <w:rPr>
                <w:sz w:val="4"/>
                <w:szCs w:val="4"/>
              </w:rPr>
            </w:pPr>
            <w:r>
              <w:rPr>
                <w:sz w:val="4"/>
                <w:szCs w:val="4"/>
              </w:rPr>
            </w:r>
          </w:p>
        </w:tc>
      </w:tr>
      <w:tr>
        <w:trPr/>
        <w:tc>
          <w:tcPr>
            <w:tcW w:w="1085" w:type="dxa"/>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Bulent Altan</w:t>
            </w:r>
          </w:p>
          <w:p>
            <w:pPr>
              <w:pStyle w:val="TableContents"/>
              <w:spacing w:before="0" w:after="20"/>
              <w:jc w:val="center"/>
              <w:rPr>
                <w:rFonts w:ascii="Times New Roman" w:hAnsi="Times New Roman"/>
                <w:spacing w:val="0"/>
                <w:sz w:val="20"/>
              </w:rPr>
            </w:pPr>
            <w:r>
              <w:rPr>
                <w:rFonts w:ascii="Times New Roman" w:hAnsi="Times New Roman"/>
                <w:spacing w:val="0"/>
                <w:sz w:val="20"/>
              </w:rPr>
              <w:t>Co-CEO</w:t>
            </w:r>
          </w:p>
        </w:tc>
        <w:tc>
          <w:tcPr>
            <w:tcW w:w="12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Mustafa Veziroglu</w:t>
            </w:r>
          </w:p>
          <w:p>
            <w:pPr>
              <w:pStyle w:val="TableContents"/>
              <w:spacing w:before="0" w:after="20"/>
              <w:jc w:val="center"/>
              <w:rPr>
                <w:rFonts w:ascii="Times New Roman" w:hAnsi="Times New Roman"/>
                <w:spacing w:val="0"/>
                <w:sz w:val="20"/>
              </w:rPr>
            </w:pPr>
            <w:r>
              <w:rPr>
                <w:rFonts w:ascii="Times New Roman" w:hAnsi="Times New Roman"/>
                <w:spacing w:val="0"/>
                <w:sz w:val="20"/>
              </w:rPr>
              <w:t>Co-CEO</w:t>
            </w:r>
          </w:p>
        </w:tc>
        <w:tc>
          <w:tcPr>
            <w:tcW w:w="120" w:type="dxa"/>
            <w:tcBorders/>
            <w:shd w:fill="auto" w:val="clear"/>
            <w:vAlign w:val="center"/>
          </w:tcPr>
          <w:p>
            <w:pPr>
              <w:pStyle w:val="TableContents"/>
              <w:spacing w:before="0" w:after="283"/>
              <w:rPr/>
            </w:pPr>
            <w:r>
              <w:rPr/>
              <w:t>  </w:t>
            </w:r>
          </w:p>
        </w:tc>
        <w:tc>
          <w:tcPr>
            <w:tcW w:w="1430" w:type="dxa"/>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Joachim Horwath</w:t>
            </w:r>
          </w:p>
          <w:p>
            <w:pPr>
              <w:pStyle w:val="TableContents"/>
              <w:spacing w:before="0" w:after="20"/>
              <w:jc w:val="center"/>
              <w:rPr>
                <w:rFonts w:ascii="Times New Roman" w:hAnsi="Times New Roman"/>
                <w:sz w:val="20"/>
              </w:rPr>
            </w:pPr>
            <w:r>
              <w:rPr>
                <w:rFonts w:ascii="Times New Roman" w:hAnsi="Times New Roman"/>
                <w:sz w:val="20"/>
              </w:rPr>
              <w:t>Founder &amp; CTO</w:t>
            </w:r>
          </w:p>
        </w:tc>
        <w:tc>
          <w:tcPr>
            <w:tcW w:w="120" w:type="dxa"/>
            <w:tcBorders/>
            <w:shd w:fill="auto" w:val="clear"/>
            <w:vAlign w:val="center"/>
          </w:tcPr>
          <w:p>
            <w:pPr>
              <w:pStyle w:val="TableContents"/>
              <w:spacing w:before="0" w:after="283"/>
              <w:rPr/>
            </w:pPr>
            <w:r>
              <w:rPr/>
              <w:t>  </w:t>
            </w:r>
          </w:p>
        </w:tc>
        <w:tc>
          <w:tcPr>
            <w:tcW w:w="2480" w:type="dxa"/>
            <w:tcBorders/>
            <w:shd w:fill="auto" w:val="clear"/>
            <w:vAlign w:val="center"/>
          </w:tcPr>
          <w:p>
            <w:pPr>
              <w:pStyle w:val="TableContents"/>
              <w:spacing w:before="0" w:after="0"/>
              <w:jc w:val="center"/>
              <w:rPr>
                <w:spacing w:val="0"/>
              </w:rPr>
            </w:pPr>
            <w:r>
              <w:rPr>
                <w:spacing w:val="0"/>
              </w:rPr>
              <w:t>Stefan Berndt-von Bülow</w:t>
            </w:r>
          </w:p>
          <w:p>
            <w:pPr>
              <w:pStyle w:val="TableContents"/>
              <w:spacing w:before="0" w:after="0"/>
              <w:jc w:val="center"/>
              <w:rPr/>
            </w:pPr>
            <w:r>
              <w:rPr/>
              <w:t>CFO</w:t>
            </w:r>
          </w:p>
        </w:tc>
      </w:tr>
    </w:tbl>
    <w:p>
      <w:pPr>
        <w:pStyle w:val="TextBody"/>
        <w:spacing w:before="0" w:after="0"/>
        <w:ind w:left="0" w:right="0" w:hanging="0"/>
        <w:jc w:val="left"/>
        <w:rPr>
          <w:highlight w:val="white"/>
        </w:rPr>
      </w:pPr>
      <w:r>
        <w:rPr>
          <w:highlight w:val="white"/>
        </w:rPr>
        <w:t> </w:t>
      </w:r>
    </w:p>
    <w:p>
      <w:pPr>
        <w:pStyle w:val="TextBody"/>
        <w:spacing w:before="0" w:after="0"/>
        <w:ind w:left="0" w:right="0" w:hanging="0"/>
        <w:jc w:val="center"/>
        <w:rPr>
          <w:rFonts w:ascii="Times New Roman" w:hAnsi="Times New Roman"/>
          <w:sz w:val="20"/>
          <w:highlight w:val="white"/>
        </w:rPr>
      </w:pPr>
      <w:r>
        <w:rPr>
          <w:rFonts w:ascii="Times New Roman" w:hAnsi="Times New Roman"/>
          <w:sz w:val="20"/>
          <w:highlight w:val="white"/>
        </w:rPr>
        <w:t>F-4</w:t>
      </w:r>
    </w:p>
    <w:p>
      <w:pPr>
        <w:pStyle w:val="TextBody"/>
        <w:jc w:val="center"/>
        <w:rPr>
          <w:rFonts w:ascii="Times New Roman" w:hAnsi="Times New Roman"/>
          <w:spacing w:val="0"/>
          <w:sz w:val="20"/>
          <w:highlight w:val="white"/>
        </w:rPr>
      </w:pPr>
      <w:r>
        <w:rPr>
          <w:rFonts w:ascii="Times New Roman" w:hAnsi="Times New Roman"/>
          <w:spacing w:val="0"/>
          <w:sz w:val="20"/>
          <w:highlight w:val="white"/>
        </w:rPr>
        <w:t>8</w:t>
      </w:r>
      <w:r>
        <w:br w:type="page"/>
      </w:r>
    </w:p>
    <w:p>
      <w:pPr>
        <w:pStyle w:val="TextBody"/>
        <w:spacing w:before="0" w:after="0"/>
        <w:ind w:left="0" w:right="0" w:hanging="0"/>
        <w:jc w:val="right"/>
        <w:rPr>
          <w:rFonts w:ascii="Times New Roman" w:hAnsi="Times New Roman"/>
          <w:b/>
          <w:sz w:val="20"/>
        </w:rPr>
      </w:pPr>
      <w:bookmarkStart w:id="77" w:name="d497326dex11.htm"/>
      <w:bookmarkStart w:id="78" w:name="ksd497326dex11"/>
      <w:bookmarkEnd w:id="77"/>
      <w:bookmarkEnd w:id="78"/>
      <w:r>
        <w:rPr>
          <w:rFonts w:ascii="Times New Roman" w:hAnsi="Times New Roman"/>
          <w:b/>
          <w:sz w:val="20"/>
        </w:rPr>
        <w:t xml:space="preserve">Exhibit 1.1 </w:t>
      </w:r>
    </w:p>
    <w:p>
      <w:pPr>
        <w:pStyle w:val="TextBody"/>
        <w:spacing w:before="240" w:after="0"/>
        <w:jc w:val="center"/>
        <w:rPr>
          <w:rFonts w:ascii="Times New Roman" w:hAnsi="Times New Roman"/>
          <w:b/>
          <w:sz w:val="20"/>
          <w:u w:val="single"/>
        </w:rPr>
      </w:pPr>
      <w:r>
        <w:rPr>
          <w:rFonts w:ascii="Times New Roman" w:hAnsi="Times New Roman"/>
          <w:b/>
          <w:sz w:val="20"/>
          <w:u w:val="single"/>
        </w:rPr>
        <w:t xml:space="preserve">ARTICLES OF INCORPORATION </w:t>
      </w:r>
    </w:p>
    <w:p>
      <w:pPr>
        <w:pStyle w:val="TextBody"/>
        <w:spacing w:before="240" w:after="0"/>
        <w:jc w:val="center"/>
        <w:rPr>
          <w:rFonts w:ascii="Times New Roman" w:hAnsi="Times New Roman"/>
          <w:sz w:val="20"/>
        </w:rPr>
      </w:pPr>
      <w:r>
        <w:rPr>
          <w:rFonts w:ascii="Times New Roman" w:hAnsi="Times New Roman"/>
          <w:sz w:val="20"/>
        </w:rPr>
        <w:t xml:space="preserve">I. General provisions </w:t>
      </w:r>
    </w:p>
    <w:p>
      <w:pPr>
        <w:pStyle w:val="TextBody"/>
        <w:spacing w:before="240" w:after="0"/>
        <w:jc w:val="center"/>
        <w:rPr>
          <w:rFonts w:ascii="Times New Roman" w:hAnsi="Times New Roman"/>
          <w:sz w:val="20"/>
        </w:rPr>
      </w:pPr>
      <w:r>
        <w:rPr>
          <w:rFonts w:ascii="Times New Roman" w:hAnsi="Times New Roman"/>
          <w:sz w:val="20"/>
        </w:rPr>
        <w:t xml:space="preserve">1 </w:t>
      </w:r>
    </w:p>
    <w:p>
      <w:pPr>
        <w:pStyle w:val="TextBody"/>
        <w:spacing w:before="0" w:after="0"/>
        <w:jc w:val="center"/>
        <w:rPr>
          <w:rFonts w:ascii="Times New Roman" w:hAnsi="Times New Roman"/>
          <w:sz w:val="20"/>
        </w:rPr>
      </w:pPr>
      <w:r>
        <w:rPr>
          <w:rFonts w:ascii="Times New Roman" w:hAnsi="Times New Roman"/>
          <w:sz w:val="20"/>
        </w:rPr>
        <w:t xml:space="preserve">Company name, registered office, and financial year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8"/>
        <w:gridCol w:w="8879"/>
      </w:tblGrid>
      <w:tr>
        <w:trPr/>
        <w:tc>
          <w:tcPr>
            <w:tcW w:w="91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(1)</w:t>
            </w:r>
          </w:p>
        </w:tc>
        <w:tc>
          <w:tcPr>
            <w:tcW w:w="887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name of the company is: Mynaric AG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7"/>
        <w:gridCol w:w="8880"/>
      </w:tblGrid>
      <w:tr>
        <w:trPr/>
        <w:tc>
          <w:tcPr>
            <w:tcW w:w="918"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(2)</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Companys registered office is located in Gilching in the district of Starnberg, Germany.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7"/>
        <w:gridCol w:w="8880"/>
      </w:tblGrid>
      <w:tr>
        <w:trPr/>
        <w:tc>
          <w:tcPr>
            <w:tcW w:w="918"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(3)</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Companys financial year is the same as the calendar year. </w:t>
            </w:r>
          </w:p>
        </w:tc>
      </w:tr>
    </w:tbl>
    <w:p>
      <w:pPr>
        <w:pStyle w:val="TextBody"/>
        <w:spacing w:before="240" w:after="0"/>
        <w:jc w:val="center"/>
        <w:rPr>
          <w:rFonts w:ascii="Times New Roman" w:hAnsi="Times New Roman"/>
          <w:sz w:val="20"/>
        </w:rPr>
      </w:pPr>
      <w:r>
        <w:rPr>
          <w:rFonts w:ascii="Times New Roman" w:hAnsi="Times New Roman"/>
          <w:sz w:val="20"/>
        </w:rPr>
        <w:t xml:space="preserve">2 </w:t>
      </w:r>
    </w:p>
    <w:p>
      <w:pPr>
        <w:pStyle w:val="TextBody"/>
        <w:spacing w:before="0" w:after="0"/>
        <w:jc w:val="center"/>
        <w:rPr>
          <w:rFonts w:ascii="Times New Roman" w:hAnsi="Times New Roman"/>
          <w:sz w:val="20"/>
        </w:rPr>
      </w:pPr>
      <w:r>
        <w:rPr>
          <w:rFonts w:ascii="Times New Roman" w:hAnsi="Times New Roman"/>
          <w:sz w:val="20"/>
        </w:rPr>
        <w:t xml:space="preserve">Objects of the Company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7"/>
        <w:gridCol w:w="8880"/>
      </w:tblGrid>
      <w:tr>
        <w:trPr/>
        <w:tc>
          <w:tcPr>
            <w:tcW w:w="918"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(1)</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objects of the Company are the development, manufacture, sale, and operation of equipment, software, systems, and solutions for communication networks  particularly in the aerospace sector  and related products, the holding and management of equity investments in companies that operate in this area, and the performance of related services.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6"/>
        <w:gridCol w:w="8882"/>
      </w:tblGrid>
      <w:tr>
        <w:trPr/>
        <w:tc>
          <w:tcPr>
            <w:tcW w:w="917"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(2)</w:t>
            </w:r>
          </w:p>
        </w:tc>
        <w:tc>
          <w:tcPr>
            <w:tcW w:w="888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is authorized to carry out all transactions and measures that serve to support the objects of the Company. To this end, the Company may establish, acquire, or dispose of other companies or branch offices in Germany and abroad or enter into company agreements with other companies. </w:t>
            </w:r>
          </w:p>
        </w:tc>
      </w:tr>
    </w:tbl>
    <w:p>
      <w:pPr>
        <w:pStyle w:val="TextBody"/>
        <w:spacing w:before="240" w:after="0"/>
        <w:jc w:val="center"/>
        <w:rPr>
          <w:rFonts w:ascii="Times New Roman" w:hAnsi="Times New Roman"/>
          <w:sz w:val="20"/>
        </w:rPr>
      </w:pPr>
      <w:r>
        <w:rPr>
          <w:rFonts w:ascii="Times New Roman" w:hAnsi="Times New Roman"/>
          <w:sz w:val="20"/>
        </w:rPr>
        <w:t xml:space="preserve">3 </w:t>
      </w:r>
    </w:p>
    <w:p>
      <w:pPr>
        <w:pStyle w:val="TextBody"/>
        <w:spacing w:before="0" w:after="0"/>
        <w:jc w:val="center"/>
        <w:rPr>
          <w:rFonts w:ascii="Times New Roman" w:hAnsi="Times New Roman"/>
          <w:sz w:val="20"/>
        </w:rPr>
      </w:pPr>
      <w:r>
        <w:rPr>
          <w:rFonts w:ascii="Times New Roman" w:hAnsi="Times New Roman"/>
          <w:sz w:val="20"/>
        </w:rPr>
        <w:t xml:space="preserve">Official announcements </w:t>
      </w:r>
    </w:p>
    <w:p>
      <w:pPr>
        <w:pStyle w:val="TextBody"/>
        <w:spacing w:before="240" w:after="0"/>
        <w:jc w:val="left"/>
        <w:rPr>
          <w:rFonts w:ascii="Times New Roman" w:hAnsi="Times New Roman"/>
          <w:sz w:val="20"/>
        </w:rPr>
      </w:pPr>
      <w:r>
        <w:rPr>
          <w:rFonts w:ascii="Times New Roman" w:hAnsi="Times New Roman"/>
          <w:sz w:val="20"/>
        </w:rPr>
        <w:t xml:space="preserve">The Companys official announcements are published in the German Federal Gazette. </w:t>
      </w:r>
    </w:p>
    <w:p>
      <w:pPr>
        <w:pStyle w:val="TextBody"/>
        <w:spacing w:before="240" w:after="0"/>
        <w:jc w:val="center"/>
        <w:rPr>
          <w:rFonts w:ascii="Times New Roman" w:hAnsi="Times New Roman"/>
          <w:sz w:val="20"/>
        </w:rPr>
      </w:pPr>
      <w:r>
        <w:rPr>
          <w:rFonts w:ascii="Times New Roman" w:hAnsi="Times New Roman"/>
          <w:sz w:val="20"/>
        </w:rPr>
        <w:t xml:space="preserve">II. Share capital and shares </w:t>
      </w:r>
    </w:p>
    <w:p>
      <w:pPr>
        <w:pStyle w:val="TextBody"/>
        <w:spacing w:before="240" w:after="0"/>
        <w:jc w:val="center"/>
        <w:rPr>
          <w:rFonts w:ascii="Times New Roman" w:hAnsi="Times New Roman"/>
          <w:sz w:val="20"/>
        </w:rPr>
      </w:pPr>
      <w:r>
        <w:rPr>
          <w:rFonts w:ascii="Times New Roman" w:hAnsi="Times New Roman"/>
          <w:sz w:val="20"/>
        </w:rPr>
        <w:t xml:space="preserve">4 </w:t>
      </w:r>
    </w:p>
    <w:p>
      <w:pPr>
        <w:pStyle w:val="TextBody"/>
        <w:spacing w:before="0" w:after="0"/>
        <w:jc w:val="center"/>
        <w:rPr>
          <w:rFonts w:ascii="Times New Roman" w:hAnsi="Times New Roman"/>
          <w:sz w:val="20"/>
        </w:rPr>
      </w:pPr>
      <w:r>
        <w:rPr>
          <w:rFonts w:ascii="Times New Roman" w:hAnsi="Times New Roman"/>
          <w:sz w:val="20"/>
        </w:rPr>
        <w:t xml:space="preserve">Share capital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6"/>
        <w:gridCol w:w="8881"/>
      </w:tblGrid>
      <w:tr>
        <w:trPr/>
        <w:tc>
          <w:tcPr>
            <w:tcW w:w="918"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(1)</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share capital of the Company is 5,668,391.00 and is divided into 5,668,391 no-par-value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8"/>
        <w:gridCol w:w="8880"/>
      </w:tblGrid>
      <w:tr>
        <w:trPr/>
        <w:tc>
          <w:tcPr>
            <w:tcW w:w="91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(2)</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shares are registered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6"/>
        <w:gridCol w:w="8881"/>
      </w:tblGrid>
      <w:tr>
        <w:trPr/>
        <w:tc>
          <w:tcPr>
            <w:tcW w:w="918"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(3)</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Management Board is authorized, subject to the approval of the Supervisory Board, to increase the share capital by up to 2,154,680.00 by issuing up to 2,154,680 new, no-par-value bearer or registered shares (auf den Inhaber oder den Namen lautende Stückaktien) in return for cash and/or non-cash contributions on one or more occasions until and including July 13, 2027 (Authorized Capital 2022/I). Shareholders must be given pre-emption rights in any such issue. The new shares may also be underwritten by a bank specified by the Management Board or a company (financial institution) operating in accordance with section 53 (1) sentence 1 of the German Banking Act (KWG) or section 53b (1) sentence 1 or (7) KWG, or a syndicate of such banks or financial institutions, subject to the obligation that the shares be offered to the Companys shareholders for subscription. However, the Management Board is authorized, subject to the approval of the Supervisory Board, to disapply the pre-emption rights of existing shareholders on one or more occasions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1325"/>
        <w:gridCol w:w="511"/>
        <w:gridCol w:w="8369"/>
      </w:tblGrid>
      <w:tr>
        <w:trPr/>
        <w:tc>
          <w:tcPr>
            <w:tcW w:w="1325" w:type="dxa"/>
            <w:tcBorders/>
            <w:shd w:fill="auto" w:val="clear"/>
            <w:vAlign w:val="center"/>
          </w:tcPr>
          <w:p>
            <w:pPr>
              <w:pStyle w:val="TableContents"/>
              <w:spacing w:before="0" w:after="283"/>
              <w:rPr/>
            </w:pPr>
            <w:r>
              <w:rPr/>
              <w:t> </w:t>
            </w:r>
          </w:p>
        </w:tc>
        <w:tc>
          <w:tcPr>
            <w:tcW w:w="511" w:type="dxa"/>
            <w:tcBorders/>
            <w:shd w:fill="auto" w:val="clear"/>
          </w:tcPr>
          <w:p>
            <w:pPr>
              <w:pStyle w:val="TableContents"/>
              <w:spacing w:before="0" w:after="283"/>
              <w:jc w:val="left"/>
              <w:rPr/>
            </w:pPr>
            <w:r>
              <w:rPr/>
              <w:t>(i)</w:t>
            </w:r>
          </w:p>
        </w:tc>
        <w:tc>
          <w:tcPr>
            <w:tcW w:w="836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this is necessary in order to exclude any fractional amounts from the pre-emption rights;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326"/>
        <w:gridCol w:w="509"/>
        <w:gridCol w:w="8370"/>
      </w:tblGrid>
      <w:tr>
        <w:trPr/>
        <w:tc>
          <w:tcPr>
            <w:tcW w:w="132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(ii)</w:t>
            </w:r>
          </w:p>
        </w:tc>
        <w:tc>
          <w:tcPr>
            <w:tcW w:w="837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event of a capital increase in return for non-cash contributions, particularly in the context of mergers or the direct or indirect acquisition of companies, operations, parts of companies, equity investments, or other assets or entitlement to acquire assets, including receivables due from the Company or its group companies;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326"/>
        <w:gridCol w:w="509"/>
        <w:gridCol w:w="8370"/>
      </w:tblGrid>
      <w:tr>
        <w:trPr/>
        <w:tc>
          <w:tcPr>
            <w:tcW w:w="132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(iii)</w:t>
            </w:r>
          </w:p>
        </w:tc>
        <w:tc>
          <w:tcPr>
            <w:tcW w:w="837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 capital increase in return for cash contributions does not exceed 10 percent of the share capital, either at the time this authorization takes effect or, if this amount is lower, at the time of exercise of this authorization, and the issue price for the new shares is not significantly below the market price (section 186 (3) sentence 4 AktG); in the event that pre-emption rights are disapplied in accordance with section 186 (3) sentence 4 AktG when this authorization is exercised, the disapplication of pre-emption rights as a result of other authorizations in direct or similar application of section 186 (3) sentence 4 AktG must be taken into account; the market price is the price of an American Depositary Share (ADS) listed on the New York Stock Exchange or NASDAQ stock exchange, multiplied by the number of ADSs that represent one share; if the Companys shares are listed in the Xetra system of the Frankfurt Stock Exchange (or a functionally comparable successor to the Xetra system) and, at the same time, the Companys ADSs are listed on the New York Stock Exchange or NASDAQ stock exchange, the Company chooses which of these market prices is applicable; </w:t>
            </w:r>
          </w:p>
        </w:tc>
      </w:tr>
    </w:tbl>
    <w:p>
      <w:pPr>
        <w:pStyle w:val="TextBody"/>
        <w:spacing w:before="240" w:after="0"/>
        <w:jc w:val="left"/>
        <w:rPr>
          <w:rFonts w:ascii="Times New Roman" w:hAnsi="Times New Roman"/>
          <w:sz w:val="20"/>
        </w:rPr>
      </w:pPr>
      <w:r>
        <w:rPr>
          <w:rFonts w:ascii="Times New Roman" w:hAnsi="Times New Roman"/>
          <w:sz w:val="20"/>
        </w:rPr>
        <w:t xml:space="preserve">The Management Board is authorized, subject to the approval of the Supervisory Board, to specify the finer details of the capital increase and the conditions governing the share issue; this also includes determination of the dividend rights of the new shares, which, in departure from section 60 (2) AktG, may be stipulated for a financial year that has already ended, if, at the time of issue of the new shares, a resolution by the General Meeting on the appropriation of profits for that financial year has not yet been adopted. The Supervisory Board is authorized to amend article 4 of the articles of incorporation after the share capital has been increased in full or in part in accordance with the specific utilization of the authorized capital and after expiry of the authorization period.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8"/>
        <w:gridCol w:w="8880"/>
      </w:tblGrid>
      <w:tr>
        <w:trPr/>
        <w:tc>
          <w:tcPr>
            <w:tcW w:w="91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(4)</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(currently not filled)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7"/>
        <w:gridCol w:w="8880"/>
      </w:tblGrid>
      <w:tr>
        <w:trPr/>
        <w:tc>
          <w:tcPr>
            <w:tcW w:w="918"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(5)</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Companys share capital has been increased by conditional capital of up to 270,000.00 through the issue of up to 270,000 new, no-par-value bearer or registered shares (Conditional Capital 2019). The conditional capital increase serves solely to grant pre-emption rights to shares (share options) to members of the Companys Management Board or Managing Directors of the Companys affiliated companies and to employees of the Company or of the Companys affiliated companies, such rights being granted on the basis of the General Meeting authorization dated July 2, 2019. The shares are issued at the issue price specified in the aforementioned authorization. The conditional capital increase is exercised only to the extent that pre-emption rights are exercised and the Company does not grant treasury shares or a cash settlement to settle the pre-emption rights. The new shares carry dividend rights from the start of the financial year for which, on the date of the exercise of the pre-emption rights, the General Meeting has not yet approved a resolution on the appropriation of profit. The Companys Management Board or, if members of the Companys Management Board are affected, the Companys Supervisory Board is authorized to specify the finer details of the conditional capital increase and the procedure for carrying it out. The Supervisory Board is authorized to amend the wording of the articles of incorporation in line with the issue of shares in connection with the exercise of pre-emption rights.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918"/>
        <w:gridCol w:w="407"/>
        <w:gridCol w:w="8880"/>
      </w:tblGrid>
      <w:tr>
        <w:trPr/>
        <w:tc>
          <w:tcPr>
            <w:tcW w:w="918"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(6)</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Companys share capital has been increased by conditional capital of up to 34,473.00 through the issue of up to 34,473 new, no-par-value bearer or registered shares (Conditional Capital 2020/I). The conditional capital increase serves solely to grant pre-emption rights to shares (share options) to members of the Companys Management Board or Managing Directors of the Companys affiliated companies and to employees of the Company or of the Companys affiliated companies, such rights being granted on the basis of the General Meeting authorization dated June 12, 2020. The shares are issued at the issue price specified in the aforementioned authorization. The conditional capital increase is exercised only to the extent that pre-emption rights are exercised and the Company does not grant treasury shares or a cash settlement to settle the pre-emption rights. </w:t>
            </w:r>
          </w:p>
        </w:tc>
      </w:tr>
    </w:tbl>
    <w:p>
      <w:pPr>
        <w:pStyle w:val="TextBody"/>
        <w:spacing w:before="120" w:after="0"/>
        <w:jc w:val="left"/>
        <w:rPr>
          <w:rFonts w:ascii="Times New Roman" w:hAnsi="Times New Roman"/>
          <w:sz w:val="20"/>
        </w:rPr>
      </w:pPr>
      <w:r>
        <w:rPr>
          <w:rFonts w:ascii="Times New Roman" w:hAnsi="Times New Roman"/>
          <w:sz w:val="20"/>
        </w:rPr>
        <w:t xml:space="preserve">The new shares carry dividend rights from the start of the financial year for which, on the date of the exercise of the pre-emption rights, the General Meeting has not yet approved a resolution on the appropriation of profit. The Companys Management Board or, if members of the Companys Management Board are affected, the Companys Supervisory Board is authorized to specify the finer details of the conditional capital increase and the procedure for carrying it out. The Supervisory Board is authorized to amend the wording of the articles of incorporation in line with the issue of shares in connection with the exercise of pre-emption rights.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6"/>
        <w:gridCol w:w="8881"/>
      </w:tblGrid>
      <w:tr>
        <w:trPr/>
        <w:tc>
          <w:tcPr>
            <w:tcW w:w="918"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(7)</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Companys share capital has been increased by conditional capital of up to 1,179,679.00 through the issue of up to 1,179,679 new, no-par-value bearer or registered shares (auf den Inhaber oder den Namen lautende Stückaktien) (Conditional Capital 2020/II). The conditional capital increase is exercised only to the extent that the holders of convertible and/or warrant-linked bonds issued by the Company until June 11, 2025 on the basis of the General Meeting authorization dated June 12, 2020 exercise their conversion right or warrant, or conversion obligations arising from such debt instruments are fulfilled, and provided that other forms of settlement are not used. The new shares carry dividend rights from the beginning of the financial year in which they are issued as a result of the exercise of conversion rights or warrants or the fulfillment of conversion obligations. The Management Board is authorized, subject to the approval of the Supervisory Board, to specify the finer details of the procedure for the conditional capital increase. The Supervisory Board is authorized to amend the wording of the articles of incorporation in line with the specific utilization of the conditional capital.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8"/>
        <w:gridCol w:w="8880"/>
      </w:tblGrid>
      <w:tr>
        <w:trPr/>
        <w:tc>
          <w:tcPr>
            <w:tcW w:w="91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(8)</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Management Board is authorized, subject to the approval of the Supervisory Board, to increase the Companys share capital by up to 188,498.00 by issuing up to 188,498 new, no-par-value bearer or registered shares (auf den Inhaber oder den Namen lautende Stückaktien) in return for cash and/or non-cash contributions on one or more occasions until May 13, 2026 (Authorized Capital 2021/II). </w:t>
            </w:r>
          </w:p>
        </w:tc>
      </w:tr>
    </w:tbl>
    <w:p>
      <w:pPr>
        <w:pStyle w:val="TextBody"/>
        <w:spacing w:before="120" w:after="0"/>
        <w:jc w:val="left"/>
        <w:rPr>
          <w:rFonts w:ascii="Times New Roman" w:hAnsi="Times New Roman"/>
          <w:sz w:val="20"/>
        </w:rPr>
      </w:pPr>
      <w:r>
        <w:rPr>
          <w:rFonts w:ascii="Times New Roman" w:hAnsi="Times New Roman"/>
          <w:sz w:val="20"/>
        </w:rPr>
        <w:t xml:space="preserve">Shareholders pre-emption rights are disapplied. Authorized Capital 2021/II serves the delivery of shares of the Company for the settlement of Restricted Stock Units (RSUs) under the Companys Restricted Stock Unit Program (RSUP) to selected employees of the Company and its affiliated companies, as specified in more detail in the RSUP, in return for the entitlement to payment that arose in connection with the RSUs. The issue price of the new shares can be paid in cash and/or non-cash contributions, including but not limited to the contribution of receivables due from the Company under the RSUP. The Management Board is authorized, subject to the approval of the Supervisory Board, to specify the finer details of the capital increase and the procedure for carrying it out; this also includes determination of the dividend rights of the new shares, which, in departure from section 60 (2) AktG, may be stipulated for a financial year that has already ended.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Management Board is authorized, subject to the approval of the Supervisory Board, to specify the finer details of the capital increase and the conditions governing the share issue. This authorization also encompasses the issue of RSUs. The Supervisory Board is authorized to amend article 4 of the articles of incorporation after the share capital has been increased in full or in part in accordance with the specific utilization of the authorized capital and after expiry of the authorization period.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917"/>
        <w:gridCol w:w="408"/>
        <w:gridCol w:w="8880"/>
      </w:tblGrid>
      <w:tr>
        <w:trPr/>
        <w:tc>
          <w:tcPr>
            <w:tcW w:w="91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(9)</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Companys share capital has been increased by conditional capital of up to 917.501,00 through the issue of up to 917,501 new, no-par-value bearer or registered shares (auf den Inhaber oder den Namen lautende Stückaktien) (Conditional Capital 2022/I). The conditional capital increase serves to grant shares to the holders of convertible bonds or bonds with warrants issued by the Company or by a domestic or foreign company dependent on it or in which it directly or indirectly holds a majority interest by July 13, 2027 (inclusive) on the basis of authorization pursuant to the resolution of the General Meeting of July 14, 2022. It will only be implemented to the extent that the holders of such bonds exercise their conversion or option rights, or conversion obligations under such bonds are fulfilled, and to the extent that no other forms of settlement are used for servicing. The new shares shall participate in the profits of the Company from the beginning of the financial year in which they are issued; instead, they shall participate in the profits of the Company from the beginning of the financial year preceding their issue if, at the time of issue of the new shares, a resolution by the General Meeting on the appropriation of profits for this financial year has not yet been adopted. The Management Board is authorized, subject to the approval of the Supervisory Board, to specify the finer details of the procedure for the conditional capital increase. The Supervisory Board is authorized to amend the wording of the articles of incorporation in line with the specific utilization of the conditional capital.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8"/>
        <w:gridCol w:w="8880"/>
      </w:tblGrid>
      <w:tr>
        <w:trPr/>
        <w:tc>
          <w:tcPr>
            <w:tcW w:w="91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(10)</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Companys share capital has been increased by conditional capital of up to 103,321.00 through the issue of up to 103,321 new, no-par-value bearer or registered shares (Conditional Capital 2021/II). The conditional capital increase serves solely to grant pre-emption rights to shares (share options) to members of the Companys Management Board, such rights being granted on the basis of the General Meeting authorization dated May 14, 2021. The shares are issued at the issue price specified in the aforementioned authorization. The conditional capital increase is exercised only to the extent that pre-emption rights are exercised and the Company does not grant treasury shares or a cash settlement to settle the pre-emption rights. The new shares carry dividend rights from the start of the financial year for which, on the date of the exercise of the pre-emption rights, the General Meeting has not yet approved a resolution on the appropriation of profit. The Companys Supervisory Board is authorized to specify the finer details of the conditional capital increase and the procedure for carrying it out. The Supervisory Board is also authorized to amend the wording of the articles of incorporation in line with the issue of shares in connection with the exercise of pre-emption rights.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9"/>
        <w:gridCol w:w="8879"/>
      </w:tblGrid>
      <w:tr>
        <w:trPr/>
        <w:tc>
          <w:tcPr>
            <w:tcW w:w="917" w:type="dxa"/>
            <w:tcBorders/>
            <w:shd w:fill="auto" w:val="clear"/>
            <w:vAlign w:val="center"/>
          </w:tcPr>
          <w:p>
            <w:pPr>
              <w:pStyle w:val="TableContents"/>
              <w:spacing w:before="0" w:after="283"/>
              <w:rPr/>
            </w:pPr>
            <w:r>
              <w:rPr/>
              <w:t> </w:t>
            </w:r>
          </w:p>
        </w:tc>
        <w:tc>
          <w:tcPr>
            <w:tcW w:w="409" w:type="dxa"/>
            <w:tcBorders/>
            <w:shd w:fill="auto" w:val="clear"/>
          </w:tcPr>
          <w:p>
            <w:pPr>
              <w:pStyle w:val="TableContents"/>
              <w:spacing w:before="0" w:after="283"/>
              <w:jc w:val="left"/>
              <w:rPr/>
            </w:pPr>
            <w:r>
              <w:rPr/>
              <w:t>(11)</w:t>
            </w:r>
          </w:p>
        </w:tc>
        <w:tc>
          <w:tcPr>
            <w:tcW w:w="887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share capital of the Company is conditionally increased by up to EUR 115,000.00 by issuing up to 115,000 new no-par value bearer or registered shares (auf den Inhaber oder den Namen lautende Stückaktien) (Conditional Capital 2022/II). The conditional capital increase serves exclusively to grant subscription rights to shares (stock options) to members of the Executive Board of the Company granted on the basis of the authorization of the General Meeting on July 14, 2022. The shares will be issued at the issue price specified in the authorization. The conditional capital increase will only be implemented to the extent that subscription rights are exercised and the Company does not grant treasury shares or a cash settlement to fulfill the subscription rights. The new shares shall carry dividend rights from the beginning of the fiscal year for which, at the time the subscription right is exercised, no resolution has yet been passed by the General Meeting on the appropriation of profits. The Supervisory Board of the Company is authorized to determine the further details of the conditional capital increase and its implementation. The Supervisory Board is also authorized to amend the wording of the Articles of Association in line with the issue of subscription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7"/>
        <w:gridCol w:w="8880"/>
      </w:tblGrid>
      <w:tr>
        <w:trPr/>
        <w:tc>
          <w:tcPr>
            <w:tcW w:w="918"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(12)</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Executive Board is authorized, with the approval of the Supervisory Board, to increase the share capital of the Company in the period up to and including July 13, 2027 by up to EUR 262,147.00 on one or more occasions by issuing up to 262,147 new no-par value registered or bearer shares (auf den Inhaber oder den Namen lautende Stückaktien) against cash and/or non-cash contributions (Authorized Capital 2022/II). </w:t>
            </w:r>
          </w:p>
        </w:tc>
      </w:tr>
    </w:tbl>
    <w:p>
      <w:pPr>
        <w:pStyle w:val="TextBody"/>
        <w:spacing w:before="120" w:after="0"/>
        <w:jc w:val="left"/>
        <w:rPr>
          <w:rFonts w:ascii="Times New Roman" w:hAnsi="Times New Roman"/>
          <w:sz w:val="20"/>
        </w:rPr>
      </w:pPr>
      <w:r>
        <w:rPr>
          <w:rFonts w:ascii="Times New Roman" w:hAnsi="Times New Roman"/>
          <w:sz w:val="20"/>
        </w:rPr>
        <w:t xml:space="preserve">Shareholders subscription rights are excluded. Authorized Capital 2022/II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serves to deliver shares of the Company to service restricted stock units (RSUs) granted under the Companys Restricted Stock Unit Program (RSUP) to selected employees of the Company and its affiliated companies in accordance with the more detailed provisions of the RSUP against contribution of the respective payment entitlements arising under the Restricted Stock Units (RSUs). The issue price of the new shares may be paid in cash and/or in kind, in particular also by contributing claims against the Company under the RSUP. The Executive Board is authorized, with the approval of the Supervisory Board, to determine the further details of the capital increase and its implementation; this also includes the determination of the dividend entitlement of the new shares, which, in derogation of Section 60 (2) of the German Stock Corporation Act (AktG), may also be determined for a fiscal year which has already expired if, at the time of the issue of the new shares, a resolution by the General Meeting on the appropriation of profits for this fiscal year has not yet been adopted. The Executive Board is authorized, with the approval of the Supervisory Board, to determine the further details of the capital increase and the conditions of the share issue. This authorization also already covers the issue of RSUs. The Supervisory Board is authorized to amend § 4 of the Articles of Association after full or partial implementation of the capital stock increase in accordance with the respective utilization of the authorized capital and after expiry of the authorization period. </w:t>
      </w:r>
    </w:p>
    <w:p>
      <w:pPr>
        <w:pStyle w:val="TextBody"/>
        <w:spacing w:before="240" w:after="0"/>
        <w:jc w:val="center"/>
        <w:rPr>
          <w:rFonts w:ascii="Times New Roman" w:hAnsi="Times New Roman"/>
          <w:sz w:val="20"/>
        </w:rPr>
      </w:pPr>
      <w:r>
        <w:rPr>
          <w:rFonts w:ascii="Times New Roman" w:hAnsi="Times New Roman"/>
          <w:sz w:val="20"/>
        </w:rPr>
        <w:t xml:space="preserve">5 </w:t>
      </w:r>
    </w:p>
    <w:p>
      <w:pPr>
        <w:pStyle w:val="TextBody"/>
        <w:spacing w:before="0" w:after="0"/>
        <w:jc w:val="center"/>
        <w:rPr>
          <w:rFonts w:ascii="Times New Roman" w:hAnsi="Times New Roman"/>
          <w:sz w:val="20"/>
        </w:rPr>
      </w:pPr>
      <w:r>
        <w:rPr>
          <w:rFonts w:ascii="Times New Roman" w:hAnsi="Times New Roman"/>
          <w:sz w:val="20"/>
        </w:rPr>
        <w:t xml:space="preserve">Shares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(1)</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form and content of the share certificates, and of dividend and renewal coupons, are specified by the Management Board, subject to the approval of the Supervisory Board.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8"/>
        <w:gridCol w:w="8880"/>
      </w:tblGrid>
      <w:tr>
        <w:trPr/>
        <w:tc>
          <w:tcPr>
            <w:tcW w:w="91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(2)</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Shareholders entitlement to individual share certificates is excluded, unless individual share certificates are necessary according to the rules applicable on a stock exchange to which the shares have been admitted. Global certificates can be issued. </w:t>
            </w:r>
          </w:p>
        </w:tc>
      </w:tr>
    </w:tbl>
    <w:p>
      <w:pPr>
        <w:pStyle w:val="TextBody"/>
        <w:spacing w:before="240" w:after="0"/>
        <w:jc w:val="center"/>
        <w:rPr>
          <w:rFonts w:ascii="Times New Roman" w:hAnsi="Times New Roman"/>
          <w:sz w:val="20"/>
        </w:rPr>
      </w:pPr>
      <w:r>
        <w:rPr>
          <w:rFonts w:ascii="Times New Roman" w:hAnsi="Times New Roman"/>
          <w:sz w:val="20"/>
        </w:rPr>
        <w:t xml:space="preserve">6 </w:t>
      </w:r>
    </w:p>
    <w:p>
      <w:pPr>
        <w:pStyle w:val="TextBody"/>
        <w:spacing w:before="0" w:after="0"/>
        <w:jc w:val="center"/>
        <w:rPr>
          <w:rFonts w:ascii="Times New Roman" w:hAnsi="Times New Roman"/>
          <w:sz w:val="20"/>
        </w:rPr>
      </w:pPr>
      <w:r>
        <w:rPr>
          <w:rFonts w:ascii="Times New Roman" w:hAnsi="Times New Roman"/>
          <w:sz w:val="20"/>
        </w:rPr>
        <w:t xml:space="preserve">Other securities </w:t>
      </w:r>
    </w:p>
    <w:p>
      <w:pPr>
        <w:pStyle w:val="TextBody"/>
        <w:spacing w:before="240" w:after="0"/>
        <w:jc w:val="left"/>
        <w:rPr>
          <w:rFonts w:ascii="Times New Roman" w:hAnsi="Times New Roman"/>
          <w:sz w:val="20"/>
        </w:rPr>
      </w:pPr>
      <w:r>
        <w:rPr>
          <w:rFonts w:ascii="Times New Roman" w:hAnsi="Times New Roman"/>
          <w:sz w:val="20"/>
        </w:rPr>
        <w:t xml:space="preserve">The form and content of the certificates for convertible bonds, debt instruments, warrant-linked bonds, and warrants issued by the Company, and the corresponding interest coupons, depositary receipts, and renewal coupons are specified by the Management Board, subject to the approval of the Supervisory Board. Entitlement to individual certificates is excluded. </w:t>
      </w:r>
    </w:p>
    <w:p>
      <w:pPr>
        <w:pStyle w:val="TextBody"/>
        <w:spacing w:before="240" w:after="0"/>
        <w:jc w:val="center"/>
        <w:rPr>
          <w:rFonts w:ascii="Times New Roman" w:hAnsi="Times New Roman"/>
          <w:sz w:val="20"/>
        </w:rPr>
      </w:pPr>
      <w:r>
        <w:rPr>
          <w:rFonts w:ascii="Times New Roman" w:hAnsi="Times New Roman"/>
          <w:sz w:val="20"/>
        </w:rPr>
        <w:t xml:space="preserve">III. Management Board </w:t>
      </w:r>
    </w:p>
    <w:p>
      <w:pPr>
        <w:pStyle w:val="TextBody"/>
        <w:spacing w:before="240" w:after="0"/>
        <w:jc w:val="center"/>
        <w:rPr>
          <w:rFonts w:ascii="Times New Roman" w:hAnsi="Times New Roman"/>
          <w:sz w:val="20"/>
        </w:rPr>
      </w:pPr>
      <w:r>
        <w:rPr>
          <w:rFonts w:ascii="Times New Roman" w:hAnsi="Times New Roman"/>
          <w:sz w:val="20"/>
        </w:rPr>
        <w:t xml:space="preserve">7 </w:t>
      </w:r>
    </w:p>
    <w:p>
      <w:pPr>
        <w:pStyle w:val="TextBody"/>
        <w:spacing w:before="240" w:after="0"/>
        <w:jc w:val="left"/>
        <w:rPr>
          <w:rFonts w:ascii="Times New Roman" w:hAnsi="Times New Roman"/>
          <w:sz w:val="20"/>
        </w:rPr>
      </w:pPr>
      <w:r>
        <w:rPr>
          <w:rFonts w:ascii="Times New Roman" w:hAnsi="Times New Roman"/>
          <w:sz w:val="20"/>
        </w:rPr>
        <w:t xml:space="preserve">Composition, rules of procedure, and adoption of resolutions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Management Board comprises one or more persons. The Management Board may consist of just one person, even if the Companys share capital exceeds 3,000,000. Deputy members of the Management Board may be appointed.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Supervisory Board appoints the Management Board members and decides on the number of members in accordance with paragraph 1. The Supervisory Board may appoint a Chief Executive Officer and a deputy Chief Executive Officer.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Resolutions of the Management Board are adopted by simple majority of the votes of the Management Board members participating in the adoption of a resolution. In the event of a tied vote, the Chief Executive Officer has the casting vote. </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sz w:val="20"/>
        </w:rPr>
      </w:pPr>
      <w:r>
        <w:rPr>
          <w:rFonts w:ascii="Times New Roman" w:hAnsi="Times New Roman"/>
          <w:sz w:val="20"/>
        </w:rPr>
        <w:t xml:space="preserve">8 </w:t>
      </w:r>
    </w:p>
    <w:p>
      <w:pPr>
        <w:pStyle w:val="TextBody"/>
        <w:spacing w:before="0" w:after="0"/>
        <w:jc w:val="center"/>
        <w:rPr>
          <w:rFonts w:ascii="Times New Roman" w:hAnsi="Times New Roman"/>
          <w:sz w:val="20"/>
        </w:rPr>
      </w:pPr>
      <w:r>
        <w:rPr>
          <w:rFonts w:ascii="Times New Roman" w:hAnsi="Times New Roman"/>
          <w:sz w:val="20"/>
        </w:rPr>
        <w:t xml:space="preserve">Management and representation of the Company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(1)</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Management Board members must run the Companys business in accordance with the law, the articles of incorporation, the rules of procedure for the Management Board, the schedule of responsibilities, and their individual service contracts.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(2)</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only one member has been appointed, this person represents the Company alone. If more than one Management Board has been appointed, the Company is represented by either two Management Board members together or by one Management Board member in conjunction with one person with commercial power of attorney (Prokurist).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8"/>
        <w:gridCol w:w="8880"/>
      </w:tblGrid>
      <w:tr>
        <w:trPr/>
        <w:tc>
          <w:tcPr>
            <w:tcW w:w="91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(3)</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Supervisory Board may stipulate different representation rules, including, but not limited to, authorizing Management Board members to represent the Company alone. Furthermore, the Supervisory Board can determine generally or on a case-by-case basis that individual or all Management Board members be authorized to represent the Company in legal transactions while acting as a representative of a third party; section 112 AktG still applies.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(4)</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Supervisory Board must stipulate by means of a resolution or in the rules of procedure for the Management Board that certain types of transaction require the Supervisory Boards approval. </w:t>
            </w:r>
          </w:p>
        </w:tc>
      </w:tr>
    </w:tbl>
    <w:p>
      <w:pPr>
        <w:pStyle w:val="TextBody"/>
        <w:spacing w:before="240" w:after="0"/>
        <w:jc w:val="center"/>
        <w:rPr>
          <w:rFonts w:ascii="Times New Roman" w:hAnsi="Times New Roman"/>
          <w:sz w:val="20"/>
        </w:rPr>
      </w:pPr>
      <w:r>
        <w:rPr>
          <w:rFonts w:ascii="Times New Roman" w:hAnsi="Times New Roman"/>
          <w:sz w:val="20"/>
        </w:rPr>
        <w:t xml:space="preserve">IV. Supervisory Board </w:t>
      </w:r>
    </w:p>
    <w:p>
      <w:pPr>
        <w:pStyle w:val="TextBody"/>
        <w:spacing w:before="240" w:after="0"/>
        <w:jc w:val="center"/>
        <w:rPr>
          <w:rFonts w:ascii="Times New Roman" w:hAnsi="Times New Roman"/>
          <w:sz w:val="20"/>
        </w:rPr>
      </w:pPr>
      <w:r>
        <w:rPr>
          <w:rFonts w:ascii="Times New Roman" w:hAnsi="Times New Roman"/>
          <w:sz w:val="20"/>
        </w:rPr>
        <w:t xml:space="preserve">9 </w:t>
      </w:r>
    </w:p>
    <w:p>
      <w:pPr>
        <w:pStyle w:val="TextBody"/>
        <w:spacing w:before="0" w:after="0"/>
        <w:jc w:val="center"/>
        <w:rPr>
          <w:rFonts w:ascii="Times New Roman" w:hAnsi="Times New Roman"/>
          <w:sz w:val="20"/>
        </w:rPr>
      </w:pPr>
      <w:r>
        <w:rPr>
          <w:rFonts w:ascii="Times New Roman" w:hAnsi="Times New Roman"/>
          <w:sz w:val="20"/>
        </w:rPr>
        <w:t xml:space="preserve">Composition and term of office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6"/>
        <w:gridCol w:w="8882"/>
      </w:tblGrid>
      <w:tr>
        <w:trPr/>
        <w:tc>
          <w:tcPr>
            <w:tcW w:w="917"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(1)</w:t>
            </w:r>
          </w:p>
        </w:tc>
        <w:tc>
          <w:tcPr>
            <w:tcW w:w="888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Supervisory Board comprises five members.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7"/>
        <w:gridCol w:w="8880"/>
      </w:tblGrid>
      <w:tr>
        <w:trPr/>
        <w:tc>
          <w:tcPr>
            <w:tcW w:w="918"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(2)</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Unless a shorter period is specified by the General Meeting at the time of election, the members of the Supervisory Board shall be elected for the period of up to the end of the General Meeting in which their actions are formally approved for the fourth financial year after the start of their term of office, not including the financial year in which the term of office begins.Members of the Supervisory Board can be re-elected.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8"/>
        <w:gridCol w:w="8879"/>
      </w:tblGrid>
      <w:tr>
        <w:trPr/>
        <w:tc>
          <w:tcPr>
            <w:tcW w:w="91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(3)</w:t>
            </w:r>
          </w:p>
        </w:tc>
        <w:tc>
          <w:tcPr>
            <w:tcW w:w="887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Substitute members for one or more particular Supervisory Board members may be elected at the same time as the ordinary Supervisory Board members. They become Supervisory Board members in the sequence determined in the election if the Supervisory Board members for whom they were elected as substitute members leave the Supervisory Board before the end of their term of office. In the event that a substitute member takes the place of the departing member and, at a subsequent General Meeting after the substitution, an election is held to replace the departing member, the substitute members term of office expires at the end of this General Meeting, otherwise at the end of the remaining term of office of the departing member.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6"/>
        <w:gridCol w:w="8882"/>
      </w:tblGrid>
      <w:tr>
        <w:trPr/>
        <w:tc>
          <w:tcPr>
            <w:tcW w:w="917"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(4)</w:t>
            </w:r>
          </w:p>
        </w:tc>
        <w:tc>
          <w:tcPr>
            <w:tcW w:w="888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 Supervisory Board member is elected in place of a departing member, his or her term of office continues for the remaining term of office of the departing member, unless a different period is specified by the General Meeting at the time of election, which period may not, however, exceed the maximum period permitted under subsection 2 sentence 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(5)</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Every Supervisory Board member may resign from office by giving three months notice. Resignation must take the form of a written declaration to the Management Board, and the chairperson of the Supervisory Board must also be notified. This does not affect the right to resign for good cause. </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sz w:val="20"/>
        </w:rPr>
      </w:pPr>
      <w:r>
        <w:rPr>
          <w:rFonts w:ascii="Times New Roman" w:hAnsi="Times New Roman"/>
          <w:sz w:val="20"/>
        </w:rPr>
        <w:t xml:space="preserve">10 </w:t>
      </w:r>
    </w:p>
    <w:p>
      <w:pPr>
        <w:pStyle w:val="TextBody"/>
        <w:spacing w:before="0" w:after="0"/>
        <w:jc w:val="center"/>
        <w:rPr>
          <w:rFonts w:ascii="Times New Roman" w:hAnsi="Times New Roman"/>
          <w:sz w:val="20"/>
        </w:rPr>
      </w:pPr>
      <w:r>
        <w:rPr>
          <w:rFonts w:ascii="Times New Roman" w:hAnsi="Times New Roman"/>
          <w:sz w:val="20"/>
        </w:rPr>
        <w:t xml:space="preserve">Chairperson and deputy chairperson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6"/>
        <w:gridCol w:w="8882"/>
      </w:tblGrid>
      <w:tr>
        <w:trPr/>
        <w:tc>
          <w:tcPr>
            <w:tcW w:w="917"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(1)</w:t>
            </w:r>
          </w:p>
        </w:tc>
        <w:tc>
          <w:tcPr>
            <w:tcW w:w="888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Supervisory Board elects from its number a chairperson and one or more deputies at the first meeting after it has been elected. They are each elected for the duration of the term of office for which they have been elected to the Supervisory Board or for a shorter period defined by the Supervisory Board. Where there is more than one deputy, the sequence specified by the voting applies.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6"/>
        <w:gridCol w:w="8882"/>
      </w:tblGrid>
      <w:tr>
        <w:trPr/>
        <w:tc>
          <w:tcPr>
            <w:tcW w:w="917"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(2)</w:t>
            </w:r>
          </w:p>
        </w:tc>
        <w:tc>
          <w:tcPr>
            <w:tcW w:w="888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chairperson or one of his or her deputies leaves before his or her term of office has expired, the Supervisory Board must hold an election for a successor for the remaining term of office of the departing member without undue delay. </w:t>
            </w:r>
          </w:p>
        </w:tc>
      </w:tr>
    </w:tbl>
    <w:p>
      <w:pPr>
        <w:pStyle w:val="TextBody"/>
        <w:spacing w:before="240" w:after="0"/>
        <w:jc w:val="center"/>
        <w:rPr>
          <w:rFonts w:ascii="Times New Roman" w:hAnsi="Times New Roman"/>
          <w:sz w:val="20"/>
        </w:rPr>
      </w:pPr>
      <w:r>
        <w:rPr>
          <w:rFonts w:ascii="Times New Roman" w:hAnsi="Times New Roman"/>
          <w:sz w:val="20"/>
        </w:rPr>
        <w:t xml:space="preserve">11 </w:t>
      </w:r>
    </w:p>
    <w:p>
      <w:pPr>
        <w:pStyle w:val="TextBody"/>
        <w:spacing w:before="0" w:after="0"/>
        <w:jc w:val="center"/>
        <w:rPr>
          <w:rFonts w:ascii="Times New Roman" w:hAnsi="Times New Roman"/>
          <w:sz w:val="20"/>
        </w:rPr>
      </w:pPr>
      <w:r>
        <w:rPr>
          <w:rFonts w:ascii="Times New Roman" w:hAnsi="Times New Roman"/>
          <w:sz w:val="20"/>
        </w:rPr>
        <w:t xml:space="preserve">Supervisory Board meetings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8"/>
        <w:gridCol w:w="8880"/>
      </w:tblGrid>
      <w:tr>
        <w:trPr/>
        <w:tc>
          <w:tcPr>
            <w:tcW w:w="91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(1)</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meetings of the Supervisory Board are convened in writing by the chairperson of the Supervisory Board with 14 days notice. The day on which the invitation is sent and the day of the meeting are not included in the calculation of the notice period. In urgent cases, the chairperson can shorten the notice period appropriately and convene meetings orally, by telephone, or in writing using electronic media (e.g. email).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6"/>
        <w:gridCol w:w="8882"/>
      </w:tblGrid>
      <w:tr>
        <w:trPr/>
        <w:tc>
          <w:tcPr>
            <w:tcW w:w="917"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(2)</w:t>
            </w:r>
          </w:p>
        </w:tc>
        <w:tc>
          <w:tcPr>
            <w:tcW w:w="888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invitation must include details of the agenda. If proper notice of the agenda is not provided, voting in respect of the agenda may only take place if no objection is raised by any Supervisory Board member. </w:t>
            </w:r>
          </w:p>
        </w:tc>
      </w:tr>
    </w:tbl>
    <w:p>
      <w:pPr>
        <w:pStyle w:val="TextBody"/>
        <w:spacing w:before="240" w:after="0"/>
        <w:jc w:val="center"/>
        <w:rPr>
          <w:rFonts w:ascii="Times New Roman" w:hAnsi="Times New Roman"/>
          <w:sz w:val="20"/>
        </w:rPr>
      </w:pPr>
      <w:r>
        <w:rPr>
          <w:rFonts w:ascii="Times New Roman" w:hAnsi="Times New Roman"/>
          <w:sz w:val="20"/>
        </w:rPr>
        <w:t xml:space="preserve">12 </w:t>
      </w:r>
    </w:p>
    <w:p>
      <w:pPr>
        <w:pStyle w:val="TextBody"/>
        <w:spacing w:before="0" w:after="0"/>
        <w:jc w:val="center"/>
        <w:rPr>
          <w:rFonts w:ascii="Times New Roman" w:hAnsi="Times New Roman"/>
          <w:sz w:val="20"/>
        </w:rPr>
      </w:pPr>
      <w:r>
        <w:rPr>
          <w:rFonts w:ascii="Times New Roman" w:hAnsi="Times New Roman"/>
          <w:sz w:val="20"/>
        </w:rPr>
        <w:t xml:space="preserve">Supervisory Board resolutions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9"/>
        <w:gridCol w:w="8879"/>
      </w:tblGrid>
      <w:tr>
        <w:trPr/>
        <w:tc>
          <w:tcPr>
            <w:tcW w:w="917" w:type="dxa"/>
            <w:tcBorders/>
            <w:shd w:fill="auto" w:val="clear"/>
            <w:vAlign w:val="center"/>
          </w:tcPr>
          <w:p>
            <w:pPr>
              <w:pStyle w:val="TableContents"/>
              <w:spacing w:before="0" w:after="283"/>
              <w:rPr/>
            </w:pPr>
            <w:r>
              <w:rPr/>
              <w:t> </w:t>
            </w:r>
          </w:p>
        </w:tc>
        <w:tc>
          <w:tcPr>
            <w:tcW w:w="409" w:type="dxa"/>
            <w:tcBorders/>
            <w:shd w:fill="auto" w:val="clear"/>
          </w:tcPr>
          <w:p>
            <w:pPr>
              <w:pStyle w:val="TableContents"/>
              <w:spacing w:before="0" w:after="283"/>
              <w:jc w:val="left"/>
              <w:rPr/>
            </w:pPr>
            <w:r>
              <w:rPr/>
              <w:t>(1)</w:t>
            </w:r>
          </w:p>
        </w:tc>
        <w:tc>
          <w:tcPr>
            <w:tcW w:w="887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Resolutions of the Supervisory Board are usually adopted in meetings. By order of the chairperson of the Supervisory Board, resolutions may be adopted outside of meetings by means of voting conducted in writing, by telex, by telephone, or using electronic media unless a member objects to this procedure by an appropriate deadline specified by the chairperson. The chairperson produces a written record of such resolutions without undue delay and forwards it to all members. Where votes are held outside of meetings, the provisions below apply with the necessary modifications.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6"/>
        <w:gridCol w:w="8882"/>
      </w:tblGrid>
      <w:tr>
        <w:trPr/>
        <w:tc>
          <w:tcPr>
            <w:tcW w:w="917"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(2)</w:t>
            </w:r>
          </w:p>
        </w:tc>
        <w:tc>
          <w:tcPr>
            <w:tcW w:w="888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member is deemed to have participated in the adoption of a resolution even if that member abstained from voting.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6"/>
        <w:gridCol w:w="8882"/>
      </w:tblGrid>
      <w:tr>
        <w:trPr/>
        <w:tc>
          <w:tcPr>
            <w:tcW w:w="917"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(3)</w:t>
            </w:r>
          </w:p>
        </w:tc>
        <w:tc>
          <w:tcPr>
            <w:tcW w:w="888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Supervisory Board adopts its resolutions by a simple majority of the votes cast, unless the law stipulates otherwise. An abstention is not deemed to be a cast vote. A relative majority applies in elections. In the event of a tied vote, the chairperson of the Supervisory Board has the casting vote; this also applies to elections.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(4)</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chairperson of the Supervisory Board is authorized to issue declarations of intent in the name of the Supervisory Board that are necessary for the implementation of Supervisory Board resolutions.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6"/>
        <w:gridCol w:w="8882"/>
      </w:tblGrid>
      <w:tr>
        <w:trPr/>
        <w:tc>
          <w:tcPr>
            <w:tcW w:w="917"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(5)</w:t>
            </w:r>
          </w:p>
        </w:tc>
        <w:tc>
          <w:tcPr>
            <w:tcW w:w="888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Minutes must be taken of the discussions and resolutions of the Supervisory Board; the minutes must be signed by the meeting chairperson or, in the case of voting outside of meetings, by the person who chaired the voting. </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sz w:val="20"/>
        </w:rPr>
      </w:pPr>
      <w:r>
        <w:rPr>
          <w:rFonts w:ascii="Times New Roman" w:hAnsi="Times New Roman"/>
          <w:sz w:val="20"/>
        </w:rPr>
        <w:t xml:space="preserve">13 </w:t>
      </w:r>
    </w:p>
    <w:p>
      <w:pPr>
        <w:pStyle w:val="TextBody"/>
        <w:spacing w:before="0" w:after="0"/>
        <w:jc w:val="center"/>
        <w:rPr>
          <w:rFonts w:ascii="Times New Roman" w:hAnsi="Times New Roman"/>
          <w:sz w:val="20"/>
        </w:rPr>
      </w:pPr>
      <w:r>
        <w:rPr>
          <w:rFonts w:ascii="Times New Roman" w:hAnsi="Times New Roman"/>
          <w:sz w:val="20"/>
        </w:rPr>
        <w:t xml:space="preserve">Rules of procedure </w:t>
      </w:r>
    </w:p>
    <w:p>
      <w:pPr>
        <w:pStyle w:val="TextBody"/>
        <w:spacing w:before="240" w:after="0"/>
        <w:jc w:val="left"/>
        <w:rPr>
          <w:rFonts w:ascii="Times New Roman" w:hAnsi="Times New Roman"/>
          <w:sz w:val="20"/>
        </w:rPr>
      </w:pPr>
      <w:r>
        <w:rPr>
          <w:rFonts w:ascii="Times New Roman" w:hAnsi="Times New Roman"/>
          <w:sz w:val="20"/>
        </w:rPr>
        <w:t xml:space="preserve">The Supervisory Board establishes its own rules of procedure within the framework of the law and the articles of incorporation. </w:t>
      </w:r>
    </w:p>
    <w:p>
      <w:pPr>
        <w:pStyle w:val="TextBody"/>
        <w:spacing w:before="240" w:after="0"/>
        <w:jc w:val="center"/>
        <w:rPr>
          <w:rFonts w:ascii="Times New Roman" w:hAnsi="Times New Roman"/>
          <w:sz w:val="20"/>
        </w:rPr>
      </w:pPr>
      <w:r>
        <w:rPr>
          <w:rFonts w:ascii="Times New Roman" w:hAnsi="Times New Roman"/>
          <w:sz w:val="20"/>
        </w:rPr>
        <w:t xml:space="preserve">14 </w:t>
      </w:r>
    </w:p>
    <w:p>
      <w:pPr>
        <w:pStyle w:val="TextBody"/>
        <w:spacing w:before="0" w:after="0"/>
        <w:jc w:val="center"/>
        <w:rPr>
          <w:rFonts w:ascii="Times New Roman" w:hAnsi="Times New Roman"/>
          <w:sz w:val="20"/>
        </w:rPr>
      </w:pPr>
      <w:r>
        <w:rPr>
          <w:rFonts w:ascii="Times New Roman" w:hAnsi="Times New Roman"/>
          <w:sz w:val="20"/>
        </w:rPr>
        <w:t xml:space="preserve">Remuneration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8"/>
        <w:gridCol w:w="8879"/>
      </w:tblGrid>
      <w:tr>
        <w:trPr/>
        <w:tc>
          <w:tcPr>
            <w:tcW w:w="91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(1)</w:t>
            </w:r>
          </w:p>
        </w:tc>
        <w:tc>
          <w:tcPr>
            <w:tcW w:w="887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remuneration of the members of the Supervisory Board is approved by the General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8"/>
        <w:gridCol w:w="8880"/>
      </w:tblGrid>
      <w:tr>
        <w:trPr/>
        <w:tc>
          <w:tcPr>
            <w:tcW w:w="91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(2)</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Supervisory Board members are also reimbursed for all out-of-pocket expenses and for any VAT payable on their remuneration or out-of-pocket expenses.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6"/>
        <w:gridCol w:w="8882"/>
      </w:tblGrid>
      <w:tr>
        <w:trPr/>
        <w:tc>
          <w:tcPr>
            <w:tcW w:w="917"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(3)</w:t>
            </w:r>
          </w:p>
        </w:tc>
        <w:tc>
          <w:tcPr>
            <w:tcW w:w="888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pays the costs of directors and officers insurance for the Supervisory Board members. </w:t>
            </w:r>
          </w:p>
        </w:tc>
      </w:tr>
    </w:tbl>
    <w:p>
      <w:pPr>
        <w:pStyle w:val="TextBody"/>
        <w:spacing w:before="240" w:after="0"/>
        <w:jc w:val="center"/>
        <w:rPr>
          <w:rFonts w:ascii="Times New Roman" w:hAnsi="Times New Roman"/>
          <w:sz w:val="20"/>
        </w:rPr>
      </w:pPr>
      <w:r>
        <w:rPr>
          <w:rFonts w:ascii="Times New Roman" w:hAnsi="Times New Roman"/>
          <w:sz w:val="20"/>
        </w:rPr>
        <w:t xml:space="preserve">15 </w:t>
      </w:r>
    </w:p>
    <w:p>
      <w:pPr>
        <w:pStyle w:val="TextBody"/>
        <w:spacing w:before="0" w:after="0"/>
        <w:jc w:val="center"/>
        <w:rPr>
          <w:rFonts w:ascii="Times New Roman" w:hAnsi="Times New Roman"/>
          <w:sz w:val="20"/>
        </w:rPr>
      </w:pPr>
      <w:r>
        <w:rPr>
          <w:rFonts w:ascii="Times New Roman" w:hAnsi="Times New Roman"/>
          <w:sz w:val="20"/>
        </w:rPr>
        <w:t xml:space="preserve">Amendments to the articles of incorporation </w:t>
      </w:r>
    </w:p>
    <w:p>
      <w:pPr>
        <w:pStyle w:val="TextBody"/>
        <w:spacing w:before="240" w:after="0"/>
        <w:jc w:val="left"/>
        <w:rPr>
          <w:rFonts w:ascii="Times New Roman" w:hAnsi="Times New Roman"/>
          <w:sz w:val="20"/>
        </w:rPr>
      </w:pPr>
      <w:r>
        <w:rPr>
          <w:rFonts w:ascii="Times New Roman" w:hAnsi="Times New Roman"/>
          <w:sz w:val="20"/>
        </w:rPr>
        <w:t xml:space="preserve">The Supervisory Board is authorized to decide on amendments to the articles of incorporation that relate purely to the wording. </w:t>
      </w:r>
    </w:p>
    <w:p>
      <w:pPr>
        <w:pStyle w:val="TextBody"/>
        <w:spacing w:before="240" w:after="0"/>
        <w:jc w:val="center"/>
        <w:rPr>
          <w:rFonts w:ascii="Times New Roman" w:hAnsi="Times New Roman"/>
          <w:sz w:val="20"/>
        </w:rPr>
      </w:pPr>
      <w:r>
        <w:rPr>
          <w:rFonts w:ascii="Times New Roman" w:hAnsi="Times New Roman"/>
          <w:sz w:val="20"/>
        </w:rPr>
        <w:t xml:space="preserve">V. General Meeting </w:t>
      </w:r>
    </w:p>
    <w:p>
      <w:pPr>
        <w:pStyle w:val="TextBody"/>
        <w:spacing w:before="240" w:after="0"/>
        <w:jc w:val="center"/>
        <w:rPr>
          <w:rFonts w:ascii="Times New Roman" w:hAnsi="Times New Roman"/>
          <w:sz w:val="20"/>
        </w:rPr>
      </w:pPr>
      <w:r>
        <w:rPr>
          <w:rFonts w:ascii="Times New Roman" w:hAnsi="Times New Roman"/>
          <w:sz w:val="20"/>
        </w:rPr>
        <w:t xml:space="preserve">16 </w:t>
      </w:r>
    </w:p>
    <w:p>
      <w:pPr>
        <w:pStyle w:val="TextBody"/>
        <w:spacing w:before="0" w:after="0"/>
        <w:jc w:val="center"/>
        <w:rPr>
          <w:rFonts w:ascii="Times New Roman" w:hAnsi="Times New Roman"/>
          <w:sz w:val="20"/>
        </w:rPr>
      </w:pPr>
      <w:r>
        <w:rPr>
          <w:rFonts w:ascii="Times New Roman" w:hAnsi="Times New Roman"/>
          <w:sz w:val="20"/>
        </w:rPr>
        <w:t xml:space="preserve">Venue, notice, and participation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8"/>
        <w:gridCol w:w="8880"/>
      </w:tblGrid>
      <w:tr>
        <w:trPr/>
        <w:tc>
          <w:tcPr>
            <w:tcW w:w="91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(1)</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General Meeting is held at the registered office of the Company, at the premises of a German stock exchange, or in a German city with more than 500,000 residents.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(2)</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General Meeting is convened by the Management Board or, in cases prescribed by law, by the Supervisory Board.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8"/>
        <w:gridCol w:w="8879"/>
      </w:tblGrid>
      <w:tr>
        <w:trPr/>
        <w:tc>
          <w:tcPr>
            <w:tcW w:w="91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(3)</w:t>
            </w:r>
          </w:p>
        </w:tc>
        <w:tc>
          <w:tcPr>
            <w:tcW w:w="887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Only those shareholders who are entered in the Companys share register on the day of the General Meeting and who have registered in good time prior to the General Meeting are entitled to attend the General Meeting and exercise their voting rights.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8"/>
        <w:gridCol w:w="8880"/>
      </w:tblGrid>
      <w:tr>
        <w:trPr/>
        <w:tc>
          <w:tcPr>
            <w:tcW w:w="91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(4)</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(currently not filled)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(5)</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registration form must be received by the Company at the address shown in the notice of the meeting no later than the sixth day before the General Meeting; the statutory provisions govern the calculation of the registration period. The Management Board is entitled to specify a shorter registration period (measured in days) in the notice of the General Meeting; in this case, the shorter registration period stipulated by the Management Board applies to the receipt of the registration form. This does not affect any further shortening of the registration period on the basis of statutory provisions.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8"/>
        <w:gridCol w:w="8880"/>
      </w:tblGrid>
      <w:tr>
        <w:trPr/>
        <w:tc>
          <w:tcPr>
            <w:tcW w:w="91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(6)</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announcement giving notice of the General Meeting can include further details about registration.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(7)</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Shareholders can appoint authorized representatives to represent them at the General Meeting and exercise their voting rights. The appointment of an authorized representative, and the cancellation and proof of such an appointment, must be in text form (as defined in section 126b BGB). The notice of the General Meeting can specify simplified processes for appointing an authorized representative, and for cancelling and providing proof of such an appointment; to the extent permitted by law, it can also specify details about appointing and cancelling an authorized representative, including the manner in which proof of such an appointment can be sent to the Company. The proxies appointed by the Company can also be appointed as authorized representatives by fax or using electronic media if this is indicated by the Management Board in the announcement giving notice of the General Meeting. Section 135 AktG still applies. </w:t>
            </w:r>
          </w:p>
        </w:tc>
      </w:tr>
    </w:tbl>
    <w:p>
      <w:pPr>
        <w:pStyle w:val="TextBody"/>
        <w:spacing w:before="240" w:after="0"/>
        <w:jc w:val="center"/>
        <w:rPr>
          <w:rFonts w:ascii="Times New Roman" w:hAnsi="Times New Roman"/>
          <w:sz w:val="20"/>
        </w:rPr>
      </w:pPr>
      <w:r>
        <w:rPr>
          <w:rFonts w:ascii="Times New Roman" w:hAnsi="Times New Roman"/>
          <w:sz w:val="20"/>
        </w:rPr>
        <w:t xml:space="preserve">17 </w:t>
      </w:r>
    </w:p>
    <w:p>
      <w:pPr>
        <w:pStyle w:val="TextBody"/>
        <w:spacing w:before="0" w:after="0"/>
        <w:jc w:val="center"/>
        <w:rPr>
          <w:rFonts w:ascii="Times New Roman" w:hAnsi="Times New Roman"/>
          <w:sz w:val="20"/>
        </w:rPr>
      </w:pPr>
      <w:r>
        <w:rPr>
          <w:rFonts w:ascii="Times New Roman" w:hAnsi="Times New Roman"/>
          <w:sz w:val="20"/>
        </w:rPr>
        <w:t xml:space="preserve">Chairing the General Meeting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(1)</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General Meeting is chaired by the chairman of the Supervisory Board or another person designated by the Supervisory Board. It cannot be chaired by a Management Board member or the certifying notary.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8"/>
        <w:gridCol w:w="8880"/>
      </w:tblGrid>
      <w:tr>
        <w:trPr/>
        <w:tc>
          <w:tcPr>
            <w:tcW w:w="91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(2)</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chairperson chairs the discussions and determines the sequence in which the agenda is dealt with, the form and sequence of the votes, and the sequence of contributions to the debate. The chairperson can set an appropriate limit on the time allotted to shareholders for speaking and asking questions and can specify further details in this regard. In particular, he or she is entitled, at the beginning of the General Meeting or while it is in progress, to set an appropriate time limit for the entire General Meeting, for the individual agenda items, or for individual speakers.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7"/>
        <w:gridCol w:w="8880"/>
      </w:tblGrid>
      <w:tr>
        <w:trPr/>
        <w:tc>
          <w:tcPr>
            <w:tcW w:w="918"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(3)</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meeting chairperson is authorized to permit the video and audio broadcasting of all or parts of the General Meeting in a manner that he or she has determined. </w:t>
            </w:r>
          </w:p>
        </w:tc>
      </w:tr>
    </w:tbl>
    <w:p>
      <w:pPr>
        <w:pStyle w:val="TextBody"/>
        <w:spacing w:before="240" w:after="0"/>
        <w:jc w:val="center"/>
        <w:rPr>
          <w:rFonts w:ascii="Times New Roman" w:hAnsi="Times New Roman"/>
          <w:sz w:val="20"/>
        </w:rPr>
      </w:pPr>
      <w:r>
        <w:rPr>
          <w:rFonts w:ascii="Times New Roman" w:hAnsi="Times New Roman"/>
          <w:sz w:val="20"/>
        </w:rPr>
        <w:t xml:space="preserve">18 </w:t>
      </w:r>
    </w:p>
    <w:p>
      <w:pPr>
        <w:pStyle w:val="TextBody"/>
        <w:spacing w:before="0" w:after="0"/>
        <w:jc w:val="center"/>
        <w:rPr>
          <w:rFonts w:ascii="Times New Roman" w:hAnsi="Times New Roman"/>
          <w:sz w:val="20"/>
        </w:rPr>
      </w:pPr>
      <w:r>
        <w:rPr>
          <w:rFonts w:ascii="Times New Roman" w:hAnsi="Times New Roman"/>
          <w:sz w:val="20"/>
        </w:rPr>
        <w:t xml:space="preserve">Adoption of resolutions </w:t>
      </w:r>
    </w:p>
    <w:p>
      <w:pPr>
        <w:pStyle w:val="TextBody"/>
        <w:spacing w:before="240" w:after="0"/>
        <w:jc w:val="left"/>
        <w:rPr>
          <w:rFonts w:ascii="Times New Roman" w:hAnsi="Times New Roman"/>
          <w:sz w:val="20"/>
        </w:rPr>
      </w:pPr>
      <w:r>
        <w:rPr>
          <w:rFonts w:ascii="Times New Roman" w:hAnsi="Times New Roman"/>
          <w:sz w:val="20"/>
        </w:rPr>
        <w:t xml:space="preserve">Unless otherwise stipulated by law or the articles of incorporation, the General Meeting adopts its resolutions with a simple majority of the votes cast or, where a majority of capital is required, by simple majority of the share capital represented in the voting. An abstention is not deemed to be a cast vote. </w:t>
      </w:r>
    </w:p>
    <w:p>
      <w:pPr>
        <w:pStyle w:val="TextBody"/>
        <w:spacing w:before="240" w:after="0"/>
        <w:jc w:val="center"/>
        <w:rPr>
          <w:rFonts w:ascii="Times New Roman" w:hAnsi="Times New Roman"/>
          <w:sz w:val="20"/>
        </w:rPr>
      </w:pPr>
      <w:r>
        <w:rPr>
          <w:rFonts w:ascii="Times New Roman" w:hAnsi="Times New Roman"/>
          <w:sz w:val="20"/>
        </w:rPr>
        <w:t xml:space="preserve">VI. Single-entity financial statements </w:t>
      </w:r>
    </w:p>
    <w:p>
      <w:pPr>
        <w:pStyle w:val="TextBody"/>
        <w:spacing w:before="240" w:after="0"/>
        <w:jc w:val="center"/>
        <w:rPr>
          <w:rFonts w:ascii="Times New Roman" w:hAnsi="Times New Roman"/>
          <w:sz w:val="20"/>
        </w:rPr>
      </w:pPr>
      <w:r>
        <w:rPr>
          <w:rFonts w:ascii="Times New Roman" w:hAnsi="Times New Roman"/>
          <w:sz w:val="20"/>
        </w:rPr>
        <w:t xml:space="preserve">19 </w:t>
      </w:r>
    </w:p>
    <w:p>
      <w:pPr>
        <w:pStyle w:val="TextBody"/>
        <w:spacing w:before="0" w:after="0"/>
        <w:jc w:val="center"/>
        <w:rPr>
          <w:rFonts w:ascii="Times New Roman" w:hAnsi="Times New Roman"/>
          <w:sz w:val="20"/>
        </w:rPr>
      </w:pPr>
      <w:r>
        <w:rPr>
          <w:rFonts w:ascii="Times New Roman" w:hAnsi="Times New Roman"/>
          <w:sz w:val="20"/>
        </w:rPr>
        <w:t xml:space="preserve">Single-entity financial statements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8"/>
        <w:gridCol w:w="8880"/>
      </w:tblGrid>
      <w:tr>
        <w:trPr/>
        <w:tc>
          <w:tcPr>
            <w:tcW w:w="91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(1)</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Management Board must prepare the single-entity financial statements, the management report if required by law, the consolidated financial statements if required, and the group management report if required by law for the preceding financial year and present them to the Supervisory Board by the statutory deadlines. At the same time, the Management Board must present to the Supervisory Board the proposal for the appropriation of profit that it wishes to submit to the General Meeting. The Supervisory Board must review the single-entity financial statements, the management report if applicable, the proposal for the appropriation of profit, the consolidated financial statements, and the group management report if applicable. If the Supervisory Board approves the single-entity financial statements, they are deemed adopted, unless the Management Board or Supervisory Board resolves to have the General Meeting adopt the single-entity financial statements. The Supervisory Board must resolve on the approval of the consolidated financial statements.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(2)</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Management Board must convene the General Meeting without undue delay once it has received the Supervisory Boards report on the outcome of its review. </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sz w:val="20"/>
        </w:rPr>
      </w:pPr>
      <w:r>
        <w:rPr>
          <w:rFonts w:ascii="Times New Roman" w:hAnsi="Times New Roman"/>
          <w:sz w:val="20"/>
        </w:rPr>
        <w:t xml:space="preserve">20 </w:t>
      </w:r>
    </w:p>
    <w:p>
      <w:pPr>
        <w:pStyle w:val="TextBody"/>
        <w:spacing w:before="0" w:after="0"/>
        <w:jc w:val="center"/>
        <w:rPr>
          <w:rFonts w:ascii="Times New Roman" w:hAnsi="Times New Roman"/>
          <w:sz w:val="20"/>
        </w:rPr>
      </w:pPr>
      <w:r>
        <w:rPr>
          <w:rFonts w:ascii="Times New Roman" w:hAnsi="Times New Roman"/>
          <w:sz w:val="20"/>
        </w:rPr>
        <w:t xml:space="preserve">Appropriation of profit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8"/>
        <w:gridCol w:w="8880"/>
      </w:tblGrid>
      <w:tr>
        <w:trPr/>
        <w:tc>
          <w:tcPr>
            <w:tcW w:w="91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(1)</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statutory provisions apply with respect to the appropriation of profit. In a resolution concerning a capital increase, the distribution of profit for new shares may be determined in departure from section 60 (2) sentence 3 AktG.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(2)</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General Meeting may decide on a non-cash distribution in place of or in addition to a cash distribution. </w:t>
            </w:r>
          </w:p>
        </w:tc>
      </w:tr>
    </w:tbl>
    <w:p>
      <w:pPr>
        <w:pStyle w:val="TextBody"/>
        <w:spacing w:before="120" w:after="0"/>
        <w:jc w:val="center"/>
        <w:rPr>
          <w:rFonts w:ascii="Times New Roman" w:hAnsi="Times New Roman"/>
          <w:sz w:val="20"/>
        </w:rPr>
      </w:pPr>
      <w:r>
        <w:rPr>
          <w:rFonts w:ascii="Times New Roman" w:hAnsi="Times New Roman"/>
          <w:sz w:val="20"/>
        </w:rPr>
        <w:t xml:space="preserve">VII. Concluding provisions </w:t>
      </w:r>
    </w:p>
    <w:p>
      <w:pPr>
        <w:pStyle w:val="TextBody"/>
        <w:spacing w:before="240" w:after="0"/>
        <w:jc w:val="center"/>
        <w:rPr>
          <w:rFonts w:ascii="Times New Roman" w:hAnsi="Times New Roman"/>
          <w:sz w:val="20"/>
        </w:rPr>
      </w:pPr>
      <w:r>
        <w:rPr>
          <w:rFonts w:ascii="Times New Roman" w:hAnsi="Times New Roman"/>
          <w:sz w:val="20"/>
        </w:rPr>
        <w:t xml:space="preserve">21 </w:t>
      </w:r>
    </w:p>
    <w:p>
      <w:pPr>
        <w:pStyle w:val="TextBody"/>
        <w:spacing w:before="0" w:after="0"/>
        <w:jc w:val="center"/>
        <w:rPr>
          <w:rFonts w:ascii="Times New Roman" w:hAnsi="Times New Roman"/>
          <w:sz w:val="20"/>
        </w:rPr>
      </w:pPr>
      <w:r>
        <w:rPr>
          <w:rFonts w:ascii="Times New Roman" w:hAnsi="Times New Roman"/>
          <w:sz w:val="20"/>
        </w:rPr>
        <w:t xml:space="preserve">Formation expenses </w:t>
      </w:r>
    </w:p>
    <w:p>
      <w:pPr>
        <w:pStyle w:val="TextBody"/>
        <w:spacing w:before="240" w:after="0"/>
        <w:jc w:val="left"/>
        <w:rPr>
          <w:rFonts w:ascii="Times New Roman" w:hAnsi="Times New Roman"/>
          <w:sz w:val="20"/>
        </w:rPr>
      </w:pPr>
      <w:r>
        <w:rPr>
          <w:rFonts w:ascii="Times New Roman" w:hAnsi="Times New Roman"/>
          <w:sz w:val="20"/>
        </w:rPr>
        <w:t xml:space="preserve">The court costs and notary costs, including publication costs and other costs for legal and tax advice that are incurred in connection with setting up the Company are borne by the Company up to a total sum of 2,500.00. </w:t>
      </w:r>
    </w:p>
    <w:p>
      <w:pPr>
        <w:pStyle w:val="TextBody"/>
        <w:spacing w:before="240" w:after="0"/>
        <w:jc w:val="center"/>
        <w:rPr>
          <w:rFonts w:ascii="Times New Roman" w:hAnsi="Times New Roman"/>
          <w:sz w:val="20"/>
        </w:rPr>
      </w:pPr>
      <w:r>
        <w:rPr>
          <w:rFonts w:ascii="Times New Roman" w:hAnsi="Times New Roman"/>
          <w:sz w:val="20"/>
        </w:rPr>
        <w:t xml:space="preserve">22 </w:t>
      </w:r>
    </w:p>
    <w:p>
      <w:pPr>
        <w:pStyle w:val="TextBody"/>
        <w:spacing w:before="0" w:after="0"/>
        <w:jc w:val="center"/>
        <w:rPr>
          <w:rFonts w:ascii="Times New Roman" w:hAnsi="Times New Roman"/>
          <w:sz w:val="20"/>
        </w:rPr>
      </w:pPr>
      <w:r>
        <w:rPr>
          <w:rFonts w:ascii="Times New Roman" w:hAnsi="Times New Roman"/>
          <w:sz w:val="20"/>
        </w:rPr>
        <w:t xml:space="preserve">Miscellaneous </w:t>
      </w:r>
    </w:p>
    <w:p>
      <w:pPr>
        <w:pStyle w:val="TextBody"/>
        <w:spacing w:before="240" w:after="0"/>
        <w:jc w:val="left"/>
        <w:rPr>
          <w:rFonts w:ascii="Times New Roman" w:hAnsi="Times New Roman"/>
          <w:sz w:val="20"/>
        </w:rPr>
      </w:pPr>
      <w:r>
        <w:rPr>
          <w:rFonts w:ascii="Times New Roman" w:hAnsi="Times New Roman"/>
          <w:sz w:val="20"/>
        </w:rPr>
        <w:t xml:space="preserve">The law applies where the articles of incorporation do not contain relevant provisions. Should individual provisions of this document be or become ineffective, this should not affect the rest of the content. The shareholders are obliged to replace any ineffective provision with an effective provision that corresponds as closely as possible to the intended commercial purpose. The same applies to omissions. </w:t>
      </w:r>
      <w:r>
        <w:br w:type="page"/>
      </w:r>
    </w:p>
    <w:p>
      <w:pPr>
        <w:pStyle w:val="TextBody"/>
        <w:spacing w:before="0" w:after="0"/>
        <w:jc w:val="right"/>
        <w:rPr>
          <w:rFonts w:ascii="Times New Roman" w:hAnsi="Times New Roman"/>
          <w:b/>
          <w:sz w:val="20"/>
        </w:rPr>
      </w:pPr>
      <w:bookmarkStart w:id="79" w:name="d497326dex23.htm"/>
      <w:bookmarkStart w:id="80" w:name="ksd497326dex23"/>
      <w:bookmarkEnd w:id="79"/>
      <w:bookmarkEnd w:id="80"/>
      <w:r>
        <w:rPr>
          <w:rFonts w:ascii="Times New Roman" w:hAnsi="Times New Roman"/>
          <w:b/>
          <w:sz w:val="20"/>
        </w:rPr>
        <w:t xml:space="preserve">Exhibit 2.3 </w:t>
      </w:r>
    </w:p>
    <w:p>
      <w:pPr>
        <w:pStyle w:val="TextBody"/>
        <w:spacing w:before="240" w:after="0"/>
        <w:jc w:val="center"/>
        <w:rPr>
          <w:rFonts w:ascii="Times New Roman" w:hAnsi="Times New Roman"/>
          <w:b/>
          <w:sz w:val="20"/>
        </w:rPr>
      </w:pPr>
      <w:r>
        <w:rPr>
          <w:rFonts w:ascii="Times New Roman" w:hAnsi="Times New Roman"/>
          <w:b/>
          <w:sz w:val="20"/>
        </w:rPr>
        <w:t xml:space="preserve">DESCRIPTION OF SECURITIES </w:t>
      </w:r>
    </w:p>
    <w:p>
      <w:pPr>
        <w:pStyle w:val="TextBody"/>
        <w:spacing w:before="240" w:after="0"/>
        <w:jc w:val="left"/>
        <w:rPr>
          <w:rFonts w:ascii="Times New Roman" w:hAnsi="Times New Roman"/>
          <w:sz w:val="20"/>
        </w:rPr>
      </w:pPr>
      <w:r>
        <w:rPr>
          <w:rFonts w:ascii="Times New Roman" w:hAnsi="Times New Roman"/>
          <w:sz w:val="20"/>
        </w:rPr>
        <w:t xml:space="preserve">The following description of the capital stock of Mynaric AG (us, our, we or the Company) is a summary of the rights of our ordinary shares and certain provisions of our articles of association in effect as of August 16, 2022. This summary does not purport to be complete and is qualified in its entirety by the provisions of our articles of association previously filed with the Securities and Exchange Commission and incorporated by reference as an exhibit to the Annual Report on Form 20-F of which this Exhibit 2.3 is a part, as well as to the applicable provisions of German legislation on stock corporations. We encourage you to read our articles of association and applicable German legislation on stock corporations carefully. </w:t>
      </w:r>
    </w:p>
    <w:p>
      <w:pPr>
        <w:pStyle w:val="TextBody"/>
        <w:spacing w:before="360" w:after="0"/>
        <w:jc w:val="left"/>
        <w:rPr>
          <w:rFonts w:ascii="Times New Roman" w:hAnsi="Times New Roman"/>
          <w:b/>
          <w:sz w:val="20"/>
        </w:rPr>
      </w:pPr>
      <w:r>
        <w:rPr>
          <w:rFonts w:ascii="Times New Roman" w:hAnsi="Times New Roman"/>
          <w:b/>
          <w:sz w:val="20"/>
        </w:rPr>
        <w:t xml:space="preserve">Share Capital </w:t>
      </w:r>
    </w:p>
    <w:p>
      <w:pPr>
        <w:pStyle w:val="TextBody"/>
        <w:spacing w:before="120" w:after="0"/>
        <w:jc w:val="left"/>
        <w:rPr>
          <w:rFonts w:ascii="Times New Roman" w:hAnsi="Times New Roman"/>
          <w:sz w:val="20"/>
        </w:rPr>
      </w:pPr>
      <w:r>
        <w:rPr>
          <w:rFonts w:ascii="Times New Roman" w:hAnsi="Times New Roman"/>
          <w:sz w:val="20"/>
        </w:rPr>
        <w:t>As of August 16, 2022 our share capital as registered in the commercial register amounts to 5,668,391.00, which is divided into 5,668,391 ordinary registered shares (</w:t>
      </w:r>
      <w:r>
        <w:rPr>
          <w:rFonts w:ascii="Times New Roman" w:hAnsi="Times New Roman"/>
          <w:i/>
          <w:sz w:val="20"/>
        </w:rPr>
        <w:t>auf den Namen lautende Aktien</w:t>
      </w:r>
      <w:r>
        <w:rPr>
          <w:rFonts w:ascii="Times New Roman" w:hAnsi="Times New Roman"/>
          <w:sz w:val="20"/>
        </w:rPr>
        <w:t>). All shares are shares with no par-value (</w:t>
      </w:r>
      <w:r>
        <w:rPr>
          <w:rFonts w:ascii="Times New Roman" w:hAnsi="Times New Roman"/>
          <w:i/>
          <w:sz w:val="20"/>
        </w:rPr>
        <w:t>Stückaktien ohne Nennbetrag</w:t>
      </w:r>
      <w:r>
        <w:rPr>
          <w:rFonts w:ascii="Times New Roman" w:hAnsi="Times New Roman"/>
          <w:sz w:val="20"/>
        </w:rPr>
        <w:t xml:space="preserve">) with a notional amount attributable to each ordinary share of 1.00. </w:t>
      </w:r>
    </w:p>
    <w:p>
      <w:pPr>
        <w:pStyle w:val="TextBody"/>
        <w:spacing w:before="240" w:after="0"/>
        <w:jc w:val="left"/>
        <w:rPr>
          <w:rFonts w:ascii="Times New Roman" w:hAnsi="Times New Roman"/>
          <w:sz w:val="20"/>
        </w:rPr>
      </w:pPr>
      <w:r>
        <w:rPr>
          <w:rFonts w:ascii="Times New Roman" w:hAnsi="Times New Roman"/>
          <w:sz w:val="20"/>
        </w:rPr>
        <w:t>On April 27, 2023, we applied to the commercial register (</w:t>
      </w:r>
      <w:r>
        <w:rPr>
          <w:rFonts w:ascii="Times New Roman" w:hAnsi="Times New Roman"/>
          <w:i/>
          <w:sz w:val="20"/>
        </w:rPr>
        <w:t>Handelsregister</w:t>
      </w:r>
      <w:r>
        <w:rPr>
          <w:rFonts w:ascii="Times New Roman" w:hAnsi="Times New Roman"/>
          <w:sz w:val="20"/>
        </w:rPr>
        <w:t xml:space="preserve">) for the registration of the capital increase under the equity investment entered into on April 25, 2023. Upon registration in the register and effectiveness of the capital increase, our share capital will amount to 6,233,615.00, divided into 6,233,615 ordinary registered shares with no par-value. Correspondingly, our Authorized Capital 2022/I (as described below) pursuant to section 4 para. 3 of our articles of association, will decrease to 1,589,456.00 and 1,589,456 new bearer or registered shares with no par-value may be issued against contributions in cash and/or in kind under this authorization. </w:t>
      </w:r>
    </w:p>
    <w:p>
      <w:pPr>
        <w:pStyle w:val="TextBody"/>
        <w:spacing w:before="360" w:after="0"/>
        <w:jc w:val="left"/>
        <w:rPr>
          <w:rFonts w:ascii="Times New Roman" w:hAnsi="Times New Roman"/>
          <w:b/>
          <w:sz w:val="20"/>
        </w:rPr>
      </w:pPr>
      <w:r>
        <w:rPr>
          <w:rFonts w:ascii="Times New Roman" w:hAnsi="Times New Roman"/>
          <w:b/>
          <w:sz w:val="20"/>
        </w:rPr>
        <w:t xml:space="preserve">General Information on Capital Measures </w:t>
      </w:r>
    </w:p>
    <w:p>
      <w:pPr>
        <w:pStyle w:val="TextBody"/>
        <w:spacing w:before="120" w:after="0"/>
        <w:jc w:val="left"/>
        <w:rPr>
          <w:rFonts w:ascii="Times New Roman" w:hAnsi="Times New Roman"/>
          <w:sz w:val="20"/>
        </w:rPr>
      </w:pPr>
      <w:r>
        <w:rPr>
          <w:rFonts w:ascii="Times New Roman" w:hAnsi="Times New Roman"/>
          <w:sz w:val="20"/>
        </w:rPr>
        <w:t xml:space="preserve">Pursuant to our articles of association, an increase of our share capital generally requires a resolution passed at our shareholders meeting with both a simple majority of the share capital represented at the relevant shareholders meeting and a simple majority of the votes cast. </w:t>
      </w:r>
    </w:p>
    <w:p>
      <w:pPr>
        <w:pStyle w:val="TextBody"/>
        <w:spacing w:before="240" w:after="0"/>
        <w:jc w:val="left"/>
        <w:rPr>
          <w:rFonts w:ascii="Times New Roman" w:hAnsi="Times New Roman"/>
          <w:sz w:val="20"/>
        </w:rPr>
      </w:pPr>
      <w:r>
        <w:rPr>
          <w:rFonts w:ascii="Times New Roman" w:hAnsi="Times New Roman"/>
          <w:sz w:val="20"/>
        </w:rPr>
        <w:t>Our shareholders meeting may also resolve to create so-called authorized share capital (</w:t>
      </w:r>
      <w:r>
        <w:rPr>
          <w:rFonts w:ascii="Times New Roman" w:hAnsi="Times New Roman"/>
          <w:i/>
          <w:sz w:val="20"/>
        </w:rPr>
        <w:t>genehmigtes Kapital</w:t>
      </w:r>
      <w:r>
        <w:rPr>
          <w:rFonts w:ascii="Times New Roman" w:hAnsi="Times New Roman"/>
          <w:sz w:val="20"/>
        </w:rPr>
        <w:t>), authorizing our management board to increase our registered share capital with the consent of our supervisory board within a period of five years by issuing shares for a certain total amount up to the authorized capital amount. Authorized capital is a German law concept that allows us to issue shares without going through the process of obtaining an additional shareholders resolution. The shareholders authorization becomes effective upon registration in the commercial register (</w:t>
      </w:r>
      <w:r>
        <w:rPr>
          <w:rFonts w:ascii="Times New Roman" w:hAnsi="Times New Roman"/>
          <w:i/>
          <w:sz w:val="20"/>
        </w:rPr>
        <w:t>Handelsregister</w:t>
      </w:r>
      <w:r>
        <w:rPr>
          <w:rFonts w:ascii="Times New Roman" w:hAnsi="Times New Roman"/>
          <w:sz w:val="20"/>
        </w:rPr>
        <w:t xml:space="preserve">) and may extend for a period of no more than five years thereafter. The aggregate nominal amount of the authorized capital created by the shareholders may not exceed one half of the share capital existing at the time of registration of the authorized capital with the commercial register. </w:t>
      </w:r>
    </w:p>
    <w:p>
      <w:pPr>
        <w:pStyle w:val="TextBody"/>
        <w:spacing w:before="240" w:after="0"/>
        <w:jc w:val="left"/>
        <w:rPr>
          <w:rFonts w:ascii="Times New Roman" w:hAnsi="Times New Roman"/>
          <w:sz w:val="20"/>
        </w:rPr>
      </w:pPr>
      <w:r>
        <w:rPr>
          <w:rFonts w:ascii="Times New Roman" w:hAnsi="Times New Roman"/>
          <w:sz w:val="20"/>
        </w:rPr>
        <w:t>Furthermore, our shareholders may resolve to amend or create conditional capital (</w:t>
      </w:r>
      <w:r>
        <w:rPr>
          <w:rFonts w:ascii="Times New Roman" w:hAnsi="Times New Roman"/>
          <w:i/>
          <w:sz w:val="20"/>
        </w:rPr>
        <w:t>bedingtes Kapital</w:t>
      </w:r>
      <w:r>
        <w:rPr>
          <w:rFonts w:ascii="Times New Roman" w:hAnsi="Times New Roman"/>
          <w:sz w:val="20"/>
        </w:rPr>
        <w:t xml:space="preserve">). However, they may do so only to issue conversion or subscription rights to holders of convertible bonds, in preparation for a merger with another company or to issue subscription rights to employees and members of the management of our company or of an affiliated company. According to German law, the aggregate nominal amount of the conditional capital resolved at the shareholders meeting may not exceed one half of the share capital existing at the time of the shareholders meeting adopting such resolution. The aggregate nominal amount of the conditional capital resolved for the purpose of granting subscription rights to employees and members of the management of our Company or of an affiliated company may not exceed 10% of the share capital existing at the time of the shareholders meeting adopting such resolution. </w:t>
      </w:r>
    </w:p>
    <w:p>
      <w:pPr>
        <w:pStyle w:val="TextBody"/>
        <w:spacing w:before="240" w:after="0"/>
        <w:jc w:val="left"/>
        <w:rPr>
          <w:rFonts w:ascii="Times New Roman" w:hAnsi="Times New Roman"/>
          <w:sz w:val="20"/>
        </w:rPr>
      </w:pPr>
      <w:r>
        <w:rPr>
          <w:rFonts w:ascii="Times New Roman" w:hAnsi="Times New Roman"/>
          <w:sz w:val="20"/>
        </w:rPr>
        <w:t xml:space="preserve">According to German law, any resolution pertaining to the creation of authorized or conditional capital requires the vote of at least three quarters of the share capital represented at the relevant shareholders meeting and a simple majority of the votes cast. </w:t>
      </w:r>
    </w:p>
    <w:p>
      <w:pPr>
        <w:pStyle w:val="TextBody"/>
        <w:spacing w:before="240" w:after="0"/>
        <w:jc w:val="left"/>
        <w:rPr>
          <w:rFonts w:ascii="Times New Roman" w:hAnsi="Times New Roman"/>
          <w:sz w:val="20"/>
        </w:rPr>
      </w:pPr>
      <w:r>
        <w:rPr>
          <w:rFonts w:ascii="Times New Roman" w:hAnsi="Times New Roman"/>
          <w:sz w:val="20"/>
        </w:rPr>
        <w:t>The shareholders may also resolve to increase the share capital from own resources (</w:t>
      </w:r>
      <w:r>
        <w:rPr>
          <w:rFonts w:ascii="Times New Roman" w:hAnsi="Times New Roman"/>
          <w:i/>
          <w:sz w:val="20"/>
        </w:rPr>
        <w:t>Kapitalerhöhung aus Gesellschaftsmitteln</w:t>
      </w:r>
      <w:r>
        <w:rPr>
          <w:rFonts w:ascii="Times New Roman" w:hAnsi="Times New Roman"/>
          <w:sz w:val="20"/>
        </w:rPr>
        <w:t xml:space="preserve">) by converting capital reserves and profit reserves into registered share capital. Pursuant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to our articles of association, any resolution pertaining to an increase in share capital from own resources requires the vote of a simple majority of the share capital represented at the relevant shareholders meeting and a simple majority of the votes cast. </w:t>
      </w:r>
    </w:p>
    <w:p>
      <w:pPr>
        <w:pStyle w:val="TextBody"/>
        <w:spacing w:before="240" w:after="0"/>
        <w:jc w:val="left"/>
        <w:rPr>
          <w:rFonts w:ascii="Times New Roman" w:hAnsi="Times New Roman"/>
          <w:sz w:val="20"/>
        </w:rPr>
      </w:pPr>
      <w:r>
        <w:rPr>
          <w:rFonts w:ascii="Times New Roman" w:hAnsi="Times New Roman"/>
          <w:sz w:val="20"/>
        </w:rPr>
        <w:t xml:space="preserve">All shares issued by the Company are fully paid in (meaning that shareholders are not liable to the Company to pay in any further amount in relation to their existing shares). Any resolution relating to a reduction of our share capital requires the vote of at least three quarters of the share capital represented at the relevant shareholders meeting as well as a simple majority of the votes cast according to German law. </w:t>
      </w:r>
    </w:p>
    <w:p>
      <w:pPr>
        <w:pStyle w:val="TextBody"/>
        <w:spacing w:before="360" w:after="0"/>
        <w:jc w:val="left"/>
        <w:rPr>
          <w:rFonts w:ascii="Times New Roman" w:hAnsi="Times New Roman"/>
          <w:b/>
          <w:sz w:val="20"/>
        </w:rPr>
      </w:pPr>
      <w:r>
        <w:rPr>
          <w:rFonts w:ascii="Times New Roman" w:hAnsi="Times New Roman"/>
          <w:b/>
          <w:sz w:val="20"/>
        </w:rPr>
        <w:t xml:space="preserve">Authorized Capital </w:t>
      </w:r>
    </w:p>
    <w:p>
      <w:pPr>
        <w:pStyle w:val="TextBody"/>
        <w:spacing w:before="120" w:after="0"/>
        <w:jc w:val="left"/>
        <w:rPr>
          <w:rFonts w:ascii="Times New Roman" w:hAnsi="Times New Roman"/>
          <w:sz w:val="20"/>
        </w:rPr>
      </w:pPr>
      <w:r>
        <w:rPr>
          <w:rFonts w:ascii="Times New Roman" w:hAnsi="Times New Roman"/>
          <w:sz w:val="20"/>
        </w:rPr>
        <w:t>Under the German Stock Corporation Act (</w:t>
      </w:r>
      <w:r>
        <w:rPr>
          <w:rFonts w:ascii="Times New Roman" w:hAnsi="Times New Roman"/>
          <w:i/>
          <w:sz w:val="20"/>
        </w:rPr>
        <w:t>Aktiengesetz</w:t>
      </w:r>
      <w:r>
        <w:rPr>
          <w:rFonts w:ascii="Times New Roman" w:hAnsi="Times New Roman"/>
          <w:sz w:val="20"/>
        </w:rPr>
        <w:t>), a stock corporations shareholders meeting can authorize the management board to, with the consent of the supervisory board, issue shares in a specified aggregate nominal amount of up to 50% of the issued share capital of such company at the time the resolution becomes effective. The shareholders authorization becomes effective upon registration in the commercial register (</w:t>
      </w:r>
      <w:r>
        <w:rPr>
          <w:rFonts w:ascii="Times New Roman" w:hAnsi="Times New Roman"/>
          <w:i/>
          <w:sz w:val="20"/>
        </w:rPr>
        <w:t>Handelsregister</w:t>
      </w:r>
      <w:r>
        <w:rPr>
          <w:rFonts w:ascii="Times New Roman" w:hAnsi="Times New Roman"/>
          <w:sz w:val="20"/>
        </w:rPr>
        <w:t xml:space="preserve">) and may extend for a period of no more than five years thereafter. Our authorized capital is summarized below. </w:t>
      </w:r>
    </w:p>
    <w:p>
      <w:pPr>
        <w:pStyle w:val="TextBody"/>
        <w:spacing w:before="240" w:after="0"/>
        <w:jc w:val="left"/>
        <w:rPr>
          <w:rFonts w:ascii="Times New Roman" w:hAnsi="Times New Roman"/>
          <w:sz w:val="20"/>
        </w:rPr>
      </w:pPr>
      <w:r>
        <w:rPr>
          <w:rFonts w:ascii="Times New Roman" w:hAnsi="Times New Roman"/>
          <w:sz w:val="20"/>
        </w:rPr>
        <w:t xml:space="preserve">As of the date of this Annual Report, our articles of association provide for the following authorized capital: </w:t>
      </w:r>
    </w:p>
    <w:p>
      <w:pPr>
        <w:pStyle w:val="TextBody"/>
        <w:spacing w:before="360" w:after="0"/>
        <w:jc w:val="left"/>
        <w:rPr>
          <w:rFonts w:ascii="Times New Roman" w:hAnsi="Times New Roman"/>
          <w:b/>
          <w:i/>
          <w:sz w:val="20"/>
        </w:rPr>
      </w:pPr>
      <w:r>
        <w:rPr>
          <w:rFonts w:ascii="Times New Roman" w:hAnsi="Times New Roman"/>
          <w:b/>
          <w:i/>
          <w:sz w:val="20"/>
        </w:rPr>
        <w:t xml:space="preserve">Authorized Capital 2021/II </w:t>
      </w:r>
    </w:p>
    <w:p>
      <w:pPr>
        <w:pStyle w:val="TextBody"/>
        <w:spacing w:before="120" w:after="0"/>
        <w:jc w:val="left"/>
        <w:rPr>
          <w:rFonts w:ascii="Times New Roman" w:hAnsi="Times New Roman"/>
          <w:sz w:val="20"/>
        </w:rPr>
      </w:pPr>
      <w:r>
        <w:rPr>
          <w:rFonts w:ascii="Times New Roman" w:hAnsi="Times New Roman"/>
          <w:sz w:val="20"/>
        </w:rPr>
        <w:t>Pursuant to section 4 para. 8 of our articles of association, the management board is authorized until May 13, 2026, subject to the consent of the supervisory board, to increase, once or repeatedly, our share capital by up to a total of 188,498.00 through the issuance of up to 188,498 new bearer or registered shares with no par-value against contributions in cash and/or in kind, including claims against us (the </w:t>
      </w:r>
      <w:r>
        <w:rPr>
          <w:rFonts w:ascii="Times New Roman" w:hAnsi="Times New Roman"/>
          <w:b/>
          <w:sz w:val="20"/>
        </w:rPr>
        <w:t>Authorized Capital 2021/II</w:t>
      </w:r>
      <w:r>
        <w:rPr>
          <w:rFonts w:ascii="Times New Roman" w:hAnsi="Times New Roman"/>
          <w:sz w:val="20"/>
        </w:rPr>
        <w:t>). The subscription rights of the shareholders are excluded. The Authorized Capital 2021/II serves to fulfill claims under our restricted stock unit (</w:t>
      </w:r>
      <w:r>
        <w:rPr>
          <w:rFonts w:ascii="Times New Roman" w:hAnsi="Times New Roman"/>
          <w:b/>
          <w:sz w:val="20"/>
        </w:rPr>
        <w:t>RSU</w:t>
      </w:r>
      <w:r>
        <w:rPr>
          <w:rFonts w:ascii="Times New Roman" w:hAnsi="Times New Roman"/>
          <w:sz w:val="20"/>
        </w:rPr>
        <w:t xml:space="preserve">) Program. The shares that will be created from the Authorized Capital 2021/II may only be issued for this purpose. A capital increase may be implemented only to the extent that the holders of claims under the RSU Program exercise their rights, and we decide, in our discretion, to settle the claims, totally or partially, with shares. </w:t>
      </w:r>
    </w:p>
    <w:p>
      <w:pPr>
        <w:pStyle w:val="TextBody"/>
        <w:spacing w:before="240" w:after="0"/>
        <w:jc w:val="left"/>
        <w:rPr>
          <w:rFonts w:ascii="Times New Roman" w:hAnsi="Times New Roman"/>
          <w:sz w:val="20"/>
        </w:rPr>
      </w:pPr>
      <w:r>
        <w:rPr>
          <w:rFonts w:ascii="Times New Roman" w:hAnsi="Times New Roman"/>
          <w:sz w:val="20"/>
        </w:rPr>
        <w:t xml:space="preserve">The issue amount of each new share must be at least 1.00 per share and may be paid in cash or in kind, including claims against us. The management board, with the consent of the supervisory board, is authorized to determine any further details regarding the capital increase and its implementation, including the determination of the profit participation with respect to the new shares which may, in deviation from Section 60 para. 2 of the German Stock Corporation Act, also include profit participation for the previous financial year. The supervisory board is authorized to adjust the wording of the articles of association accordingly after the utilization of the Authorized Capital 2021/II or upon expiry of the period for the utilization of the Authorized Capital 2021/II. </w:t>
      </w:r>
    </w:p>
    <w:p>
      <w:pPr>
        <w:pStyle w:val="TextBody"/>
        <w:spacing w:before="360" w:after="0"/>
        <w:jc w:val="left"/>
        <w:rPr>
          <w:rFonts w:ascii="Times New Roman" w:hAnsi="Times New Roman"/>
          <w:b/>
          <w:i/>
          <w:sz w:val="20"/>
        </w:rPr>
      </w:pPr>
      <w:r>
        <w:rPr>
          <w:rFonts w:ascii="Times New Roman" w:hAnsi="Times New Roman"/>
          <w:b/>
          <w:i/>
          <w:sz w:val="20"/>
        </w:rPr>
        <w:t xml:space="preserve">Authorized Capital 2022/I </w:t>
      </w:r>
    </w:p>
    <w:p>
      <w:pPr>
        <w:pStyle w:val="TextBody"/>
        <w:spacing w:before="120" w:after="0"/>
        <w:jc w:val="left"/>
        <w:rPr>
          <w:rFonts w:ascii="Times New Roman" w:hAnsi="Times New Roman"/>
          <w:sz w:val="20"/>
        </w:rPr>
      </w:pPr>
      <w:r>
        <w:rPr>
          <w:rFonts w:ascii="Times New Roman" w:hAnsi="Times New Roman"/>
          <w:sz w:val="20"/>
        </w:rPr>
        <w:t>Pursuant to section 4 para. 3 of our articles of association, the management board is authorized until July 13, 2027, subject to the consent of the supervisory board, to increase, once or repeatedly, our share capital by up to a total of 2,154,680.00 through the issuance of up to 2,154,680 new bearer or registered shares with no par-value against contributions in cash and/or in kind, including claims against us (the </w:t>
      </w:r>
      <w:r>
        <w:rPr>
          <w:rFonts w:ascii="Times New Roman" w:hAnsi="Times New Roman"/>
          <w:b/>
          <w:sz w:val="20"/>
        </w:rPr>
        <w:t>Authorized Capital 2022/I</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In principle, the shareholders are to be granted subscription rights. The shares may be subscribed by one or more credit institutions(s) or one or several enterprise(s) operating pursuant to Section 53 para. 1 sentence 1 or Section 53b para. 1 sentence 1 or para. 7 of the German Banking Act (</w:t>
      </w:r>
      <w:r>
        <w:rPr>
          <w:rFonts w:ascii="Times New Roman" w:hAnsi="Times New Roman"/>
          <w:i/>
          <w:sz w:val="20"/>
        </w:rPr>
        <w:t>Gesetz über das Kreditwesen</w:t>
      </w:r>
      <w:r>
        <w:rPr>
          <w:rFonts w:ascii="Times New Roman" w:hAnsi="Times New Roman"/>
          <w:sz w:val="20"/>
        </w:rPr>
        <w:t xml:space="preserve">) with the obligation to offer the shares to our shareholders pursuant to Section 186 para. 5 of the German Stock Corporation Act (so-called indirect subscription right). With the consent of the supervisory board, our management board is authorized to exclude the subscription rights in the following circumstances: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the extent required to avoid fractional amounts;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event of a capital increase against contributions in kind, in particular in the context of business combinations or for the (also indirect) acquisition of companies, operations, parts of companies, equity interests or other assets or entitlements to the acquisition of assets, including claims against the Company or its group companies;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if a capital increase against cash contributions does not exceed 10% of the share capital either at the time this authorization becomes effective or  if this amount is lower  at the time this authorization is exercised, and the issue price of the new shares is not significantly lower than the stock market price (section 186 para. 3 sentence 4 of the German Stock Corporation Act); the stock exchange price shall also be deemed to be the price of an American Depositary Share (</w:t>
            </w:r>
            <w:r>
              <w:rPr>
                <w:rFonts w:ascii="Times New Roman" w:hAnsi="Times New Roman"/>
                <w:b/>
                <w:sz w:val="20"/>
              </w:rPr>
              <w:t>ADS</w:t>
            </w:r>
            <w:r>
              <w:rPr>
                <w:rFonts w:ascii="Times New Roman" w:hAnsi="Times New Roman"/>
                <w:sz w:val="20"/>
              </w:rPr>
              <w:t xml:space="preserve">) listed on the New York Stock Exchange or on the NASDAQ stock exchange multiplied by the number of ADSs representing one share; if the Companys share is listed on the Xetra system of the Frankfurt Stock Exchange (or a functionally comparable successor system replacing the Xetra system) and, at the same time, ADSs of the Company are listed on the New York Stock Exchange or on the NASDAQ Stock Exchange, the Company shall choose which of these stock exchange prices shall be decisive. </w:t>
            </w:r>
          </w:p>
        </w:tc>
      </w:tr>
    </w:tbl>
    <w:p>
      <w:pPr>
        <w:pStyle w:val="TextBody"/>
        <w:spacing w:before="240" w:after="0"/>
        <w:jc w:val="left"/>
        <w:rPr>
          <w:rFonts w:ascii="Times New Roman" w:hAnsi="Times New Roman"/>
          <w:sz w:val="20"/>
        </w:rPr>
      </w:pPr>
      <w:r>
        <w:rPr>
          <w:rFonts w:ascii="Times New Roman" w:hAnsi="Times New Roman"/>
          <w:sz w:val="20"/>
        </w:rPr>
        <w:t xml:space="preserve">The management board is authorized, with the consent of the supervisory board, to determine the further details of the capital increase and the terms and conditions of the issuance of shares; this also includes the determination of the dividend entitlement of the new shares, which, in derogation of section 60 para. 2 of the German Stock Corporation Act, may also be determined for a financial year which has already expired if, at the time of the issuance of the new shares, a resolution by the general meeting on the appropriation of profits for this financial year has not yet been adopted. The supervisory board is authorized to amend section 4 of the articles of association after the full or partial implementation of the capital increase in accordance with the respective utilization of the authorized capital and after expiry of the authorization period. </w:t>
      </w:r>
    </w:p>
    <w:p>
      <w:pPr>
        <w:pStyle w:val="TextBody"/>
        <w:spacing w:before="360" w:after="0"/>
        <w:jc w:val="left"/>
        <w:rPr>
          <w:rFonts w:ascii="Times New Roman" w:hAnsi="Times New Roman"/>
          <w:b/>
          <w:i/>
          <w:sz w:val="20"/>
        </w:rPr>
      </w:pPr>
      <w:r>
        <w:rPr>
          <w:rFonts w:ascii="Times New Roman" w:hAnsi="Times New Roman"/>
          <w:b/>
          <w:i/>
          <w:sz w:val="20"/>
        </w:rPr>
        <w:t xml:space="preserve">Authorized Capital 2022/II </w:t>
      </w:r>
    </w:p>
    <w:p>
      <w:pPr>
        <w:pStyle w:val="TextBody"/>
        <w:spacing w:before="120" w:after="0"/>
        <w:jc w:val="left"/>
        <w:rPr>
          <w:rFonts w:ascii="Times New Roman" w:hAnsi="Times New Roman"/>
          <w:sz w:val="20"/>
        </w:rPr>
      </w:pPr>
      <w:r>
        <w:rPr>
          <w:rFonts w:ascii="Times New Roman" w:hAnsi="Times New Roman"/>
          <w:sz w:val="20"/>
        </w:rPr>
        <w:t>Pursuant to section 4 para. 12 of our articles of association, the management board is authorized, with the consent of the supervisory board, to increase our share capital in the period up to and including July 31, 2027 by up to EUR 262,147.00 on one or more occasions by issuing up to 262,147 new no-par value bearer or registered shares against contribution in cash and/or in kind (the </w:t>
      </w:r>
      <w:r>
        <w:rPr>
          <w:rFonts w:ascii="Times New Roman" w:hAnsi="Times New Roman"/>
          <w:b/>
          <w:sz w:val="20"/>
        </w:rPr>
        <w:t>Authorized Capital 2022/II</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The shareholders subscription rights are excluded. The Authorized Capital 2022/II serves to deliver shares of the Company to fulfil claims under our RSU Program to selected employees of the Company and its affiliated companies in accordance with the RSU Program in return for the contribution of the respective payment claims arising under the RSUs. </w:t>
      </w:r>
    </w:p>
    <w:p>
      <w:pPr>
        <w:pStyle w:val="TextBody"/>
        <w:spacing w:before="240" w:after="0"/>
        <w:jc w:val="left"/>
        <w:rPr>
          <w:rFonts w:ascii="Times New Roman" w:hAnsi="Times New Roman"/>
          <w:sz w:val="20"/>
        </w:rPr>
      </w:pPr>
      <w:r>
        <w:rPr>
          <w:rFonts w:ascii="Times New Roman" w:hAnsi="Times New Roman"/>
          <w:sz w:val="20"/>
        </w:rPr>
        <w:t xml:space="preserve">The issue price of the new shares may be paid in cash and/or in kind, in particular also by contributing claims against the Company under the RSU Program. The management board is authorized, with the consent of the supervisory board, to determine the further details of the capital increase and its implementation; this also includes the determination of the dividend entitlement of the new shares, which, in deviation from section 60 para. 2 AktG, may also be determined for a financial year that has already expired if, at the time of the issuance of the new shares, a resolution by the general meeting on the appropriation of profits for this financial year has not yet been adopted. </w:t>
      </w:r>
    </w:p>
    <w:p>
      <w:pPr>
        <w:pStyle w:val="TextBody"/>
        <w:spacing w:before="240" w:after="0"/>
        <w:jc w:val="left"/>
        <w:rPr>
          <w:rFonts w:ascii="Times New Roman" w:hAnsi="Times New Roman"/>
          <w:sz w:val="20"/>
        </w:rPr>
      </w:pPr>
      <w:r>
        <w:rPr>
          <w:rFonts w:ascii="Times New Roman" w:hAnsi="Times New Roman"/>
          <w:sz w:val="20"/>
        </w:rPr>
        <w:t xml:space="preserve">The management board is authorized, with the consent of the supervisory board, to determine the further details of the capital increase and the terms and conditions of the share issuance. This authorization also already covers the issue of RSUs. The supervisory board is authorized to amend section 4 of the articles of association after full or partial implementation of the capital increase in accordance with the respective utilization of the authorized capital and after expiry of the authorization period. </w:t>
      </w:r>
    </w:p>
    <w:p>
      <w:pPr>
        <w:pStyle w:val="TextBody"/>
        <w:spacing w:before="360" w:after="0"/>
        <w:jc w:val="left"/>
        <w:rPr>
          <w:rFonts w:ascii="Times New Roman" w:hAnsi="Times New Roman"/>
          <w:b/>
          <w:sz w:val="20"/>
        </w:rPr>
      </w:pPr>
      <w:r>
        <w:rPr>
          <w:rFonts w:ascii="Times New Roman" w:hAnsi="Times New Roman"/>
          <w:b/>
          <w:sz w:val="20"/>
        </w:rPr>
        <w:t xml:space="preserve">Conditional Capital </w:t>
      </w:r>
    </w:p>
    <w:p>
      <w:pPr>
        <w:pStyle w:val="TextBody"/>
        <w:spacing w:before="120" w:after="0"/>
        <w:jc w:val="left"/>
        <w:rPr>
          <w:rFonts w:ascii="Times New Roman" w:hAnsi="Times New Roman"/>
          <w:sz w:val="20"/>
        </w:rPr>
      </w:pPr>
      <w:r>
        <w:rPr>
          <w:rFonts w:ascii="Times New Roman" w:hAnsi="Times New Roman"/>
          <w:sz w:val="20"/>
        </w:rPr>
        <w:t xml:space="preserve">As of the date of this Annual Report, our articles of association provide for the following conditional capital: </w:t>
      </w:r>
    </w:p>
    <w:p>
      <w:pPr>
        <w:pStyle w:val="TextBody"/>
        <w:spacing w:before="360" w:after="0"/>
        <w:jc w:val="left"/>
        <w:rPr>
          <w:rFonts w:ascii="Times New Roman" w:hAnsi="Times New Roman"/>
          <w:b/>
          <w:i/>
          <w:sz w:val="20"/>
        </w:rPr>
      </w:pPr>
      <w:r>
        <w:rPr>
          <w:rFonts w:ascii="Times New Roman" w:hAnsi="Times New Roman"/>
          <w:b/>
          <w:i/>
          <w:sz w:val="20"/>
        </w:rPr>
        <w:t xml:space="preserve">Conditional Capital 2019 </w:t>
      </w:r>
    </w:p>
    <w:p>
      <w:pPr>
        <w:pStyle w:val="TextBody"/>
        <w:spacing w:before="120" w:after="0"/>
        <w:jc w:val="left"/>
        <w:rPr>
          <w:rFonts w:ascii="Times New Roman" w:hAnsi="Times New Roman"/>
          <w:sz w:val="20"/>
        </w:rPr>
      </w:pPr>
      <w:r>
        <w:rPr>
          <w:rFonts w:ascii="Times New Roman" w:hAnsi="Times New Roman"/>
          <w:sz w:val="20"/>
        </w:rPr>
        <w:t>Pursuant to section 4 para. 5 of our articles of association, our share capital is conditionally increased by up to 270,000.00 through the issuance of up to 270,000 new bearer or registered shares with no par-value (</w:t>
      </w:r>
      <w:r>
        <w:rPr>
          <w:rFonts w:ascii="Times New Roman" w:hAnsi="Times New Roman"/>
          <w:b/>
          <w:sz w:val="20"/>
        </w:rPr>
        <w:t>Conditional Capital 2019</w:t>
      </w:r>
      <w:r>
        <w:rPr>
          <w:rFonts w:ascii="Times New Roman" w:hAnsi="Times New Roman"/>
          <w:sz w:val="20"/>
        </w:rPr>
        <w:t xml:space="preserve">). The Conditional Capital 2019 serves exclusively for the issuance of shares upon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exercise of stock options under our 2019 Plan. The new shares will be issued at the issue price to be determined in accordance with the 2019 Plan. The conditional capital increase will only be implemented (i) to the extent that the holders of stock options under the 2019 Plan exercise their option rights pursuant to the 2019 Plan, and (ii) we, in our full discretion, do not choose to settle the claims with treasury shares or in cash.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2019. The supervisory board is authorized to amend our articles of association accordingly after the respective utilization of the Conditional Capital 2019 and upon expiration of all option or conversion periods. </w:t>
      </w:r>
    </w:p>
    <w:p>
      <w:pPr>
        <w:pStyle w:val="TextBody"/>
        <w:spacing w:before="360" w:after="0"/>
        <w:jc w:val="left"/>
        <w:rPr>
          <w:rFonts w:ascii="Times New Roman" w:hAnsi="Times New Roman"/>
          <w:b/>
          <w:i/>
          <w:sz w:val="20"/>
        </w:rPr>
      </w:pPr>
      <w:r>
        <w:rPr>
          <w:rFonts w:ascii="Times New Roman" w:hAnsi="Times New Roman"/>
          <w:b/>
          <w:i/>
          <w:sz w:val="20"/>
        </w:rPr>
        <w:t xml:space="preserve">Conditional Capital 2020/I </w:t>
      </w:r>
    </w:p>
    <w:p>
      <w:pPr>
        <w:pStyle w:val="TextBody"/>
        <w:spacing w:before="120" w:after="0"/>
        <w:jc w:val="left"/>
        <w:rPr>
          <w:rFonts w:ascii="Times New Roman" w:hAnsi="Times New Roman"/>
          <w:sz w:val="20"/>
        </w:rPr>
      </w:pPr>
      <w:r>
        <w:rPr>
          <w:rFonts w:ascii="Times New Roman" w:hAnsi="Times New Roman"/>
          <w:sz w:val="20"/>
        </w:rPr>
        <w:t>Pursuant to section 4 para. 6 of our articles of association, our share capital is conditionally increased by up to 34,473.00 through the issuance of up to 34,473 new bearer or registered shares with no par-value (</w:t>
      </w:r>
      <w:r>
        <w:rPr>
          <w:rFonts w:ascii="Times New Roman" w:hAnsi="Times New Roman"/>
          <w:b/>
          <w:sz w:val="20"/>
        </w:rPr>
        <w:t>Conditional Capital 2020/I</w:t>
      </w:r>
      <w:r>
        <w:rPr>
          <w:rFonts w:ascii="Times New Roman" w:hAnsi="Times New Roman"/>
          <w:sz w:val="20"/>
        </w:rPr>
        <w:t xml:space="preserve">). The Conditional Capital 2020/I serves exclusively for the issuance of shares on the exercise of stock options under our 2020 Plan. The new shares will be issued at the issue price to be determined in accordance with the 2020 Plan. The conditional capital increase will only be implemented (i) to the extent that the holders of stock options under the 2020 Plan exercise their option rights pursuant to the 2020 Plan, and (ii) we, in our full discretion, do not choose to settle the claims with treasury shares or in cash.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2020/I. The supervisory board is authorized to amend our articles of association accordingly after the respective utilization of the Conditional Capital 2020/I and upon expiration of all option or conversion periods. </w:t>
      </w:r>
    </w:p>
    <w:p>
      <w:pPr>
        <w:pStyle w:val="TextBody"/>
        <w:spacing w:before="360" w:after="0"/>
        <w:jc w:val="left"/>
        <w:rPr>
          <w:rFonts w:ascii="Times New Roman" w:hAnsi="Times New Roman"/>
          <w:b/>
          <w:i/>
          <w:sz w:val="20"/>
        </w:rPr>
      </w:pPr>
      <w:r>
        <w:rPr>
          <w:rFonts w:ascii="Times New Roman" w:hAnsi="Times New Roman"/>
          <w:b/>
          <w:i/>
          <w:sz w:val="20"/>
        </w:rPr>
        <w:t xml:space="preserve">Conditional Capital 2020/II </w:t>
      </w:r>
    </w:p>
    <w:p>
      <w:pPr>
        <w:pStyle w:val="TextBody"/>
        <w:spacing w:before="120" w:after="0"/>
        <w:jc w:val="left"/>
        <w:rPr>
          <w:rFonts w:ascii="Times New Roman" w:hAnsi="Times New Roman"/>
          <w:sz w:val="20"/>
        </w:rPr>
      </w:pPr>
      <w:r>
        <w:rPr>
          <w:rFonts w:ascii="Times New Roman" w:hAnsi="Times New Roman"/>
          <w:sz w:val="20"/>
        </w:rPr>
        <w:t>Pursuant to section 4 para. 7 of our articles of association, our share capital is conditionally increased by up to 1,179,679.00 through issuance of up to 1,179,679 new bearer or registered shares with no par-value (</w:t>
      </w:r>
      <w:r>
        <w:rPr>
          <w:rFonts w:ascii="Times New Roman" w:hAnsi="Times New Roman"/>
          <w:b/>
          <w:sz w:val="20"/>
        </w:rPr>
        <w:t>Conditional Capital 2020/II</w:t>
      </w:r>
      <w:r>
        <w:rPr>
          <w:rFonts w:ascii="Times New Roman" w:hAnsi="Times New Roman"/>
          <w:sz w:val="20"/>
        </w:rPr>
        <w:t>). The Conditional Capital 2020/II serves for the issuance of shares upon the exercise of conversion or option rights associated with the fulfilment of conversion or option obligations to the holders of convertible bonds, options, profit rights and/or profit bonds (or respective combinations of these instruments) (together </w:t>
      </w:r>
      <w:r>
        <w:rPr>
          <w:rFonts w:ascii="Times New Roman" w:hAnsi="Times New Roman"/>
          <w:b/>
          <w:sz w:val="20"/>
        </w:rPr>
        <w:t>Bonds</w:t>
      </w:r>
      <w:r>
        <w:rPr>
          <w:rFonts w:ascii="Times New Roman" w:hAnsi="Times New Roman"/>
          <w:sz w:val="20"/>
        </w:rPr>
        <w:t xml:space="preserve">) issued on the basis of the authorizing resolution of the shareholders meeting of June 12, 2020. The new shares are issued on the basis of the conversion or option price to be determined in accordance with the authorizing resolution of the shareholders meeting of June 12, 2020. The conditional capital increase will only be implemented (i) to the extent that the holders or creditors of Bonds which are issued by the Company on the basis of the authorizing resolution of the shareholders meeting of June 12, 2020 until June 11, 2025, exercise their conversion or option rights to satisfy the conversion or option obligations under such Bonds, or (ii) to the extent the Company issues shares instead of paying the amount due as well as to the extent the conversion or option rights and their respective conversion or option obligations are not serviced by treasury shares but rather by shares from authorized capital or other consideration.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2020/II. The supervisory board is authorized to amend our articles of association accordingly after the respective utilization of the Conditional Capital 2020/II and upon expiration of all option or conversion periods. </w:t>
      </w:r>
      <w:r>
        <w:br w:type="page"/>
      </w:r>
    </w:p>
    <w:p>
      <w:pPr>
        <w:pStyle w:val="HorizontalLine"/>
        <w:pBdr>
          <w:bottom w:val="double" w:sz="6" w:space="0" w:color="808080"/>
        </w:pBdr>
        <w:rPr/>
      </w:pPr>
      <w:r>
        <w:rPr/>
      </w:r>
    </w:p>
    <w:p>
      <w:pPr>
        <w:pStyle w:val="TextBody"/>
        <w:spacing w:before="0" w:after="0"/>
        <w:jc w:val="left"/>
        <w:rPr>
          <w:rFonts w:ascii="Times New Roman" w:hAnsi="Times New Roman"/>
          <w:b/>
          <w:i/>
          <w:sz w:val="20"/>
        </w:rPr>
      </w:pPr>
      <w:r>
        <w:rPr>
          <w:rFonts w:ascii="Times New Roman" w:hAnsi="Times New Roman"/>
          <w:b/>
          <w:i/>
          <w:sz w:val="20"/>
        </w:rPr>
        <w:t xml:space="preserve">Conditional Capital 2021/II </w:t>
      </w:r>
    </w:p>
    <w:p>
      <w:pPr>
        <w:pStyle w:val="TextBody"/>
        <w:spacing w:before="120" w:after="0"/>
        <w:jc w:val="left"/>
        <w:rPr>
          <w:rFonts w:ascii="Times New Roman" w:hAnsi="Times New Roman"/>
          <w:sz w:val="20"/>
        </w:rPr>
      </w:pPr>
      <w:r>
        <w:rPr>
          <w:rFonts w:ascii="Times New Roman" w:hAnsi="Times New Roman"/>
          <w:sz w:val="20"/>
        </w:rPr>
        <w:t>Pursuant to section 4 para. 10 of our articles of association, our share capital is conditionally increased by up to 103,321.00 through the issuance of up to 103,321 new bearer or registered shares with no par-value (</w:t>
      </w:r>
      <w:r>
        <w:rPr>
          <w:rFonts w:ascii="Times New Roman" w:hAnsi="Times New Roman"/>
          <w:b/>
          <w:sz w:val="20"/>
        </w:rPr>
        <w:t>Conditional Capital 2021/II</w:t>
      </w:r>
      <w:r>
        <w:rPr>
          <w:rFonts w:ascii="Times New Roman" w:hAnsi="Times New Roman"/>
          <w:sz w:val="20"/>
        </w:rPr>
        <w:t xml:space="preserve">). The Conditional Capital 2021/II serves exclusively for the issuance of shares upon the exercise of stock options by the members of our management board, as specified in the 2021 Plan. The shares will be issued at the issue price set forth in the 2021 Plan. The conditional capital increase will only be implemented (i) to the extent that the holders of stock options under the 2021 Plan exercise their option rights pursuant to the 2021 Plan, and (ii) we, in our full discretion, do not choose to settle the claims with treasury shares or in cash. The new no-par value bearer shares will be entitled to dividends (if declared) from the beginning of the financial year in which they are issued. The supervisory board is authorized to determine the further details of the implementation of the conditional capital increase under the Conditional Capital 2021/II and to adjust our articles of association accordingly after the respective utilization of the Conditional Capital 2021/II and upon expiration of all option or conversion periods. </w:t>
      </w:r>
    </w:p>
    <w:p>
      <w:pPr>
        <w:pStyle w:val="TextBody"/>
        <w:spacing w:before="360" w:after="0"/>
        <w:jc w:val="left"/>
        <w:rPr>
          <w:rFonts w:ascii="Times New Roman" w:hAnsi="Times New Roman"/>
          <w:b/>
          <w:i/>
          <w:sz w:val="20"/>
        </w:rPr>
      </w:pPr>
      <w:r>
        <w:rPr>
          <w:rFonts w:ascii="Times New Roman" w:hAnsi="Times New Roman"/>
          <w:b/>
          <w:i/>
          <w:sz w:val="20"/>
        </w:rPr>
        <w:t xml:space="preserve">Conditional Capital 2022/I </w:t>
      </w:r>
    </w:p>
    <w:p>
      <w:pPr>
        <w:pStyle w:val="TextBody"/>
        <w:spacing w:before="120" w:after="0"/>
        <w:jc w:val="left"/>
        <w:rPr>
          <w:rFonts w:ascii="Times New Roman" w:hAnsi="Times New Roman"/>
          <w:sz w:val="20"/>
        </w:rPr>
      </w:pPr>
      <w:r>
        <w:rPr>
          <w:rFonts w:ascii="Times New Roman" w:hAnsi="Times New Roman"/>
          <w:sz w:val="20"/>
        </w:rPr>
        <w:t>Pursuant to section 4 para. 9 of our articles of association, our share capital is conditionally increased by up to 917,501.00 through issuance of up to 917,501 new bearer or registered shares with no par-value (</w:t>
      </w:r>
      <w:r>
        <w:rPr>
          <w:rFonts w:ascii="Times New Roman" w:hAnsi="Times New Roman"/>
          <w:b/>
          <w:sz w:val="20"/>
        </w:rPr>
        <w:t>Conditional Capital 2022/I</w:t>
      </w:r>
      <w:r>
        <w:rPr>
          <w:rFonts w:ascii="Times New Roman" w:hAnsi="Times New Roman"/>
          <w:sz w:val="20"/>
        </w:rPr>
        <w:t xml:space="preserve">). The Conditional Capital 2022/I serves for the issuance of shares upon the exercise of conversion or option rights associated with the fulfilment of conversion or option obligations to the holders of Bonds issued on the basis of the authorizing resolution of the shareholders meeting of July 14, 2022. The new shares are issued on the basis of the conversion or option price to be determined in accordance with the authorizing resolution of the shareholders meeting of July 14, 2022. The conditional capital increase will only be implemented (i) to the extent that the holders or creditors of Bonds which are issued by the Company on the basis of the authorizing resolution of the shareholders meeting of July 14, 2022 until of July 13, 2027, exercise their conversion or option rights to satisfy the conversion or option obligations under such Bonds, or (ii) to the extent the Company issues shares instead of paying the amount due as well as to the extent the conversion or option rights and their respective conversion or option obligations are not serviced by treasury shares but rather by shares from authorized capital or other consideration.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2022/I. The supervisory board is authorized to adjust our articles of association accordingly after the respective utilization of the Conditional Capital 2022/I and upon expiration of all option or conversion periods. </w:t>
      </w:r>
    </w:p>
    <w:p>
      <w:pPr>
        <w:pStyle w:val="TextBody"/>
        <w:spacing w:before="360" w:after="0"/>
        <w:jc w:val="left"/>
        <w:rPr>
          <w:rFonts w:ascii="Times New Roman" w:hAnsi="Times New Roman"/>
          <w:b/>
          <w:i/>
          <w:sz w:val="20"/>
        </w:rPr>
      </w:pPr>
      <w:r>
        <w:rPr>
          <w:rFonts w:ascii="Times New Roman" w:hAnsi="Times New Roman"/>
          <w:b/>
          <w:i/>
          <w:sz w:val="20"/>
        </w:rPr>
        <w:t xml:space="preserve">Conditional Capital 2022/II </w:t>
      </w:r>
    </w:p>
    <w:p>
      <w:pPr>
        <w:pStyle w:val="TextBody"/>
        <w:spacing w:before="120" w:after="0"/>
        <w:jc w:val="left"/>
        <w:rPr>
          <w:rFonts w:ascii="Times New Roman" w:hAnsi="Times New Roman"/>
          <w:sz w:val="20"/>
        </w:rPr>
      </w:pPr>
      <w:r>
        <w:rPr>
          <w:rFonts w:ascii="Times New Roman" w:hAnsi="Times New Roman"/>
          <w:sz w:val="20"/>
        </w:rPr>
        <w:t>Pursuant to Section 4 para. 11 of our articles of association, the share capital of the Company is conditionally increased by up to EUR 115,000.00 by issuing up to 115,000 new bearer or registered shares with no par-value (</w:t>
      </w:r>
      <w:r>
        <w:rPr>
          <w:rFonts w:ascii="Times New Roman" w:hAnsi="Times New Roman"/>
          <w:b/>
          <w:sz w:val="20"/>
        </w:rPr>
        <w:t>Conditional Capital 2022/II</w:t>
      </w:r>
      <w:r>
        <w:rPr>
          <w:rFonts w:ascii="Times New Roman" w:hAnsi="Times New Roman"/>
          <w:sz w:val="20"/>
        </w:rPr>
        <w:t xml:space="preserve">). The conditional capital increase serves exclusively to grant subscription rights to shares (stock options) to members of the management board of the Company granted on the basis of the authorization of the annual general meeting on July 14, 2022. The shares will be issued at the issue price specified in the authorization. The conditional capital increase will only be implemented to the extent that subscription rights are exercised and the Company does not grant treasury shares or a cash payment to fulfill the subscription rights. The new shares shall carry dividend rights from the beginning of the financial year for which, at the time the subscription right is exercised, no resolution has yet been passed by the general meeting on the appropriation of net retained profits. The supervisory board of the Company is authorized to determine the further details of the conditional capital increase and its implementation. The supervisory board is also authorized to amend the wording of the articles of association in each case to reflect the issue of subscription shares. </w:t>
      </w:r>
    </w:p>
    <w:p>
      <w:pPr>
        <w:pStyle w:val="TextBody"/>
        <w:spacing w:before="360" w:after="0"/>
        <w:jc w:val="left"/>
        <w:rPr>
          <w:rFonts w:ascii="Times New Roman" w:hAnsi="Times New Roman"/>
          <w:b/>
          <w:sz w:val="20"/>
        </w:rPr>
      </w:pPr>
      <w:r>
        <w:rPr>
          <w:rFonts w:ascii="Times New Roman" w:hAnsi="Times New Roman"/>
          <w:b/>
          <w:sz w:val="20"/>
        </w:rPr>
        <w:t xml:space="preserve">Subscription Rights </w:t>
      </w:r>
    </w:p>
    <w:p>
      <w:pPr>
        <w:pStyle w:val="TextBody"/>
        <w:spacing w:before="120" w:after="0"/>
        <w:jc w:val="left"/>
        <w:rPr>
          <w:rFonts w:ascii="Times New Roman" w:hAnsi="Times New Roman"/>
          <w:sz w:val="20"/>
        </w:rPr>
      </w:pPr>
      <w:r>
        <w:rPr>
          <w:rFonts w:ascii="Times New Roman" w:hAnsi="Times New Roman"/>
          <w:sz w:val="20"/>
        </w:rPr>
        <w:t xml:space="preserve">According to the German Stock Corporation Act, every shareholder is generally entitled to subscription rights (commonly known as preemptive rights) with respect to any new shares issued within the framework of a capital increase, including convertible bonds, bonds with warrants, profit sharing rights or income bonds, in proportion to the number of shares the shareholder holds in the corporations existing share capital. Under German law, these rights do not apply to shares issued out of conditional capital. A minimum subscription period of two weeks must be provided for the exercise of such subscription rights.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Under German law, the shareholders meeting may pass a resolution excluding subscription rights if at least three quarters of the share capital represented adopts the resolution. To exclude subscription rights, the management board must also make a report available to the shareholders justifying the exclusion and demonstrating that the companys interest in excluding the subscription rights outweighs the shareholders interest in having them. Such justification may be subject to judicial review. Accordingly, under German law, the exclusion of subscription rights upon the issuance of new shares is permitted, in particular, if we increase the share capital against cash contributions, if the amount of the capital increase does not exceed 10% of the existing share capital and the issue price of the new shares is not significantly lower than the market price of our shares (for this purpose, the market price may also be considered the market price of an ADS listed on the NYSE or the Nasdaq divided by the number of our shares or the fraction of one of our shares represented by an ADS, as the case may be). If our shares are listed on the XETRA trading system (or a comparable successor system) of the Frankfurt Stock Exchange and, at the same time, ADSs representing our shares are listed on the NYSE or the Nasdaq, we may choose which of the exchange prices shall be relevant for purposes of determining the market price. Other cases in which the exclusion of the shareholders subscription rights is generally deemed acceptable under German law are exclusions for the purpose of introducing shares of the Company on a foreign stock exchange, for the purpose of excluding fractional amounts resulting from the subscription ratio from the statutory subscription rights of the shareholders, for the purpose of fulfilling claims of beneficiaries of option programs or in the case of increases of share capital against contributions in kind, such as for the acquisition of companies or other assets. </w:t>
      </w:r>
    </w:p>
    <w:p>
      <w:pPr>
        <w:pStyle w:val="TextBody"/>
        <w:spacing w:before="360" w:after="0"/>
        <w:jc w:val="left"/>
        <w:rPr>
          <w:rFonts w:ascii="Times New Roman" w:hAnsi="Times New Roman"/>
          <w:b/>
          <w:sz w:val="20"/>
        </w:rPr>
      </w:pPr>
      <w:r>
        <w:rPr>
          <w:rFonts w:ascii="Times New Roman" w:hAnsi="Times New Roman"/>
          <w:b/>
          <w:sz w:val="20"/>
        </w:rPr>
        <w:t xml:space="preserve">Form, Certification and Transferability of the Shares </w:t>
      </w:r>
    </w:p>
    <w:p>
      <w:pPr>
        <w:pStyle w:val="TextBody"/>
        <w:spacing w:before="120" w:after="0"/>
        <w:jc w:val="left"/>
        <w:rPr>
          <w:rFonts w:ascii="Times New Roman" w:hAnsi="Times New Roman"/>
          <w:sz w:val="20"/>
        </w:rPr>
      </w:pPr>
      <w:r>
        <w:rPr>
          <w:rFonts w:ascii="Times New Roman" w:hAnsi="Times New Roman"/>
          <w:sz w:val="20"/>
        </w:rPr>
        <w:t xml:space="preserve">The form and content of our global share certificates, any dividend certificates, renewal certificates and interest coupons are determined by our management board with the approval of our supervisory board. A shareholders right to certification of its shares is excluded, to the extent permitted by law and to the extent that certification is not required by the stock exchange on which the shares are admitted to trading. We have issued global share certificates that represent multiple or all of our shares. </w:t>
      </w:r>
    </w:p>
    <w:p>
      <w:pPr>
        <w:pStyle w:val="TextBody"/>
        <w:spacing w:before="240" w:after="0"/>
        <w:jc w:val="left"/>
        <w:rPr>
          <w:rFonts w:ascii="Times New Roman" w:hAnsi="Times New Roman"/>
          <w:sz w:val="20"/>
        </w:rPr>
      </w:pPr>
      <w:r>
        <w:rPr>
          <w:rFonts w:ascii="Times New Roman" w:hAnsi="Times New Roman"/>
          <w:sz w:val="20"/>
        </w:rPr>
        <w:t>Pursuant to the cross-sectoral examination in Section 55 et seq. of the German Foreign Trade and Payments Ordinance (</w:t>
      </w:r>
      <w:r>
        <w:rPr>
          <w:rFonts w:ascii="Times New Roman" w:hAnsi="Times New Roman"/>
          <w:i/>
          <w:sz w:val="20"/>
        </w:rPr>
        <w:t>Außenwirtschaftsverordnung</w:t>
      </w:r>
      <w:r>
        <w:rPr>
          <w:rFonts w:ascii="Times New Roman" w:hAnsi="Times New Roman"/>
          <w:sz w:val="20"/>
        </w:rPr>
        <w:t>, </w:t>
      </w:r>
      <w:r>
        <w:rPr>
          <w:rFonts w:ascii="Times New Roman" w:hAnsi="Times New Roman"/>
          <w:b/>
          <w:sz w:val="20"/>
        </w:rPr>
        <w:t>AWV</w:t>
      </w:r>
      <w:r>
        <w:rPr>
          <w:rFonts w:ascii="Times New Roman" w:hAnsi="Times New Roman"/>
          <w:sz w:val="20"/>
        </w:rPr>
        <w:t>), the Federal Ministry for Economic Affairs and Energy (</w:t>
      </w:r>
      <w:r>
        <w:rPr>
          <w:rFonts w:ascii="Times New Roman" w:hAnsi="Times New Roman"/>
          <w:i/>
          <w:sz w:val="20"/>
        </w:rPr>
        <w:t>Bundesministerium für Wirtschaft und Energie</w:t>
      </w:r>
      <w:r>
        <w:rPr>
          <w:rFonts w:ascii="Times New Roman" w:hAnsi="Times New Roman"/>
          <w:sz w:val="20"/>
        </w:rPr>
        <w:t>, </w:t>
      </w:r>
      <w:r>
        <w:rPr>
          <w:rFonts w:ascii="Times New Roman" w:hAnsi="Times New Roman"/>
          <w:b/>
          <w:sz w:val="20"/>
        </w:rPr>
        <w:t>BMWi</w:t>
      </w:r>
      <w:r>
        <w:rPr>
          <w:rFonts w:ascii="Times New Roman" w:hAnsi="Times New Roman"/>
          <w:sz w:val="20"/>
        </w:rPr>
        <w:t>) may prohibit or restrict the acquisition of our shares or ADSs by a foreign acquirer (i.e., an investor that is resident or based outside the European Union (</w:t>
      </w:r>
      <w:r>
        <w:rPr>
          <w:rFonts w:ascii="Times New Roman" w:hAnsi="Times New Roman"/>
          <w:i/>
          <w:sz w:val="20"/>
        </w:rPr>
        <w:t>Unionsfremder</w:t>
      </w:r>
      <w:r>
        <w:rPr>
          <w:rFonts w:ascii="Times New Roman" w:hAnsi="Times New Roman"/>
          <w:sz w:val="20"/>
        </w:rPr>
        <w:t>)) if it endangers the public order or the security of Germany. According to an amendment to the AWV (the </w:t>
      </w:r>
      <w:r>
        <w:rPr>
          <w:rFonts w:ascii="Times New Roman" w:hAnsi="Times New Roman"/>
          <w:b/>
          <w:sz w:val="20"/>
        </w:rPr>
        <w:t>AWV Amendment</w:t>
      </w:r>
      <w:r>
        <w:rPr>
          <w:rFonts w:ascii="Times New Roman" w:hAnsi="Times New Roman"/>
          <w:sz w:val="20"/>
        </w:rPr>
        <w:t xml:space="preserve">), which came into force on May 1, 2021, statutory notification requirements apply, </w:t>
      </w:r>
      <w:r>
        <w:rPr>
          <w:rFonts w:ascii="Times New Roman" w:hAnsi="Times New Roman"/>
          <w:i/>
          <w:sz w:val="20"/>
        </w:rPr>
        <w:t>inter alia</w:t>
      </w:r>
      <w:r>
        <w:rPr>
          <w:rFonts w:ascii="Times New Roman" w:hAnsi="Times New Roman"/>
          <w:sz w:val="20"/>
        </w:rPr>
        <w:t xml:space="preserve">, to any acquisition by a foreign acquirer of 20% or more of the voting rights of a company that develops or manufactures, among other things, goods intended for use in space or for use in space infrastructure systems as well as goods specifically required for the operation of laser communication networks, including the Company. If grounds for an objection exist, the BMWi may prohibit the direct acquirer of the ADSs from making such an acquisition within two months of the receipt of the approval request in writing or issue instructions in order to ensure the public order or security in Germany. </w:t>
      </w:r>
    </w:p>
    <w:p>
      <w:pPr>
        <w:pStyle w:val="TextBody"/>
        <w:spacing w:before="240" w:after="0"/>
        <w:jc w:val="left"/>
        <w:rPr>
          <w:rFonts w:ascii="Times New Roman" w:hAnsi="Times New Roman"/>
          <w:sz w:val="20"/>
        </w:rPr>
      </w:pPr>
      <w:r>
        <w:rPr>
          <w:rFonts w:ascii="Times New Roman" w:hAnsi="Times New Roman"/>
          <w:sz w:val="20"/>
        </w:rPr>
        <w:t xml:space="preserve">Our shares are freely transferable under German law (subject to the AWV Amendment), with the transfer of ownership governed by the rules of the relevant clearing system. </w:t>
      </w:r>
    </w:p>
    <w:p>
      <w:pPr>
        <w:pStyle w:val="TextBody"/>
        <w:spacing w:before="240" w:after="0"/>
        <w:jc w:val="left"/>
        <w:rPr>
          <w:rFonts w:ascii="Times New Roman" w:hAnsi="Times New Roman"/>
          <w:sz w:val="20"/>
        </w:rPr>
      </w:pPr>
      <w:r>
        <w:rPr>
          <w:rFonts w:ascii="Times New Roman" w:hAnsi="Times New Roman"/>
          <w:sz w:val="20"/>
        </w:rPr>
        <w:t xml:space="preserve">Our articles of association do not include any provisions that would have a direct effect of delaying, deferring or preventing a change of control. However, in the event of a hostile takeover, we could use our authorized capital to increase our share capital to issue new shares to an investor at a premium. See Authorized Capital. An increase in the number of shares outstanding could have a negative effect on a partys ability to carry out a hostile takeover. </w:t>
      </w:r>
    </w:p>
    <w:p>
      <w:pPr>
        <w:pStyle w:val="TextBody"/>
        <w:spacing w:before="360" w:after="0"/>
        <w:jc w:val="left"/>
        <w:rPr>
          <w:rFonts w:ascii="Times New Roman" w:hAnsi="Times New Roman"/>
          <w:b/>
          <w:sz w:val="20"/>
        </w:rPr>
      </w:pPr>
      <w:r>
        <w:rPr>
          <w:rFonts w:ascii="Times New Roman" w:hAnsi="Times New Roman"/>
          <w:b/>
          <w:sz w:val="20"/>
        </w:rPr>
        <w:t xml:space="preserve">Shareholders Meetings, Resolutions and Voting Rights </w:t>
      </w:r>
    </w:p>
    <w:p>
      <w:pPr>
        <w:pStyle w:val="TextBody"/>
        <w:spacing w:before="120" w:after="0"/>
        <w:jc w:val="left"/>
        <w:rPr>
          <w:rFonts w:ascii="Times New Roman" w:hAnsi="Times New Roman"/>
          <w:sz w:val="20"/>
        </w:rPr>
      </w:pPr>
      <w:r>
        <w:rPr>
          <w:rFonts w:ascii="Times New Roman" w:hAnsi="Times New Roman"/>
          <w:sz w:val="20"/>
        </w:rPr>
        <w:t xml:space="preserve">Pursuant to our articles of association, shareholders meetings may be held at our registered seat, at the seat of a German stock exchange or in a German city with a population of more than 500,000. In general, shareholders meetings are convened by our management board. Separately, the supervisory board is required to convene a shareholders meeting in cases where this is required as a matter of statutory law (i.e., if calling the meeting is in the best interest of our Company). In addition, shareholders who, individually or as a group, own at least 5% of our share capital may request that our management board convene a shareholders meeting. If our management board does not convene a shareholders meeting upon such a request, the shareholders may petition in German court for authorization to convene a shareholders meeting.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Pursuant to our articles of association, the convening notice for a shareholders meeting must be made public at least 36 days prior to the meeting. Shareholders who, individually or as a group, own at least 5% or 500,000 of our share capital may require that modified or additional items be added to the agenda of the shareholders meeting and that these items be published prior to the shareholders meeting. For each new item, the requesting shareholders shall either provide an explanation of the requested change or submit a specific voting proposal (</w:t>
      </w:r>
      <w:r>
        <w:rPr>
          <w:rFonts w:ascii="Times New Roman" w:hAnsi="Times New Roman"/>
          <w:i/>
          <w:sz w:val="20"/>
        </w:rPr>
        <w:t>Beschlussvorlage</w:t>
      </w:r>
      <w:r>
        <w:rPr>
          <w:rFonts w:ascii="Times New Roman" w:hAnsi="Times New Roman"/>
          <w:sz w:val="20"/>
        </w:rPr>
        <w:t xml:space="preserve">) with respect to such new item. Any request for an amendment of the agenda of the shareholders meeting must be received, for periods in which we are not admitted to trading on a regulated market but only on a multilateral trading facility, by us within 24 days prior to the shareholders meeting. The Company must publish any requests for the amendment of the agenda of the shareholders meeting immediately. </w:t>
      </w:r>
    </w:p>
    <w:p>
      <w:pPr>
        <w:pStyle w:val="TextBody"/>
        <w:spacing w:before="240" w:after="0"/>
        <w:jc w:val="left"/>
        <w:rPr>
          <w:rFonts w:ascii="Times New Roman" w:hAnsi="Times New Roman"/>
          <w:sz w:val="20"/>
        </w:rPr>
      </w:pPr>
      <w:r>
        <w:rPr>
          <w:rFonts w:ascii="Times New Roman" w:hAnsi="Times New Roman"/>
          <w:sz w:val="20"/>
        </w:rPr>
        <w:t xml:space="preserve">Under German law, our annual general shareholders meeting must take place within the first eight months of each financial year. Among other things, the general shareholders meeting is required to decide on the following issues: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use of our annual net profit determined in accordance with German generally accepted accounting principles;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discharge or ratification of the actions taken by the members of our management board and our supervisory board;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approval of our statutory auditors;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increases or decreases in our share capital;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election of supervisory board members;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the extent legally required, the approval of our financial statements. </w:t>
            </w:r>
          </w:p>
        </w:tc>
      </w:tr>
    </w:tbl>
    <w:p>
      <w:pPr>
        <w:pStyle w:val="TextBody"/>
        <w:spacing w:before="240" w:after="0"/>
        <w:jc w:val="left"/>
        <w:rPr>
          <w:rFonts w:ascii="Times New Roman" w:hAnsi="Times New Roman"/>
          <w:sz w:val="20"/>
        </w:rPr>
      </w:pPr>
      <w:r>
        <w:rPr>
          <w:rFonts w:ascii="Times New Roman" w:hAnsi="Times New Roman"/>
          <w:sz w:val="20"/>
        </w:rPr>
        <w:t>Each ordinary share grants one vote in a shareholders meeting. Voting rights may be exercised by authorized proxies, which may be appointed by the Company (</w:t>
      </w:r>
      <w:r>
        <w:rPr>
          <w:rFonts w:ascii="Times New Roman" w:hAnsi="Times New Roman"/>
          <w:i/>
          <w:sz w:val="20"/>
        </w:rPr>
        <w:t>Stimmrechtsvertreter</w:t>
      </w:r>
      <w:r>
        <w:rPr>
          <w:rFonts w:ascii="Times New Roman" w:hAnsi="Times New Roman"/>
          <w:sz w:val="20"/>
        </w:rPr>
        <w:t xml:space="preserve">). The granting of a power of attorney must be made in text form. Generally, the shareholder or an authorized proxy must be present at the shareholders meeting to cast a vote. </w:t>
      </w:r>
    </w:p>
    <w:p>
      <w:pPr>
        <w:pStyle w:val="TextBody"/>
        <w:spacing w:before="240" w:after="0"/>
        <w:jc w:val="left"/>
        <w:rPr>
          <w:rFonts w:ascii="Times New Roman" w:hAnsi="Times New Roman"/>
          <w:sz w:val="20"/>
        </w:rPr>
      </w:pPr>
      <w:r>
        <w:rPr>
          <w:rFonts w:ascii="Times New Roman" w:hAnsi="Times New Roman"/>
          <w:sz w:val="20"/>
        </w:rPr>
        <w:t xml:space="preserve">Our articles of association provide in Section 18 that the resolutions of the shareholders meeting are adopted by a simple majority of the votes cast. To the extent required by law, certain resolutions may need to be approved by a simple or a qualified majority of share capital represented at the shareholders meeting, in addition to the majority of votes cast. </w:t>
      </w:r>
    </w:p>
    <w:p>
      <w:pPr>
        <w:pStyle w:val="TextBody"/>
        <w:spacing w:before="240" w:after="0"/>
        <w:jc w:val="left"/>
        <w:rPr>
          <w:rFonts w:ascii="Times New Roman" w:hAnsi="Times New Roman"/>
          <w:sz w:val="20"/>
        </w:rPr>
      </w:pPr>
      <w:r>
        <w:rPr>
          <w:rFonts w:ascii="Times New Roman" w:hAnsi="Times New Roman"/>
          <w:sz w:val="20"/>
        </w:rPr>
        <w:t xml:space="preserve">Neither German law nor our articles of association provide for a minimum participation requirement to form a quorum at our shareholders meetings. </w:t>
      </w:r>
    </w:p>
    <w:p>
      <w:pPr>
        <w:pStyle w:val="TextBody"/>
        <w:spacing w:before="240" w:after="0"/>
        <w:jc w:val="left"/>
        <w:rPr>
          <w:rFonts w:ascii="Times New Roman" w:hAnsi="Times New Roman"/>
          <w:sz w:val="20"/>
        </w:rPr>
      </w:pPr>
      <w:r>
        <w:rPr>
          <w:rFonts w:ascii="Times New Roman" w:hAnsi="Times New Roman"/>
          <w:sz w:val="20"/>
        </w:rPr>
        <w:t>Under German law, certain resolutions of fundamental importance require the vote of at least three quarters of the share capital present or represented in the voting at the time of adoption of the resolution. Resolutions of fundamental importance include, in particular, capital increases with exclusion of subscription rights, capital decreases, the creation of authorized or conditional share capital, the dissolution of a company, a merger into or with another company, split-offs and split-ups, the conclusion of inter-company agreements (</w:t>
      </w:r>
      <w:r>
        <w:rPr>
          <w:rFonts w:ascii="Times New Roman" w:hAnsi="Times New Roman"/>
          <w:i/>
          <w:sz w:val="20"/>
        </w:rPr>
        <w:t>Unternehmensverträge</w:t>
      </w:r>
      <w:r>
        <w:rPr>
          <w:rFonts w:ascii="Times New Roman" w:hAnsi="Times New Roman"/>
          <w:sz w:val="20"/>
        </w:rPr>
        <w:t>), as defined in the German Stock Corporation Act (in particular domination agreements (</w:t>
      </w:r>
      <w:r>
        <w:rPr>
          <w:rFonts w:ascii="Times New Roman" w:hAnsi="Times New Roman"/>
          <w:i/>
          <w:sz w:val="20"/>
        </w:rPr>
        <w:t>Beherrschungsverträge</w:t>
      </w:r>
      <w:r>
        <w:rPr>
          <w:rFonts w:ascii="Times New Roman" w:hAnsi="Times New Roman"/>
          <w:sz w:val="20"/>
        </w:rPr>
        <w:t>), and profit and loss transfer agreements (</w:t>
      </w:r>
      <w:r>
        <w:rPr>
          <w:rFonts w:ascii="Times New Roman" w:hAnsi="Times New Roman"/>
          <w:i/>
          <w:sz w:val="20"/>
        </w:rPr>
        <w:t>Ergebnisabführungsverträge</w:t>
      </w:r>
      <w:r>
        <w:rPr>
          <w:rFonts w:ascii="Times New Roman" w:hAnsi="Times New Roman"/>
          <w:sz w:val="20"/>
        </w:rPr>
        <w:t xml:space="preserve">)), and a change of the legal form of a company. </w:t>
      </w:r>
    </w:p>
    <w:p>
      <w:pPr>
        <w:pStyle w:val="TextBody"/>
        <w:spacing w:before="360" w:after="0"/>
        <w:jc w:val="left"/>
        <w:rPr>
          <w:rFonts w:ascii="Times New Roman" w:hAnsi="Times New Roman"/>
          <w:b/>
          <w:sz w:val="20"/>
        </w:rPr>
      </w:pPr>
      <w:r>
        <w:rPr>
          <w:rFonts w:ascii="Times New Roman" w:hAnsi="Times New Roman"/>
          <w:b/>
          <w:sz w:val="20"/>
        </w:rPr>
        <w:t xml:space="preserve">Dividends </w:t>
      </w:r>
    </w:p>
    <w:p>
      <w:pPr>
        <w:pStyle w:val="TextBody"/>
        <w:spacing w:before="120" w:after="0"/>
        <w:jc w:val="left"/>
        <w:rPr>
          <w:rFonts w:ascii="Times New Roman" w:hAnsi="Times New Roman"/>
          <w:sz w:val="20"/>
        </w:rPr>
      </w:pPr>
      <w:r>
        <w:rPr>
          <w:rFonts w:ascii="Times New Roman" w:hAnsi="Times New Roman"/>
          <w:sz w:val="20"/>
        </w:rPr>
        <w:t xml:space="preserve">Under German law, distributions of dividends on shares for a given financial year are generally determined by a process in which the management board and supervisory board submit a proposal to the annual general shareholders meeting held in the subsequent financial year and such general shareholders meeting adopts a resolution. </w:t>
      </w:r>
    </w:p>
    <w:p>
      <w:pPr>
        <w:pStyle w:val="TextBody"/>
        <w:spacing w:before="240" w:after="0"/>
        <w:jc w:val="left"/>
        <w:rPr>
          <w:rFonts w:ascii="Times New Roman" w:hAnsi="Times New Roman"/>
          <w:sz w:val="20"/>
        </w:rPr>
      </w:pPr>
      <w:r>
        <w:rPr>
          <w:rFonts w:ascii="Times New Roman" w:hAnsi="Times New Roman"/>
          <w:sz w:val="20"/>
        </w:rPr>
        <w:t xml:space="preserve">German law provides that a resolution concerning dividends and distribution thereof may be adopted only if the companys unconsolidated annual financial statements prepared in accordance with German GAAP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show a net profit. In determining the profit available for distribution, the result for the relevant year must be adjusted for profits and losses brought forward from the previous year and for withdrawals from or transfers to reserves. Certain reserves are required by law and must be deducted when calculating the profit available for distribution. </w:t>
      </w:r>
    </w:p>
    <w:p>
      <w:pPr>
        <w:pStyle w:val="TextBody"/>
        <w:spacing w:before="240" w:after="0"/>
        <w:jc w:val="left"/>
        <w:rPr>
          <w:rFonts w:ascii="Times New Roman" w:hAnsi="Times New Roman"/>
          <w:sz w:val="20"/>
        </w:rPr>
      </w:pPr>
      <w:r>
        <w:rPr>
          <w:rFonts w:ascii="Times New Roman" w:hAnsi="Times New Roman"/>
          <w:sz w:val="20"/>
        </w:rPr>
        <w:t xml:space="preserve">Shareholders participate in profit distributions in proportion to the number of shares they hold. Dividends on shares resolved by the general shareholders meeting are paid annually, shortly after the general shareholders meeting, in accordance with the German Stock Corporation Act and the rules of the respective clearing system. Dividend payment claims are subject to a three-year statute of limitation. </w:t>
      </w:r>
    </w:p>
    <w:p>
      <w:pPr>
        <w:pStyle w:val="TextBody"/>
        <w:spacing w:before="240" w:after="0"/>
        <w:jc w:val="left"/>
        <w:rPr>
          <w:rFonts w:ascii="Times New Roman" w:hAnsi="Times New Roman"/>
          <w:sz w:val="20"/>
        </w:rPr>
      </w:pPr>
      <w:r>
        <w:rPr>
          <w:rFonts w:ascii="Times New Roman" w:hAnsi="Times New Roman"/>
          <w:sz w:val="20"/>
        </w:rPr>
        <w:t xml:space="preserve">We have never declared or paid any dividends to our shareholders and, as of the date of this Annual Report, have no intention to declare or pay any dividends in the foreseeable future. </w:t>
      </w:r>
    </w:p>
    <w:p>
      <w:pPr>
        <w:pStyle w:val="TextBody"/>
        <w:spacing w:before="360" w:after="0"/>
        <w:jc w:val="left"/>
        <w:rPr>
          <w:rFonts w:ascii="Times New Roman" w:hAnsi="Times New Roman"/>
          <w:b/>
          <w:sz w:val="20"/>
        </w:rPr>
      </w:pPr>
      <w:r>
        <w:rPr>
          <w:rFonts w:ascii="Times New Roman" w:hAnsi="Times New Roman"/>
          <w:b/>
          <w:sz w:val="20"/>
        </w:rPr>
        <w:t xml:space="preserve">Liquidation Rights </w:t>
      </w:r>
    </w:p>
    <w:p>
      <w:pPr>
        <w:pStyle w:val="TextBody"/>
        <w:spacing w:before="120" w:after="0"/>
        <w:jc w:val="left"/>
        <w:rPr>
          <w:rFonts w:ascii="Times New Roman" w:hAnsi="Times New Roman"/>
          <w:sz w:val="20"/>
        </w:rPr>
      </w:pPr>
      <w:r>
        <w:rPr>
          <w:rFonts w:ascii="Times New Roman" w:hAnsi="Times New Roman"/>
          <w:sz w:val="20"/>
        </w:rPr>
        <w:t xml:space="preserve">Apart from liquidation as a result of insolvency proceedings, we may be liquidated only with a vote of the holders of at least three-quarters of the share capital represented at the shareholders meeting at which such a vote is taken. If we are liquidated, any assets remaining after all of our liabilities have been paid off would be distributed among our shareholders in proportion to their holdings in accordance with German statutory law. The German Stock Corporation Act provides certain protections for creditors which must be observed in the event of liquidation. </w:t>
      </w:r>
    </w:p>
    <w:p>
      <w:pPr>
        <w:pStyle w:val="TextBody"/>
        <w:spacing w:before="360" w:after="0"/>
        <w:jc w:val="left"/>
        <w:rPr>
          <w:rFonts w:ascii="Times New Roman" w:hAnsi="Times New Roman"/>
          <w:b/>
          <w:sz w:val="20"/>
        </w:rPr>
      </w:pPr>
      <w:r>
        <w:rPr>
          <w:rFonts w:ascii="Times New Roman" w:hAnsi="Times New Roman"/>
          <w:b/>
          <w:sz w:val="20"/>
        </w:rPr>
        <w:t xml:space="preserve">Authorization to Acquire Our Own Shares </w:t>
      </w:r>
    </w:p>
    <w:p>
      <w:pPr>
        <w:pStyle w:val="TextBody"/>
        <w:spacing w:before="120" w:after="0"/>
        <w:jc w:val="left"/>
        <w:rPr>
          <w:rFonts w:ascii="Times New Roman" w:hAnsi="Times New Roman"/>
          <w:sz w:val="20"/>
        </w:rPr>
      </w:pPr>
      <w:r>
        <w:rPr>
          <w:rFonts w:ascii="Times New Roman" w:hAnsi="Times New Roman"/>
          <w:sz w:val="20"/>
        </w:rPr>
        <w:t xml:space="preserve">We may not acquire our own shares unless authorized by the shareholders meeting or in other very limited circumstances as set out in the German Stock Corporation Act. Shareholders may not grant a share repurchase authorization lasting for more than five years. The German Stock Corporation Act generally limits repurchases to 10% of our share capital and resales must generally be made either on a stock exchange, in a manner that treats all shareholders equally, or in accordance with the rules that apply to subscription rights relating to a capital increase. </w:t>
      </w:r>
    </w:p>
    <w:p>
      <w:pPr>
        <w:pStyle w:val="TextBody"/>
        <w:spacing w:before="360" w:after="0"/>
        <w:jc w:val="left"/>
        <w:rPr>
          <w:rFonts w:ascii="Times New Roman" w:hAnsi="Times New Roman"/>
          <w:b/>
          <w:sz w:val="20"/>
        </w:rPr>
      </w:pPr>
      <w:r>
        <w:rPr>
          <w:rFonts w:ascii="Times New Roman" w:hAnsi="Times New Roman"/>
          <w:b/>
          <w:sz w:val="20"/>
        </w:rPr>
        <w:t xml:space="preserve">Squeeze-Out of Minority Shareholders </w:t>
      </w:r>
    </w:p>
    <w:p>
      <w:pPr>
        <w:pStyle w:val="TextBody"/>
        <w:spacing w:before="120" w:after="0"/>
        <w:jc w:val="left"/>
        <w:rPr>
          <w:rFonts w:ascii="Times New Roman" w:hAnsi="Times New Roman"/>
          <w:sz w:val="20"/>
        </w:rPr>
      </w:pPr>
      <w:r>
        <w:rPr>
          <w:rFonts w:ascii="Times New Roman" w:hAnsi="Times New Roman"/>
          <w:sz w:val="20"/>
        </w:rPr>
        <w:t>Under German law, the shareholders meeting of a stock corporation may resolve upon request of a shareholder that holds at least 95% of the share capital that the shares held by any remaining minority shareholders be transferred to this shareholder against payment of adequate cash compensation (</w:t>
      </w:r>
      <w:r>
        <w:rPr>
          <w:rFonts w:ascii="Times New Roman" w:hAnsi="Times New Roman"/>
          <w:i/>
          <w:sz w:val="20"/>
        </w:rPr>
        <w:t>Ausschluss von Minderheitsaktionären</w:t>
      </w:r>
      <w:r>
        <w:rPr>
          <w:rFonts w:ascii="Times New Roman" w:hAnsi="Times New Roman"/>
          <w:sz w:val="20"/>
        </w:rPr>
        <w:t>). This amount must take into account the full value of the company at the time of the resolution, which is generally determined using the future earnings value method (</w:t>
      </w:r>
      <w:r>
        <w:rPr>
          <w:rFonts w:ascii="Times New Roman" w:hAnsi="Times New Roman"/>
          <w:i/>
          <w:sz w:val="20"/>
        </w:rPr>
        <w:t>Ertragswertmethode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A squeeze-out in the context of a merger (</w:t>
      </w:r>
      <w:r>
        <w:rPr>
          <w:rFonts w:ascii="Times New Roman" w:hAnsi="Times New Roman"/>
          <w:i/>
          <w:sz w:val="20"/>
        </w:rPr>
        <w:t>umwandlungsrechtlicher Squeeze-Out</w:t>
      </w:r>
      <w:r>
        <w:rPr>
          <w:rFonts w:ascii="Times New Roman" w:hAnsi="Times New Roman"/>
          <w:sz w:val="20"/>
        </w:rPr>
        <w:t xml:space="preserve">) only requires a majority shareholder to hold at least 90% of the share capital. </w:t>
      </w:r>
    </w:p>
    <w:p>
      <w:pPr>
        <w:pStyle w:val="TextBody"/>
        <w:spacing w:before="360" w:after="0"/>
        <w:jc w:val="left"/>
        <w:rPr>
          <w:rFonts w:ascii="Times New Roman" w:hAnsi="Times New Roman"/>
          <w:b/>
          <w:sz w:val="20"/>
        </w:rPr>
      </w:pPr>
      <w:r>
        <w:rPr>
          <w:rFonts w:ascii="Times New Roman" w:hAnsi="Times New Roman"/>
          <w:b/>
          <w:sz w:val="20"/>
        </w:rPr>
        <w:t xml:space="preserve">Shareholder Notification Requirements </w:t>
      </w:r>
    </w:p>
    <w:p>
      <w:pPr>
        <w:pStyle w:val="TextBody"/>
        <w:spacing w:before="120" w:after="0"/>
        <w:jc w:val="left"/>
        <w:rPr>
          <w:rFonts w:ascii="Times New Roman" w:hAnsi="Times New Roman"/>
          <w:sz w:val="20"/>
        </w:rPr>
      </w:pPr>
      <w:r>
        <w:rPr>
          <w:rFonts w:ascii="Times New Roman" w:hAnsi="Times New Roman"/>
          <w:sz w:val="20"/>
        </w:rPr>
        <w:t>In accordance with the provisions of the German Stock Corporation Act (</w:t>
      </w:r>
      <w:r>
        <w:rPr>
          <w:rFonts w:ascii="Times New Roman" w:hAnsi="Times New Roman"/>
          <w:i/>
          <w:sz w:val="20"/>
        </w:rPr>
        <w:t>Aktiengesetz</w:t>
      </w:r>
      <w:r>
        <w:rPr>
          <w:rFonts w:ascii="Times New Roman" w:hAnsi="Times New Roman"/>
          <w:sz w:val="20"/>
        </w:rPr>
        <w:t>), an enterprise has to inform a stock corporation (</w:t>
      </w:r>
      <w:r>
        <w:rPr>
          <w:rFonts w:ascii="Times New Roman" w:hAnsi="Times New Roman"/>
          <w:i/>
          <w:sz w:val="20"/>
        </w:rPr>
        <w:t>Aktiengesellschaft</w:t>
      </w:r>
      <w:r>
        <w:rPr>
          <w:rFonts w:ascii="Times New Roman" w:hAnsi="Times New Roman"/>
          <w:sz w:val="20"/>
        </w:rPr>
        <w:t xml:space="preserve">) without undue delay and in writing when its shares held in the share capital exceed or fall below 25% and/or 50%, respectively, in the capital or voting rights. Following receipt of the written notification, the corporation has to publish this information immediately in the relevant publication media. </w:t>
      </w:r>
    </w:p>
    <w:p>
      <w:pPr>
        <w:pStyle w:val="TextBody"/>
        <w:spacing w:before="480" w:after="0"/>
        <w:jc w:val="center"/>
        <w:rPr>
          <w:rFonts w:ascii="Times New Roman" w:hAnsi="Times New Roman"/>
          <w:b/>
          <w:sz w:val="20"/>
        </w:rPr>
      </w:pPr>
      <w:r>
        <w:rPr>
          <w:rFonts w:ascii="Times New Roman" w:hAnsi="Times New Roman"/>
          <w:b/>
          <w:sz w:val="20"/>
        </w:rPr>
        <w:t xml:space="preserve">DESCRIPTION OF AMERICAN DEPOSITARY SHARES </w:t>
      </w:r>
    </w:p>
    <w:p>
      <w:pPr>
        <w:pStyle w:val="TextBody"/>
        <w:spacing w:before="240" w:after="0"/>
        <w:jc w:val="left"/>
        <w:rPr>
          <w:rFonts w:ascii="Times New Roman" w:hAnsi="Times New Roman"/>
          <w:b/>
          <w:sz w:val="20"/>
        </w:rPr>
      </w:pPr>
      <w:r>
        <w:rPr>
          <w:rFonts w:ascii="Times New Roman" w:hAnsi="Times New Roman"/>
          <w:b/>
          <w:sz w:val="20"/>
        </w:rPr>
        <w:t xml:space="preserve">American Depositary Shares </w:t>
      </w:r>
    </w:p>
    <w:p>
      <w:pPr>
        <w:pStyle w:val="TextBody"/>
        <w:spacing w:before="120" w:after="0"/>
        <w:jc w:val="left"/>
        <w:rPr>
          <w:rFonts w:ascii="Times New Roman" w:hAnsi="Times New Roman"/>
          <w:sz w:val="20"/>
        </w:rPr>
      </w:pPr>
      <w:r>
        <w:rPr>
          <w:rFonts w:ascii="Times New Roman" w:hAnsi="Times New Roman"/>
          <w:sz w:val="20"/>
        </w:rPr>
        <w:t xml:space="preserve">The Bank of New York Mellon, as depositary, will register and deliver the ADSs. Every four ADSs will represent one ordinary share (or a right to receive one ordinary share) deposited with The Bank of New York Mellon SA/NV as custodian for the depositary in Germany. Each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NY 10286.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You may hold ADSs either (i) directly (a) by having an American Depositary Receipt, or an ADR, which is a certificate evidencing a specific number of ADSs registered in your name, or (b) by having uncertificated ADSs registered in your name, or (ii) indirectly by holding a security entitlement in ADSs through your broker or other financial institution that is a direct or indirect participant in The Depository Trust Company, or DTC. If you hold ADSs directly, you are a registered ADS holder, or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 </w:t>
      </w:r>
    </w:p>
    <w:p>
      <w:pPr>
        <w:pStyle w:val="TextBody"/>
        <w:spacing w:before="240" w:after="0"/>
        <w:jc w:val="left"/>
        <w:rPr>
          <w:rFonts w:ascii="Times New Roman" w:hAnsi="Times New Roman"/>
          <w:sz w:val="20"/>
        </w:rPr>
      </w:pPr>
      <w:r>
        <w:rPr>
          <w:rFonts w:ascii="Times New Roman" w:hAnsi="Times New Roman"/>
          <w:sz w:val="20"/>
        </w:rPr>
        <w:t xml:space="preserve">Registered holders of uncertificated ADSs will receive statements from the depositary confirming their holdings. </w:t>
      </w:r>
    </w:p>
    <w:p>
      <w:pPr>
        <w:pStyle w:val="TextBody"/>
        <w:spacing w:before="240" w:after="0"/>
        <w:jc w:val="left"/>
        <w:rPr>
          <w:rFonts w:ascii="Times New Roman" w:hAnsi="Times New Roman"/>
          <w:sz w:val="20"/>
        </w:rPr>
      </w:pPr>
      <w:r>
        <w:rPr>
          <w:rFonts w:ascii="Times New Roman" w:hAnsi="Times New Roman"/>
          <w:sz w:val="20"/>
        </w:rPr>
        <w:t xml:space="preserve">As an ADS holder, we will not treat you as one of our shareholders and you will not have shareholder rights. German law governs shareholder rights. The depositary will be the holder of the ordinary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 </w:t>
      </w:r>
    </w:p>
    <w:p>
      <w:pPr>
        <w:pStyle w:val="TextBody"/>
        <w:spacing w:before="240" w:after="0"/>
        <w:jc w:val="left"/>
        <w:rPr>
          <w:rFonts w:ascii="Times New Roman" w:hAnsi="Times New Roman"/>
          <w:sz w:val="20"/>
        </w:rPr>
      </w:pPr>
      <w:r>
        <w:rPr>
          <w:rFonts w:ascii="Times New Roman" w:hAnsi="Times New Roman"/>
          <w:sz w:val="20"/>
        </w:rPr>
        <w:t xml:space="preserve">The following is a summary of the material provisions of the deposit agreement. For more complete information, you should read the entire deposit agreement and the form of ADR. Directions on how to obtain copies of those documents are provided under Where You Can Find More Information. </w:t>
      </w:r>
    </w:p>
    <w:p>
      <w:pPr>
        <w:pStyle w:val="TextBody"/>
        <w:spacing w:before="360" w:after="0"/>
        <w:jc w:val="left"/>
        <w:rPr>
          <w:rFonts w:ascii="Times New Roman" w:hAnsi="Times New Roman"/>
          <w:b/>
          <w:sz w:val="20"/>
        </w:rPr>
      </w:pPr>
      <w:r>
        <w:rPr>
          <w:rFonts w:ascii="Times New Roman" w:hAnsi="Times New Roman"/>
          <w:b/>
          <w:sz w:val="20"/>
        </w:rPr>
        <w:t xml:space="preserve">Dividends and Other Distributions </w:t>
      </w:r>
    </w:p>
    <w:p>
      <w:pPr>
        <w:pStyle w:val="TextBody"/>
        <w:spacing w:before="120" w:after="0"/>
        <w:jc w:val="left"/>
        <w:rPr>
          <w:rFonts w:ascii="Times New Roman" w:hAnsi="Times New Roman"/>
          <w:b/>
          <w:i/>
          <w:sz w:val="20"/>
        </w:rPr>
      </w:pPr>
      <w:r>
        <w:rPr>
          <w:rFonts w:ascii="Times New Roman" w:hAnsi="Times New Roman"/>
          <w:b/>
          <w:i/>
          <w:sz w:val="20"/>
        </w:rPr>
        <w:t xml:space="preserve">How will ADS holders receive dividends and other distributions on the shares? </w:t>
      </w:r>
    </w:p>
    <w:p>
      <w:pPr>
        <w:pStyle w:val="TextBody"/>
        <w:spacing w:before="120" w:after="0"/>
        <w:jc w:val="left"/>
        <w:rPr>
          <w:rFonts w:ascii="Times New Roman" w:hAnsi="Times New Roman"/>
          <w:sz w:val="20"/>
        </w:rPr>
      </w:pPr>
      <w:r>
        <w:rPr>
          <w:rFonts w:ascii="Times New Roman" w:hAnsi="Times New Roman"/>
          <w:sz w:val="20"/>
        </w:rPr>
        <w:t xml:space="preserve">The depositary has agreed to pay or distribute to ADS holders the cash dividends, or other distributions it or the custodian receives in respect of ordinary shares or other deposited securities, upon payment or deduction of its fees and expenses. You will receive these distributions in proportion to the number of shares your ADSs represent. </w:t>
      </w:r>
    </w:p>
    <w:p>
      <w:pPr>
        <w:pStyle w:val="TextBody"/>
        <w:spacing w:before="240" w:after="0"/>
        <w:jc w:val="left"/>
        <w:rPr>
          <w:rFonts w:ascii="Times New Roman" w:hAnsi="Times New Roman"/>
          <w:sz w:val="20"/>
        </w:rPr>
      </w:pPr>
      <w:r>
        <w:rPr>
          <w:rFonts w:ascii="Times New Roman" w:hAnsi="Times New Roman"/>
          <w:b/>
          <w:i/>
          <w:sz w:val="20"/>
        </w:rPr>
        <w:t>Cash</w:t>
      </w:r>
      <w:r>
        <w:rPr>
          <w:rFonts w:ascii="Times New Roman" w:hAnsi="Times New Roman"/>
          <w:sz w:val="20"/>
        </w:rPr>
        <w:t xml:space="preserve">. The depositary will convert any cash dividend or other cash distribution we pay in respect of our ordinary shares 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 </w:t>
      </w:r>
    </w:p>
    <w:p>
      <w:pPr>
        <w:pStyle w:val="TextBody"/>
        <w:spacing w:before="240" w:after="0"/>
        <w:jc w:val="left"/>
        <w:rPr>
          <w:rFonts w:ascii="Times New Roman" w:hAnsi="Times New Roman"/>
          <w:sz w:val="20"/>
        </w:rPr>
      </w:pPr>
      <w:r>
        <w:rPr>
          <w:rFonts w:ascii="Times New Roman" w:hAnsi="Times New Roman"/>
          <w:sz w:val="20"/>
        </w:rPr>
        <w:t xml:space="preserve">Before making a distribution, any withholding taxes, or other governmental charges that must be paid will be deducted. The depositary will distribute only whole </w:t>
      </w:r>
    </w:p>
    <w:p>
      <w:pPr>
        <w:pStyle w:val="TextBody"/>
        <w:spacing w:before="240" w:after="0"/>
        <w:jc w:val="left"/>
        <w:rPr>
          <w:rFonts w:ascii="Times New Roman" w:hAnsi="Times New Roman"/>
          <w:sz w:val="20"/>
        </w:rPr>
      </w:pPr>
      <w:r>
        <w:rPr>
          <w:rFonts w:ascii="Times New Roman" w:hAnsi="Times New Roman"/>
          <w:sz w:val="20"/>
        </w:rPr>
        <w:t xml:space="preserve">U.S. dollars and cents and will round fractional cents to the nearest whole cent. If the exchange rates fluctuate during a time when the depositary cannot convert the foreign currency, you may lose some of the value of the distribution. </w:t>
      </w:r>
    </w:p>
    <w:p>
      <w:pPr>
        <w:pStyle w:val="TextBody"/>
        <w:spacing w:before="240" w:after="0"/>
        <w:jc w:val="left"/>
        <w:rPr>
          <w:rFonts w:ascii="Times New Roman" w:hAnsi="Times New Roman"/>
          <w:sz w:val="20"/>
        </w:rPr>
      </w:pPr>
      <w:r>
        <w:rPr>
          <w:rFonts w:ascii="Times New Roman" w:hAnsi="Times New Roman"/>
          <w:b/>
          <w:i/>
          <w:sz w:val="20"/>
        </w:rPr>
        <w:t>Shares</w:t>
      </w:r>
      <w:r>
        <w:rPr>
          <w:rFonts w:ascii="Times New Roman" w:hAnsi="Times New Roman"/>
          <w:sz w:val="20"/>
        </w:rPr>
        <w:t xml:space="preserve">. The depositary may distribute additional ADSs representing any ordinary shares we distribute as a dividend or free distribution. The depositary will only distribute whole ADSs. It will sell shares that would require it to deliver a fraction of an ADS (or ADSs representing those shares) and distribute the net proceeds in the same way as it does with other cash. If the depositary does not distribute additional ADSs, the outstanding ADSs will also represent the new shares. The depositary may sell a portion of the distributed ordinary shares (or ADSs representing those shares) sufficient to pay its fees and expenses in connection with that distribution. </w:t>
      </w:r>
    </w:p>
    <w:p>
      <w:pPr>
        <w:pStyle w:val="TextBody"/>
        <w:spacing w:before="240" w:after="0"/>
        <w:jc w:val="left"/>
        <w:rPr>
          <w:rFonts w:ascii="Times New Roman" w:hAnsi="Times New Roman"/>
          <w:sz w:val="20"/>
        </w:rPr>
      </w:pPr>
      <w:r>
        <w:rPr>
          <w:rFonts w:ascii="Times New Roman" w:hAnsi="Times New Roman"/>
          <w:b/>
          <w:i/>
          <w:sz w:val="20"/>
        </w:rPr>
        <w:t>Rights to purchase additional shares</w:t>
      </w:r>
      <w:r>
        <w:rPr>
          <w:rFonts w:ascii="Times New Roman" w:hAnsi="Times New Roman"/>
          <w:i/>
          <w:sz w:val="20"/>
        </w:rPr>
        <w:t>.</w:t>
      </w:r>
      <w:r>
        <w:rPr>
          <w:rFonts w:ascii="Times New Roman" w:hAnsi="Times New Roman"/>
          <w:sz w:val="20"/>
        </w:rPr>
        <w:t xml:space="preserve"> If we offer holders of our securities any rights to subscribe for additional shares or any other rights, the 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 We cannot assure you that you will be given the opportunity to exercise rights on the same terms and conditions as the holders of our ordinary shares or be able to exercise such rights at all. </w:t>
      </w:r>
    </w:p>
    <w:p>
      <w:pPr>
        <w:pStyle w:val="TextBody"/>
        <w:spacing w:before="240" w:after="0"/>
        <w:jc w:val="left"/>
        <w:rPr>
          <w:rFonts w:ascii="Times New Roman" w:hAnsi="Times New Roman"/>
          <w:sz w:val="20"/>
        </w:rPr>
      </w:pPr>
      <w:r>
        <w:rPr>
          <w:rFonts w:ascii="Times New Roman" w:hAnsi="Times New Roman"/>
          <w:b/>
          <w:i/>
          <w:sz w:val="20"/>
        </w:rPr>
        <w:t>Other distributions</w:t>
      </w:r>
      <w:r>
        <w:rPr>
          <w:rFonts w:ascii="Times New Roman" w:hAnsi="Times New Roman"/>
          <w:sz w:val="20"/>
        </w:rPr>
        <w:t xml:space="preserve">. The depositary will send to ADS holders anything else we distribute in respect of deposited securities by any means it thinks is legal, fair and practical. If it cannot make the distribution in that way, the depositary has a choice. It may decide to sell what we distributed and distribute the net proceeds, in the same way as it does with other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 </w:t>
      </w:r>
    </w:p>
    <w:p>
      <w:pPr>
        <w:pStyle w:val="TextBody"/>
        <w:spacing w:before="240" w:after="0"/>
        <w:jc w:val="left"/>
        <w:rPr>
          <w:rFonts w:ascii="Times New Roman" w:hAnsi="Times New Roman"/>
          <w:sz w:val="20"/>
        </w:rPr>
      </w:pPr>
      <w:r>
        <w:rPr>
          <w:rFonts w:ascii="Times New Roman" w:hAnsi="Times New Roman"/>
          <w:sz w:val="20"/>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in respect of our shares or any value for them if it is illegal or impractical for us to make them available to you. </w:t>
      </w:r>
    </w:p>
    <w:p>
      <w:pPr>
        <w:pStyle w:val="TextBody"/>
        <w:spacing w:before="360" w:after="0"/>
        <w:jc w:val="left"/>
        <w:rPr>
          <w:rFonts w:ascii="Times New Roman" w:hAnsi="Times New Roman"/>
          <w:b/>
          <w:sz w:val="20"/>
        </w:rPr>
      </w:pPr>
      <w:r>
        <w:rPr>
          <w:rFonts w:ascii="Times New Roman" w:hAnsi="Times New Roman"/>
          <w:b/>
          <w:sz w:val="20"/>
        </w:rPr>
        <w:t xml:space="preserve">Deposit, Withdrawal and Cancellation </w:t>
      </w:r>
    </w:p>
    <w:p>
      <w:pPr>
        <w:pStyle w:val="TextBody"/>
        <w:spacing w:before="120" w:after="0"/>
        <w:jc w:val="left"/>
        <w:rPr>
          <w:rFonts w:ascii="Times New Roman" w:hAnsi="Times New Roman"/>
          <w:b/>
          <w:i/>
          <w:sz w:val="20"/>
        </w:rPr>
      </w:pPr>
      <w:r>
        <w:rPr>
          <w:rFonts w:ascii="Times New Roman" w:hAnsi="Times New Roman"/>
          <w:b/>
          <w:i/>
          <w:sz w:val="20"/>
        </w:rPr>
        <w:t xml:space="preserve">How are ADSs issued? </w:t>
      </w:r>
    </w:p>
    <w:p>
      <w:pPr>
        <w:pStyle w:val="TextBody"/>
        <w:spacing w:before="120" w:after="0"/>
        <w:jc w:val="left"/>
        <w:rPr>
          <w:rFonts w:ascii="Times New Roman" w:hAnsi="Times New Roman"/>
          <w:sz w:val="20"/>
        </w:rPr>
      </w:pPr>
      <w:r>
        <w:rPr>
          <w:rFonts w:ascii="Times New Roman" w:hAnsi="Times New Roman"/>
          <w:sz w:val="20"/>
        </w:rPr>
        <w:t xml:space="preserve">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 </w:t>
      </w:r>
    </w:p>
    <w:p>
      <w:pPr>
        <w:pStyle w:val="TextBody"/>
        <w:spacing w:before="360" w:after="0"/>
        <w:jc w:val="left"/>
        <w:rPr>
          <w:rFonts w:ascii="Times New Roman" w:hAnsi="Times New Roman"/>
          <w:b/>
          <w:i/>
          <w:sz w:val="20"/>
        </w:rPr>
      </w:pPr>
      <w:r>
        <w:rPr>
          <w:rFonts w:ascii="Times New Roman" w:hAnsi="Times New Roman"/>
          <w:b/>
          <w:i/>
          <w:sz w:val="20"/>
        </w:rPr>
        <w:t xml:space="preserve">How can ADS holders withdraw the deposited securities? </w:t>
      </w:r>
    </w:p>
    <w:p>
      <w:pPr>
        <w:pStyle w:val="TextBody"/>
        <w:spacing w:before="120" w:after="0"/>
        <w:jc w:val="left"/>
        <w:rPr>
          <w:rFonts w:ascii="Times New Roman" w:hAnsi="Times New Roman"/>
          <w:sz w:val="20"/>
        </w:rPr>
      </w:pPr>
      <w:r>
        <w:rPr>
          <w:rFonts w:ascii="Times New Roman" w:hAnsi="Times New Roman"/>
          <w:sz w:val="20"/>
        </w:rPr>
        <w:t xml:space="preserve">You may surrender your ADSs to the depositary for the purpose of withdrawal. Upon payment of its fees and expenses and of any taxes or charges, such as stamp taxes or stock transfer taxes or fees, the depositary will deliver the ordinary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 </w:t>
      </w:r>
    </w:p>
    <w:p>
      <w:pPr>
        <w:pStyle w:val="TextBody"/>
        <w:spacing w:before="360" w:after="0"/>
        <w:jc w:val="left"/>
        <w:rPr>
          <w:rFonts w:ascii="Times New Roman" w:hAnsi="Times New Roman"/>
          <w:b/>
          <w:i/>
          <w:sz w:val="20"/>
        </w:rPr>
      </w:pPr>
      <w:r>
        <w:rPr>
          <w:rFonts w:ascii="Times New Roman" w:hAnsi="Times New Roman"/>
          <w:b/>
          <w:i/>
          <w:sz w:val="20"/>
        </w:rPr>
        <w:t xml:space="preserve">How do ADS holders interchange between certificated ADSs and uncertificated ADSs? </w:t>
      </w:r>
    </w:p>
    <w:p>
      <w:pPr>
        <w:pStyle w:val="TextBody"/>
        <w:spacing w:before="120" w:after="0"/>
        <w:jc w:val="left"/>
        <w:rPr>
          <w:rFonts w:ascii="Times New Roman" w:hAnsi="Times New Roman"/>
          <w:sz w:val="20"/>
        </w:rPr>
      </w:pPr>
      <w:r>
        <w:rPr>
          <w:rFonts w:ascii="Times New Roman" w:hAnsi="Times New Roman"/>
          <w:sz w:val="20"/>
        </w:rPr>
        <w:t xml:space="preserve">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 </w:t>
      </w:r>
    </w:p>
    <w:p>
      <w:pPr>
        <w:pStyle w:val="TextBody"/>
        <w:spacing w:before="360" w:after="0"/>
        <w:jc w:val="left"/>
        <w:rPr>
          <w:rFonts w:ascii="Times New Roman" w:hAnsi="Times New Roman"/>
          <w:b/>
          <w:sz w:val="20"/>
        </w:rPr>
      </w:pPr>
      <w:r>
        <w:rPr>
          <w:rFonts w:ascii="Times New Roman" w:hAnsi="Times New Roman"/>
          <w:b/>
          <w:sz w:val="20"/>
        </w:rPr>
        <w:t xml:space="preserve">Voting Rights </w:t>
      </w:r>
    </w:p>
    <w:p>
      <w:pPr>
        <w:pStyle w:val="TextBody"/>
        <w:spacing w:before="120" w:after="0"/>
        <w:jc w:val="left"/>
        <w:rPr>
          <w:rFonts w:ascii="Times New Roman" w:hAnsi="Times New Roman"/>
          <w:b/>
          <w:i/>
          <w:sz w:val="20"/>
        </w:rPr>
      </w:pPr>
      <w:r>
        <w:rPr>
          <w:rFonts w:ascii="Times New Roman" w:hAnsi="Times New Roman"/>
          <w:b/>
          <w:i/>
          <w:sz w:val="20"/>
        </w:rPr>
        <w:t xml:space="preserve">How do ADS holders vote? </w:t>
      </w:r>
    </w:p>
    <w:p>
      <w:pPr>
        <w:pStyle w:val="TextBody"/>
        <w:spacing w:before="120" w:after="0"/>
        <w:jc w:val="left"/>
        <w:rPr>
          <w:rFonts w:ascii="Times New Roman" w:hAnsi="Times New Roman"/>
          <w:sz w:val="20"/>
        </w:rPr>
      </w:pPr>
      <w:r>
        <w:rPr>
          <w:rFonts w:ascii="Times New Roman" w:hAnsi="Times New Roman"/>
          <w:sz w:val="20"/>
        </w:rPr>
        <w:t xml:space="preserve">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Germany and the provisions of our articles of association or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 </w:t>
      </w:r>
    </w:p>
    <w:p>
      <w:pPr>
        <w:pStyle w:val="TextBody"/>
        <w:spacing w:before="240" w:after="0"/>
        <w:jc w:val="left"/>
        <w:rPr>
          <w:rFonts w:ascii="Times New Roman" w:hAnsi="Times New Roman"/>
          <w:sz w:val="20"/>
        </w:rPr>
      </w:pPr>
      <w:r>
        <w:rPr>
          <w:rFonts w:ascii="Times New Roman" w:hAnsi="Times New Roman"/>
          <w:sz w:val="20"/>
        </w:rPr>
        <w:t xml:space="preserve">Except by instructing the depositary as described above, you will not be able to exercise voting rights unless you surrender your ADSs and withdraw the ordinary shares. However, you may not know about the shareholders meeting enough in advance to withdraw the ordinary shares. In any event, the depositary will not exercise any discretion in voting deposited securities and it will only vote or attempt to vote as instructed. </w:t>
      </w:r>
    </w:p>
    <w:p>
      <w:pPr>
        <w:pStyle w:val="TextBody"/>
        <w:spacing w:before="240" w:after="0"/>
        <w:jc w:val="left"/>
        <w:rPr>
          <w:rFonts w:ascii="Times New Roman" w:hAnsi="Times New Roman"/>
          <w:sz w:val="20"/>
        </w:rPr>
      </w:pPr>
      <w:r>
        <w:rPr>
          <w:rFonts w:ascii="Times New Roman" w:hAnsi="Times New Roman"/>
          <w:sz w:val="20"/>
        </w:rPr>
        <w:t xml:space="preserve">We cannot assure you that you will receive the voting materials in time to ensure that you can instruct the depositary to vote the ordinary shares represented by your ADSs. In addition, the depositary and its agents are not responsible for failing to carry out voting instructions or for the manner of carrying out voting instructions. This means that you may not be able to exercise voting rights and there may be nothing you can do if the ordinary shares represented by your ADSs are not voted as you requested. </w:t>
      </w:r>
    </w:p>
    <w:p>
      <w:pPr>
        <w:pStyle w:val="TextBody"/>
        <w:spacing w:before="240" w:after="0"/>
        <w:jc w:val="left"/>
        <w:rPr>
          <w:rFonts w:ascii="Times New Roman" w:hAnsi="Times New Roman"/>
          <w:sz w:val="20"/>
        </w:rPr>
      </w:pPr>
      <w:r>
        <w:rPr>
          <w:rFonts w:ascii="Times New Roman" w:hAnsi="Times New Roman"/>
          <w:sz w:val="20"/>
        </w:rPr>
        <w:t xml:space="preserve">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shareholders meeting date. </w:t>
      </w:r>
    </w:p>
    <w:p>
      <w:pPr>
        <w:pStyle w:val="TextBody"/>
        <w:spacing w:before="360" w:after="0"/>
        <w:jc w:val="left"/>
        <w:rPr>
          <w:rFonts w:ascii="Times New Roman" w:hAnsi="Times New Roman"/>
          <w:b/>
          <w:sz w:val="20"/>
        </w:rPr>
      </w:pPr>
      <w:r>
        <w:rPr>
          <w:rFonts w:ascii="Times New Roman" w:hAnsi="Times New Roman"/>
          <w:b/>
          <w:sz w:val="20"/>
        </w:rPr>
        <w:t xml:space="preserve">Fees and Expenses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807"/>
        <w:gridCol w:w="120"/>
        <w:gridCol w:w="4278"/>
      </w:tblGrid>
      <w:tr>
        <w:trPr/>
        <w:tc>
          <w:tcPr>
            <w:tcW w:w="580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278" w:type="dxa"/>
            <w:tcBorders/>
            <w:shd w:fill="auto" w:val="clear"/>
            <w:vAlign w:val="center"/>
          </w:tcPr>
          <w:p>
            <w:pPr>
              <w:pStyle w:val="TableContents"/>
              <w:spacing w:before="0" w:after="283"/>
              <w:rPr>
                <w:sz w:val="4"/>
                <w:szCs w:val="4"/>
              </w:rPr>
            </w:pPr>
            <w:r>
              <w:rPr>
                <w:sz w:val="4"/>
                <w:szCs w:val="4"/>
              </w:rPr>
            </w:r>
          </w:p>
        </w:tc>
      </w:tr>
      <w:tr>
        <w:trPr/>
        <w:tc>
          <w:tcPr>
            <w:tcW w:w="5807"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Persons Depositing or Withdrawing Shares or ADS Holders Must Pay:</w:t>
            </w:r>
          </w:p>
        </w:tc>
        <w:tc>
          <w:tcPr>
            <w:tcW w:w="120" w:type="dxa"/>
            <w:tcBorders/>
            <w:shd w:fill="auto" w:val="clear"/>
            <w:vAlign w:val="bottom"/>
          </w:tcPr>
          <w:p>
            <w:pPr>
              <w:pStyle w:val="TableContents"/>
              <w:spacing w:before="0" w:after="283"/>
              <w:rPr/>
            </w:pPr>
            <w:r>
              <w:rPr/>
              <w:t>  </w:t>
            </w:r>
          </w:p>
        </w:tc>
        <w:tc>
          <w:tcPr>
            <w:tcW w:w="4278"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For:</w:t>
            </w:r>
          </w:p>
        </w:tc>
      </w:tr>
      <w:tr>
        <w:trPr/>
        <w:tc>
          <w:tcPr>
            <w:tcW w:w="5807" w:type="dxa"/>
            <w:tcBorders/>
            <w:shd w:fill="auto" w:val="clear"/>
          </w:tcPr>
          <w:p>
            <w:pPr>
              <w:pStyle w:val="TableContents"/>
              <w:spacing w:before="0" w:after="283"/>
              <w:rPr/>
            </w:pPr>
            <w:r>
              <w:rPr/>
              <w:t>$5.00 (or less) per 100 ADSs (or portion of 100 ADSs)</w:t>
            </w:r>
          </w:p>
        </w:tc>
        <w:tc>
          <w:tcPr>
            <w:tcW w:w="120" w:type="dxa"/>
            <w:tcBorders/>
            <w:shd w:fill="auto" w:val="clear"/>
            <w:vAlign w:val="bottom"/>
          </w:tcPr>
          <w:p>
            <w:pPr>
              <w:pStyle w:val="TableContents"/>
              <w:spacing w:before="0" w:after="283"/>
              <w:rPr/>
            </w:pPr>
            <w:r>
              <w:rPr/>
              <w:t>  </w:t>
            </w:r>
          </w:p>
        </w:tc>
        <w:tc>
          <w:tcPr>
            <w:tcW w:w="4278" w:type="dxa"/>
            <w:tcBorders/>
            <w:shd w:fill="auto" w:val="clear"/>
          </w:tcPr>
          <w:p>
            <w:pPr>
              <w:pStyle w:val="TableContents"/>
              <w:spacing w:before="0" w:after="283"/>
              <w:rPr/>
            </w:pPr>
            <w:r>
              <w:rPr/>
              <w:t>Issuance of ADSs, including issuances resulting from a distribution of shares or rights or other property</w:t>
            </w:r>
          </w:p>
        </w:tc>
      </w:tr>
      <w:tr>
        <w:trPr>
          <w:trHeight w:val="60" w:hRule="atLeast"/>
        </w:trPr>
        <w:tc>
          <w:tcPr>
            <w:tcW w:w="5807" w:type="dxa"/>
            <w:tcBorders/>
            <w:shd w:fill="auto" w:val="clear"/>
            <w:vAlign w:val="center"/>
          </w:tcPr>
          <w:p>
            <w:pPr>
              <w:pStyle w:val="TableContents"/>
              <w:spacing w:before="0" w:after="283"/>
              <w:rPr>
                <w:sz w:val="4"/>
                <w:szCs w:val="4"/>
              </w:rPr>
            </w:pPr>
            <w:r>
              <w:rPr>
                <w:sz w:val="4"/>
                <w:szCs w:val="4"/>
              </w:rPr>
            </w:r>
          </w:p>
        </w:tc>
        <w:tc>
          <w:tcPr>
            <w:tcW w:w="4398" w:type="dxa"/>
            <w:gridSpan w:val="2"/>
            <w:tcBorders/>
            <w:shd w:fill="auto" w:val="clear"/>
            <w:vAlign w:val="center"/>
          </w:tcPr>
          <w:p>
            <w:pPr>
              <w:pStyle w:val="TableContents"/>
              <w:spacing w:before="0" w:after="283"/>
              <w:rPr>
                <w:sz w:val="4"/>
                <w:szCs w:val="4"/>
              </w:rPr>
            </w:pPr>
            <w:r>
              <w:rPr>
                <w:sz w:val="4"/>
                <w:szCs w:val="4"/>
              </w:rPr>
            </w:r>
          </w:p>
        </w:tc>
      </w:tr>
      <w:tr>
        <w:trPr/>
        <w:tc>
          <w:tcPr>
            <w:tcW w:w="5807"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4278" w:type="dxa"/>
            <w:tcBorders/>
            <w:shd w:fill="auto" w:val="clear"/>
          </w:tcPr>
          <w:p>
            <w:pPr>
              <w:pStyle w:val="TableContents"/>
              <w:spacing w:before="0" w:after="283"/>
              <w:rPr/>
            </w:pPr>
            <w:r>
              <w:rPr/>
              <w:t>Cancellation of ADSs for the purpose of withdrawal, including if the deposit agreement terminates</w:t>
            </w:r>
          </w:p>
        </w:tc>
      </w:tr>
      <w:tr>
        <w:trPr>
          <w:trHeight w:val="60" w:hRule="atLeast"/>
        </w:trPr>
        <w:tc>
          <w:tcPr>
            <w:tcW w:w="5807" w:type="dxa"/>
            <w:tcBorders/>
            <w:shd w:fill="auto" w:val="clear"/>
            <w:vAlign w:val="center"/>
          </w:tcPr>
          <w:p>
            <w:pPr>
              <w:pStyle w:val="TableContents"/>
              <w:spacing w:before="0" w:after="283"/>
              <w:rPr>
                <w:sz w:val="4"/>
                <w:szCs w:val="4"/>
              </w:rPr>
            </w:pPr>
            <w:r>
              <w:rPr>
                <w:sz w:val="4"/>
                <w:szCs w:val="4"/>
              </w:rPr>
            </w:r>
          </w:p>
        </w:tc>
        <w:tc>
          <w:tcPr>
            <w:tcW w:w="4398" w:type="dxa"/>
            <w:gridSpan w:val="2"/>
            <w:tcBorders/>
            <w:shd w:fill="auto" w:val="clear"/>
            <w:vAlign w:val="center"/>
          </w:tcPr>
          <w:p>
            <w:pPr>
              <w:pStyle w:val="TableContents"/>
              <w:spacing w:before="0" w:after="283"/>
              <w:rPr>
                <w:sz w:val="4"/>
                <w:szCs w:val="4"/>
              </w:rPr>
            </w:pPr>
            <w:r>
              <w:rPr>
                <w:sz w:val="4"/>
                <w:szCs w:val="4"/>
              </w:rPr>
            </w:r>
          </w:p>
        </w:tc>
      </w:tr>
      <w:tr>
        <w:trPr/>
        <w:tc>
          <w:tcPr>
            <w:tcW w:w="5807" w:type="dxa"/>
            <w:tcBorders/>
            <w:shd w:fill="auto" w:val="clear"/>
          </w:tcPr>
          <w:p>
            <w:pPr>
              <w:pStyle w:val="TableContents"/>
              <w:spacing w:before="0" w:after="283"/>
              <w:rPr/>
            </w:pPr>
            <w:r>
              <w:rPr/>
              <w:t>$.05 (or less) per ADS</w:t>
            </w:r>
          </w:p>
        </w:tc>
        <w:tc>
          <w:tcPr>
            <w:tcW w:w="120" w:type="dxa"/>
            <w:tcBorders/>
            <w:shd w:fill="auto" w:val="clear"/>
            <w:vAlign w:val="bottom"/>
          </w:tcPr>
          <w:p>
            <w:pPr>
              <w:pStyle w:val="TableContents"/>
              <w:spacing w:before="0" w:after="283"/>
              <w:rPr/>
            </w:pPr>
            <w:r>
              <w:rPr/>
              <w:t>  </w:t>
            </w:r>
          </w:p>
        </w:tc>
        <w:tc>
          <w:tcPr>
            <w:tcW w:w="4278" w:type="dxa"/>
            <w:tcBorders/>
            <w:shd w:fill="auto" w:val="clear"/>
          </w:tcPr>
          <w:p>
            <w:pPr>
              <w:pStyle w:val="TableContents"/>
              <w:spacing w:before="0" w:after="283"/>
              <w:rPr/>
            </w:pPr>
            <w:r>
              <w:rPr/>
              <w:t>Any cash distribution to ADS holders</w:t>
            </w:r>
          </w:p>
        </w:tc>
      </w:tr>
      <w:tr>
        <w:trPr>
          <w:trHeight w:val="60" w:hRule="atLeast"/>
        </w:trPr>
        <w:tc>
          <w:tcPr>
            <w:tcW w:w="5807" w:type="dxa"/>
            <w:tcBorders/>
            <w:shd w:fill="auto" w:val="clear"/>
            <w:vAlign w:val="center"/>
          </w:tcPr>
          <w:p>
            <w:pPr>
              <w:pStyle w:val="TableContents"/>
              <w:spacing w:before="0" w:after="283"/>
              <w:rPr>
                <w:sz w:val="4"/>
                <w:szCs w:val="4"/>
              </w:rPr>
            </w:pPr>
            <w:r>
              <w:rPr>
                <w:sz w:val="4"/>
                <w:szCs w:val="4"/>
              </w:rPr>
            </w:r>
          </w:p>
        </w:tc>
        <w:tc>
          <w:tcPr>
            <w:tcW w:w="4398" w:type="dxa"/>
            <w:gridSpan w:val="2"/>
            <w:tcBorders/>
            <w:shd w:fill="auto" w:val="clear"/>
            <w:vAlign w:val="center"/>
          </w:tcPr>
          <w:p>
            <w:pPr>
              <w:pStyle w:val="TableContents"/>
              <w:spacing w:before="0" w:after="283"/>
              <w:rPr>
                <w:sz w:val="4"/>
                <w:szCs w:val="4"/>
              </w:rPr>
            </w:pPr>
            <w:r>
              <w:rPr>
                <w:sz w:val="4"/>
                <w:szCs w:val="4"/>
              </w:rPr>
            </w:r>
          </w:p>
        </w:tc>
      </w:tr>
      <w:tr>
        <w:trPr/>
        <w:tc>
          <w:tcPr>
            <w:tcW w:w="5807" w:type="dxa"/>
            <w:tcBorders/>
            <w:shd w:fill="auto" w:val="clear"/>
          </w:tcPr>
          <w:p>
            <w:pPr>
              <w:pStyle w:val="TableContents"/>
              <w:spacing w:before="0" w:after="283"/>
              <w:rPr/>
            </w:pPr>
            <w:r>
              <w:rPr/>
              <w:t>A fee equivalent to the fee that would be payable if securities distributed to you had been shares and the shares had been deposited for issuance of ADSs</w:t>
            </w:r>
          </w:p>
        </w:tc>
        <w:tc>
          <w:tcPr>
            <w:tcW w:w="120" w:type="dxa"/>
            <w:tcBorders/>
            <w:shd w:fill="auto" w:val="clear"/>
            <w:vAlign w:val="bottom"/>
          </w:tcPr>
          <w:p>
            <w:pPr>
              <w:pStyle w:val="TableContents"/>
              <w:spacing w:before="0" w:after="283"/>
              <w:rPr/>
            </w:pPr>
            <w:r>
              <w:rPr/>
              <w:t>  </w:t>
            </w:r>
          </w:p>
        </w:tc>
        <w:tc>
          <w:tcPr>
            <w:tcW w:w="4278" w:type="dxa"/>
            <w:tcBorders/>
            <w:shd w:fill="auto" w:val="clear"/>
          </w:tcPr>
          <w:p>
            <w:pPr>
              <w:pStyle w:val="TableContents"/>
              <w:spacing w:before="0" w:after="283"/>
              <w:rPr/>
            </w:pPr>
            <w:r>
              <w:rPr/>
              <w:t>Distribution of securities distributed to holders of deposited securities (including rights) that are distributed by the depositary to ADS holders</w:t>
            </w:r>
          </w:p>
        </w:tc>
      </w:tr>
      <w:tr>
        <w:trPr>
          <w:trHeight w:val="60" w:hRule="atLeast"/>
        </w:trPr>
        <w:tc>
          <w:tcPr>
            <w:tcW w:w="5807" w:type="dxa"/>
            <w:tcBorders/>
            <w:shd w:fill="auto" w:val="clear"/>
            <w:vAlign w:val="center"/>
          </w:tcPr>
          <w:p>
            <w:pPr>
              <w:pStyle w:val="TableContents"/>
              <w:spacing w:before="0" w:after="283"/>
              <w:rPr>
                <w:sz w:val="4"/>
                <w:szCs w:val="4"/>
              </w:rPr>
            </w:pPr>
            <w:r>
              <w:rPr>
                <w:sz w:val="4"/>
                <w:szCs w:val="4"/>
              </w:rPr>
            </w:r>
          </w:p>
        </w:tc>
        <w:tc>
          <w:tcPr>
            <w:tcW w:w="4398" w:type="dxa"/>
            <w:gridSpan w:val="2"/>
            <w:tcBorders/>
            <w:shd w:fill="auto" w:val="clear"/>
            <w:vAlign w:val="center"/>
          </w:tcPr>
          <w:p>
            <w:pPr>
              <w:pStyle w:val="TableContents"/>
              <w:spacing w:before="0" w:after="283"/>
              <w:rPr>
                <w:sz w:val="4"/>
                <w:szCs w:val="4"/>
              </w:rPr>
            </w:pPr>
            <w:r>
              <w:rPr>
                <w:sz w:val="4"/>
                <w:szCs w:val="4"/>
              </w:rPr>
            </w:r>
          </w:p>
        </w:tc>
      </w:tr>
      <w:tr>
        <w:trPr/>
        <w:tc>
          <w:tcPr>
            <w:tcW w:w="5807" w:type="dxa"/>
            <w:tcBorders/>
            <w:shd w:fill="auto" w:val="clear"/>
          </w:tcPr>
          <w:p>
            <w:pPr>
              <w:pStyle w:val="TableContents"/>
              <w:spacing w:before="0" w:after="283"/>
              <w:rPr/>
            </w:pPr>
            <w:r>
              <w:rPr/>
              <w:t>$.05 (or less) per ADS per calendar year</w:t>
            </w:r>
          </w:p>
        </w:tc>
        <w:tc>
          <w:tcPr>
            <w:tcW w:w="120" w:type="dxa"/>
            <w:tcBorders/>
            <w:shd w:fill="auto" w:val="clear"/>
            <w:vAlign w:val="bottom"/>
          </w:tcPr>
          <w:p>
            <w:pPr>
              <w:pStyle w:val="TableContents"/>
              <w:spacing w:before="0" w:after="283"/>
              <w:rPr/>
            </w:pPr>
            <w:r>
              <w:rPr/>
              <w:t>  </w:t>
            </w:r>
          </w:p>
        </w:tc>
        <w:tc>
          <w:tcPr>
            <w:tcW w:w="4278" w:type="dxa"/>
            <w:tcBorders/>
            <w:shd w:fill="auto" w:val="clear"/>
          </w:tcPr>
          <w:p>
            <w:pPr>
              <w:pStyle w:val="TableContents"/>
              <w:spacing w:before="0" w:after="283"/>
              <w:rPr/>
            </w:pPr>
            <w:r>
              <w:rPr/>
              <w:t>Depositary services</w:t>
            </w:r>
          </w:p>
        </w:tc>
      </w:tr>
      <w:tr>
        <w:trPr>
          <w:trHeight w:val="60" w:hRule="atLeast"/>
        </w:trPr>
        <w:tc>
          <w:tcPr>
            <w:tcW w:w="5807" w:type="dxa"/>
            <w:tcBorders/>
            <w:shd w:fill="auto" w:val="clear"/>
            <w:vAlign w:val="center"/>
          </w:tcPr>
          <w:p>
            <w:pPr>
              <w:pStyle w:val="TableContents"/>
              <w:spacing w:before="0" w:after="283"/>
              <w:rPr>
                <w:sz w:val="4"/>
                <w:szCs w:val="4"/>
              </w:rPr>
            </w:pPr>
            <w:r>
              <w:rPr>
                <w:sz w:val="4"/>
                <w:szCs w:val="4"/>
              </w:rPr>
            </w:r>
          </w:p>
        </w:tc>
        <w:tc>
          <w:tcPr>
            <w:tcW w:w="4398" w:type="dxa"/>
            <w:gridSpan w:val="2"/>
            <w:tcBorders/>
            <w:shd w:fill="auto" w:val="clear"/>
            <w:vAlign w:val="center"/>
          </w:tcPr>
          <w:p>
            <w:pPr>
              <w:pStyle w:val="TableContents"/>
              <w:spacing w:before="0" w:after="283"/>
              <w:rPr>
                <w:sz w:val="4"/>
                <w:szCs w:val="4"/>
              </w:rPr>
            </w:pPr>
            <w:r>
              <w:rPr>
                <w:sz w:val="4"/>
                <w:szCs w:val="4"/>
              </w:rPr>
            </w:r>
          </w:p>
        </w:tc>
      </w:tr>
      <w:tr>
        <w:trPr/>
        <w:tc>
          <w:tcPr>
            <w:tcW w:w="5807" w:type="dxa"/>
            <w:tcBorders/>
            <w:shd w:fill="auto" w:val="clear"/>
          </w:tcPr>
          <w:p>
            <w:pPr>
              <w:pStyle w:val="TableContents"/>
              <w:spacing w:before="0" w:after="283"/>
              <w:rPr/>
            </w:pPr>
            <w:r>
              <w:rPr/>
              <w:t>Registration or transfer fees</w:t>
            </w:r>
          </w:p>
        </w:tc>
        <w:tc>
          <w:tcPr>
            <w:tcW w:w="120" w:type="dxa"/>
            <w:tcBorders/>
            <w:shd w:fill="auto" w:val="clear"/>
            <w:vAlign w:val="bottom"/>
          </w:tcPr>
          <w:p>
            <w:pPr>
              <w:pStyle w:val="TableContents"/>
              <w:spacing w:before="0" w:after="283"/>
              <w:rPr/>
            </w:pPr>
            <w:r>
              <w:rPr/>
              <w:t>  </w:t>
            </w:r>
          </w:p>
        </w:tc>
        <w:tc>
          <w:tcPr>
            <w:tcW w:w="4278" w:type="dxa"/>
            <w:tcBorders/>
            <w:shd w:fill="auto" w:val="clear"/>
          </w:tcPr>
          <w:p>
            <w:pPr>
              <w:pStyle w:val="TableContents"/>
              <w:spacing w:before="0" w:after="283"/>
              <w:rPr/>
            </w:pPr>
            <w:r>
              <w:rPr/>
              <w:t>Transfer and registration of shares on our share register to or from the name of the depositary or its agent when you deposit or withdraw shares</w:t>
            </w:r>
          </w:p>
        </w:tc>
      </w:tr>
      <w:tr>
        <w:trPr>
          <w:trHeight w:val="60" w:hRule="atLeast"/>
        </w:trPr>
        <w:tc>
          <w:tcPr>
            <w:tcW w:w="5807" w:type="dxa"/>
            <w:tcBorders/>
            <w:shd w:fill="auto" w:val="clear"/>
            <w:vAlign w:val="center"/>
          </w:tcPr>
          <w:p>
            <w:pPr>
              <w:pStyle w:val="TableContents"/>
              <w:spacing w:before="0" w:after="283"/>
              <w:rPr>
                <w:sz w:val="4"/>
                <w:szCs w:val="4"/>
              </w:rPr>
            </w:pPr>
            <w:r>
              <w:rPr>
                <w:sz w:val="4"/>
                <w:szCs w:val="4"/>
              </w:rPr>
            </w:r>
          </w:p>
        </w:tc>
        <w:tc>
          <w:tcPr>
            <w:tcW w:w="4398" w:type="dxa"/>
            <w:gridSpan w:val="2"/>
            <w:tcBorders/>
            <w:shd w:fill="auto" w:val="clear"/>
            <w:vAlign w:val="center"/>
          </w:tcPr>
          <w:p>
            <w:pPr>
              <w:pStyle w:val="TableContents"/>
              <w:spacing w:before="0" w:after="283"/>
              <w:rPr>
                <w:sz w:val="4"/>
                <w:szCs w:val="4"/>
              </w:rPr>
            </w:pPr>
            <w:r>
              <w:rPr>
                <w:sz w:val="4"/>
                <w:szCs w:val="4"/>
              </w:rPr>
            </w:r>
          </w:p>
        </w:tc>
      </w:tr>
      <w:tr>
        <w:trPr/>
        <w:tc>
          <w:tcPr>
            <w:tcW w:w="5807" w:type="dxa"/>
            <w:tcBorders/>
            <w:shd w:fill="auto" w:val="clear"/>
          </w:tcPr>
          <w:p>
            <w:pPr>
              <w:pStyle w:val="TableContents"/>
              <w:spacing w:before="0" w:after="283"/>
              <w:rPr/>
            </w:pPr>
            <w:r>
              <w:rPr/>
              <w:t>Expenses of the depositary</w:t>
            </w:r>
          </w:p>
        </w:tc>
        <w:tc>
          <w:tcPr>
            <w:tcW w:w="120" w:type="dxa"/>
            <w:tcBorders/>
            <w:shd w:fill="auto" w:val="clear"/>
            <w:vAlign w:val="bottom"/>
          </w:tcPr>
          <w:p>
            <w:pPr>
              <w:pStyle w:val="TableContents"/>
              <w:spacing w:before="0" w:after="283"/>
              <w:rPr/>
            </w:pPr>
            <w:r>
              <w:rPr/>
              <w:t>  </w:t>
            </w:r>
          </w:p>
        </w:tc>
        <w:tc>
          <w:tcPr>
            <w:tcW w:w="4278" w:type="dxa"/>
            <w:tcBorders/>
            <w:shd w:fill="auto" w:val="clear"/>
          </w:tcPr>
          <w:p>
            <w:pPr>
              <w:pStyle w:val="TableContents"/>
              <w:spacing w:before="0" w:after="283"/>
              <w:rPr/>
            </w:pPr>
            <w:r>
              <w:rPr/>
              <w:t>Cable and facsimile transmissions (when expressly provided in the deposit agreement)</w:t>
            </w:r>
          </w:p>
        </w:tc>
      </w:tr>
      <w:tr>
        <w:trPr>
          <w:trHeight w:val="60" w:hRule="atLeast"/>
        </w:trPr>
        <w:tc>
          <w:tcPr>
            <w:tcW w:w="5807" w:type="dxa"/>
            <w:tcBorders/>
            <w:shd w:fill="auto" w:val="clear"/>
            <w:vAlign w:val="center"/>
          </w:tcPr>
          <w:p>
            <w:pPr>
              <w:pStyle w:val="TableContents"/>
              <w:spacing w:before="0" w:after="283"/>
              <w:rPr>
                <w:sz w:val="4"/>
                <w:szCs w:val="4"/>
              </w:rPr>
            </w:pPr>
            <w:r>
              <w:rPr>
                <w:sz w:val="4"/>
                <w:szCs w:val="4"/>
              </w:rPr>
            </w:r>
          </w:p>
        </w:tc>
        <w:tc>
          <w:tcPr>
            <w:tcW w:w="4398" w:type="dxa"/>
            <w:gridSpan w:val="2"/>
            <w:tcBorders/>
            <w:shd w:fill="auto" w:val="clear"/>
            <w:vAlign w:val="center"/>
          </w:tcPr>
          <w:p>
            <w:pPr>
              <w:pStyle w:val="TableContents"/>
              <w:spacing w:before="0" w:after="283"/>
              <w:rPr>
                <w:sz w:val="4"/>
                <w:szCs w:val="4"/>
              </w:rPr>
            </w:pPr>
            <w:r>
              <w:rPr>
                <w:sz w:val="4"/>
                <w:szCs w:val="4"/>
              </w:rPr>
            </w:r>
          </w:p>
        </w:tc>
      </w:tr>
      <w:tr>
        <w:trPr/>
        <w:tc>
          <w:tcPr>
            <w:tcW w:w="5807"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4278" w:type="dxa"/>
            <w:tcBorders/>
            <w:shd w:fill="auto" w:val="clear"/>
          </w:tcPr>
          <w:p>
            <w:pPr>
              <w:pStyle w:val="TableContents"/>
              <w:spacing w:before="0" w:after="283"/>
              <w:rPr/>
            </w:pPr>
            <w:r>
              <w:rPr/>
              <w:t>Converting foreign currency to U.S. dollars</w:t>
            </w:r>
          </w:p>
        </w:tc>
      </w:tr>
      <w:tr>
        <w:trPr>
          <w:trHeight w:val="60" w:hRule="atLeast"/>
        </w:trPr>
        <w:tc>
          <w:tcPr>
            <w:tcW w:w="5807" w:type="dxa"/>
            <w:tcBorders/>
            <w:shd w:fill="auto" w:val="clear"/>
            <w:vAlign w:val="center"/>
          </w:tcPr>
          <w:p>
            <w:pPr>
              <w:pStyle w:val="TableContents"/>
              <w:spacing w:before="0" w:after="283"/>
              <w:rPr>
                <w:sz w:val="4"/>
                <w:szCs w:val="4"/>
              </w:rPr>
            </w:pPr>
            <w:r>
              <w:rPr>
                <w:sz w:val="4"/>
                <w:szCs w:val="4"/>
              </w:rPr>
            </w:r>
          </w:p>
        </w:tc>
        <w:tc>
          <w:tcPr>
            <w:tcW w:w="4398" w:type="dxa"/>
            <w:gridSpan w:val="2"/>
            <w:tcBorders/>
            <w:shd w:fill="auto" w:val="clear"/>
            <w:vAlign w:val="center"/>
          </w:tcPr>
          <w:p>
            <w:pPr>
              <w:pStyle w:val="TableContents"/>
              <w:spacing w:before="0" w:after="283"/>
              <w:rPr>
                <w:sz w:val="4"/>
                <w:szCs w:val="4"/>
              </w:rPr>
            </w:pPr>
            <w:r>
              <w:rPr>
                <w:sz w:val="4"/>
                <w:szCs w:val="4"/>
              </w:rPr>
            </w:r>
          </w:p>
        </w:tc>
      </w:tr>
      <w:tr>
        <w:trPr/>
        <w:tc>
          <w:tcPr>
            <w:tcW w:w="5807" w:type="dxa"/>
            <w:tcBorders/>
            <w:shd w:fill="auto" w:val="clear"/>
          </w:tcPr>
          <w:p>
            <w:pPr>
              <w:pStyle w:val="TableContents"/>
              <w:spacing w:before="0" w:after="283"/>
              <w:rPr/>
            </w:pPr>
            <w:r>
              <w:rPr/>
              <w:t>Taxes and other governmental charges the depositary or the custodian must pay in respect of any ADSs or shares underlying ADSs, such as stock transfer taxes, stamp duty or withholding taxes</w:t>
            </w:r>
          </w:p>
        </w:tc>
        <w:tc>
          <w:tcPr>
            <w:tcW w:w="120" w:type="dxa"/>
            <w:tcBorders/>
            <w:shd w:fill="auto" w:val="clear"/>
            <w:vAlign w:val="bottom"/>
          </w:tcPr>
          <w:p>
            <w:pPr>
              <w:pStyle w:val="TableContents"/>
              <w:spacing w:before="0" w:after="283"/>
              <w:rPr/>
            </w:pPr>
            <w:r>
              <w:rPr/>
              <w:t>  </w:t>
            </w:r>
          </w:p>
        </w:tc>
        <w:tc>
          <w:tcPr>
            <w:tcW w:w="4278" w:type="dxa"/>
            <w:tcBorders/>
            <w:shd w:fill="auto" w:val="clear"/>
          </w:tcPr>
          <w:p>
            <w:pPr>
              <w:pStyle w:val="TableContents"/>
              <w:spacing w:before="0" w:after="283"/>
              <w:rPr/>
            </w:pPr>
            <w:r>
              <w:rPr/>
              <w:t>As necessary</w:t>
            </w:r>
          </w:p>
        </w:tc>
      </w:tr>
      <w:tr>
        <w:trPr>
          <w:trHeight w:val="60" w:hRule="atLeast"/>
        </w:trPr>
        <w:tc>
          <w:tcPr>
            <w:tcW w:w="5807" w:type="dxa"/>
            <w:tcBorders/>
            <w:shd w:fill="auto" w:val="clear"/>
            <w:vAlign w:val="center"/>
          </w:tcPr>
          <w:p>
            <w:pPr>
              <w:pStyle w:val="TableContents"/>
              <w:spacing w:before="0" w:after="283"/>
              <w:rPr>
                <w:sz w:val="4"/>
                <w:szCs w:val="4"/>
              </w:rPr>
            </w:pPr>
            <w:r>
              <w:rPr>
                <w:sz w:val="4"/>
                <w:szCs w:val="4"/>
              </w:rPr>
            </w:r>
          </w:p>
        </w:tc>
        <w:tc>
          <w:tcPr>
            <w:tcW w:w="4398" w:type="dxa"/>
            <w:gridSpan w:val="2"/>
            <w:tcBorders/>
            <w:shd w:fill="auto" w:val="clear"/>
            <w:vAlign w:val="center"/>
          </w:tcPr>
          <w:p>
            <w:pPr>
              <w:pStyle w:val="TableContents"/>
              <w:spacing w:before="0" w:after="283"/>
              <w:rPr>
                <w:sz w:val="4"/>
                <w:szCs w:val="4"/>
              </w:rPr>
            </w:pPr>
            <w:r>
              <w:rPr>
                <w:sz w:val="4"/>
                <w:szCs w:val="4"/>
              </w:rPr>
            </w:r>
          </w:p>
        </w:tc>
      </w:tr>
      <w:tr>
        <w:trPr/>
        <w:tc>
          <w:tcPr>
            <w:tcW w:w="5807" w:type="dxa"/>
            <w:tcBorders/>
            <w:shd w:fill="auto" w:val="clear"/>
          </w:tcPr>
          <w:p>
            <w:pPr>
              <w:pStyle w:val="TableContents"/>
              <w:spacing w:before="0" w:after="283"/>
              <w:rPr/>
            </w:pPr>
            <w:r>
              <w:rPr/>
              <w:t>Any charges incurred by the depositary or its agents for servicing the deposited securities</w:t>
            </w:r>
          </w:p>
        </w:tc>
        <w:tc>
          <w:tcPr>
            <w:tcW w:w="120" w:type="dxa"/>
            <w:tcBorders/>
            <w:shd w:fill="auto" w:val="clear"/>
            <w:vAlign w:val="bottom"/>
          </w:tcPr>
          <w:p>
            <w:pPr>
              <w:pStyle w:val="TableContents"/>
              <w:spacing w:before="0" w:after="283"/>
              <w:rPr/>
            </w:pPr>
            <w:r>
              <w:rPr/>
              <w:t>  </w:t>
            </w:r>
          </w:p>
        </w:tc>
        <w:tc>
          <w:tcPr>
            <w:tcW w:w="4278" w:type="dxa"/>
            <w:tcBorders/>
            <w:shd w:fill="auto" w:val="clear"/>
          </w:tcPr>
          <w:p>
            <w:pPr>
              <w:pStyle w:val="TableContents"/>
              <w:spacing w:before="0" w:after="283"/>
              <w:rPr/>
            </w:pPr>
            <w:r>
              <w:rPr/>
              <w:t>As necessary</w:t>
            </w:r>
          </w:p>
        </w:tc>
      </w:tr>
    </w:tbl>
    <w:p>
      <w:pPr>
        <w:pStyle w:val="TextBody"/>
        <w:spacing w:before="240" w:after="0"/>
        <w:jc w:val="left"/>
        <w:rPr>
          <w:rFonts w:ascii="Times New Roman" w:hAnsi="Times New Roman"/>
          <w:sz w:val="20"/>
        </w:rPr>
      </w:pPr>
      <w:r>
        <w:rPr>
          <w:rFonts w:ascii="Times New Roman" w:hAnsi="Times New Roman"/>
          <w:sz w:val="20"/>
        </w:rPr>
        <w:t xml:space="preserve">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 </w:t>
      </w:r>
    </w:p>
    <w:p>
      <w:pPr>
        <w:pStyle w:val="TextBody"/>
        <w:spacing w:before="240" w:after="0"/>
        <w:jc w:val="left"/>
        <w:rPr>
          <w:rFonts w:ascii="Times New Roman" w:hAnsi="Times New Roman"/>
          <w:sz w:val="20"/>
        </w:rPr>
      </w:pPr>
      <w:r>
        <w:rPr>
          <w:rFonts w:ascii="Times New Roman" w:hAnsi="Times New Roman"/>
          <w:sz w:val="20"/>
        </w:rPr>
        <w:t xml:space="preserve">The depositary may convert currency itself or through any of its affiliates (which may include the custodian)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and will not be liable for any direct or indirect losses associated with the rate. The methodology used to determine exchange rates used in currency conversions is available upon request. In certain instances, the depositary may receive dividends or other distributions from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 </w:t>
      </w:r>
    </w:p>
    <w:p>
      <w:pPr>
        <w:pStyle w:val="TextBody"/>
        <w:spacing w:before="360" w:after="0"/>
        <w:jc w:val="left"/>
        <w:rPr>
          <w:rFonts w:ascii="Times New Roman" w:hAnsi="Times New Roman"/>
          <w:b/>
          <w:sz w:val="20"/>
        </w:rPr>
      </w:pPr>
      <w:r>
        <w:rPr>
          <w:rFonts w:ascii="Times New Roman" w:hAnsi="Times New Roman"/>
          <w:b/>
          <w:sz w:val="20"/>
        </w:rPr>
        <w:t xml:space="preserve">Payment of Taxes </w:t>
      </w:r>
    </w:p>
    <w:p>
      <w:pPr>
        <w:pStyle w:val="TextBody"/>
        <w:spacing w:before="120" w:after="0"/>
        <w:jc w:val="left"/>
        <w:rPr>
          <w:rFonts w:ascii="Times New Roman" w:hAnsi="Times New Roman"/>
          <w:sz w:val="20"/>
        </w:rPr>
      </w:pPr>
      <w:r>
        <w:rPr>
          <w:rFonts w:ascii="Times New Roman" w:hAnsi="Times New Roman"/>
          <w:sz w:val="20"/>
        </w:rPr>
        <w:t xml:space="preserve">You will be responsible for any taxes or other governmental charges payable in respect of your ADSs or in respect of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 </w:t>
      </w:r>
    </w:p>
    <w:p>
      <w:pPr>
        <w:pStyle w:val="TextBody"/>
        <w:spacing w:before="360" w:after="0"/>
        <w:jc w:val="left"/>
        <w:rPr>
          <w:rFonts w:ascii="Times New Roman" w:hAnsi="Times New Roman"/>
          <w:b/>
          <w:sz w:val="20"/>
        </w:rPr>
      </w:pPr>
      <w:r>
        <w:rPr>
          <w:rFonts w:ascii="Times New Roman" w:hAnsi="Times New Roman"/>
          <w:b/>
          <w:sz w:val="20"/>
        </w:rPr>
        <w:t xml:space="preserve">Tender and Exchange Offers; Redemption, Replacement or Cancellation of Deposited Securities </w:t>
      </w:r>
    </w:p>
    <w:p>
      <w:pPr>
        <w:pStyle w:val="TextBody"/>
        <w:spacing w:before="120" w:after="0"/>
        <w:jc w:val="left"/>
        <w:rPr>
          <w:rFonts w:ascii="Times New Roman" w:hAnsi="Times New Roman"/>
          <w:sz w:val="20"/>
        </w:rPr>
      </w:pPr>
      <w:r>
        <w:rPr>
          <w:rFonts w:ascii="Times New Roman" w:hAnsi="Times New Roman"/>
          <w:sz w:val="20"/>
        </w:rPr>
        <w:t xml:space="preserve">The depositary will not tender deposited securities in any voluntary tender or exchange offer unless instructed to do by an ADS holder surrendering ADSs and subject to any conditions or procedures the depositary may establish. </w:t>
      </w:r>
    </w:p>
    <w:p>
      <w:pPr>
        <w:pStyle w:val="TextBody"/>
        <w:spacing w:before="240" w:after="0"/>
        <w:jc w:val="left"/>
        <w:rPr>
          <w:rFonts w:ascii="Times New Roman" w:hAnsi="Times New Roman"/>
          <w:sz w:val="20"/>
        </w:rPr>
      </w:pPr>
      <w:r>
        <w:rPr>
          <w:rFonts w:ascii="Times New Roman" w:hAnsi="Times New Roman"/>
          <w:sz w:val="20"/>
        </w:rPr>
        <w:t xml:space="preserve">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 </w:t>
      </w:r>
    </w:p>
    <w:p>
      <w:pPr>
        <w:pStyle w:val="TextBody"/>
        <w:spacing w:before="240" w:after="0"/>
        <w:jc w:val="left"/>
        <w:rPr>
          <w:rFonts w:ascii="Times New Roman" w:hAnsi="Times New Roman"/>
          <w:sz w:val="20"/>
        </w:rPr>
      </w:pPr>
      <w:r>
        <w:rPr>
          <w:rFonts w:ascii="Times New Roman" w:hAnsi="Times New Roman"/>
          <w:sz w:val="20"/>
        </w:rPr>
        <w:t xml:space="preserve">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 </w:t>
      </w:r>
    </w:p>
    <w:p>
      <w:pPr>
        <w:pStyle w:val="TextBody"/>
        <w:spacing w:before="240" w:after="0"/>
        <w:jc w:val="left"/>
        <w:rPr>
          <w:rFonts w:ascii="Times New Roman" w:hAnsi="Times New Roman"/>
          <w:sz w:val="20"/>
        </w:rPr>
      </w:pPr>
      <w:r>
        <w:rPr>
          <w:rFonts w:ascii="Times New Roman" w:hAnsi="Times New Roman"/>
          <w:sz w:val="20"/>
        </w:rPr>
        <w:t xml:space="preserve">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 </w:t>
      </w:r>
    </w:p>
    <w:p>
      <w:pPr>
        <w:pStyle w:val="TextBody"/>
        <w:spacing w:before="240" w:after="0"/>
        <w:jc w:val="left"/>
        <w:rPr>
          <w:rFonts w:ascii="Times New Roman" w:hAnsi="Times New Roman"/>
          <w:sz w:val="20"/>
        </w:rPr>
      </w:pPr>
      <w:r>
        <w:rPr>
          <w:rFonts w:ascii="Times New Roman" w:hAnsi="Times New Roman"/>
          <w:sz w:val="20"/>
        </w:rPr>
        <w:t xml:space="preserve">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Amendment and Termination </w:t>
      </w:r>
    </w:p>
    <w:p>
      <w:pPr>
        <w:pStyle w:val="TextBody"/>
        <w:spacing w:before="120" w:after="0"/>
        <w:jc w:val="left"/>
        <w:rPr>
          <w:rFonts w:ascii="Times New Roman" w:hAnsi="Times New Roman"/>
          <w:b/>
          <w:i/>
          <w:sz w:val="20"/>
        </w:rPr>
      </w:pPr>
      <w:r>
        <w:rPr>
          <w:rFonts w:ascii="Times New Roman" w:hAnsi="Times New Roman"/>
          <w:b/>
          <w:i/>
          <w:sz w:val="20"/>
        </w:rPr>
        <w:t xml:space="preserve">How may the deposit agreement be amended? </w:t>
      </w:r>
    </w:p>
    <w:p>
      <w:pPr>
        <w:pStyle w:val="TextBody"/>
        <w:spacing w:before="120" w:after="0"/>
        <w:jc w:val="left"/>
        <w:rPr>
          <w:rFonts w:ascii="Times New Roman" w:hAnsi="Times New Roman"/>
          <w:sz w:val="20"/>
        </w:rPr>
      </w:pPr>
      <w:r>
        <w:rPr>
          <w:rFonts w:ascii="Times New Roman" w:hAnsi="Times New Roman"/>
          <w:sz w:val="20"/>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 </w:t>
      </w:r>
    </w:p>
    <w:p>
      <w:pPr>
        <w:pStyle w:val="TextBody"/>
        <w:spacing w:before="360" w:after="0"/>
        <w:jc w:val="left"/>
        <w:rPr>
          <w:rFonts w:ascii="Times New Roman" w:hAnsi="Times New Roman"/>
          <w:b/>
          <w:i/>
          <w:sz w:val="20"/>
        </w:rPr>
      </w:pPr>
      <w:r>
        <w:rPr>
          <w:rFonts w:ascii="Times New Roman" w:hAnsi="Times New Roman"/>
          <w:b/>
          <w:i/>
          <w:sz w:val="20"/>
        </w:rPr>
        <w:t xml:space="preserve">How may the deposit agreement be terminated? </w:t>
      </w:r>
    </w:p>
    <w:p>
      <w:pPr>
        <w:pStyle w:val="TextBody"/>
        <w:spacing w:before="120" w:after="0"/>
        <w:jc w:val="left"/>
        <w:rPr>
          <w:rFonts w:ascii="Times New Roman" w:hAnsi="Times New Roman"/>
          <w:sz w:val="20"/>
        </w:rPr>
      </w:pPr>
      <w:r>
        <w:rPr>
          <w:rFonts w:ascii="Times New Roman" w:hAnsi="Times New Roman"/>
          <w:sz w:val="20"/>
        </w:rPr>
        <w:t xml:space="preserve">The depositary will initiate termination of the deposit agreement if we instruct it to do so. The depositary may initiate termination of the deposit agreement if: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60 days have passed since the depositary told us it wants to resign but a successor depositary has not been appointed and accepted its appointment;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delist the ADSs from an exchange in the United States on which they were listed and do not list the ADSs on another exchange in the United States or make arrangements for trading of ADSs on the U.S. over-the-counter market;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depositary has reason to believe the ADSs have become, or will become, ineligible for registration on Form F-6 under the Securities Act of 1933;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appear to be insolvent or enter insolvency proceedings;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or substantially all the value of the deposited securities has been distributed either in cash or in the form of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there are no deposited securities underlying the ADSs or the underlying deposited securities have become apparently worthless;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there has been a replacement of deposited securities. </w:t>
            </w:r>
          </w:p>
        </w:tc>
      </w:tr>
    </w:tbl>
    <w:p>
      <w:pPr>
        <w:pStyle w:val="TextBody"/>
        <w:spacing w:before="240" w:after="0"/>
        <w:jc w:val="left"/>
        <w:rPr>
          <w:rFonts w:ascii="Times New Roman" w:hAnsi="Times New Roman"/>
          <w:sz w:val="20"/>
        </w:rPr>
      </w:pPr>
      <w:r>
        <w:rPr>
          <w:rFonts w:ascii="Times New Roman" w:hAnsi="Times New Roman"/>
          <w:sz w:val="20"/>
        </w:rPr>
        <w:t xml:space="preserve">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 </w:t>
      </w:r>
    </w:p>
    <w:p>
      <w:pPr>
        <w:pStyle w:val="TextBody"/>
        <w:spacing w:before="240" w:after="0"/>
        <w:jc w:val="left"/>
        <w:rPr>
          <w:rFonts w:ascii="Times New Roman" w:hAnsi="Times New Roman"/>
          <w:sz w:val="20"/>
        </w:rPr>
      </w:pPr>
      <w:r>
        <w:rPr>
          <w:rFonts w:ascii="Times New Roman" w:hAnsi="Times New Roman"/>
          <w:sz w:val="20"/>
        </w:rPr>
        <w:t xml:space="preserve">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in respect of deposited securities, but, after the termination date, the depositary is not required to register any transfer of ADSs or distribute any dividends or other distributions in respect of deposited securities to the ADSs holder (until they surrender their ADSs) or give any notices or perform any other duties under the deposit agreement except as described in this paragraph. </w:t>
      </w:r>
    </w:p>
    <w:p>
      <w:pPr>
        <w:pStyle w:val="TextBody"/>
        <w:spacing w:before="360" w:after="0"/>
        <w:jc w:val="left"/>
        <w:rPr>
          <w:rFonts w:ascii="Times New Roman" w:hAnsi="Times New Roman"/>
          <w:b/>
          <w:sz w:val="20"/>
        </w:rPr>
      </w:pPr>
      <w:r>
        <w:rPr>
          <w:rFonts w:ascii="Times New Roman" w:hAnsi="Times New Roman"/>
          <w:b/>
          <w:sz w:val="20"/>
        </w:rPr>
        <w:t xml:space="preserve">Limitations on Obligations and Liability </w:t>
      </w:r>
    </w:p>
    <w:p>
      <w:pPr>
        <w:pStyle w:val="TextBody"/>
        <w:spacing w:before="120" w:after="0"/>
        <w:jc w:val="left"/>
        <w:rPr>
          <w:rFonts w:ascii="Times New Roman" w:hAnsi="Times New Roman"/>
          <w:b/>
          <w:i/>
          <w:sz w:val="20"/>
        </w:rPr>
      </w:pPr>
      <w:r>
        <w:rPr>
          <w:rFonts w:ascii="Times New Roman" w:hAnsi="Times New Roman"/>
          <w:b/>
          <w:i/>
          <w:sz w:val="20"/>
        </w:rPr>
        <w:t xml:space="preserve">Limits on our Obligations and the Obligations of the Depositary; Limits on Liability to Holders of ADSs </w:t>
      </w:r>
    </w:p>
    <w:p>
      <w:pPr>
        <w:pStyle w:val="TextBody"/>
        <w:spacing w:before="120" w:after="0"/>
        <w:jc w:val="left"/>
        <w:rPr>
          <w:rFonts w:ascii="Times New Roman" w:hAnsi="Times New Roman"/>
          <w:sz w:val="20"/>
        </w:rPr>
      </w:pPr>
      <w:r>
        <w:rPr>
          <w:rFonts w:ascii="Times New Roman" w:hAnsi="Times New Roman"/>
          <w:sz w:val="20"/>
        </w:rPr>
        <w:t xml:space="preserve">The deposit agreement expressly limits our obligations and the obligations of the depositary. It also limits our liability and the liability of the depositary. We and the depositary: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are only obligated to take the actions specifically set forth in the deposit agreement without negligence or bad faith, and the depositary will not be a fiduciary or have any fiduciary duty to holders of ADSs;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are not liable if we are or it is prevented or delayed by law or by events or circumstances beyond our or its ability to prevent or counteract with reasonable care or effort from performing our or its obligations under the deposit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are not liable if we exercise or it exercises discretion permitted under the deposit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are not liable for the inability of any holder of ADSs to benefit from any distribution in respect of deposited securities that is not made available to holders of ADSs under the terms of the deposit agreement, or for any special, consequential or punitive damages for any breach of the terms of the deposit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have no obligation to become involved in a lawsuit or other proceeding related to the ADSs or the deposit agreement on your behalf or on behalf of any other person;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may rely upon any documents we believe or it believes in good faith to be genuine and to have been signed or presented by the proper person;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are not liable for the acts or omissions of any securities depository, clearing agency or settlement system;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 </w:t>
            </w:r>
          </w:p>
        </w:tc>
      </w:tr>
    </w:tbl>
    <w:p>
      <w:pPr>
        <w:pStyle w:val="TextBody"/>
        <w:spacing w:before="240" w:after="0"/>
        <w:jc w:val="left"/>
        <w:rPr>
          <w:rFonts w:ascii="Times New Roman" w:hAnsi="Times New Roman"/>
          <w:sz w:val="20"/>
        </w:rPr>
      </w:pPr>
      <w:r>
        <w:rPr>
          <w:rFonts w:ascii="Times New Roman" w:hAnsi="Times New Roman"/>
          <w:sz w:val="20"/>
        </w:rPr>
        <w:t xml:space="preserve">In the deposit agreement, we and the depositary agree to indemnify each other under certain circumstances. </w:t>
      </w:r>
    </w:p>
    <w:p>
      <w:pPr>
        <w:pStyle w:val="TextBody"/>
        <w:spacing w:before="360" w:after="0"/>
        <w:jc w:val="left"/>
        <w:rPr>
          <w:rFonts w:ascii="Times New Roman" w:hAnsi="Times New Roman"/>
          <w:b/>
          <w:sz w:val="20"/>
        </w:rPr>
      </w:pPr>
      <w:r>
        <w:rPr>
          <w:rFonts w:ascii="Times New Roman" w:hAnsi="Times New Roman"/>
          <w:b/>
          <w:sz w:val="20"/>
        </w:rPr>
        <w:t xml:space="preserve">Requirements for Depositary Actions </w:t>
      </w:r>
    </w:p>
    <w:p>
      <w:pPr>
        <w:pStyle w:val="TextBody"/>
        <w:spacing w:before="120" w:after="0"/>
        <w:jc w:val="left"/>
        <w:rPr>
          <w:rFonts w:ascii="Times New Roman" w:hAnsi="Times New Roman"/>
          <w:sz w:val="20"/>
        </w:rPr>
      </w:pPr>
      <w:r>
        <w:rPr>
          <w:rFonts w:ascii="Times New Roman" w:hAnsi="Times New Roman"/>
          <w:sz w:val="20"/>
        </w:rPr>
        <w:t xml:space="preserve">Before the depositary will deliver or register a transfer of ADSs, make a distribution in respect of ADSs, or permit withdrawal of ordinary shares, the depositary may require: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payment of stock transfer or other taxes or other governmental charges and transfer or registration fees charged by third parties for the transfer of any shares or other deposited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satisfactory proof of the identity and genuineness of any signature or other information it deems necessary;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compliance with regulations it may establish, from time to time, consistent with the deposit agreement, including presentation of transfer documents. </w:t>
            </w:r>
          </w:p>
        </w:tc>
      </w:tr>
    </w:tbl>
    <w:p>
      <w:pPr>
        <w:pStyle w:val="TextBody"/>
        <w:spacing w:before="240" w:after="0"/>
        <w:jc w:val="left"/>
        <w:rPr>
          <w:rFonts w:ascii="Times New Roman" w:hAnsi="Times New Roman"/>
          <w:sz w:val="20"/>
        </w:rPr>
      </w:pPr>
      <w:r>
        <w:rPr>
          <w:rFonts w:ascii="Times New Roman" w:hAnsi="Times New Roman"/>
          <w:sz w:val="20"/>
        </w:rPr>
        <w:t xml:space="preserve">The depositary may refuse to deliver ADSs or register transfers of ADSs when the transfer books of the depositary or our transfer books are closed or at any time if the depositary or we think it advisable to do so. </w:t>
      </w:r>
    </w:p>
    <w:p>
      <w:pPr>
        <w:pStyle w:val="TextBody"/>
        <w:spacing w:before="360" w:after="0"/>
        <w:jc w:val="left"/>
        <w:rPr>
          <w:rFonts w:ascii="Times New Roman" w:hAnsi="Times New Roman"/>
          <w:b/>
          <w:sz w:val="20"/>
        </w:rPr>
      </w:pPr>
      <w:r>
        <w:rPr>
          <w:rFonts w:ascii="Times New Roman" w:hAnsi="Times New Roman"/>
          <w:b/>
          <w:sz w:val="20"/>
        </w:rPr>
        <w:t xml:space="preserve">Your Right to Receive the Shares Underlying your ADSs </w:t>
      </w:r>
    </w:p>
    <w:p>
      <w:pPr>
        <w:pStyle w:val="TextBody"/>
        <w:spacing w:before="120" w:after="0"/>
        <w:jc w:val="left"/>
        <w:rPr>
          <w:rFonts w:ascii="Times New Roman" w:hAnsi="Times New Roman"/>
          <w:sz w:val="20"/>
        </w:rPr>
      </w:pPr>
      <w:r>
        <w:rPr>
          <w:rFonts w:ascii="Times New Roman" w:hAnsi="Times New Roman"/>
          <w:sz w:val="20"/>
        </w:rPr>
        <w:t xml:space="preserve">ADS holders have the right to cancel their ADSs and withdraw the underlying ordinary shares at any time except: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when temporary delays arise because: (i) the depositary has closed its transfer books or we have closed our transfer books; (ii) the transfer of ordinary shares is blocked to permit voting at a shareholders meeting; or (iii) we are paying a dividend on our ordinary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when you owe money to pay fees, taxes and similar charges; or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when it is necessary to prohibit withdrawals in order to comply with any laws or governmental regulations that apply to ADSs or to the withdrawal of shares or other deposited securities. </w:t>
            </w:r>
          </w:p>
        </w:tc>
      </w:tr>
    </w:tbl>
    <w:p>
      <w:pPr>
        <w:pStyle w:val="TextBody"/>
        <w:spacing w:before="240" w:after="0"/>
        <w:jc w:val="left"/>
        <w:rPr>
          <w:rFonts w:ascii="Times New Roman" w:hAnsi="Times New Roman"/>
          <w:sz w:val="20"/>
        </w:rPr>
      </w:pPr>
      <w:r>
        <w:rPr>
          <w:rFonts w:ascii="Times New Roman" w:hAnsi="Times New Roman"/>
          <w:sz w:val="20"/>
        </w:rPr>
        <w:t xml:space="preserve">This right of withdrawal may not be limited by any other provision of the deposit agreement. </w:t>
      </w:r>
    </w:p>
    <w:p>
      <w:pPr>
        <w:pStyle w:val="TextBody"/>
        <w:spacing w:before="360" w:after="0"/>
        <w:jc w:val="left"/>
        <w:rPr>
          <w:rFonts w:ascii="Times New Roman" w:hAnsi="Times New Roman"/>
          <w:b/>
          <w:sz w:val="20"/>
        </w:rPr>
      </w:pPr>
      <w:r>
        <w:rPr>
          <w:rFonts w:ascii="Times New Roman" w:hAnsi="Times New Roman"/>
          <w:b/>
          <w:sz w:val="20"/>
        </w:rPr>
        <w:t xml:space="preserve">Direct Registration System </w:t>
      </w:r>
    </w:p>
    <w:p>
      <w:pPr>
        <w:pStyle w:val="TextBody"/>
        <w:spacing w:before="120" w:after="0"/>
        <w:jc w:val="left"/>
        <w:rPr>
          <w:rFonts w:ascii="Times New Roman" w:hAnsi="Times New Roman"/>
          <w:sz w:val="20"/>
        </w:rPr>
      </w:pPr>
      <w:r>
        <w:rPr>
          <w:rFonts w:ascii="Times New Roman" w:hAnsi="Times New Roman"/>
          <w:sz w:val="20"/>
        </w:rPr>
        <w:t xml:space="preserve">In the deposit agreement, all parties to the deposit agreement acknowledge that the Direct Registration System (DRS) and Profile Modification System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 </w:t>
      </w:r>
    </w:p>
    <w:p>
      <w:pPr>
        <w:pStyle w:val="TextBody"/>
        <w:spacing w:before="240" w:after="0"/>
        <w:jc w:val="left"/>
        <w:rPr>
          <w:rFonts w:ascii="Times New Roman" w:hAnsi="Times New Roman"/>
          <w:sz w:val="20"/>
        </w:rPr>
      </w:pPr>
      <w:r>
        <w:rPr>
          <w:rFonts w:ascii="Times New Roman" w:hAnsi="Times New Roman"/>
          <w:sz w:val="20"/>
        </w:rPr>
        <w:t xml:space="preserve">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 </w:t>
      </w:r>
    </w:p>
    <w:p>
      <w:pPr>
        <w:pStyle w:val="TextBody"/>
        <w:spacing w:before="360" w:after="0"/>
        <w:jc w:val="left"/>
        <w:rPr>
          <w:rFonts w:ascii="Times New Roman" w:hAnsi="Times New Roman"/>
          <w:b/>
          <w:sz w:val="20"/>
        </w:rPr>
      </w:pPr>
      <w:r>
        <w:rPr>
          <w:rFonts w:ascii="Times New Roman" w:hAnsi="Times New Roman"/>
          <w:b/>
          <w:sz w:val="20"/>
        </w:rPr>
        <w:t xml:space="preserve">Shareholder Communications; Inspection of Register of Holders of ADSs </w:t>
      </w:r>
    </w:p>
    <w:p>
      <w:pPr>
        <w:pStyle w:val="TextBody"/>
        <w:spacing w:before="120" w:after="0"/>
        <w:jc w:val="left"/>
        <w:rPr>
          <w:rFonts w:ascii="Times New Roman" w:hAnsi="Times New Roman"/>
          <w:sz w:val="20"/>
        </w:rPr>
      </w:pPr>
      <w:r>
        <w:rPr>
          <w:rFonts w:ascii="Times New Roman" w:hAnsi="Times New Roman"/>
          <w:sz w:val="20"/>
        </w:rPr>
        <w:t xml:space="preserve">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 </w:t>
      </w:r>
    </w:p>
    <w:p>
      <w:pPr>
        <w:pStyle w:val="TextBody"/>
        <w:spacing w:before="360" w:after="0"/>
        <w:jc w:val="left"/>
        <w:rPr>
          <w:rFonts w:ascii="Times New Roman" w:hAnsi="Times New Roman"/>
          <w:b/>
          <w:sz w:val="20"/>
        </w:rPr>
      </w:pPr>
      <w:r>
        <w:rPr>
          <w:rFonts w:ascii="Times New Roman" w:hAnsi="Times New Roman"/>
          <w:b/>
          <w:sz w:val="20"/>
        </w:rPr>
        <w:t xml:space="preserve">Jury Trial Waiver </w:t>
      </w:r>
    </w:p>
    <w:p>
      <w:pPr>
        <w:pStyle w:val="TextBody"/>
        <w:spacing w:before="120" w:after="0"/>
        <w:jc w:val="left"/>
        <w:rPr>
          <w:rFonts w:ascii="Times New Roman" w:hAnsi="Times New Roman"/>
          <w:sz w:val="20"/>
        </w:rPr>
      </w:pPr>
      <w:r>
        <w:rPr>
          <w:rFonts w:ascii="Times New Roman" w:hAnsi="Times New Roman"/>
          <w:sz w:val="20"/>
        </w:rPr>
        <w:t xml:space="preserve">The deposit agreement provides that, to the extent permitted by law, ADS holders waive the right to a jury trial of any claim they may have against us or the depositary arising out of or relating to our ordinary shares, the ADSs or the deposit agreement, including any claim under the U.S. federal securities laws. If we or the depositary oppose a jury trial demand based on the waiver, the court would determine whether the waiver is enforceable in the facts and circumstances of that case in accordance with applicable case law. By agreeing to this jury trial waiver provision, however, ADS holders will not be deemed to have waived our or the depositarys compliance with the U.S. federal securities laws and the rules and regulations promulgated thereunder. </w:t>
      </w:r>
    </w:p>
    <w:p>
      <w:pPr>
        <w:pStyle w:val="TextBody"/>
        <w:spacing w:before="360" w:after="0"/>
        <w:jc w:val="left"/>
        <w:rPr>
          <w:rFonts w:ascii="Times New Roman" w:hAnsi="Times New Roman"/>
          <w:b/>
          <w:sz w:val="20"/>
        </w:rPr>
      </w:pPr>
      <w:r>
        <w:rPr>
          <w:rFonts w:ascii="Times New Roman" w:hAnsi="Times New Roman"/>
          <w:b/>
          <w:sz w:val="20"/>
        </w:rPr>
        <w:t xml:space="preserve">Exclusive Forum Provisions for Certain U.S. Securities Law Claims </w:t>
      </w:r>
    </w:p>
    <w:p>
      <w:pPr>
        <w:pStyle w:val="TextBody"/>
        <w:spacing w:before="120" w:after="0"/>
        <w:jc w:val="left"/>
        <w:rPr>
          <w:rFonts w:ascii="Times New Roman" w:hAnsi="Times New Roman"/>
          <w:sz w:val="20"/>
        </w:rPr>
      </w:pPr>
      <w:r>
        <w:rPr>
          <w:rFonts w:ascii="Times New Roman" w:hAnsi="Times New Roman"/>
          <w:sz w:val="20"/>
        </w:rPr>
        <w:t xml:space="preserve">The deposit agreement provides that, unless we consent in writing to the selection of an alternative forum, the federal district courts of the United States of America shall be the exclusive forum for the resolution of any claim arising under the U.S. Securities Act of 1933, as amended, the U.S. Securities Exchange Act of 1934, as amended, or the rules or regulations promulgated pursuant to such statutes relating to our ordinary shares or the ADSs that is asserted by a holder or beneficial owner of ADSs. Any person or entity purchasing or otherwise acquiring any direct or indirect interest in ADSs shall be deemed to have notice of and consented to this exclusive forum provision. </w:t>
      </w:r>
      <w:r>
        <w:br w:type="page"/>
      </w:r>
    </w:p>
    <w:p>
      <w:pPr>
        <w:pStyle w:val="TextBody"/>
        <w:spacing w:before="0" w:after="0"/>
        <w:jc w:val="right"/>
        <w:rPr>
          <w:rFonts w:ascii="Times New Roman" w:hAnsi="Times New Roman"/>
          <w:b/>
          <w:sz w:val="20"/>
        </w:rPr>
      </w:pPr>
      <w:bookmarkStart w:id="81" w:name="d497326dex45.htm"/>
      <w:bookmarkStart w:id="82" w:name="ksd497326dex45"/>
      <w:bookmarkEnd w:id="81"/>
      <w:bookmarkEnd w:id="82"/>
      <w:r>
        <w:rPr>
          <w:rFonts w:ascii="Times New Roman" w:hAnsi="Times New Roman"/>
          <w:b/>
          <w:sz w:val="20"/>
        </w:rPr>
        <w:t xml:space="preserve">Exhibit 4.5 </w:t>
      </w:r>
    </w:p>
    <w:p>
      <w:pPr>
        <w:pStyle w:val="TextBody"/>
        <w:spacing w:before="0" w:after="0"/>
        <w:jc w:val="left"/>
        <w:rPr/>
      </w:pPr>
      <w:r>
        <w:rPr/>
        <w:t> </w:t>
      </w:r>
    </w:p>
    <w:p>
      <w:pPr>
        <w:pStyle w:val="TextBody"/>
        <w:spacing w:before="0" w:after="0"/>
        <w:jc w:val="right"/>
        <w:rPr/>
      </w:pPr>
      <w:r>
        <w:rPr/>
        <w:drawing>
          <wp:inline distT="0" distB="0" distL="0" distR="0">
            <wp:extent cx="2162175" cy="600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5"/>
                    <a:stretch>
                      <a:fillRect/>
                    </a:stretch>
                  </pic:blipFill>
                  <pic:spPr bwMode="auto">
                    <a:xfrm>
                      <a:off x="0" y="0"/>
                      <a:ext cx="2162175" cy="600075"/>
                    </a:xfrm>
                    <a:prstGeom prst="rect">
                      <a:avLst/>
                    </a:prstGeom>
                  </pic:spPr>
                </pic:pic>
              </a:graphicData>
            </a:graphic>
          </wp:inline>
        </w:drawing>
      </w:r>
      <w:r>
        <w:rPr/>
        <w:t xml:space="preserve"> </w:t>
      </w:r>
    </w:p>
    <w:p>
      <w:pPr>
        <w:pStyle w:val="TextBody"/>
        <w:spacing w:before="240" w:after="0"/>
        <w:jc w:val="center"/>
        <w:rPr>
          <w:rFonts w:ascii="Times New Roman" w:hAnsi="Times New Roman"/>
          <w:b/>
          <w:sz w:val="20"/>
        </w:rPr>
      </w:pPr>
      <w:r>
        <w:rPr>
          <w:rFonts w:ascii="Times New Roman" w:hAnsi="Times New Roman"/>
          <w:b/>
          <w:sz w:val="20"/>
        </w:rPr>
        <w:t xml:space="preserve">MYNARIC AG </w:t>
      </w:r>
    </w:p>
    <w:p>
      <w:pPr>
        <w:pStyle w:val="TextBody"/>
        <w:spacing w:before="240" w:after="0"/>
        <w:jc w:val="center"/>
        <w:rPr>
          <w:rFonts w:ascii="Times New Roman" w:hAnsi="Times New Roman"/>
          <w:b/>
          <w:sz w:val="20"/>
        </w:rPr>
      </w:pPr>
      <w:r>
        <w:rPr>
          <w:rFonts w:ascii="Times New Roman" w:hAnsi="Times New Roman"/>
          <w:b/>
          <w:sz w:val="20"/>
        </w:rPr>
        <w:t xml:space="preserve">STOCK OPTION PROGRAM 2022 </w:t>
      </w:r>
    </w:p>
    <w:p>
      <w:pPr>
        <w:pStyle w:val="TextBody"/>
        <w:spacing w:before="240" w:after="0"/>
        <w:jc w:val="center"/>
        <w:rPr>
          <w:rFonts w:ascii="Times New Roman" w:hAnsi="Times New Roman"/>
          <w:b/>
          <w:sz w:val="20"/>
        </w:rPr>
      </w:pPr>
      <w:r>
        <w:rPr>
          <w:rFonts w:ascii="Times New Roman" w:hAnsi="Times New Roman"/>
          <w:b/>
          <w:sz w:val="20"/>
        </w:rPr>
        <w:t xml:space="preserve"> TERMS AND CONDITIONS 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1/35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TABLE OF CONTENT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56"/>
        <w:gridCol w:w="124"/>
        <w:gridCol w:w="8970"/>
        <w:gridCol w:w="167"/>
        <w:gridCol w:w="60"/>
        <w:gridCol w:w="265"/>
        <w:gridCol w:w="63"/>
      </w:tblGrid>
      <w:tr>
        <w:trPr/>
        <w:tc>
          <w:tcPr>
            <w:tcW w:w="55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897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650" w:type="dxa"/>
            <w:gridSpan w:val="3"/>
            <w:tcBorders/>
            <w:shd w:fill="auto" w:val="clear"/>
          </w:tcPr>
          <w:p>
            <w:pPr>
              <w:pStyle w:val="TableContents"/>
              <w:spacing w:before="0" w:after="283"/>
              <w:rPr/>
            </w:pPr>
            <w:r>
              <w:rPr/>
              <w:t>TABLE OF CONTENT</w:t>
            </w:r>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2</w:t>
            </w:r>
          </w:p>
        </w:tc>
        <w:tc>
          <w:tcPr>
            <w:tcW w:w="63" w:type="dxa"/>
            <w:tcBorders/>
            <w:shd w:fill="auto" w:val="clear"/>
            <w:vAlign w:val="bottom"/>
          </w:tcPr>
          <w:p>
            <w:pPr>
              <w:pStyle w:val="TableContents"/>
              <w:spacing w:before="0" w:after="283"/>
              <w:rPr/>
            </w:pPr>
            <w:r>
              <w:rPr/>
              <w:t> </w:t>
            </w:r>
          </w:p>
        </w:tc>
      </w:tr>
      <w:tr>
        <w:trPr>
          <w:trHeight w:val="120" w:hRule="atLeast"/>
        </w:trPr>
        <w:tc>
          <w:tcPr>
            <w:tcW w:w="9650" w:type="dxa"/>
            <w:gridSpan w:val="3"/>
            <w:tcBorders/>
            <w:shd w:fill="auto" w:val="clear"/>
            <w:vAlign w:val="center"/>
          </w:tcPr>
          <w:p>
            <w:pPr>
              <w:pStyle w:val="TableContents"/>
              <w:spacing w:before="0" w:after="283"/>
              <w:rPr>
                <w:sz w:val="4"/>
                <w:szCs w:val="4"/>
              </w:rPr>
            </w:pPr>
            <w:r>
              <w:rPr>
                <w:sz w:val="4"/>
                <w:szCs w:val="4"/>
              </w:rPr>
            </w:r>
          </w:p>
        </w:tc>
        <w:tc>
          <w:tcPr>
            <w:tcW w:w="555" w:type="dxa"/>
            <w:gridSpan w:val="4"/>
            <w:tcBorders/>
            <w:shd w:fill="auto" w:val="clear"/>
            <w:vAlign w:val="center"/>
          </w:tcPr>
          <w:p>
            <w:pPr>
              <w:pStyle w:val="TableContents"/>
              <w:spacing w:before="0" w:after="283"/>
              <w:rPr>
                <w:sz w:val="4"/>
                <w:szCs w:val="4"/>
              </w:rPr>
            </w:pPr>
            <w:r>
              <w:rPr>
                <w:sz w:val="4"/>
                <w:szCs w:val="4"/>
              </w:rPr>
            </w:r>
          </w:p>
        </w:tc>
      </w:tr>
      <w:tr>
        <w:trPr/>
        <w:tc>
          <w:tcPr>
            <w:tcW w:w="9650" w:type="dxa"/>
            <w:gridSpan w:val="3"/>
            <w:tcBorders/>
            <w:shd w:fill="auto" w:val="clear"/>
          </w:tcPr>
          <w:p>
            <w:pPr>
              <w:pStyle w:val="TableContents"/>
              <w:spacing w:before="0" w:after="283"/>
              <w:rPr/>
            </w:pPr>
            <w:r>
              <w:rPr/>
              <w:t>DEFINITIONS</w:t>
            </w:r>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3</w:t>
            </w:r>
          </w:p>
        </w:tc>
        <w:tc>
          <w:tcPr>
            <w:tcW w:w="63" w:type="dxa"/>
            <w:tcBorders/>
            <w:shd w:fill="auto" w:val="clear"/>
            <w:vAlign w:val="bottom"/>
          </w:tcPr>
          <w:p>
            <w:pPr>
              <w:pStyle w:val="TableContents"/>
              <w:spacing w:before="0" w:after="283"/>
              <w:rPr/>
            </w:pPr>
            <w:r>
              <w:rPr/>
              <w:t> </w:t>
            </w:r>
          </w:p>
        </w:tc>
      </w:tr>
      <w:tr>
        <w:trPr>
          <w:trHeight w:val="120" w:hRule="atLeast"/>
        </w:trPr>
        <w:tc>
          <w:tcPr>
            <w:tcW w:w="9650" w:type="dxa"/>
            <w:gridSpan w:val="3"/>
            <w:tcBorders/>
            <w:shd w:fill="auto" w:val="clear"/>
            <w:vAlign w:val="center"/>
          </w:tcPr>
          <w:p>
            <w:pPr>
              <w:pStyle w:val="TableContents"/>
              <w:spacing w:before="0" w:after="283"/>
              <w:rPr>
                <w:sz w:val="4"/>
                <w:szCs w:val="4"/>
              </w:rPr>
            </w:pPr>
            <w:r>
              <w:rPr>
                <w:sz w:val="4"/>
                <w:szCs w:val="4"/>
              </w:rPr>
            </w:r>
          </w:p>
        </w:tc>
        <w:tc>
          <w:tcPr>
            <w:tcW w:w="555" w:type="dxa"/>
            <w:gridSpan w:val="4"/>
            <w:tcBorders/>
            <w:shd w:fill="auto" w:val="clear"/>
            <w:vAlign w:val="center"/>
          </w:tcPr>
          <w:p>
            <w:pPr>
              <w:pStyle w:val="TableContents"/>
              <w:spacing w:before="0" w:after="283"/>
              <w:rPr>
                <w:sz w:val="4"/>
                <w:szCs w:val="4"/>
              </w:rPr>
            </w:pPr>
            <w:r>
              <w:rPr>
                <w:sz w:val="4"/>
                <w:szCs w:val="4"/>
              </w:rPr>
            </w:r>
          </w:p>
        </w:tc>
      </w:tr>
      <w:tr>
        <w:trPr/>
        <w:tc>
          <w:tcPr>
            <w:tcW w:w="9650" w:type="dxa"/>
            <w:gridSpan w:val="3"/>
            <w:tcBorders/>
            <w:shd w:fill="auto" w:val="clear"/>
          </w:tcPr>
          <w:p>
            <w:pPr>
              <w:pStyle w:val="TableContents"/>
              <w:spacing w:before="0" w:after="283"/>
              <w:rPr/>
            </w:pPr>
            <w:r>
              <w:rPr/>
              <w:t>PREAMBLE</w:t>
            </w:r>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4</w:t>
            </w:r>
          </w:p>
        </w:tc>
        <w:tc>
          <w:tcPr>
            <w:tcW w:w="63" w:type="dxa"/>
            <w:tcBorders/>
            <w:shd w:fill="auto" w:val="clear"/>
            <w:vAlign w:val="bottom"/>
          </w:tcPr>
          <w:p>
            <w:pPr>
              <w:pStyle w:val="TableContents"/>
              <w:spacing w:before="0" w:after="283"/>
              <w:rPr/>
            </w:pPr>
            <w:r>
              <w:rPr/>
              <w:t> </w:t>
            </w:r>
          </w:p>
        </w:tc>
      </w:tr>
      <w:tr>
        <w:trPr>
          <w:trHeight w:val="120" w:hRule="atLeast"/>
        </w:trPr>
        <w:tc>
          <w:tcPr>
            <w:tcW w:w="556" w:type="dxa"/>
            <w:tcBorders/>
            <w:shd w:fill="auto" w:val="clear"/>
            <w:vAlign w:val="center"/>
          </w:tcPr>
          <w:p>
            <w:pPr>
              <w:pStyle w:val="TableContents"/>
              <w:spacing w:before="0" w:after="283"/>
              <w:rPr>
                <w:sz w:val="4"/>
                <w:szCs w:val="4"/>
              </w:rPr>
            </w:pPr>
            <w:r>
              <w:rPr>
                <w:sz w:val="4"/>
                <w:szCs w:val="4"/>
              </w:rPr>
            </w:r>
          </w:p>
        </w:tc>
        <w:tc>
          <w:tcPr>
            <w:tcW w:w="9094" w:type="dxa"/>
            <w:gridSpan w:val="2"/>
            <w:tcBorders/>
            <w:shd w:fill="auto" w:val="clear"/>
            <w:vAlign w:val="center"/>
          </w:tcPr>
          <w:p>
            <w:pPr>
              <w:pStyle w:val="TableContents"/>
              <w:spacing w:before="0" w:after="283"/>
              <w:rPr>
                <w:sz w:val="4"/>
                <w:szCs w:val="4"/>
              </w:rPr>
            </w:pPr>
            <w:r>
              <w:rPr>
                <w:sz w:val="4"/>
                <w:szCs w:val="4"/>
              </w:rPr>
            </w:r>
          </w:p>
        </w:tc>
        <w:tc>
          <w:tcPr>
            <w:tcW w:w="555" w:type="dxa"/>
            <w:gridSpan w:val="4"/>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tcPr>
          <w:p>
            <w:pPr>
              <w:pStyle w:val="TableContents"/>
              <w:spacing w:before="0" w:after="283"/>
              <w:rPr/>
            </w:pPr>
            <w:r>
              <w:rPr/>
              <w:t>§ 1</w:t>
            </w:r>
          </w:p>
        </w:tc>
        <w:tc>
          <w:tcPr>
            <w:tcW w:w="124" w:type="dxa"/>
            <w:tcBorders/>
            <w:shd w:fill="auto" w:val="clear"/>
            <w:vAlign w:val="bottom"/>
          </w:tcPr>
          <w:p>
            <w:pPr>
              <w:pStyle w:val="TableContents"/>
              <w:spacing w:before="0" w:after="283"/>
              <w:rPr/>
            </w:pPr>
            <w:r>
              <w:rPr/>
              <w:t> </w:t>
            </w:r>
          </w:p>
        </w:tc>
        <w:tc>
          <w:tcPr>
            <w:tcW w:w="8970" w:type="dxa"/>
            <w:tcBorders/>
            <w:shd w:fill="auto" w:val="clear"/>
          </w:tcPr>
          <w:p>
            <w:pPr>
              <w:pStyle w:val="TableContents"/>
              <w:spacing w:before="0" w:after="0"/>
              <w:rPr>
                <w:rFonts w:ascii="Times New Roman" w:hAnsi="Times New Roman"/>
                <w:sz w:val="20"/>
              </w:rPr>
            </w:pPr>
            <w:r>
              <w:rPr>
                <w:rFonts w:ascii="Times New Roman" w:hAnsi="Times New Roman"/>
                <w:sz w:val="20"/>
              </w:rPr>
              <w:t>ELIGIBILITY</w:t>
            </w:r>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5</w:t>
            </w:r>
          </w:p>
        </w:tc>
        <w:tc>
          <w:tcPr>
            <w:tcW w:w="63" w:type="dxa"/>
            <w:tcBorders/>
            <w:shd w:fill="auto" w:val="clear"/>
            <w:vAlign w:val="bottom"/>
          </w:tcPr>
          <w:p>
            <w:pPr>
              <w:pStyle w:val="TableContents"/>
              <w:spacing w:before="0" w:after="283"/>
              <w:rPr/>
            </w:pPr>
            <w:r>
              <w:rPr/>
              <w:t> </w:t>
            </w:r>
          </w:p>
        </w:tc>
      </w:tr>
      <w:tr>
        <w:trPr>
          <w:trHeight w:val="120" w:hRule="atLeast"/>
        </w:trPr>
        <w:tc>
          <w:tcPr>
            <w:tcW w:w="556" w:type="dxa"/>
            <w:tcBorders/>
            <w:shd w:fill="auto" w:val="clear"/>
            <w:vAlign w:val="center"/>
          </w:tcPr>
          <w:p>
            <w:pPr>
              <w:pStyle w:val="TableContents"/>
              <w:spacing w:before="0" w:after="283"/>
              <w:rPr>
                <w:sz w:val="4"/>
                <w:szCs w:val="4"/>
              </w:rPr>
            </w:pPr>
            <w:r>
              <w:rPr>
                <w:sz w:val="4"/>
                <w:szCs w:val="4"/>
              </w:rPr>
            </w:r>
          </w:p>
        </w:tc>
        <w:tc>
          <w:tcPr>
            <w:tcW w:w="9094" w:type="dxa"/>
            <w:gridSpan w:val="2"/>
            <w:tcBorders/>
            <w:shd w:fill="auto" w:val="clear"/>
            <w:vAlign w:val="center"/>
          </w:tcPr>
          <w:p>
            <w:pPr>
              <w:pStyle w:val="TableContents"/>
              <w:spacing w:before="0" w:after="283"/>
              <w:rPr>
                <w:sz w:val="4"/>
                <w:szCs w:val="4"/>
              </w:rPr>
            </w:pPr>
            <w:r>
              <w:rPr>
                <w:sz w:val="4"/>
                <w:szCs w:val="4"/>
              </w:rPr>
            </w:r>
          </w:p>
        </w:tc>
        <w:tc>
          <w:tcPr>
            <w:tcW w:w="555" w:type="dxa"/>
            <w:gridSpan w:val="4"/>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tcPr>
          <w:p>
            <w:pPr>
              <w:pStyle w:val="TableContents"/>
              <w:spacing w:before="0" w:after="283"/>
              <w:rPr/>
            </w:pPr>
            <w:r>
              <w:rPr/>
              <w:t>§ 2  </w:t>
            </w:r>
          </w:p>
        </w:tc>
        <w:tc>
          <w:tcPr>
            <w:tcW w:w="124" w:type="dxa"/>
            <w:tcBorders/>
            <w:shd w:fill="auto" w:val="clear"/>
            <w:vAlign w:val="bottom"/>
          </w:tcPr>
          <w:p>
            <w:pPr>
              <w:pStyle w:val="TableContents"/>
              <w:spacing w:before="0" w:after="283"/>
              <w:rPr/>
            </w:pPr>
            <w:r>
              <w:rPr/>
              <w:t> </w:t>
            </w:r>
          </w:p>
        </w:tc>
        <w:tc>
          <w:tcPr>
            <w:tcW w:w="8970" w:type="dxa"/>
            <w:tcBorders/>
            <w:shd w:fill="auto" w:val="clear"/>
          </w:tcPr>
          <w:p>
            <w:pPr>
              <w:pStyle w:val="TableContents"/>
              <w:spacing w:before="0" w:after="0"/>
              <w:rPr>
                <w:rFonts w:ascii="Times New Roman" w:hAnsi="Times New Roman"/>
                <w:sz w:val="20"/>
              </w:rPr>
            </w:pPr>
            <w:r>
              <w:rPr>
                <w:rFonts w:ascii="Times New Roman" w:hAnsi="Times New Roman"/>
                <w:sz w:val="20"/>
              </w:rPr>
              <w:t>GRANT OF STOCK OPTIONS; SETTLEMENT; MAXIMUM REMUNERATION</w:t>
            </w:r>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5</w:t>
            </w:r>
          </w:p>
        </w:tc>
        <w:tc>
          <w:tcPr>
            <w:tcW w:w="63" w:type="dxa"/>
            <w:tcBorders/>
            <w:shd w:fill="auto" w:val="clear"/>
            <w:vAlign w:val="bottom"/>
          </w:tcPr>
          <w:p>
            <w:pPr>
              <w:pStyle w:val="TableContents"/>
              <w:spacing w:before="0" w:after="283"/>
              <w:rPr/>
            </w:pPr>
            <w:r>
              <w:rPr/>
              <w:t> </w:t>
            </w:r>
          </w:p>
        </w:tc>
      </w:tr>
      <w:tr>
        <w:trPr>
          <w:trHeight w:val="120" w:hRule="atLeast"/>
        </w:trPr>
        <w:tc>
          <w:tcPr>
            <w:tcW w:w="556" w:type="dxa"/>
            <w:tcBorders/>
            <w:shd w:fill="auto" w:val="clear"/>
            <w:vAlign w:val="center"/>
          </w:tcPr>
          <w:p>
            <w:pPr>
              <w:pStyle w:val="TableContents"/>
              <w:spacing w:before="0" w:after="283"/>
              <w:rPr>
                <w:sz w:val="4"/>
                <w:szCs w:val="4"/>
              </w:rPr>
            </w:pPr>
            <w:r>
              <w:rPr>
                <w:sz w:val="4"/>
                <w:szCs w:val="4"/>
              </w:rPr>
            </w:r>
          </w:p>
        </w:tc>
        <w:tc>
          <w:tcPr>
            <w:tcW w:w="9094" w:type="dxa"/>
            <w:gridSpan w:val="2"/>
            <w:tcBorders/>
            <w:shd w:fill="auto" w:val="clear"/>
            <w:vAlign w:val="center"/>
          </w:tcPr>
          <w:p>
            <w:pPr>
              <w:pStyle w:val="TableContents"/>
              <w:spacing w:before="0" w:after="283"/>
              <w:rPr>
                <w:sz w:val="4"/>
                <w:szCs w:val="4"/>
              </w:rPr>
            </w:pPr>
            <w:r>
              <w:rPr>
                <w:sz w:val="4"/>
                <w:szCs w:val="4"/>
              </w:rPr>
            </w:r>
          </w:p>
        </w:tc>
        <w:tc>
          <w:tcPr>
            <w:tcW w:w="555" w:type="dxa"/>
            <w:gridSpan w:val="4"/>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tcPr>
          <w:p>
            <w:pPr>
              <w:pStyle w:val="TableContents"/>
              <w:spacing w:before="0" w:after="283"/>
              <w:rPr/>
            </w:pPr>
            <w:r>
              <w:rPr/>
              <w:t>§ 3</w:t>
            </w:r>
          </w:p>
        </w:tc>
        <w:tc>
          <w:tcPr>
            <w:tcW w:w="124" w:type="dxa"/>
            <w:tcBorders/>
            <w:shd w:fill="auto" w:val="clear"/>
            <w:vAlign w:val="bottom"/>
          </w:tcPr>
          <w:p>
            <w:pPr>
              <w:pStyle w:val="TableContents"/>
              <w:spacing w:before="0" w:after="283"/>
              <w:rPr/>
            </w:pPr>
            <w:r>
              <w:rPr/>
              <w:t> </w:t>
            </w:r>
          </w:p>
        </w:tc>
        <w:tc>
          <w:tcPr>
            <w:tcW w:w="8970" w:type="dxa"/>
            <w:tcBorders/>
            <w:shd w:fill="auto" w:val="clear"/>
          </w:tcPr>
          <w:p>
            <w:pPr>
              <w:pStyle w:val="TableContents"/>
              <w:spacing w:before="0" w:after="0"/>
              <w:rPr>
                <w:rFonts w:ascii="Times New Roman" w:hAnsi="Times New Roman"/>
                <w:sz w:val="20"/>
              </w:rPr>
            </w:pPr>
            <w:r>
              <w:rPr>
                <w:rFonts w:ascii="Times New Roman" w:hAnsi="Times New Roman"/>
                <w:sz w:val="20"/>
              </w:rPr>
              <w:t>EXERCISE PRICE</w:t>
            </w:r>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7</w:t>
            </w:r>
          </w:p>
        </w:tc>
        <w:tc>
          <w:tcPr>
            <w:tcW w:w="63" w:type="dxa"/>
            <w:tcBorders/>
            <w:shd w:fill="auto" w:val="clear"/>
            <w:vAlign w:val="bottom"/>
          </w:tcPr>
          <w:p>
            <w:pPr>
              <w:pStyle w:val="TableContents"/>
              <w:spacing w:before="0" w:after="283"/>
              <w:rPr/>
            </w:pPr>
            <w:r>
              <w:rPr/>
              <w:t> </w:t>
            </w:r>
          </w:p>
        </w:tc>
      </w:tr>
      <w:tr>
        <w:trPr>
          <w:trHeight w:val="120" w:hRule="atLeast"/>
        </w:trPr>
        <w:tc>
          <w:tcPr>
            <w:tcW w:w="556" w:type="dxa"/>
            <w:tcBorders/>
            <w:shd w:fill="auto" w:val="clear"/>
            <w:vAlign w:val="center"/>
          </w:tcPr>
          <w:p>
            <w:pPr>
              <w:pStyle w:val="TableContents"/>
              <w:spacing w:before="0" w:after="283"/>
              <w:rPr>
                <w:sz w:val="4"/>
                <w:szCs w:val="4"/>
              </w:rPr>
            </w:pPr>
            <w:r>
              <w:rPr>
                <w:sz w:val="4"/>
                <w:szCs w:val="4"/>
              </w:rPr>
            </w:r>
          </w:p>
        </w:tc>
        <w:tc>
          <w:tcPr>
            <w:tcW w:w="9094" w:type="dxa"/>
            <w:gridSpan w:val="2"/>
            <w:tcBorders/>
            <w:shd w:fill="auto" w:val="clear"/>
            <w:vAlign w:val="center"/>
          </w:tcPr>
          <w:p>
            <w:pPr>
              <w:pStyle w:val="TableContents"/>
              <w:spacing w:before="0" w:after="283"/>
              <w:rPr>
                <w:sz w:val="4"/>
                <w:szCs w:val="4"/>
              </w:rPr>
            </w:pPr>
            <w:r>
              <w:rPr>
                <w:sz w:val="4"/>
                <w:szCs w:val="4"/>
              </w:rPr>
            </w:r>
          </w:p>
        </w:tc>
        <w:tc>
          <w:tcPr>
            <w:tcW w:w="555" w:type="dxa"/>
            <w:gridSpan w:val="4"/>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tcPr>
          <w:p>
            <w:pPr>
              <w:pStyle w:val="TableContents"/>
              <w:spacing w:before="0" w:after="283"/>
              <w:rPr/>
            </w:pPr>
            <w:r>
              <w:rPr/>
              <w:t>§ 4</w:t>
            </w:r>
          </w:p>
        </w:tc>
        <w:tc>
          <w:tcPr>
            <w:tcW w:w="124" w:type="dxa"/>
            <w:tcBorders/>
            <w:shd w:fill="auto" w:val="clear"/>
            <w:vAlign w:val="bottom"/>
          </w:tcPr>
          <w:p>
            <w:pPr>
              <w:pStyle w:val="TableContents"/>
              <w:spacing w:before="0" w:after="283"/>
              <w:rPr/>
            </w:pPr>
            <w:r>
              <w:rPr/>
              <w:t> </w:t>
            </w:r>
          </w:p>
        </w:tc>
        <w:tc>
          <w:tcPr>
            <w:tcW w:w="8970" w:type="dxa"/>
            <w:tcBorders/>
            <w:shd w:fill="auto" w:val="clear"/>
          </w:tcPr>
          <w:p>
            <w:pPr>
              <w:pStyle w:val="TableContents"/>
              <w:spacing w:before="0" w:after="0"/>
              <w:rPr>
                <w:rFonts w:ascii="Times New Roman" w:hAnsi="Times New Roman"/>
                <w:sz w:val="20"/>
              </w:rPr>
            </w:pPr>
            <w:r>
              <w:rPr>
                <w:rFonts w:ascii="Times New Roman" w:hAnsi="Times New Roman"/>
                <w:sz w:val="20"/>
              </w:rPr>
              <w:t>EXERCISE CONDITIONS</w:t>
            </w:r>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8</w:t>
            </w:r>
          </w:p>
        </w:tc>
        <w:tc>
          <w:tcPr>
            <w:tcW w:w="63" w:type="dxa"/>
            <w:tcBorders/>
            <w:shd w:fill="auto" w:val="clear"/>
            <w:vAlign w:val="bottom"/>
          </w:tcPr>
          <w:p>
            <w:pPr>
              <w:pStyle w:val="TableContents"/>
              <w:spacing w:before="0" w:after="283"/>
              <w:rPr/>
            </w:pPr>
            <w:r>
              <w:rPr/>
              <w:t> </w:t>
            </w:r>
          </w:p>
        </w:tc>
      </w:tr>
      <w:tr>
        <w:trPr>
          <w:trHeight w:val="120" w:hRule="atLeast"/>
        </w:trPr>
        <w:tc>
          <w:tcPr>
            <w:tcW w:w="556" w:type="dxa"/>
            <w:tcBorders/>
            <w:shd w:fill="auto" w:val="clear"/>
            <w:vAlign w:val="center"/>
          </w:tcPr>
          <w:p>
            <w:pPr>
              <w:pStyle w:val="TableContents"/>
              <w:spacing w:before="0" w:after="283"/>
              <w:rPr>
                <w:sz w:val="4"/>
                <w:szCs w:val="4"/>
              </w:rPr>
            </w:pPr>
            <w:r>
              <w:rPr>
                <w:sz w:val="4"/>
                <w:szCs w:val="4"/>
              </w:rPr>
            </w:r>
          </w:p>
        </w:tc>
        <w:tc>
          <w:tcPr>
            <w:tcW w:w="9094" w:type="dxa"/>
            <w:gridSpan w:val="2"/>
            <w:tcBorders/>
            <w:shd w:fill="auto" w:val="clear"/>
            <w:vAlign w:val="center"/>
          </w:tcPr>
          <w:p>
            <w:pPr>
              <w:pStyle w:val="TableContents"/>
              <w:spacing w:before="0" w:after="283"/>
              <w:rPr>
                <w:sz w:val="4"/>
                <w:szCs w:val="4"/>
              </w:rPr>
            </w:pPr>
            <w:r>
              <w:rPr>
                <w:sz w:val="4"/>
                <w:szCs w:val="4"/>
              </w:rPr>
            </w:r>
          </w:p>
        </w:tc>
        <w:tc>
          <w:tcPr>
            <w:tcW w:w="555" w:type="dxa"/>
            <w:gridSpan w:val="4"/>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tcPr>
          <w:p>
            <w:pPr>
              <w:pStyle w:val="TableContents"/>
              <w:spacing w:before="0" w:after="283"/>
              <w:rPr/>
            </w:pPr>
            <w:r>
              <w:rPr/>
              <w:t>§ 5</w:t>
            </w:r>
          </w:p>
        </w:tc>
        <w:tc>
          <w:tcPr>
            <w:tcW w:w="124" w:type="dxa"/>
            <w:tcBorders/>
            <w:shd w:fill="auto" w:val="clear"/>
            <w:vAlign w:val="bottom"/>
          </w:tcPr>
          <w:p>
            <w:pPr>
              <w:pStyle w:val="TableContents"/>
              <w:spacing w:before="0" w:after="283"/>
              <w:rPr/>
            </w:pPr>
            <w:r>
              <w:rPr/>
              <w:t> </w:t>
            </w:r>
          </w:p>
        </w:tc>
        <w:tc>
          <w:tcPr>
            <w:tcW w:w="8970" w:type="dxa"/>
            <w:tcBorders/>
            <w:shd w:fill="auto" w:val="clear"/>
          </w:tcPr>
          <w:p>
            <w:pPr>
              <w:pStyle w:val="TableContents"/>
              <w:spacing w:before="0" w:after="0"/>
              <w:rPr>
                <w:rFonts w:ascii="Times New Roman" w:hAnsi="Times New Roman"/>
                <w:sz w:val="20"/>
              </w:rPr>
            </w:pPr>
            <w:r>
              <w:rPr>
                <w:rFonts w:ascii="Times New Roman" w:hAnsi="Times New Roman"/>
                <w:sz w:val="20"/>
              </w:rPr>
              <w:t>PERFORMANCE TARGETS</w:t>
            </w:r>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8</w:t>
            </w:r>
          </w:p>
        </w:tc>
        <w:tc>
          <w:tcPr>
            <w:tcW w:w="63" w:type="dxa"/>
            <w:tcBorders/>
            <w:shd w:fill="auto" w:val="clear"/>
            <w:vAlign w:val="bottom"/>
          </w:tcPr>
          <w:p>
            <w:pPr>
              <w:pStyle w:val="TableContents"/>
              <w:spacing w:before="0" w:after="283"/>
              <w:rPr/>
            </w:pPr>
            <w:r>
              <w:rPr/>
              <w:t> </w:t>
            </w:r>
          </w:p>
        </w:tc>
      </w:tr>
      <w:tr>
        <w:trPr>
          <w:trHeight w:val="120" w:hRule="atLeast"/>
        </w:trPr>
        <w:tc>
          <w:tcPr>
            <w:tcW w:w="556" w:type="dxa"/>
            <w:tcBorders/>
            <w:shd w:fill="auto" w:val="clear"/>
            <w:vAlign w:val="center"/>
          </w:tcPr>
          <w:p>
            <w:pPr>
              <w:pStyle w:val="TableContents"/>
              <w:spacing w:before="0" w:after="283"/>
              <w:rPr>
                <w:sz w:val="4"/>
                <w:szCs w:val="4"/>
              </w:rPr>
            </w:pPr>
            <w:r>
              <w:rPr>
                <w:sz w:val="4"/>
                <w:szCs w:val="4"/>
              </w:rPr>
            </w:r>
          </w:p>
        </w:tc>
        <w:tc>
          <w:tcPr>
            <w:tcW w:w="9094" w:type="dxa"/>
            <w:gridSpan w:val="2"/>
            <w:tcBorders/>
            <w:shd w:fill="auto" w:val="clear"/>
            <w:vAlign w:val="center"/>
          </w:tcPr>
          <w:p>
            <w:pPr>
              <w:pStyle w:val="TableContents"/>
              <w:spacing w:before="0" w:after="283"/>
              <w:rPr>
                <w:sz w:val="4"/>
                <w:szCs w:val="4"/>
              </w:rPr>
            </w:pPr>
            <w:r>
              <w:rPr>
                <w:sz w:val="4"/>
                <w:szCs w:val="4"/>
              </w:rPr>
            </w:r>
          </w:p>
        </w:tc>
        <w:tc>
          <w:tcPr>
            <w:tcW w:w="555" w:type="dxa"/>
            <w:gridSpan w:val="4"/>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tcPr>
          <w:p>
            <w:pPr>
              <w:pStyle w:val="TableContents"/>
              <w:spacing w:before="0" w:after="283"/>
              <w:rPr/>
            </w:pPr>
            <w:r>
              <w:rPr/>
              <w:t>§ 6</w:t>
            </w:r>
          </w:p>
        </w:tc>
        <w:tc>
          <w:tcPr>
            <w:tcW w:w="124" w:type="dxa"/>
            <w:tcBorders/>
            <w:shd w:fill="auto" w:val="clear"/>
            <w:vAlign w:val="bottom"/>
          </w:tcPr>
          <w:p>
            <w:pPr>
              <w:pStyle w:val="TableContents"/>
              <w:spacing w:before="0" w:after="283"/>
              <w:rPr/>
            </w:pPr>
            <w:r>
              <w:rPr/>
              <w:t> </w:t>
            </w:r>
          </w:p>
        </w:tc>
        <w:tc>
          <w:tcPr>
            <w:tcW w:w="8970" w:type="dxa"/>
            <w:tcBorders/>
            <w:shd w:fill="auto" w:val="clear"/>
          </w:tcPr>
          <w:p>
            <w:pPr>
              <w:pStyle w:val="TableContents"/>
              <w:spacing w:before="0" w:after="0"/>
              <w:rPr>
                <w:rFonts w:ascii="Times New Roman" w:hAnsi="Times New Roman"/>
                <w:sz w:val="20"/>
              </w:rPr>
            </w:pPr>
            <w:r>
              <w:rPr>
                <w:rFonts w:ascii="Times New Roman" w:hAnsi="Times New Roman"/>
                <w:sz w:val="20"/>
              </w:rPr>
              <w:t>WAITING PERIOD AND EXERCISE PERIOD</w:t>
            </w:r>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11</w:t>
            </w:r>
          </w:p>
        </w:tc>
        <w:tc>
          <w:tcPr>
            <w:tcW w:w="63" w:type="dxa"/>
            <w:tcBorders/>
            <w:shd w:fill="auto" w:val="clear"/>
            <w:vAlign w:val="bottom"/>
          </w:tcPr>
          <w:p>
            <w:pPr>
              <w:pStyle w:val="TableContents"/>
              <w:spacing w:before="0" w:after="283"/>
              <w:rPr/>
            </w:pPr>
            <w:r>
              <w:rPr/>
              <w:t> </w:t>
            </w:r>
          </w:p>
        </w:tc>
      </w:tr>
      <w:tr>
        <w:trPr>
          <w:trHeight w:val="120" w:hRule="atLeast"/>
        </w:trPr>
        <w:tc>
          <w:tcPr>
            <w:tcW w:w="556" w:type="dxa"/>
            <w:tcBorders/>
            <w:shd w:fill="auto" w:val="clear"/>
            <w:vAlign w:val="center"/>
          </w:tcPr>
          <w:p>
            <w:pPr>
              <w:pStyle w:val="TableContents"/>
              <w:spacing w:before="0" w:after="283"/>
              <w:rPr>
                <w:sz w:val="4"/>
                <w:szCs w:val="4"/>
              </w:rPr>
            </w:pPr>
            <w:r>
              <w:rPr>
                <w:sz w:val="4"/>
                <w:szCs w:val="4"/>
              </w:rPr>
            </w:r>
          </w:p>
        </w:tc>
        <w:tc>
          <w:tcPr>
            <w:tcW w:w="9094" w:type="dxa"/>
            <w:gridSpan w:val="2"/>
            <w:tcBorders/>
            <w:shd w:fill="auto" w:val="clear"/>
            <w:vAlign w:val="center"/>
          </w:tcPr>
          <w:p>
            <w:pPr>
              <w:pStyle w:val="TableContents"/>
              <w:spacing w:before="0" w:after="283"/>
              <w:rPr>
                <w:sz w:val="4"/>
                <w:szCs w:val="4"/>
              </w:rPr>
            </w:pPr>
            <w:r>
              <w:rPr>
                <w:sz w:val="4"/>
                <w:szCs w:val="4"/>
              </w:rPr>
            </w:r>
          </w:p>
        </w:tc>
        <w:tc>
          <w:tcPr>
            <w:tcW w:w="555" w:type="dxa"/>
            <w:gridSpan w:val="4"/>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tcPr>
          <w:p>
            <w:pPr>
              <w:pStyle w:val="TableContents"/>
              <w:spacing w:before="0" w:after="283"/>
              <w:rPr/>
            </w:pPr>
            <w:r>
              <w:rPr/>
              <w:t>§ 7</w:t>
            </w:r>
          </w:p>
        </w:tc>
        <w:tc>
          <w:tcPr>
            <w:tcW w:w="124" w:type="dxa"/>
            <w:tcBorders/>
            <w:shd w:fill="auto" w:val="clear"/>
            <w:vAlign w:val="bottom"/>
          </w:tcPr>
          <w:p>
            <w:pPr>
              <w:pStyle w:val="TableContents"/>
              <w:spacing w:before="0" w:after="283"/>
              <w:rPr/>
            </w:pPr>
            <w:r>
              <w:rPr/>
              <w:t> </w:t>
            </w:r>
          </w:p>
        </w:tc>
        <w:tc>
          <w:tcPr>
            <w:tcW w:w="8970" w:type="dxa"/>
            <w:tcBorders/>
            <w:shd w:fill="auto" w:val="clear"/>
          </w:tcPr>
          <w:p>
            <w:pPr>
              <w:pStyle w:val="TableContents"/>
              <w:spacing w:before="0" w:after="0"/>
              <w:rPr>
                <w:rFonts w:ascii="Times New Roman" w:hAnsi="Times New Roman"/>
                <w:sz w:val="20"/>
              </w:rPr>
            </w:pPr>
            <w:r>
              <w:rPr>
                <w:rFonts w:ascii="Times New Roman" w:hAnsi="Times New Roman"/>
                <w:sz w:val="20"/>
              </w:rPr>
              <w:t>EXERCISE NOTICE</w:t>
            </w:r>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12</w:t>
            </w:r>
          </w:p>
        </w:tc>
        <w:tc>
          <w:tcPr>
            <w:tcW w:w="63" w:type="dxa"/>
            <w:tcBorders/>
            <w:shd w:fill="auto" w:val="clear"/>
            <w:vAlign w:val="bottom"/>
          </w:tcPr>
          <w:p>
            <w:pPr>
              <w:pStyle w:val="TableContents"/>
              <w:spacing w:before="0" w:after="283"/>
              <w:rPr/>
            </w:pPr>
            <w:r>
              <w:rPr/>
              <w:t> </w:t>
            </w:r>
          </w:p>
        </w:tc>
      </w:tr>
      <w:tr>
        <w:trPr>
          <w:trHeight w:val="120" w:hRule="atLeast"/>
        </w:trPr>
        <w:tc>
          <w:tcPr>
            <w:tcW w:w="556" w:type="dxa"/>
            <w:tcBorders/>
            <w:shd w:fill="auto" w:val="clear"/>
            <w:vAlign w:val="center"/>
          </w:tcPr>
          <w:p>
            <w:pPr>
              <w:pStyle w:val="TableContents"/>
              <w:spacing w:before="0" w:after="283"/>
              <w:rPr>
                <w:sz w:val="4"/>
                <w:szCs w:val="4"/>
              </w:rPr>
            </w:pPr>
            <w:r>
              <w:rPr>
                <w:sz w:val="4"/>
                <w:szCs w:val="4"/>
              </w:rPr>
            </w:r>
          </w:p>
        </w:tc>
        <w:tc>
          <w:tcPr>
            <w:tcW w:w="9094" w:type="dxa"/>
            <w:gridSpan w:val="2"/>
            <w:tcBorders/>
            <w:shd w:fill="auto" w:val="clear"/>
            <w:vAlign w:val="center"/>
          </w:tcPr>
          <w:p>
            <w:pPr>
              <w:pStyle w:val="TableContents"/>
              <w:spacing w:before="0" w:after="283"/>
              <w:rPr>
                <w:sz w:val="4"/>
                <w:szCs w:val="4"/>
              </w:rPr>
            </w:pPr>
            <w:r>
              <w:rPr>
                <w:sz w:val="4"/>
                <w:szCs w:val="4"/>
              </w:rPr>
            </w:r>
          </w:p>
        </w:tc>
        <w:tc>
          <w:tcPr>
            <w:tcW w:w="555" w:type="dxa"/>
            <w:gridSpan w:val="4"/>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tcPr>
          <w:p>
            <w:pPr>
              <w:pStyle w:val="TableContents"/>
              <w:spacing w:before="0" w:after="283"/>
              <w:rPr/>
            </w:pPr>
            <w:r>
              <w:rPr/>
              <w:t>§ 8</w:t>
            </w:r>
          </w:p>
        </w:tc>
        <w:tc>
          <w:tcPr>
            <w:tcW w:w="124" w:type="dxa"/>
            <w:tcBorders/>
            <w:shd w:fill="auto" w:val="clear"/>
            <w:vAlign w:val="bottom"/>
          </w:tcPr>
          <w:p>
            <w:pPr>
              <w:pStyle w:val="TableContents"/>
              <w:spacing w:before="0" w:after="283"/>
              <w:rPr/>
            </w:pPr>
            <w:r>
              <w:rPr/>
              <w:t> </w:t>
            </w:r>
          </w:p>
        </w:tc>
        <w:tc>
          <w:tcPr>
            <w:tcW w:w="8970" w:type="dxa"/>
            <w:tcBorders/>
            <w:shd w:fill="auto" w:val="clear"/>
          </w:tcPr>
          <w:p>
            <w:pPr>
              <w:pStyle w:val="TableContents"/>
              <w:spacing w:before="0" w:after="0"/>
              <w:rPr>
                <w:rFonts w:ascii="Times New Roman" w:hAnsi="Times New Roman"/>
                <w:sz w:val="20"/>
              </w:rPr>
            </w:pPr>
            <w:r>
              <w:rPr>
                <w:rFonts w:ascii="Times New Roman" w:hAnsi="Times New Roman"/>
                <w:sz w:val="20"/>
              </w:rPr>
              <w:t>CLAW-BACK</w:t>
            </w:r>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13</w:t>
            </w:r>
          </w:p>
        </w:tc>
        <w:tc>
          <w:tcPr>
            <w:tcW w:w="63" w:type="dxa"/>
            <w:tcBorders/>
            <w:shd w:fill="auto" w:val="clear"/>
            <w:vAlign w:val="bottom"/>
          </w:tcPr>
          <w:p>
            <w:pPr>
              <w:pStyle w:val="TableContents"/>
              <w:spacing w:before="0" w:after="283"/>
              <w:rPr/>
            </w:pPr>
            <w:r>
              <w:rPr/>
              <w:t> </w:t>
            </w:r>
          </w:p>
        </w:tc>
      </w:tr>
      <w:tr>
        <w:trPr>
          <w:trHeight w:val="120" w:hRule="atLeast"/>
        </w:trPr>
        <w:tc>
          <w:tcPr>
            <w:tcW w:w="556" w:type="dxa"/>
            <w:tcBorders/>
            <w:shd w:fill="auto" w:val="clear"/>
            <w:vAlign w:val="center"/>
          </w:tcPr>
          <w:p>
            <w:pPr>
              <w:pStyle w:val="TableContents"/>
              <w:spacing w:before="0" w:after="283"/>
              <w:rPr>
                <w:sz w:val="4"/>
                <w:szCs w:val="4"/>
              </w:rPr>
            </w:pPr>
            <w:r>
              <w:rPr>
                <w:sz w:val="4"/>
                <w:szCs w:val="4"/>
              </w:rPr>
            </w:r>
          </w:p>
        </w:tc>
        <w:tc>
          <w:tcPr>
            <w:tcW w:w="9094" w:type="dxa"/>
            <w:gridSpan w:val="2"/>
            <w:tcBorders/>
            <w:shd w:fill="auto" w:val="clear"/>
            <w:vAlign w:val="center"/>
          </w:tcPr>
          <w:p>
            <w:pPr>
              <w:pStyle w:val="TableContents"/>
              <w:spacing w:before="0" w:after="283"/>
              <w:rPr>
                <w:sz w:val="4"/>
                <w:szCs w:val="4"/>
              </w:rPr>
            </w:pPr>
            <w:r>
              <w:rPr>
                <w:sz w:val="4"/>
                <w:szCs w:val="4"/>
              </w:rPr>
            </w:r>
          </w:p>
        </w:tc>
        <w:tc>
          <w:tcPr>
            <w:tcW w:w="555" w:type="dxa"/>
            <w:gridSpan w:val="4"/>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tcPr>
          <w:p>
            <w:pPr>
              <w:pStyle w:val="TableContents"/>
              <w:spacing w:before="0" w:after="283"/>
              <w:rPr/>
            </w:pPr>
            <w:r>
              <w:rPr/>
              <w:t>§ 9</w:t>
            </w:r>
          </w:p>
        </w:tc>
        <w:tc>
          <w:tcPr>
            <w:tcW w:w="124" w:type="dxa"/>
            <w:tcBorders/>
            <w:shd w:fill="auto" w:val="clear"/>
            <w:vAlign w:val="bottom"/>
          </w:tcPr>
          <w:p>
            <w:pPr>
              <w:pStyle w:val="TableContents"/>
              <w:spacing w:before="0" w:after="283"/>
              <w:rPr/>
            </w:pPr>
            <w:r>
              <w:rPr/>
              <w:t> </w:t>
            </w:r>
          </w:p>
        </w:tc>
        <w:tc>
          <w:tcPr>
            <w:tcW w:w="8970" w:type="dxa"/>
            <w:tcBorders/>
            <w:shd w:fill="auto" w:val="clear"/>
          </w:tcPr>
          <w:p>
            <w:pPr>
              <w:pStyle w:val="TableContents"/>
              <w:spacing w:before="0" w:after="0"/>
              <w:rPr>
                <w:rFonts w:ascii="Times New Roman" w:hAnsi="Times New Roman"/>
                <w:sz w:val="20"/>
              </w:rPr>
            </w:pPr>
            <w:r>
              <w:rPr>
                <w:rFonts w:ascii="Times New Roman" w:hAnsi="Times New Roman"/>
                <w:sz w:val="20"/>
              </w:rPr>
              <w:t>CONSEQUENCES OF A TERMINATION OF OFFICE</w:t>
            </w:r>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15</w:t>
            </w:r>
          </w:p>
        </w:tc>
        <w:tc>
          <w:tcPr>
            <w:tcW w:w="63" w:type="dxa"/>
            <w:tcBorders/>
            <w:shd w:fill="auto" w:val="clear"/>
            <w:vAlign w:val="bottom"/>
          </w:tcPr>
          <w:p>
            <w:pPr>
              <w:pStyle w:val="TableContents"/>
              <w:spacing w:before="0" w:after="283"/>
              <w:rPr/>
            </w:pPr>
            <w:r>
              <w:rPr/>
              <w:t> </w:t>
            </w:r>
          </w:p>
        </w:tc>
      </w:tr>
      <w:tr>
        <w:trPr>
          <w:trHeight w:val="120" w:hRule="atLeast"/>
        </w:trPr>
        <w:tc>
          <w:tcPr>
            <w:tcW w:w="556" w:type="dxa"/>
            <w:tcBorders/>
            <w:shd w:fill="auto" w:val="clear"/>
            <w:vAlign w:val="center"/>
          </w:tcPr>
          <w:p>
            <w:pPr>
              <w:pStyle w:val="TableContents"/>
              <w:spacing w:before="0" w:after="283"/>
              <w:rPr>
                <w:sz w:val="4"/>
                <w:szCs w:val="4"/>
              </w:rPr>
            </w:pPr>
            <w:r>
              <w:rPr>
                <w:sz w:val="4"/>
                <w:szCs w:val="4"/>
              </w:rPr>
            </w:r>
          </w:p>
        </w:tc>
        <w:tc>
          <w:tcPr>
            <w:tcW w:w="9094" w:type="dxa"/>
            <w:gridSpan w:val="2"/>
            <w:tcBorders/>
            <w:shd w:fill="auto" w:val="clear"/>
            <w:vAlign w:val="center"/>
          </w:tcPr>
          <w:p>
            <w:pPr>
              <w:pStyle w:val="TableContents"/>
              <w:spacing w:before="0" w:after="283"/>
              <w:rPr>
                <w:sz w:val="4"/>
                <w:szCs w:val="4"/>
              </w:rPr>
            </w:pPr>
            <w:r>
              <w:rPr>
                <w:sz w:val="4"/>
                <w:szCs w:val="4"/>
              </w:rPr>
            </w:r>
          </w:p>
        </w:tc>
        <w:tc>
          <w:tcPr>
            <w:tcW w:w="555" w:type="dxa"/>
            <w:gridSpan w:val="4"/>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tcPr>
          <w:p>
            <w:pPr>
              <w:pStyle w:val="TableContents"/>
              <w:spacing w:before="0" w:after="283"/>
              <w:rPr/>
            </w:pPr>
            <w:r>
              <w:rPr/>
              <w:t>§ 10</w:t>
            </w:r>
          </w:p>
        </w:tc>
        <w:tc>
          <w:tcPr>
            <w:tcW w:w="124" w:type="dxa"/>
            <w:tcBorders/>
            <w:shd w:fill="auto" w:val="clear"/>
            <w:vAlign w:val="bottom"/>
          </w:tcPr>
          <w:p>
            <w:pPr>
              <w:pStyle w:val="TableContents"/>
              <w:spacing w:before="0" w:after="283"/>
              <w:rPr/>
            </w:pPr>
            <w:r>
              <w:rPr/>
              <w:t> </w:t>
            </w:r>
          </w:p>
        </w:tc>
        <w:tc>
          <w:tcPr>
            <w:tcW w:w="8970" w:type="dxa"/>
            <w:tcBorders/>
            <w:shd w:fill="auto" w:val="clear"/>
          </w:tcPr>
          <w:p>
            <w:pPr>
              <w:pStyle w:val="TableContents"/>
              <w:spacing w:before="0" w:after="0"/>
              <w:rPr>
                <w:rFonts w:ascii="Times New Roman" w:hAnsi="Times New Roman"/>
                <w:sz w:val="20"/>
              </w:rPr>
            </w:pPr>
            <w:r>
              <w:rPr>
                <w:rFonts w:ascii="Times New Roman" w:hAnsi="Times New Roman"/>
                <w:sz w:val="20"/>
              </w:rPr>
              <w:t>TRANSFERABILlTY</w:t>
            </w:r>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15</w:t>
            </w:r>
          </w:p>
        </w:tc>
        <w:tc>
          <w:tcPr>
            <w:tcW w:w="63" w:type="dxa"/>
            <w:tcBorders/>
            <w:shd w:fill="auto" w:val="clear"/>
            <w:vAlign w:val="bottom"/>
          </w:tcPr>
          <w:p>
            <w:pPr>
              <w:pStyle w:val="TableContents"/>
              <w:spacing w:before="0" w:after="283"/>
              <w:rPr/>
            </w:pPr>
            <w:r>
              <w:rPr/>
              <w:t> </w:t>
            </w:r>
          </w:p>
        </w:tc>
      </w:tr>
      <w:tr>
        <w:trPr>
          <w:trHeight w:val="120" w:hRule="atLeast"/>
        </w:trPr>
        <w:tc>
          <w:tcPr>
            <w:tcW w:w="556" w:type="dxa"/>
            <w:tcBorders/>
            <w:shd w:fill="auto" w:val="clear"/>
            <w:vAlign w:val="center"/>
          </w:tcPr>
          <w:p>
            <w:pPr>
              <w:pStyle w:val="TableContents"/>
              <w:spacing w:before="0" w:after="283"/>
              <w:rPr>
                <w:sz w:val="4"/>
                <w:szCs w:val="4"/>
              </w:rPr>
            </w:pPr>
            <w:r>
              <w:rPr>
                <w:sz w:val="4"/>
                <w:szCs w:val="4"/>
              </w:rPr>
            </w:r>
          </w:p>
        </w:tc>
        <w:tc>
          <w:tcPr>
            <w:tcW w:w="9094" w:type="dxa"/>
            <w:gridSpan w:val="2"/>
            <w:tcBorders/>
            <w:shd w:fill="auto" w:val="clear"/>
            <w:vAlign w:val="center"/>
          </w:tcPr>
          <w:p>
            <w:pPr>
              <w:pStyle w:val="TableContents"/>
              <w:spacing w:before="0" w:after="283"/>
              <w:rPr>
                <w:sz w:val="4"/>
                <w:szCs w:val="4"/>
              </w:rPr>
            </w:pPr>
            <w:r>
              <w:rPr>
                <w:sz w:val="4"/>
                <w:szCs w:val="4"/>
              </w:rPr>
            </w:r>
          </w:p>
        </w:tc>
        <w:tc>
          <w:tcPr>
            <w:tcW w:w="555" w:type="dxa"/>
            <w:gridSpan w:val="4"/>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tcPr>
          <w:p>
            <w:pPr>
              <w:pStyle w:val="TableContents"/>
              <w:spacing w:before="0" w:after="283"/>
              <w:rPr/>
            </w:pPr>
            <w:r>
              <w:rPr/>
              <w:t>§ 11</w:t>
            </w:r>
          </w:p>
        </w:tc>
        <w:tc>
          <w:tcPr>
            <w:tcW w:w="124" w:type="dxa"/>
            <w:tcBorders/>
            <w:shd w:fill="auto" w:val="clear"/>
            <w:vAlign w:val="bottom"/>
          </w:tcPr>
          <w:p>
            <w:pPr>
              <w:pStyle w:val="TableContents"/>
              <w:spacing w:before="0" w:after="283"/>
              <w:rPr/>
            </w:pPr>
            <w:r>
              <w:rPr/>
              <w:t> </w:t>
            </w:r>
          </w:p>
        </w:tc>
        <w:tc>
          <w:tcPr>
            <w:tcW w:w="8970" w:type="dxa"/>
            <w:tcBorders/>
            <w:shd w:fill="auto" w:val="clear"/>
          </w:tcPr>
          <w:p>
            <w:pPr>
              <w:pStyle w:val="TableContents"/>
              <w:spacing w:before="0" w:after="0"/>
              <w:rPr>
                <w:rFonts w:ascii="Times New Roman" w:hAnsi="Times New Roman"/>
                <w:sz w:val="20"/>
              </w:rPr>
            </w:pPr>
            <w:r>
              <w:rPr>
                <w:rFonts w:ascii="Times New Roman" w:hAnsi="Times New Roman"/>
                <w:sz w:val="20"/>
              </w:rPr>
              <w:t>ADJUSTMENT IN CASE OF SPECIFIC CAPITAL AND OTHER STRUCTURAL MEASURES</w:t>
            </w:r>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16</w:t>
            </w:r>
          </w:p>
        </w:tc>
        <w:tc>
          <w:tcPr>
            <w:tcW w:w="63" w:type="dxa"/>
            <w:tcBorders/>
            <w:shd w:fill="auto" w:val="clear"/>
            <w:vAlign w:val="bottom"/>
          </w:tcPr>
          <w:p>
            <w:pPr>
              <w:pStyle w:val="TableContents"/>
              <w:spacing w:before="0" w:after="283"/>
              <w:rPr/>
            </w:pPr>
            <w:r>
              <w:rPr/>
              <w:t> </w:t>
            </w:r>
          </w:p>
        </w:tc>
      </w:tr>
      <w:tr>
        <w:trPr>
          <w:trHeight w:val="120" w:hRule="atLeast"/>
        </w:trPr>
        <w:tc>
          <w:tcPr>
            <w:tcW w:w="556" w:type="dxa"/>
            <w:tcBorders/>
            <w:shd w:fill="auto" w:val="clear"/>
            <w:vAlign w:val="center"/>
          </w:tcPr>
          <w:p>
            <w:pPr>
              <w:pStyle w:val="TableContents"/>
              <w:spacing w:before="0" w:after="283"/>
              <w:rPr>
                <w:sz w:val="4"/>
                <w:szCs w:val="4"/>
              </w:rPr>
            </w:pPr>
            <w:r>
              <w:rPr>
                <w:sz w:val="4"/>
                <w:szCs w:val="4"/>
              </w:rPr>
            </w:r>
          </w:p>
        </w:tc>
        <w:tc>
          <w:tcPr>
            <w:tcW w:w="9094" w:type="dxa"/>
            <w:gridSpan w:val="2"/>
            <w:tcBorders/>
            <w:shd w:fill="auto" w:val="clear"/>
            <w:vAlign w:val="center"/>
          </w:tcPr>
          <w:p>
            <w:pPr>
              <w:pStyle w:val="TableContents"/>
              <w:spacing w:before="0" w:after="283"/>
              <w:rPr>
                <w:sz w:val="4"/>
                <w:szCs w:val="4"/>
              </w:rPr>
            </w:pPr>
            <w:r>
              <w:rPr>
                <w:sz w:val="4"/>
                <w:szCs w:val="4"/>
              </w:rPr>
            </w:r>
          </w:p>
        </w:tc>
        <w:tc>
          <w:tcPr>
            <w:tcW w:w="555" w:type="dxa"/>
            <w:gridSpan w:val="4"/>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tcPr>
          <w:p>
            <w:pPr>
              <w:pStyle w:val="TableContents"/>
              <w:spacing w:before="0" w:after="283"/>
              <w:rPr/>
            </w:pPr>
            <w:r>
              <w:rPr/>
              <w:t>§ 12</w:t>
            </w:r>
          </w:p>
        </w:tc>
        <w:tc>
          <w:tcPr>
            <w:tcW w:w="124" w:type="dxa"/>
            <w:tcBorders/>
            <w:shd w:fill="auto" w:val="clear"/>
            <w:vAlign w:val="bottom"/>
          </w:tcPr>
          <w:p>
            <w:pPr>
              <w:pStyle w:val="TableContents"/>
              <w:spacing w:before="0" w:after="283"/>
              <w:rPr/>
            </w:pPr>
            <w:r>
              <w:rPr/>
              <w:t> </w:t>
            </w:r>
          </w:p>
        </w:tc>
        <w:tc>
          <w:tcPr>
            <w:tcW w:w="8970" w:type="dxa"/>
            <w:tcBorders/>
            <w:shd w:fill="auto" w:val="clear"/>
          </w:tcPr>
          <w:p>
            <w:pPr>
              <w:pStyle w:val="TableContents"/>
              <w:spacing w:before="0" w:after="0"/>
              <w:rPr>
                <w:rFonts w:ascii="Times New Roman" w:hAnsi="Times New Roman"/>
                <w:sz w:val="20"/>
              </w:rPr>
            </w:pPr>
            <w:r>
              <w:rPr>
                <w:rFonts w:ascii="Times New Roman" w:hAnsi="Times New Roman"/>
                <w:sz w:val="20"/>
              </w:rPr>
              <w:t>CHANGE OF CONTROL</w:t>
            </w:r>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17</w:t>
            </w:r>
          </w:p>
        </w:tc>
        <w:tc>
          <w:tcPr>
            <w:tcW w:w="63" w:type="dxa"/>
            <w:tcBorders/>
            <w:shd w:fill="auto" w:val="clear"/>
            <w:vAlign w:val="bottom"/>
          </w:tcPr>
          <w:p>
            <w:pPr>
              <w:pStyle w:val="TableContents"/>
              <w:spacing w:before="0" w:after="283"/>
              <w:rPr/>
            </w:pPr>
            <w:r>
              <w:rPr/>
              <w:t> </w:t>
            </w:r>
          </w:p>
        </w:tc>
      </w:tr>
      <w:tr>
        <w:trPr>
          <w:trHeight w:val="120" w:hRule="atLeast"/>
        </w:trPr>
        <w:tc>
          <w:tcPr>
            <w:tcW w:w="556" w:type="dxa"/>
            <w:tcBorders/>
            <w:shd w:fill="auto" w:val="clear"/>
            <w:vAlign w:val="center"/>
          </w:tcPr>
          <w:p>
            <w:pPr>
              <w:pStyle w:val="TableContents"/>
              <w:spacing w:before="0" w:after="283"/>
              <w:rPr>
                <w:sz w:val="4"/>
                <w:szCs w:val="4"/>
              </w:rPr>
            </w:pPr>
            <w:r>
              <w:rPr>
                <w:sz w:val="4"/>
                <w:szCs w:val="4"/>
              </w:rPr>
            </w:r>
          </w:p>
        </w:tc>
        <w:tc>
          <w:tcPr>
            <w:tcW w:w="9094" w:type="dxa"/>
            <w:gridSpan w:val="2"/>
            <w:tcBorders/>
            <w:shd w:fill="auto" w:val="clear"/>
            <w:vAlign w:val="center"/>
          </w:tcPr>
          <w:p>
            <w:pPr>
              <w:pStyle w:val="TableContents"/>
              <w:spacing w:before="0" w:after="283"/>
              <w:rPr>
                <w:sz w:val="4"/>
                <w:szCs w:val="4"/>
              </w:rPr>
            </w:pPr>
            <w:r>
              <w:rPr>
                <w:sz w:val="4"/>
                <w:szCs w:val="4"/>
              </w:rPr>
            </w:r>
          </w:p>
        </w:tc>
        <w:tc>
          <w:tcPr>
            <w:tcW w:w="555" w:type="dxa"/>
            <w:gridSpan w:val="4"/>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tcPr>
          <w:p>
            <w:pPr>
              <w:pStyle w:val="TableContents"/>
              <w:spacing w:before="0" w:after="283"/>
              <w:rPr/>
            </w:pPr>
            <w:r>
              <w:rPr/>
              <w:t>§ 13</w:t>
            </w:r>
          </w:p>
        </w:tc>
        <w:tc>
          <w:tcPr>
            <w:tcW w:w="124" w:type="dxa"/>
            <w:tcBorders/>
            <w:shd w:fill="auto" w:val="clear"/>
            <w:vAlign w:val="bottom"/>
          </w:tcPr>
          <w:p>
            <w:pPr>
              <w:pStyle w:val="TableContents"/>
              <w:spacing w:before="0" w:after="283"/>
              <w:rPr/>
            </w:pPr>
            <w:r>
              <w:rPr/>
              <w:t> </w:t>
            </w:r>
          </w:p>
        </w:tc>
        <w:tc>
          <w:tcPr>
            <w:tcW w:w="8970" w:type="dxa"/>
            <w:tcBorders/>
            <w:shd w:fill="auto" w:val="clear"/>
          </w:tcPr>
          <w:p>
            <w:pPr>
              <w:pStyle w:val="TableContents"/>
              <w:spacing w:before="0" w:after="0"/>
              <w:rPr>
                <w:rFonts w:ascii="Times New Roman" w:hAnsi="Times New Roman"/>
                <w:sz w:val="20"/>
              </w:rPr>
            </w:pPr>
            <w:r>
              <w:rPr>
                <w:rFonts w:ascii="Times New Roman" w:hAnsi="Times New Roman"/>
                <w:sz w:val="20"/>
              </w:rPr>
              <w:t>LIMITATION OF LIABILITY</w:t>
            </w:r>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18</w:t>
            </w:r>
          </w:p>
        </w:tc>
        <w:tc>
          <w:tcPr>
            <w:tcW w:w="63" w:type="dxa"/>
            <w:tcBorders/>
            <w:shd w:fill="auto" w:val="clear"/>
            <w:vAlign w:val="bottom"/>
          </w:tcPr>
          <w:p>
            <w:pPr>
              <w:pStyle w:val="TableContents"/>
              <w:spacing w:before="0" w:after="283"/>
              <w:rPr/>
            </w:pPr>
            <w:r>
              <w:rPr/>
              <w:t> </w:t>
            </w:r>
          </w:p>
        </w:tc>
      </w:tr>
      <w:tr>
        <w:trPr>
          <w:trHeight w:val="120" w:hRule="atLeast"/>
        </w:trPr>
        <w:tc>
          <w:tcPr>
            <w:tcW w:w="556" w:type="dxa"/>
            <w:tcBorders/>
            <w:shd w:fill="auto" w:val="clear"/>
            <w:vAlign w:val="center"/>
          </w:tcPr>
          <w:p>
            <w:pPr>
              <w:pStyle w:val="TableContents"/>
              <w:spacing w:before="0" w:after="283"/>
              <w:rPr>
                <w:sz w:val="4"/>
                <w:szCs w:val="4"/>
              </w:rPr>
            </w:pPr>
            <w:r>
              <w:rPr>
                <w:sz w:val="4"/>
                <w:szCs w:val="4"/>
              </w:rPr>
            </w:r>
          </w:p>
        </w:tc>
        <w:tc>
          <w:tcPr>
            <w:tcW w:w="9094" w:type="dxa"/>
            <w:gridSpan w:val="2"/>
            <w:tcBorders/>
            <w:shd w:fill="auto" w:val="clear"/>
            <w:vAlign w:val="center"/>
          </w:tcPr>
          <w:p>
            <w:pPr>
              <w:pStyle w:val="TableContents"/>
              <w:spacing w:before="0" w:after="283"/>
              <w:rPr>
                <w:sz w:val="4"/>
                <w:szCs w:val="4"/>
              </w:rPr>
            </w:pPr>
            <w:r>
              <w:rPr>
                <w:sz w:val="4"/>
                <w:szCs w:val="4"/>
              </w:rPr>
            </w:r>
          </w:p>
        </w:tc>
        <w:tc>
          <w:tcPr>
            <w:tcW w:w="555" w:type="dxa"/>
            <w:gridSpan w:val="4"/>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tcPr>
          <w:p>
            <w:pPr>
              <w:pStyle w:val="TableContents"/>
              <w:spacing w:before="0" w:after="283"/>
              <w:rPr/>
            </w:pPr>
            <w:r>
              <w:rPr/>
              <w:t>§ 14</w:t>
            </w:r>
          </w:p>
        </w:tc>
        <w:tc>
          <w:tcPr>
            <w:tcW w:w="124" w:type="dxa"/>
            <w:tcBorders/>
            <w:shd w:fill="auto" w:val="clear"/>
            <w:vAlign w:val="bottom"/>
          </w:tcPr>
          <w:p>
            <w:pPr>
              <w:pStyle w:val="TableContents"/>
              <w:spacing w:before="0" w:after="283"/>
              <w:rPr/>
            </w:pPr>
            <w:r>
              <w:rPr/>
              <w:t> </w:t>
            </w:r>
          </w:p>
        </w:tc>
        <w:tc>
          <w:tcPr>
            <w:tcW w:w="8970" w:type="dxa"/>
            <w:tcBorders/>
            <w:shd w:fill="auto" w:val="clear"/>
          </w:tcPr>
          <w:p>
            <w:pPr>
              <w:pStyle w:val="TableContents"/>
              <w:spacing w:before="0" w:after="0"/>
              <w:rPr>
                <w:rFonts w:ascii="Times New Roman" w:hAnsi="Times New Roman"/>
                <w:sz w:val="20"/>
              </w:rPr>
            </w:pPr>
            <w:r>
              <w:rPr>
                <w:rFonts w:ascii="Times New Roman" w:hAnsi="Times New Roman"/>
                <w:sz w:val="20"/>
              </w:rPr>
              <w:t>TAXES, SOCIAL SECURITY AND COSTS</w:t>
            </w:r>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18</w:t>
            </w:r>
          </w:p>
        </w:tc>
        <w:tc>
          <w:tcPr>
            <w:tcW w:w="63" w:type="dxa"/>
            <w:tcBorders/>
            <w:shd w:fill="auto" w:val="clear"/>
            <w:vAlign w:val="bottom"/>
          </w:tcPr>
          <w:p>
            <w:pPr>
              <w:pStyle w:val="TableContents"/>
              <w:spacing w:before="0" w:after="283"/>
              <w:rPr/>
            </w:pPr>
            <w:r>
              <w:rPr/>
              <w:t> </w:t>
            </w:r>
          </w:p>
        </w:tc>
      </w:tr>
      <w:tr>
        <w:trPr>
          <w:trHeight w:val="120" w:hRule="atLeast"/>
        </w:trPr>
        <w:tc>
          <w:tcPr>
            <w:tcW w:w="556" w:type="dxa"/>
            <w:tcBorders/>
            <w:shd w:fill="auto" w:val="clear"/>
            <w:vAlign w:val="center"/>
          </w:tcPr>
          <w:p>
            <w:pPr>
              <w:pStyle w:val="TableContents"/>
              <w:spacing w:before="0" w:after="283"/>
              <w:rPr>
                <w:sz w:val="4"/>
                <w:szCs w:val="4"/>
              </w:rPr>
            </w:pPr>
            <w:r>
              <w:rPr>
                <w:sz w:val="4"/>
                <w:szCs w:val="4"/>
              </w:rPr>
            </w:r>
          </w:p>
        </w:tc>
        <w:tc>
          <w:tcPr>
            <w:tcW w:w="9094" w:type="dxa"/>
            <w:gridSpan w:val="2"/>
            <w:tcBorders/>
            <w:shd w:fill="auto" w:val="clear"/>
            <w:vAlign w:val="center"/>
          </w:tcPr>
          <w:p>
            <w:pPr>
              <w:pStyle w:val="TableContents"/>
              <w:spacing w:before="0" w:after="283"/>
              <w:rPr>
                <w:sz w:val="4"/>
                <w:szCs w:val="4"/>
              </w:rPr>
            </w:pPr>
            <w:r>
              <w:rPr>
                <w:sz w:val="4"/>
                <w:szCs w:val="4"/>
              </w:rPr>
            </w:r>
          </w:p>
        </w:tc>
        <w:tc>
          <w:tcPr>
            <w:tcW w:w="555" w:type="dxa"/>
            <w:gridSpan w:val="4"/>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tcPr>
          <w:p>
            <w:pPr>
              <w:pStyle w:val="TableContents"/>
              <w:spacing w:before="0" w:after="283"/>
              <w:rPr/>
            </w:pPr>
            <w:r>
              <w:rPr/>
              <w:t>§ 15</w:t>
            </w:r>
          </w:p>
        </w:tc>
        <w:tc>
          <w:tcPr>
            <w:tcW w:w="124" w:type="dxa"/>
            <w:tcBorders/>
            <w:shd w:fill="auto" w:val="clear"/>
            <w:vAlign w:val="bottom"/>
          </w:tcPr>
          <w:p>
            <w:pPr>
              <w:pStyle w:val="TableContents"/>
              <w:spacing w:before="0" w:after="283"/>
              <w:rPr/>
            </w:pPr>
            <w:r>
              <w:rPr/>
              <w:t> </w:t>
            </w:r>
          </w:p>
        </w:tc>
        <w:tc>
          <w:tcPr>
            <w:tcW w:w="8970" w:type="dxa"/>
            <w:tcBorders/>
            <w:shd w:fill="auto" w:val="clear"/>
          </w:tcPr>
          <w:p>
            <w:pPr>
              <w:pStyle w:val="TableContents"/>
              <w:spacing w:before="0" w:after="0"/>
              <w:rPr>
                <w:rFonts w:ascii="Times New Roman" w:hAnsi="Times New Roman"/>
                <w:sz w:val="20"/>
              </w:rPr>
            </w:pPr>
            <w:r>
              <w:rPr>
                <w:rFonts w:ascii="Times New Roman" w:hAnsi="Times New Roman"/>
                <w:sz w:val="20"/>
              </w:rPr>
              <w:t>INSIDER TRADING AND BLACK-OUT PERIODS</w:t>
            </w:r>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19</w:t>
            </w:r>
          </w:p>
        </w:tc>
        <w:tc>
          <w:tcPr>
            <w:tcW w:w="63" w:type="dxa"/>
            <w:tcBorders/>
            <w:shd w:fill="auto" w:val="clear"/>
            <w:vAlign w:val="bottom"/>
          </w:tcPr>
          <w:p>
            <w:pPr>
              <w:pStyle w:val="TableContents"/>
              <w:spacing w:before="0" w:after="283"/>
              <w:rPr/>
            </w:pPr>
            <w:r>
              <w:rPr/>
              <w:t> </w:t>
            </w:r>
          </w:p>
        </w:tc>
      </w:tr>
      <w:tr>
        <w:trPr>
          <w:trHeight w:val="120" w:hRule="atLeast"/>
        </w:trPr>
        <w:tc>
          <w:tcPr>
            <w:tcW w:w="556" w:type="dxa"/>
            <w:tcBorders/>
            <w:shd w:fill="auto" w:val="clear"/>
            <w:vAlign w:val="center"/>
          </w:tcPr>
          <w:p>
            <w:pPr>
              <w:pStyle w:val="TableContents"/>
              <w:spacing w:before="0" w:after="283"/>
              <w:rPr>
                <w:sz w:val="4"/>
                <w:szCs w:val="4"/>
              </w:rPr>
            </w:pPr>
            <w:r>
              <w:rPr>
                <w:sz w:val="4"/>
                <w:szCs w:val="4"/>
              </w:rPr>
            </w:r>
          </w:p>
        </w:tc>
        <w:tc>
          <w:tcPr>
            <w:tcW w:w="9094" w:type="dxa"/>
            <w:gridSpan w:val="2"/>
            <w:tcBorders/>
            <w:shd w:fill="auto" w:val="clear"/>
            <w:vAlign w:val="center"/>
          </w:tcPr>
          <w:p>
            <w:pPr>
              <w:pStyle w:val="TableContents"/>
              <w:spacing w:before="0" w:after="283"/>
              <w:rPr>
                <w:sz w:val="4"/>
                <w:szCs w:val="4"/>
              </w:rPr>
            </w:pPr>
            <w:r>
              <w:rPr>
                <w:sz w:val="4"/>
                <w:szCs w:val="4"/>
              </w:rPr>
            </w:r>
          </w:p>
        </w:tc>
        <w:tc>
          <w:tcPr>
            <w:tcW w:w="555" w:type="dxa"/>
            <w:gridSpan w:val="4"/>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tcPr>
          <w:p>
            <w:pPr>
              <w:pStyle w:val="TableContents"/>
              <w:spacing w:before="0" w:after="283"/>
              <w:rPr/>
            </w:pPr>
            <w:r>
              <w:rPr/>
              <w:t>§ 16</w:t>
            </w:r>
          </w:p>
        </w:tc>
        <w:tc>
          <w:tcPr>
            <w:tcW w:w="124" w:type="dxa"/>
            <w:tcBorders/>
            <w:shd w:fill="auto" w:val="clear"/>
            <w:vAlign w:val="bottom"/>
          </w:tcPr>
          <w:p>
            <w:pPr>
              <w:pStyle w:val="TableContents"/>
              <w:spacing w:before="0" w:after="283"/>
              <w:rPr/>
            </w:pPr>
            <w:r>
              <w:rPr/>
              <w:t> </w:t>
            </w:r>
          </w:p>
        </w:tc>
        <w:tc>
          <w:tcPr>
            <w:tcW w:w="8970" w:type="dxa"/>
            <w:tcBorders/>
            <w:shd w:fill="auto" w:val="clear"/>
          </w:tcPr>
          <w:p>
            <w:pPr>
              <w:pStyle w:val="TableContents"/>
              <w:spacing w:before="0" w:after="0"/>
              <w:rPr>
                <w:rFonts w:ascii="Times New Roman" w:hAnsi="Times New Roman"/>
                <w:sz w:val="20"/>
              </w:rPr>
            </w:pPr>
            <w:r>
              <w:rPr>
                <w:rFonts w:ascii="Times New Roman" w:hAnsi="Times New Roman"/>
                <w:sz w:val="20"/>
              </w:rPr>
              <w:t>FORM REQUIREMENTS</w:t>
            </w:r>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20</w:t>
            </w:r>
          </w:p>
        </w:tc>
        <w:tc>
          <w:tcPr>
            <w:tcW w:w="63" w:type="dxa"/>
            <w:tcBorders/>
            <w:shd w:fill="auto" w:val="clear"/>
            <w:vAlign w:val="bottom"/>
          </w:tcPr>
          <w:p>
            <w:pPr>
              <w:pStyle w:val="TableContents"/>
              <w:spacing w:before="0" w:after="283"/>
              <w:rPr/>
            </w:pPr>
            <w:r>
              <w:rPr/>
              <w:t> </w:t>
            </w:r>
          </w:p>
        </w:tc>
      </w:tr>
      <w:tr>
        <w:trPr>
          <w:trHeight w:val="120" w:hRule="atLeast"/>
        </w:trPr>
        <w:tc>
          <w:tcPr>
            <w:tcW w:w="556" w:type="dxa"/>
            <w:tcBorders/>
            <w:shd w:fill="auto" w:val="clear"/>
            <w:vAlign w:val="center"/>
          </w:tcPr>
          <w:p>
            <w:pPr>
              <w:pStyle w:val="TableContents"/>
              <w:spacing w:before="0" w:after="283"/>
              <w:rPr>
                <w:sz w:val="4"/>
                <w:szCs w:val="4"/>
              </w:rPr>
            </w:pPr>
            <w:r>
              <w:rPr>
                <w:sz w:val="4"/>
                <w:szCs w:val="4"/>
              </w:rPr>
            </w:r>
          </w:p>
        </w:tc>
        <w:tc>
          <w:tcPr>
            <w:tcW w:w="9094" w:type="dxa"/>
            <w:gridSpan w:val="2"/>
            <w:tcBorders/>
            <w:shd w:fill="auto" w:val="clear"/>
            <w:vAlign w:val="center"/>
          </w:tcPr>
          <w:p>
            <w:pPr>
              <w:pStyle w:val="TableContents"/>
              <w:spacing w:before="0" w:after="283"/>
              <w:rPr>
                <w:sz w:val="4"/>
                <w:szCs w:val="4"/>
              </w:rPr>
            </w:pPr>
            <w:r>
              <w:rPr>
                <w:sz w:val="4"/>
                <w:szCs w:val="4"/>
              </w:rPr>
            </w:r>
          </w:p>
        </w:tc>
        <w:tc>
          <w:tcPr>
            <w:tcW w:w="555" w:type="dxa"/>
            <w:gridSpan w:val="4"/>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tcPr>
          <w:p>
            <w:pPr>
              <w:pStyle w:val="TableContents"/>
              <w:spacing w:before="0" w:after="283"/>
              <w:rPr/>
            </w:pPr>
            <w:r>
              <w:rPr/>
              <w:t>§ 17</w:t>
            </w:r>
          </w:p>
        </w:tc>
        <w:tc>
          <w:tcPr>
            <w:tcW w:w="124" w:type="dxa"/>
            <w:tcBorders/>
            <w:shd w:fill="auto" w:val="clear"/>
            <w:vAlign w:val="bottom"/>
          </w:tcPr>
          <w:p>
            <w:pPr>
              <w:pStyle w:val="TableContents"/>
              <w:spacing w:before="0" w:after="283"/>
              <w:rPr/>
            </w:pPr>
            <w:r>
              <w:rPr/>
              <w:t> </w:t>
            </w:r>
          </w:p>
        </w:tc>
        <w:tc>
          <w:tcPr>
            <w:tcW w:w="8970" w:type="dxa"/>
            <w:tcBorders/>
            <w:shd w:fill="auto" w:val="clear"/>
          </w:tcPr>
          <w:p>
            <w:pPr>
              <w:pStyle w:val="TableContents"/>
              <w:spacing w:before="0" w:after="0"/>
              <w:rPr>
                <w:rFonts w:ascii="Times New Roman" w:hAnsi="Times New Roman"/>
                <w:sz w:val="20"/>
              </w:rPr>
            </w:pPr>
            <w:r>
              <w:rPr>
                <w:rFonts w:ascii="Times New Roman" w:hAnsi="Times New Roman"/>
                <w:sz w:val="20"/>
              </w:rPr>
              <w:t>PROCESSING OF PERSONAL DATA</w:t>
            </w:r>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20</w:t>
            </w:r>
          </w:p>
        </w:tc>
        <w:tc>
          <w:tcPr>
            <w:tcW w:w="63" w:type="dxa"/>
            <w:tcBorders/>
            <w:shd w:fill="auto" w:val="clear"/>
            <w:vAlign w:val="bottom"/>
          </w:tcPr>
          <w:p>
            <w:pPr>
              <w:pStyle w:val="TableContents"/>
              <w:spacing w:before="0" w:after="283"/>
              <w:rPr/>
            </w:pPr>
            <w:r>
              <w:rPr/>
              <w:t> </w:t>
            </w:r>
          </w:p>
        </w:tc>
      </w:tr>
      <w:tr>
        <w:trPr>
          <w:trHeight w:val="120" w:hRule="atLeast"/>
        </w:trPr>
        <w:tc>
          <w:tcPr>
            <w:tcW w:w="556" w:type="dxa"/>
            <w:tcBorders/>
            <w:shd w:fill="auto" w:val="clear"/>
            <w:vAlign w:val="center"/>
          </w:tcPr>
          <w:p>
            <w:pPr>
              <w:pStyle w:val="TableContents"/>
              <w:spacing w:before="0" w:after="283"/>
              <w:rPr>
                <w:sz w:val="4"/>
                <w:szCs w:val="4"/>
              </w:rPr>
            </w:pPr>
            <w:r>
              <w:rPr>
                <w:sz w:val="4"/>
                <w:szCs w:val="4"/>
              </w:rPr>
            </w:r>
          </w:p>
        </w:tc>
        <w:tc>
          <w:tcPr>
            <w:tcW w:w="9094" w:type="dxa"/>
            <w:gridSpan w:val="2"/>
            <w:tcBorders/>
            <w:shd w:fill="auto" w:val="clear"/>
            <w:vAlign w:val="center"/>
          </w:tcPr>
          <w:p>
            <w:pPr>
              <w:pStyle w:val="TableContents"/>
              <w:spacing w:before="0" w:after="283"/>
              <w:rPr>
                <w:sz w:val="4"/>
                <w:szCs w:val="4"/>
              </w:rPr>
            </w:pPr>
            <w:r>
              <w:rPr>
                <w:sz w:val="4"/>
                <w:szCs w:val="4"/>
              </w:rPr>
            </w:r>
          </w:p>
        </w:tc>
        <w:tc>
          <w:tcPr>
            <w:tcW w:w="555" w:type="dxa"/>
            <w:gridSpan w:val="4"/>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tcPr>
          <w:p>
            <w:pPr>
              <w:pStyle w:val="TableContents"/>
              <w:spacing w:before="0" w:after="283"/>
              <w:rPr/>
            </w:pPr>
            <w:r>
              <w:rPr/>
              <w:t>§ 18</w:t>
            </w:r>
          </w:p>
        </w:tc>
        <w:tc>
          <w:tcPr>
            <w:tcW w:w="124" w:type="dxa"/>
            <w:tcBorders/>
            <w:shd w:fill="auto" w:val="clear"/>
            <w:vAlign w:val="bottom"/>
          </w:tcPr>
          <w:p>
            <w:pPr>
              <w:pStyle w:val="TableContents"/>
              <w:spacing w:before="0" w:after="283"/>
              <w:rPr/>
            </w:pPr>
            <w:r>
              <w:rPr/>
              <w:t> </w:t>
            </w:r>
          </w:p>
        </w:tc>
        <w:tc>
          <w:tcPr>
            <w:tcW w:w="8970" w:type="dxa"/>
            <w:tcBorders/>
            <w:shd w:fill="auto" w:val="clear"/>
          </w:tcPr>
          <w:p>
            <w:pPr>
              <w:pStyle w:val="TableContents"/>
              <w:spacing w:before="0" w:after="0"/>
              <w:rPr>
                <w:rFonts w:ascii="Times New Roman" w:hAnsi="Times New Roman"/>
                <w:sz w:val="20"/>
              </w:rPr>
            </w:pPr>
            <w:r>
              <w:rPr>
                <w:rFonts w:ascii="Times New Roman" w:hAnsi="Times New Roman"/>
                <w:sz w:val="20"/>
              </w:rPr>
              <w:t>GOVERNING LAW AND JURISDICTION</w:t>
            </w:r>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21</w:t>
            </w:r>
          </w:p>
        </w:tc>
        <w:tc>
          <w:tcPr>
            <w:tcW w:w="63" w:type="dxa"/>
            <w:tcBorders/>
            <w:shd w:fill="auto" w:val="clear"/>
            <w:vAlign w:val="bottom"/>
          </w:tcPr>
          <w:p>
            <w:pPr>
              <w:pStyle w:val="TableContents"/>
              <w:spacing w:before="0" w:after="283"/>
              <w:rPr/>
            </w:pPr>
            <w:r>
              <w:rPr/>
              <w:t> </w:t>
            </w:r>
          </w:p>
        </w:tc>
      </w:tr>
      <w:tr>
        <w:trPr>
          <w:trHeight w:val="120" w:hRule="atLeast"/>
        </w:trPr>
        <w:tc>
          <w:tcPr>
            <w:tcW w:w="556" w:type="dxa"/>
            <w:tcBorders/>
            <w:shd w:fill="auto" w:val="clear"/>
            <w:vAlign w:val="center"/>
          </w:tcPr>
          <w:p>
            <w:pPr>
              <w:pStyle w:val="TableContents"/>
              <w:spacing w:before="0" w:after="283"/>
              <w:rPr>
                <w:sz w:val="4"/>
                <w:szCs w:val="4"/>
              </w:rPr>
            </w:pPr>
            <w:r>
              <w:rPr>
                <w:sz w:val="4"/>
                <w:szCs w:val="4"/>
              </w:rPr>
            </w:r>
          </w:p>
        </w:tc>
        <w:tc>
          <w:tcPr>
            <w:tcW w:w="9094" w:type="dxa"/>
            <w:gridSpan w:val="2"/>
            <w:tcBorders/>
            <w:shd w:fill="auto" w:val="clear"/>
            <w:vAlign w:val="center"/>
          </w:tcPr>
          <w:p>
            <w:pPr>
              <w:pStyle w:val="TableContents"/>
              <w:spacing w:before="0" w:after="283"/>
              <w:rPr>
                <w:sz w:val="4"/>
                <w:szCs w:val="4"/>
              </w:rPr>
            </w:pPr>
            <w:r>
              <w:rPr>
                <w:sz w:val="4"/>
                <w:szCs w:val="4"/>
              </w:rPr>
            </w:r>
          </w:p>
        </w:tc>
        <w:tc>
          <w:tcPr>
            <w:tcW w:w="555" w:type="dxa"/>
            <w:gridSpan w:val="4"/>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tcPr>
          <w:p>
            <w:pPr>
              <w:pStyle w:val="TableContents"/>
              <w:spacing w:before="0" w:after="283"/>
              <w:rPr/>
            </w:pPr>
            <w:r>
              <w:rPr/>
              <w:t>§ 19</w:t>
            </w:r>
          </w:p>
        </w:tc>
        <w:tc>
          <w:tcPr>
            <w:tcW w:w="124" w:type="dxa"/>
            <w:tcBorders/>
            <w:shd w:fill="auto" w:val="clear"/>
            <w:vAlign w:val="bottom"/>
          </w:tcPr>
          <w:p>
            <w:pPr>
              <w:pStyle w:val="TableContents"/>
              <w:spacing w:before="0" w:after="283"/>
              <w:rPr/>
            </w:pPr>
            <w:r>
              <w:rPr/>
              <w:t> </w:t>
            </w:r>
          </w:p>
        </w:tc>
        <w:tc>
          <w:tcPr>
            <w:tcW w:w="8970" w:type="dxa"/>
            <w:tcBorders/>
            <w:shd w:fill="auto" w:val="clear"/>
          </w:tcPr>
          <w:p>
            <w:pPr>
              <w:pStyle w:val="TableContents"/>
              <w:spacing w:before="0" w:after="0"/>
              <w:rPr>
                <w:rFonts w:ascii="Times New Roman" w:hAnsi="Times New Roman"/>
                <w:sz w:val="20"/>
              </w:rPr>
            </w:pPr>
            <w:r>
              <w:rPr>
                <w:rFonts w:ascii="Times New Roman" w:hAnsi="Times New Roman"/>
                <w:sz w:val="20"/>
              </w:rPr>
              <w:t>FINAL PROVISIONS</w:t>
            </w:r>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21</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2/35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DEFINITIONS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10230" cy="9972040"/>
                <wp:effectExtent l="0" t="0" r="0" b="0"/>
                <wp:wrapSquare wrapText="largest"/>
                <wp:docPr id="5" name="Frame1"/>
                <a:graphic xmlns:a="http://schemas.openxmlformats.org/drawingml/2006/main">
                  <a:graphicData uri="http://schemas.microsoft.com/office/word/2010/wordprocessingShape">
                    <wps:wsp>
                      <wps:cNvSpPr txBox="1"/>
                      <wps:spPr>
                        <a:xfrm>
                          <a:off x="0" y="0"/>
                          <a:ext cx="3110230" cy="9972040"/>
                        </a:xfrm>
                        <a:prstGeom prst="rect"/>
                      </wps:spPr>
                      <wps:txbx>
                        <w:txbxContent>
                          <w:tbl>
                            <w:tblPr>
                              <w:tblW w:w="5000" w:type="pct"/>
                              <w:jc w:val="center"/>
                              <w:tblInd w:w="0" w:type="dxa"/>
                              <w:tblCellMar>
                                <w:top w:w="0" w:type="dxa"/>
                                <w:left w:w="0" w:type="dxa"/>
                                <w:bottom w:w="0" w:type="dxa"/>
                                <w:right w:w="0" w:type="dxa"/>
                              </w:tblCellMar>
                            </w:tblPr>
                            <w:tblGrid>
                              <w:gridCol w:w="4558"/>
                              <w:gridCol w:w="156"/>
                              <w:gridCol w:w="28"/>
                              <w:gridCol w:w="126"/>
                              <w:gridCol w:w="30"/>
                            </w:tblGrid>
                            <w:tr>
                              <w:trPr/>
                              <w:tc>
                                <w:tcPr>
                                  <w:tcW w:w="455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2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Absolute Share Price Performance</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8</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Absolute Share Price Performance</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30" w:type="dxa"/>
                                  <w:tcBorders/>
                                  <w:shd w:fill="auto" w:val="clear"/>
                                  <w:vAlign w:val="bottom"/>
                                </w:tcPr>
                                <w:p>
                                  <w:pPr>
                                    <w:pStyle w:val="TableContents"/>
                                    <w:spacing w:before="0" w:after="283"/>
                                    <w:rPr>
                                      <w:sz w:val="4"/>
                                      <w:szCs w:val="4"/>
                                    </w:rPr>
                                  </w:pPr>
                                  <w:r>
                                    <w:rPr>
                                      <w:sz w:val="4"/>
                                      <w:szCs w:val="4"/>
                                    </w:rPr>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Target Achievement</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9</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Adjustment Event</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16</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ADS</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5</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ADSs</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5</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AktG</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7</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Allocation Value</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5</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Bad Leaver</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15</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Bank</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12</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BGB</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14</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Breach of Duty</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13</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Cancellation Compensation</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17</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Cash Settlement</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6</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Cashless Exercise Option</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12</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Change of Control</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17</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Company</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4</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Conditional Capital 2022/II</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4</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Diversity Target</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9</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Diversity Target Achievement</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10</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Employee Engagement Target</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9</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ESG Target</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8</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Exercisable Stock Options</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10</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Exercise Conditions</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8</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Exercise Date</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6</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Exercise Notice</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12</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Exercise Period</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11</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Exercise Shares</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6</w:t>
                                  </w:r>
                                </w:p>
                              </w:tc>
                              <w:tc>
                                <w:tcPr>
                                  <w:tcW w:w="30" w:type="dxa"/>
                                  <w:tcBorders/>
                                  <w:shd w:fill="auto" w:val="clear"/>
                                  <w:vAlign w:val="bottom"/>
                                </w:tcPr>
                                <w:p>
                                  <w:pPr>
                                    <w:pStyle w:val="TableContents"/>
                                    <w:spacing w:before="0" w:after="283"/>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CellMar>
                          <w:top w:w="0" w:type="dxa"/>
                          <w:left w:w="0" w:type="dxa"/>
                          <w:bottom w:w="0" w:type="dxa"/>
                          <w:right w:w="0" w:type="dxa"/>
                        </w:tblCellMar>
                      </w:tblPr>
                      <w:tblGrid>
                        <w:gridCol w:w="4558"/>
                        <w:gridCol w:w="156"/>
                        <w:gridCol w:w="28"/>
                        <w:gridCol w:w="126"/>
                        <w:gridCol w:w="30"/>
                      </w:tblGrid>
                      <w:tr>
                        <w:trPr/>
                        <w:tc>
                          <w:tcPr>
                            <w:tcW w:w="455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2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Absolute Share Price Performance</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8</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Absolute Share Price Performance</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30" w:type="dxa"/>
                            <w:tcBorders/>
                            <w:shd w:fill="auto" w:val="clear"/>
                            <w:vAlign w:val="bottom"/>
                          </w:tcPr>
                          <w:p>
                            <w:pPr>
                              <w:pStyle w:val="TableContents"/>
                              <w:spacing w:before="0" w:after="283"/>
                              <w:rPr>
                                <w:sz w:val="4"/>
                                <w:szCs w:val="4"/>
                              </w:rPr>
                            </w:pPr>
                            <w:r>
                              <w:rPr>
                                <w:sz w:val="4"/>
                                <w:szCs w:val="4"/>
                              </w:rPr>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Target Achievement</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9</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Adjustment Event</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16</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ADS</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5</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ADSs</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5</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AktG</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7</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Allocation Value</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5</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Bad Leaver</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15</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Bank</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12</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BGB</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14</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Breach of Duty</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13</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Cancellation Compensation</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17</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Cash Settlement</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6</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Cashless Exercise Option</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12</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Change of Control</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17</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Company</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4</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Conditional Capital 2022/II</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4</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Diversity Target</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9</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Diversity Target Achievement</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10</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Employee Engagement Target</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9</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ESG Target</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8</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Exercisable Stock Options</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10</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Exercise Conditions</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8</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Exercise Date</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6</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Exercise Notice</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12</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Exercise Period</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11</w:t>
                            </w:r>
                          </w:p>
                        </w:tc>
                        <w:tc>
                          <w:tcPr>
                            <w:tcW w:w="30" w:type="dxa"/>
                            <w:tcBorders/>
                            <w:shd w:fill="auto" w:val="clear"/>
                            <w:vAlign w:val="bottom"/>
                          </w:tcPr>
                          <w:p>
                            <w:pPr>
                              <w:pStyle w:val="TableContents"/>
                              <w:spacing w:before="0" w:after="283"/>
                              <w:rPr/>
                            </w:pPr>
                            <w:r>
                              <w:rPr/>
                              <w:t> </w:t>
                            </w:r>
                          </w:p>
                        </w:tc>
                      </w:tr>
                      <w:tr>
                        <w:trPr/>
                        <w:tc>
                          <w:tcPr>
                            <w:tcW w:w="45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Exercise Shares</w:t>
                            </w:r>
                          </w:p>
                        </w:tc>
                        <w:tc>
                          <w:tcPr>
                            <w:tcW w:w="156"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6</w:t>
                            </w:r>
                          </w:p>
                        </w:tc>
                        <w:tc>
                          <w:tcPr>
                            <w:tcW w:w="30" w:type="dxa"/>
                            <w:tcBorders/>
                            <w:shd w:fill="auto" w:val="clear"/>
                            <w:vAlign w:val="bottom"/>
                          </w:tcPr>
                          <w:p>
                            <w:pPr>
                              <w:pStyle w:val="TableContents"/>
                              <w:spacing w:before="0" w:after="283"/>
                              <w:rPr/>
                            </w:pPr>
                            <w:r>
                              <w:rPr/>
                              <w:t>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175000" cy="9972040"/>
                <wp:effectExtent l="0" t="0" r="0" b="0"/>
                <wp:wrapSquare wrapText="largest"/>
                <wp:docPr id="6" name="Frame2"/>
                <a:graphic xmlns:a="http://schemas.openxmlformats.org/drawingml/2006/main">
                  <a:graphicData uri="http://schemas.microsoft.com/office/word/2010/wordprocessingShape">
                    <wps:wsp>
                      <wps:cNvSpPr txBox="1"/>
                      <wps:spPr>
                        <a:xfrm>
                          <a:off x="0" y="0"/>
                          <a:ext cx="3175000" cy="9972040"/>
                        </a:xfrm>
                        <a:prstGeom prst="rect"/>
                      </wps:spPr>
                      <wps:txbx>
                        <w:txbxContent>
                          <w:tbl>
                            <w:tblPr>
                              <w:tblW w:w="5000" w:type="pct"/>
                              <w:jc w:val="center"/>
                              <w:tblInd w:w="0" w:type="dxa"/>
                              <w:tblCellMar>
                                <w:top w:w="0" w:type="dxa"/>
                                <w:left w:w="0" w:type="dxa"/>
                                <w:bottom w:w="0" w:type="dxa"/>
                                <w:right w:w="0" w:type="dxa"/>
                              </w:tblCellMar>
                            </w:tblPr>
                            <w:tblGrid>
                              <w:gridCol w:w="4650"/>
                              <w:gridCol w:w="159"/>
                              <w:gridCol w:w="29"/>
                              <w:gridCol w:w="131"/>
                              <w:gridCol w:w="31"/>
                            </w:tblGrid>
                            <w:tr>
                              <w:trPr/>
                              <w:tc>
                                <w:tcPr>
                                  <w:tcW w:w="465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c>
                                <w:tcPr>
                                  <w:tcW w:w="2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31" w:type="dxa"/>
                                  <w:tcBorders/>
                                  <w:shd w:fill="auto" w:val="clear"/>
                                  <w:vAlign w:val="center"/>
                                </w:tcPr>
                                <w:p>
                                  <w:pPr>
                                    <w:pStyle w:val="TableContents"/>
                                    <w:spacing w:before="0" w:after="283"/>
                                    <w:rPr>
                                      <w:sz w:val="4"/>
                                      <w:szCs w:val="4"/>
                                    </w:rPr>
                                  </w:pPr>
                                  <w:r>
                                    <w:rPr>
                                      <w:sz w:val="4"/>
                                      <w:szCs w:val="4"/>
                                    </w:rPr>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Good Leaver</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15</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Grant</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5</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Grant Date</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6</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Initial Number of Stock Options</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5</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Insider Trading Rules</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19</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Issue Period</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5</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MAR</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19</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Maximum Remuneration</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7</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Non-Trading Periods</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19</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Notices</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20</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Option Terms &amp; Conditions</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4</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Overall Target Achievement</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10</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Participant</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4</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Participant Cancellation Request</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17</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Performance Target</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8</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Performance Targets</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8</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Pre-Financing</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12</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Primary Stock Exchange</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5</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Relevant Closing Price</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6</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Share</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4</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Share Settlement</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6</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Shares</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4</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SOP 2022</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4</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SOP Resolution</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4</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Stock Option</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4</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Stock Options</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4</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Target Closing Price</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9</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Waiting Period</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11</w:t>
                                  </w:r>
                                </w:p>
                              </w:tc>
                              <w:tc>
                                <w:tcPr>
                                  <w:tcW w:w="31" w:type="dxa"/>
                                  <w:tcBorders/>
                                  <w:shd w:fill="auto" w:val="clear"/>
                                  <w:vAlign w:val="bottom"/>
                                </w:tcPr>
                                <w:p>
                                  <w:pPr>
                                    <w:pStyle w:val="TableContents"/>
                                    <w:spacing w:before="0" w:after="283"/>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center"/>
                        <w:tblInd w:w="0" w:type="dxa"/>
                        <w:tblCellMar>
                          <w:top w:w="0" w:type="dxa"/>
                          <w:left w:w="0" w:type="dxa"/>
                          <w:bottom w:w="0" w:type="dxa"/>
                          <w:right w:w="0" w:type="dxa"/>
                        </w:tblCellMar>
                      </w:tblPr>
                      <w:tblGrid>
                        <w:gridCol w:w="4650"/>
                        <w:gridCol w:w="159"/>
                        <w:gridCol w:w="29"/>
                        <w:gridCol w:w="131"/>
                        <w:gridCol w:w="31"/>
                      </w:tblGrid>
                      <w:tr>
                        <w:trPr/>
                        <w:tc>
                          <w:tcPr>
                            <w:tcW w:w="465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c>
                          <w:tcPr>
                            <w:tcW w:w="2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31" w:type="dxa"/>
                            <w:tcBorders/>
                            <w:shd w:fill="auto" w:val="clear"/>
                            <w:vAlign w:val="center"/>
                          </w:tcPr>
                          <w:p>
                            <w:pPr>
                              <w:pStyle w:val="TableContents"/>
                              <w:spacing w:before="0" w:after="283"/>
                              <w:rPr>
                                <w:sz w:val="4"/>
                                <w:szCs w:val="4"/>
                              </w:rPr>
                            </w:pPr>
                            <w:r>
                              <w:rPr>
                                <w:sz w:val="4"/>
                                <w:szCs w:val="4"/>
                              </w:rPr>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Good Leaver</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15</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Grant</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5</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Grant Date</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6</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Initial Number of Stock Options</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5</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Insider Trading Rules</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19</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Issue Period</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5</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MAR</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19</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Maximum Remuneration</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7</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Non-Trading Periods</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19</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Notices</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20</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Option Terms &amp; Conditions</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4</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Overall Target Achievement</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10</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Participant</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4</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Participant Cancellation Request</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17</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Performance Target</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8</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Performance Targets</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8</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Pre-Financing</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12</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Primary Stock Exchange</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5</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Relevant Closing Price</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6</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Share</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4</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Share Settlement</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6</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Shares</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4</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SOP 2022</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4</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SOP Resolution</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4</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Stock Option</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4</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Stock Options</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4</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Target Closing Price</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9</w:t>
                            </w:r>
                          </w:p>
                        </w:tc>
                        <w:tc>
                          <w:tcPr>
                            <w:tcW w:w="31" w:type="dxa"/>
                            <w:tcBorders/>
                            <w:shd w:fill="auto" w:val="clear"/>
                            <w:vAlign w:val="bottom"/>
                          </w:tcPr>
                          <w:p>
                            <w:pPr>
                              <w:pStyle w:val="TableContents"/>
                              <w:spacing w:before="0" w:after="283"/>
                              <w:rPr/>
                            </w:pPr>
                            <w:r>
                              <w:rPr/>
                              <w:t> </w:t>
                            </w:r>
                          </w:p>
                        </w:tc>
                      </w:tr>
                      <w:tr>
                        <w:trPr/>
                        <w:tc>
                          <w:tcPr>
                            <w:tcW w:w="465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Waiting Period</w:t>
                            </w:r>
                          </w:p>
                        </w:tc>
                        <w:tc>
                          <w:tcPr>
                            <w:tcW w:w="159"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right"/>
                              <w:rPr/>
                            </w:pPr>
                            <w:r>
                              <w:rPr/>
                              <w:t>11</w:t>
                            </w:r>
                          </w:p>
                        </w:tc>
                        <w:tc>
                          <w:tcPr>
                            <w:tcW w:w="31" w:type="dxa"/>
                            <w:tcBorders/>
                            <w:shd w:fill="auto" w:val="clear"/>
                            <w:vAlign w:val="bottom"/>
                          </w:tcPr>
                          <w:p>
                            <w:pPr>
                              <w:pStyle w:val="TableContents"/>
                              <w:spacing w:before="0" w:after="283"/>
                              <w:rPr/>
                            </w:pPr>
                            <w:r>
                              <w:rPr/>
                              <w:t>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3/35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PREAMBLE </w:t>
      </w:r>
    </w:p>
    <w:p>
      <w:pPr>
        <w:pStyle w:val="TextBody"/>
        <w:spacing w:before="240" w:after="0"/>
        <w:jc w:val="left"/>
        <w:rPr>
          <w:rFonts w:ascii="Times New Roman" w:hAnsi="Times New Roman"/>
          <w:sz w:val="20"/>
        </w:rPr>
      </w:pPr>
      <w:r>
        <w:rPr>
          <w:rFonts w:ascii="Times New Roman" w:hAnsi="Times New Roman"/>
          <w:sz w:val="20"/>
        </w:rPr>
        <w:t>Mynaric AG (the </w:t>
      </w:r>
      <w:r>
        <w:rPr>
          <w:rFonts w:ascii="Times New Roman" w:hAnsi="Times New Roman"/>
          <w:b/>
          <w:sz w:val="20"/>
        </w:rPr>
        <w:t>Company</w:t>
      </w:r>
      <w:r>
        <w:rPr>
          <w:rFonts w:ascii="Times New Roman" w:hAnsi="Times New Roman"/>
          <w:sz w:val="20"/>
        </w:rPr>
        <w:t>) intends to implement a stock option plan (the </w:t>
      </w:r>
      <w:r>
        <w:rPr>
          <w:rFonts w:ascii="Times New Roman" w:hAnsi="Times New Roman"/>
          <w:b/>
          <w:sz w:val="20"/>
        </w:rPr>
        <w:t>SOP 2022</w:t>
      </w:r>
      <w:r>
        <w:rPr>
          <w:rFonts w:ascii="Times New Roman" w:hAnsi="Times New Roman"/>
          <w:sz w:val="20"/>
        </w:rPr>
        <w:t>) for the members of the Management Board of the Company (each a </w:t>
      </w:r>
      <w:r>
        <w:rPr>
          <w:rFonts w:ascii="Times New Roman" w:hAnsi="Times New Roman"/>
          <w:b/>
          <w:sz w:val="20"/>
        </w:rPr>
        <w:t>Participant</w:t>
      </w:r>
      <w:r>
        <w:rPr>
          <w:rFonts w:ascii="Times New Roman" w:hAnsi="Times New Roman"/>
          <w:sz w:val="20"/>
        </w:rPr>
        <w:t xml:space="preserve">), under which stock options entitling each of them to acquire a specified number of shares in the Company, each representing a </w:t>
      </w:r>
      <w:r>
        <w:rPr>
          <w:rFonts w:ascii="Times New Roman" w:hAnsi="Times New Roman"/>
          <w:i/>
          <w:sz w:val="20"/>
        </w:rPr>
        <w:t>pro rata</w:t>
      </w:r>
      <w:r>
        <w:rPr>
          <w:rFonts w:ascii="Times New Roman" w:hAnsi="Times New Roman"/>
          <w:sz w:val="20"/>
        </w:rPr>
        <w:t xml:space="preserve"> amount of EUR 1.00 of the Companys nominal share capital (each a </w:t>
      </w:r>
      <w:r>
        <w:rPr>
          <w:rFonts w:ascii="Times New Roman" w:hAnsi="Times New Roman"/>
          <w:b/>
          <w:sz w:val="20"/>
        </w:rPr>
        <w:t>Share</w:t>
      </w:r>
      <w:r>
        <w:rPr>
          <w:rFonts w:ascii="Times New Roman" w:hAnsi="Times New Roman"/>
          <w:sz w:val="20"/>
        </w:rPr>
        <w:t>, and together the </w:t>
      </w:r>
      <w:r>
        <w:rPr>
          <w:rFonts w:ascii="Times New Roman" w:hAnsi="Times New Roman"/>
          <w:b/>
          <w:sz w:val="20"/>
        </w:rPr>
        <w:t>Shares</w:t>
      </w:r>
      <w:r>
        <w:rPr>
          <w:rFonts w:ascii="Times New Roman" w:hAnsi="Times New Roman"/>
          <w:sz w:val="20"/>
        </w:rPr>
        <w:t xml:space="preserve">) shall be granted to each member of the Management Board. </w:t>
      </w:r>
    </w:p>
    <w:p>
      <w:pPr>
        <w:pStyle w:val="TextBody"/>
        <w:spacing w:before="240" w:after="0"/>
        <w:jc w:val="left"/>
        <w:rPr>
          <w:rFonts w:ascii="Times New Roman" w:hAnsi="Times New Roman"/>
          <w:sz w:val="20"/>
        </w:rPr>
      </w:pPr>
      <w:r>
        <w:rPr>
          <w:rFonts w:ascii="Times New Roman" w:hAnsi="Times New Roman"/>
          <w:sz w:val="20"/>
        </w:rPr>
        <w:t>For this purpose, with resolution dated July 14, 2022 (the </w:t>
      </w:r>
      <w:r>
        <w:rPr>
          <w:rFonts w:ascii="Times New Roman" w:hAnsi="Times New Roman"/>
          <w:b/>
          <w:sz w:val="20"/>
        </w:rPr>
        <w:t>SOP Resolution</w:t>
      </w:r>
      <w:r>
        <w:rPr>
          <w:rFonts w:ascii="Times New Roman" w:hAnsi="Times New Roman"/>
          <w:sz w:val="20"/>
        </w:rPr>
        <w:t>), the Companys annual general meeting has authorized the Supervisory Board to grant subscription rights (stock options) for a total of up to 115,000 Shares of the Company to members of the Management Board of the Company (each a </w:t>
      </w:r>
      <w:r>
        <w:rPr>
          <w:rFonts w:ascii="Times New Roman" w:hAnsi="Times New Roman"/>
          <w:b/>
          <w:sz w:val="20"/>
        </w:rPr>
        <w:t>Stock Option</w:t>
      </w:r>
      <w:r>
        <w:rPr>
          <w:rFonts w:ascii="Times New Roman" w:hAnsi="Times New Roman"/>
          <w:sz w:val="20"/>
        </w:rPr>
        <w:t>, and together the </w:t>
      </w:r>
      <w:r>
        <w:rPr>
          <w:rFonts w:ascii="Times New Roman" w:hAnsi="Times New Roman"/>
          <w:b/>
          <w:sz w:val="20"/>
        </w:rPr>
        <w:t>Stock Options</w:t>
      </w:r>
      <w:r>
        <w:rPr>
          <w:rFonts w:ascii="Times New Roman" w:hAnsi="Times New Roman"/>
          <w:sz w:val="20"/>
        </w:rPr>
        <w:t>). The annual general meeting has further created a conditional capital (</w:t>
      </w:r>
      <w:r>
        <w:rPr>
          <w:rFonts w:ascii="Times New Roman" w:hAnsi="Times New Roman"/>
          <w:i/>
          <w:sz w:val="20"/>
        </w:rPr>
        <w:t>bedingtes Kapital</w:t>
      </w:r>
      <w:r>
        <w:rPr>
          <w:rFonts w:ascii="Times New Roman" w:hAnsi="Times New Roman"/>
          <w:sz w:val="20"/>
        </w:rPr>
        <w:t>) of up to EUR 115,000 (the </w:t>
      </w:r>
      <w:r>
        <w:rPr>
          <w:rFonts w:ascii="Times New Roman" w:hAnsi="Times New Roman"/>
          <w:b/>
          <w:sz w:val="20"/>
        </w:rPr>
        <w:t>Conditional Capital 2022/II</w:t>
      </w:r>
      <w:r>
        <w:rPr>
          <w:rFonts w:ascii="Times New Roman" w:hAnsi="Times New Roman"/>
          <w:sz w:val="20"/>
        </w:rPr>
        <w:t xml:space="preserve">) in order to fund the Stock Options and has authorized the Supervisory Board of the Company to determine the further details of the SOP 2022. </w:t>
      </w:r>
    </w:p>
    <w:p>
      <w:pPr>
        <w:pStyle w:val="TextBody"/>
        <w:spacing w:before="240" w:after="0"/>
        <w:jc w:val="left"/>
        <w:rPr>
          <w:rFonts w:ascii="Times New Roman" w:hAnsi="Times New Roman"/>
          <w:sz w:val="20"/>
        </w:rPr>
      </w:pPr>
      <w:r>
        <w:rPr>
          <w:rFonts w:ascii="Times New Roman" w:hAnsi="Times New Roman"/>
          <w:sz w:val="20"/>
        </w:rPr>
        <w:t>The present terms and conditions (the </w:t>
      </w:r>
      <w:r>
        <w:rPr>
          <w:rFonts w:ascii="Times New Roman" w:hAnsi="Times New Roman"/>
          <w:b/>
          <w:sz w:val="20"/>
        </w:rPr>
        <w:t>Terms</w:t>
      </w:r>
      <w:r>
        <w:rPr>
          <w:rFonts w:ascii="Times New Roman" w:hAnsi="Times New Roman"/>
          <w:sz w:val="20"/>
        </w:rPr>
        <w:t> </w:t>
      </w:r>
      <w:r>
        <w:rPr>
          <w:rFonts w:ascii="Times New Roman" w:hAnsi="Times New Roman"/>
          <w:b/>
          <w:sz w:val="20"/>
        </w:rPr>
        <w:t>&amp; Conditions</w:t>
      </w:r>
      <w:r>
        <w:rPr>
          <w:rFonts w:ascii="Times New Roman" w:hAnsi="Times New Roman"/>
          <w:sz w:val="20"/>
        </w:rPr>
        <w:t xml:space="preserve">) establish the rules pursuant to which the Stock Options under the SOP 2022 can be granted and exercised.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4/35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 1 </w:t>
      </w:r>
    </w:p>
    <w:p>
      <w:pPr>
        <w:pStyle w:val="TextBody"/>
        <w:spacing w:before="0" w:after="0"/>
        <w:jc w:val="center"/>
        <w:rPr>
          <w:rFonts w:ascii="Times New Roman" w:hAnsi="Times New Roman"/>
          <w:b/>
          <w:sz w:val="20"/>
        </w:rPr>
      </w:pPr>
      <w:r>
        <w:rPr>
          <w:rFonts w:ascii="Times New Roman" w:hAnsi="Times New Roman"/>
          <w:b/>
          <w:sz w:val="20"/>
        </w:rPr>
        <w:t xml:space="preserve">ELIGIBILITY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Stock Options will be granted to the Participants, whereby the number of Stock Options to be granted to each Participant may vary over the term of the SOP 2022 and are determined by the Companys Supervisory Board.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For each Participant, the Supervisory Board determines a target value in Euro (EUR) as allocation value (the </w:t>
            </w:r>
            <w:r>
              <w:rPr>
                <w:rFonts w:ascii="Times New Roman" w:hAnsi="Times New Roman"/>
                <w:b/>
                <w:sz w:val="20"/>
              </w:rPr>
              <w:t>Allocation Value</w:t>
            </w:r>
            <w:r>
              <w:rPr>
                <w:rFonts w:ascii="Times New Roman" w:hAnsi="Times New Roman"/>
                <w:sz w:val="20"/>
              </w:rPr>
              <w:t xml:space="preserve">; </w:t>
            </w:r>
            <w:r>
              <w:rPr>
                <w:rFonts w:ascii="Times New Roman" w:hAnsi="Times New Roman"/>
                <w:i/>
                <w:sz w:val="20"/>
              </w:rPr>
              <w:t>Zuteilungswert</w:t>
            </w:r>
            <w:r>
              <w:rPr>
                <w:rFonts w:ascii="Times New Roman" w:hAnsi="Times New Roman"/>
                <w:sz w:val="20"/>
              </w:rPr>
              <w:t>). The initial number of Stock Options for each Participant for each tranche is equivalent to the Allocation Value divided by the closing price (</w:t>
            </w:r>
            <w:r>
              <w:rPr>
                <w:rFonts w:ascii="Times New Roman" w:hAnsi="Times New Roman"/>
                <w:i/>
                <w:sz w:val="20"/>
              </w:rPr>
              <w:t>Schlusskurs</w:t>
            </w:r>
            <w:r>
              <w:rPr>
                <w:rFonts w:ascii="Times New Roman" w:hAnsi="Times New Roman"/>
                <w:sz w:val="20"/>
              </w:rPr>
              <w:t>) of the Shares or the closing price (</w:t>
            </w:r>
            <w:r>
              <w:rPr>
                <w:rFonts w:ascii="Times New Roman" w:hAnsi="Times New Roman"/>
                <w:i/>
                <w:sz w:val="20"/>
              </w:rPr>
              <w:t>Schlusskurs</w:t>
            </w:r>
            <w:r>
              <w:rPr>
                <w:rFonts w:ascii="Times New Roman" w:hAnsi="Times New Roman"/>
                <w:sz w:val="20"/>
              </w:rPr>
              <w:t>) to be converted into amounts per Share of the rights or certificates representing the Shares on the Grant Date on the Primary Stock Exchange on the last ten trading days prior to the Grant Date, rounded down to the nearest whole number (the </w:t>
            </w:r>
            <w:r>
              <w:rPr>
                <w:rFonts w:ascii="Times New Roman" w:hAnsi="Times New Roman"/>
                <w:b/>
                <w:sz w:val="20"/>
              </w:rPr>
              <w:t>Initial Number of Stock Options</w:t>
            </w:r>
            <w:r>
              <w:rPr>
                <w:rFonts w:ascii="Times New Roman" w:hAnsi="Times New Roman"/>
                <w:sz w:val="20"/>
              </w:rPr>
              <w:t>). </w:t>
            </w:r>
            <w:r>
              <w:rPr>
                <w:rFonts w:ascii="Times New Roman" w:hAnsi="Times New Roman"/>
                <w:b/>
                <w:sz w:val="20"/>
              </w:rPr>
              <w:t>Primary Stock Exchange</w:t>
            </w:r>
            <w:r>
              <w:rPr>
                <w:rFonts w:ascii="Times New Roman" w:hAnsi="Times New Roman"/>
                <w:sz w:val="20"/>
              </w:rPr>
              <w:t xml:space="preserve"> is the stock exchange or trading system with the highest total trading volume (in EUR) of the Shares or rights or certificate representing the Shares during the time period as further specified in the respective provision of these Terms &amp; Conditions. A closing price in a currency other than Euro shall be converted into a Euro amount on the basis of the average exchange rate during the six months prior to the Grant Date as published by the European Central Bank; the resulting Euro amount shall be rounded down to the next two decimals.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For clarification purposes: In case these Terms &amp; Conditions refer to the share price of the American Deposit Shares representing the Companys Shares (the </w:t>
            </w:r>
            <w:r>
              <w:rPr>
                <w:rFonts w:ascii="Times New Roman" w:hAnsi="Times New Roman"/>
                <w:b/>
                <w:sz w:val="20"/>
              </w:rPr>
              <w:t>ADSs</w:t>
            </w:r>
            <w:r>
              <w:rPr>
                <w:rFonts w:ascii="Times New Roman" w:hAnsi="Times New Roman"/>
                <w:sz w:val="20"/>
              </w:rPr>
              <w:t> and each an </w:t>
            </w:r>
            <w:r>
              <w:rPr>
                <w:rFonts w:ascii="Times New Roman" w:hAnsi="Times New Roman"/>
                <w:b/>
                <w:sz w:val="20"/>
              </w:rPr>
              <w:t>ADS</w:t>
            </w:r>
            <w:r>
              <w:rPr>
                <w:rFonts w:ascii="Times New Roman" w:hAnsi="Times New Roman"/>
                <w:sz w:val="20"/>
              </w:rPr>
              <w:t xml:space="preserve">), such amount must always be multiplied by the number of ADSs representing one Share. </w:t>
            </w:r>
          </w:p>
        </w:tc>
      </w:tr>
    </w:tbl>
    <w:p>
      <w:pPr>
        <w:pStyle w:val="TextBody"/>
        <w:spacing w:before="480" w:after="0"/>
        <w:jc w:val="center"/>
        <w:rPr>
          <w:rFonts w:ascii="Times New Roman" w:hAnsi="Times New Roman"/>
          <w:b/>
          <w:sz w:val="20"/>
        </w:rPr>
      </w:pPr>
      <w:r>
        <w:rPr>
          <w:rFonts w:ascii="Times New Roman" w:hAnsi="Times New Roman"/>
          <w:b/>
          <w:sz w:val="20"/>
        </w:rPr>
        <w:t xml:space="preserve">§ 2 </w:t>
      </w:r>
    </w:p>
    <w:p>
      <w:pPr>
        <w:pStyle w:val="TextBody"/>
        <w:spacing w:before="0" w:after="0"/>
        <w:jc w:val="center"/>
        <w:rPr>
          <w:rFonts w:ascii="Times New Roman" w:hAnsi="Times New Roman"/>
          <w:b/>
          <w:sz w:val="20"/>
        </w:rPr>
      </w:pPr>
      <w:r>
        <w:rPr>
          <w:rFonts w:ascii="Times New Roman" w:hAnsi="Times New Roman"/>
          <w:b/>
          <w:sz w:val="20"/>
        </w:rPr>
        <w:t xml:space="preserve">GRANT OF STOCK OPTIONS; SETTLEMENT; MAXIMUM </w:t>
      </w:r>
    </w:p>
    <w:p>
      <w:pPr>
        <w:pStyle w:val="TextBody"/>
        <w:spacing w:before="0" w:after="0"/>
        <w:jc w:val="center"/>
        <w:rPr>
          <w:rFonts w:ascii="Times New Roman" w:hAnsi="Times New Roman"/>
          <w:b/>
          <w:sz w:val="20"/>
        </w:rPr>
      </w:pPr>
      <w:r>
        <w:rPr>
          <w:rFonts w:ascii="Times New Roman" w:hAnsi="Times New Roman"/>
          <w:b/>
          <w:sz w:val="20"/>
        </w:rPr>
        <w:t xml:space="preserve">REMUNERATION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Stock Options may be granted (the </w:t>
            </w:r>
            <w:r>
              <w:rPr>
                <w:rFonts w:ascii="Times New Roman" w:hAnsi="Times New Roman"/>
                <w:b/>
                <w:sz w:val="20"/>
              </w:rPr>
              <w:t>Grant</w:t>
            </w:r>
            <w:r>
              <w:rPr>
                <w:rFonts w:ascii="Times New Roman" w:hAnsi="Times New Roman"/>
                <w:sz w:val="20"/>
              </w:rPr>
              <w:t>) in accordance with legal requirements once in a month (the </w:t>
            </w:r>
            <w:r>
              <w:rPr>
                <w:rFonts w:ascii="Times New Roman" w:hAnsi="Times New Roman"/>
                <w:b/>
                <w:sz w:val="20"/>
              </w:rPr>
              <w:t>Issue Period</w:t>
            </w:r>
            <w:r>
              <w:rPr>
                <w:rFonts w:ascii="Times New Roman" w:hAnsi="Times New Roman"/>
                <w:sz w:val="20"/>
              </w:rPr>
              <w:t>), subject to a continuing and non-terminated (</w:t>
            </w:r>
            <w:r>
              <w:rPr>
                <w:rFonts w:ascii="Times New Roman" w:hAnsi="Times New Roman"/>
                <w:i/>
                <w:sz w:val="20"/>
              </w:rPr>
              <w:t>ungekündigt</w:t>
            </w:r>
            <w:r>
              <w:rPr>
                <w:rFonts w:ascii="Times New Roman" w:hAnsi="Times New Roman"/>
                <w:sz w:val="20"/>
              </w:rPr>
              <w:t xml:space="preserve">) service relationship of the relevant Participant as member of the Management Board of the Company at the relevant Grant Date.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5/35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date on which the Grant becomes effective (the Grant Date) shall be the date on which the Participant receives the offer granting Stock Options, irrespective of the point in time the offer is accepted. The offer can specify a later date as Grant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Subject to (i) a forfeiture of Stock Options pursuant to § 2.5 or § 9 below; and (ii) the satisfaction of the terms and conditions set forth in these Terms &amp; Conditions, each Stock Option entitles the Participant to one subscription right to each acquire one Share in the Company against payment of the Exercise Price.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fulfilment of the Stock Options the Company may, at its sole discretion: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612"/>
        <w:gridCol w:w="9185"/>
      </w:tblGrid>
      <w:tr>
        <w:trPr/>
        <w:tc>
          <w:tcPr>
            <w:tcW w:w="408"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2.4.1</w:t>
            </w:r>
          </w:p>
        </w:tc>
        <w:tc>
          <w:tcPr>
            <w:tcW w:w="91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deliver the number of Shares with respect to which the Stock Options are being exercised (the Exercise Shares) out of the Conditional Capital 2022/II or from treasury shares or from a combination of both (the Share Settlement); and/or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612"/>
        <w:gridCol w:w="9186"/>
      </w:tblGrid>
      <w:tr>
        <w:trPr/>
        <w:tc>
          <w:tcPr>
            <w:tcW w:w="407"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2.4.2</w:t>
            </w:r>
          </w:p>
        </w:tc>
        <w:tc>
          <w:tcPr>
            <w:tcW w:w="91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instead of the delivery of all or some of the Exercise Shares make a cash payment in the amount of (i) the product of the closing price (Schlusskurs) of the Shares or the closing price (Schlusskurs) to be converted into amounts per Share of the rights or certificates representing the Shares on the Companys Primary Stock Exchange on the last trading day prior to the date the Participant has exercised the Stock Options granted to him/her (Exercise Date) (whereby the date the Company receives the Exercise Notice shall be decisive) on the Primary Stock Exchange during the ten trading days prior to the Exercise Date (the Relevant Closing Price), multiplied by the aggregate number of Exercise Shares to be settled in cash, minus (ii) the Exercise Price, multiplied by the aggregate number of Exercise Shares to be settled in cash or, in case the Participant has already paid to the Company the Exercise Price for all Exercise Shares to be settled in cash, EUR 0.00 (the Cash Settlement). A Relevant Closing Price in a currency other than Euro shall be converted into a Euro amount on the basis of the average exchange rate on the last trading day prior to the Exercise Date; the resulting Euro amount shall be rounded down to the next two decimals.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6/35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In the event that after the expiration of the Waiting Period it turns out that the maximum remuneration of a Participant, as determined by the Supervisory Board in accordance with section 87a para. 1 sentence 2 no. 1 of the German Stock Corporation Act (</w:t>
            </w:r>
            <w:r>
              <w:rPr>
                <w:rFonts w:ascii="Times New Roman" w:hAnsi="Times New Roman"/>
                <w:i/>
                <w:sz w:val="20"/>
              </w:rPr>
              <w:t>Aktiengesetz</w:t>
            </w:r>
            <w:r>
              <w:rPr>
                <w:rFonts w:ascii="Times New Roman" w:hAnsi="Times New Roman"/>
                <w:sz w:val="20"/>
              </w:rPr>
              <w:t>, </w:t>
            </w:r>
            <w:r>
              <w:rPr>
                <w:rFonts w:ascii="Times New Roman" w:hAnsi="Times New Roman"/>
                <w:b/>
                <w:sz w:val="20"/>
              </w:rPr>
              <w:t>AktG</w:t>
            </w:r>
            <w:r>
              <w:rPr>
                <w:rFonts w:ascii="Times New Roman" w:hAnsi="Times New Roman"/>
                <w:sz w:val="20"/>
              </w:rPr>
              <w:t>) for one financial year (the </w:t>
            </w:r>
            <w:r>
              <w:rPr>
                <w:rFonts w:ascii="Times New Roman" w:hAnsi="Times New Roman"/>
                <w:b/>
                <w:sz w:val="20"/>
              </w:rPr>
              <w:t>Maximum Remuneration</w:t>
            </w:r>
            <w:r>
              <w:rPr>
                <w:rFonts w:ascii="Times New Roman" w:hAnsi="Times New Roman"/>
                <w:sz w:val="20"/>
              </w:rPr>
              <w:t xml:space="preserve">) would be exceeded (or further exceeded) due to Stock Options settled in accordance with these Terms &amp; Conditions, Stock Options shall forfeit as follows: </w:t>
            </w:r>
          </w:p>
        </w:tc>
      </w:tr>
    </w:tbl>
    <w:p>
      <w:pPr>
        <w:pStyle w:val="TextBody"/>
        <w:spacing w:before="240" w:after="0"/>
        <w:jc w:val="left"/>
        <w:rPr>
          <w:rFonts w:ascii="Times New Roman" w:hAnsi="Times New Roman"/>
          <w:sz w:val="20"/>
        </w:rPr>
      </w:pPr>
      <w:r>
        <w:rPr>
          <w:rFonts w:ascii="Times New Roman" w:hAnsi="Times New Roman"/>
          <w:sz w:val="20"/>
        </w:rPr>
        <w:t xml:space="preserve">The number of Stock Options that shall forfeit corresponds to </w:t>
      </w:r>
      <w:r>
        <w:rPr>
          <w:rFonts w:ascii="Times New Roman" w:hAnsi="Times New Roman"/>
          <w:i/>
          <w:sz w:val="20"/>
        </w:rPr>
        <w:t>(i)</w:t>
      </w:r>
      <w:r>
        <w:rPr>
          <w:rFonts w:ascii="Times New Roman" w:hAnsi="Times New Roman"/>
          <w:sz w:val="20"/>
        </w:rPr>
        <w:t xml:space="preserve"> the amount by which the Maximum Remuneration for such financial year is exceeded, divided by </w:t>
      </w:r>
      <w:r>
        <w:rPr>
          <w:rFonts w:ascii="Times New Roman" w:hAnsi="Times New Roman"/>
          <w:i/>
          <w:sz w:val="20"/>
        </w:rPr>
        <w:t>(ii)</w:t>
      </w:r>
      <w:r>
        <w:rPr>
          <w:rFonts w:ascii="Times New Roman" w:hAnsi="Times New Roman"/>
          <w:sz w:val="20"/>
        </w:rPr>
        <w:t> the difference between the closing price (</w:t>
      </w:r>
      <w:r>
        <w:rPr>
          <w:rFonts w:ascii="Times New Roman" w:hAnsi="Times New Roman"/>
          <w:i/>
          <w:sz w:val="20"/>
        </w:rPr>
        <w:t>Schlusskurs</w:t>
      </w:r>
      <w:r>
        <w:rPr>
          <w:rFonts w:ascii="Times New Roman" w:hAnsi="Times New Roman"/>
          <w:sz w:val="20"/>
        </w:rPr>
        <w:t>) of the Shares or the closing price (</w:t>
      </w:r>
      <w:r>
        <w:rPr>
          <w:rFonts w:ascii="Times New Roman" w:hAnsi="Times New Roman"/>
          <w:i/>
          <w:sz w:val="20"/>
        </w:rPr>
        <w:t>Schlusskurs</w:t>
      </w:r>
      <w:r>
        <w:rPr>
          <w:rFonts w:ascii="Times New Roman" w:hAnsi="Times New Roman"/>
          <w:sz w:val="20"/>
        </w:rPr>
        <w:t xml:space="preserve">) to be converted into amounts per Share of the rights or certificates representing the Shares on the date of the expiration of the Waiting Period on the Companys Primary Stock Exchange on such date and the Exercise Price, and the result rounded up to the nearest integer. A closing price in a currency other than Euro shall be converted into a Euro amount on the basis of the exchange rate on the date of the expiration of the Waiting Period; the resulting Euro amount shall be rounded down to the next two decimals. </w:t>
      </w:r>
    </w:p>
    <w:p>
      <w:pPr>
        <w:pStyle w:val="TextBody"/>
        <w:spacing w:before="480" w:after="0"/>
        <w:jc w:val="center"/>
        <w:rPr>
          <w:rFonts w:ascii="Times New Roman" w:hAnsi="Times New Roman"/>
          <w:b/>
          <w:sz w:val="20"/>
        </w:rPr>
      </w:pPr>
      <w:r>
        <w:rPr>
          <w:rFonts w:ascii="Times New Roman" w:hAnsi="Times New Roman"/>
          <w:b/>
          <w:sz w:val="20"/>
        </w:rPr>
        <w:t xml:space="preserve">§ 3 </w:t>
      </w:r>
    </w:p>
    <w:p>
      <w:pPr>
        <w:pStyle w:val="TextBody"/>
        <w:spacing w:before="0" w:after="0"/>
        <w:jc w:val="center"/>
        <w:rPr>
          <w:rFonts w:ascii="Times New Roman" w:hAnsi="Times New Roman"/>
          <w:b/>
          <w:sz w:val="20"/>
        </w:rPr>
      </w:pPr>
      <w:r>
        <w:rPr>
          <w:rFonts w:ascii="Times New Roman" w:hAnsi="Times New Roman"/>
          <w:b/>
          <w:sz w:val="20"/>
        </w:rPr>
        <w:t xml:space="preserve">EXERCISE PRICE </w:t>
      </w:r>
    </w:p>
    <w:p>
      <w:pPr>
        <w:pStyle w:val="TextBody"/>
        <w:spacing w:before="240" w:after="0"/>
        <w:jc w:val="left"/>
        <w:rPr>
          <w:rFonts w:ascii="Times New Roman" w:hAnsi="Times New Roman"/>
          <w:sz w:val="20"/>
        </w:rPr>
      </w:pPr>
      <w:r>
        <w:rPr>
          <w:rFonts w:ascii="Times New Roman" w:hAnsi="Times New Roman"/>
          <w:sz w:val="20"/>
        </w:rPr>
        <w:t xml:space="preserve">The price at which one Share may be acquired upon exercise of one Stock Option equals the volume-weighted six-month average share price of the Share or the volume-weighted six-month average share price to be converted into amounts per Share of the rights or certificate representing the Share on the day prior to the Grant Date on the Primary Stock Exchange on the ten trading days prior to the Issue Period. The minimum Exercise Price is equivalent to the minimum issue price as set forth in Sec. 9 para. 1 AktG, i.e., currently EUR 1.00. A closing price in a currency other than Euro shall be converted into a Euro amount on the basis of the average exchange rate during the six months prior to the Grant Date as published by the European Central Bank; the resulting Euro amount shall be rounded down to the next two decimals.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7/35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 4 </w:t>
      </w:r>
    </w:p>
    <w:p>
      <w:pPr>
        <w:pStyle w:val="TextBody"/>
        <w:spacing w:before="0" w:after="0"/>
        <w:jc w:val="center"/>
        <w:rPr>
          <w:rFonts w:ascii="Times New Roman" w:hAnsi="Times New Roman"/>
          <w:b/>
          <w:sz w:val="20"/>
        </w:rPr>
      </w:pPr>
      <w:r>
        <w:rPr>
          <w:rFonts w:ascii="Times New Roman" w:hAnsi="Times New Roman"/>
          <w:b/>
          <w:sz w:val="20"/>
        </w:rPr>
        <w:t xml:space="preserve">EXERCISE CONDITIONS </w:t>
      </w:r>
    </w:p>
    <w:p>
      <w:pPr>
        <w:pStyle w:val="TextBody"/>
        <w:spacing w:before="240" w:after="0"/>
        <w:jc w:val="left"/>
        <w:rPr>
          <w:rFonts w:ascii="Times New Roman" w:hAnsi="Times New Roman"/>
          <w:sz w:val="20"/>
        </w:rPr>
      </w:pPr>
      <w:r>
        <w:rPr>
          <w:rFonts w:ascii="Times New Roman" w:hAnsi="Times New Roman"/>
          <w:sz w:val="20"/>
        </w:rPr>
        <w:t>Stock Options may be exercised if and to the extent the following conditions are fulfilled (the </w:t>
      </w:r>
      <w:r>
        <w:rPr>
          <w:rFonts w:ascii="Times New Roman" w:hAnsi="Times New Roman"/>
          <w:b/>
          <w:sz w:val="20"/>
        </w:rPr>
        <w:t>Exercise Condition</w:t>
      </w:r>
      <w:r>
        <w:rPr>
          <w:rFonts w:ascii="Times New Roman" w:hAnsi="Times New Roman"/>
          <w:b/>
          <w:i/>
          <w:sz w:val="20"/>
        </w:rPr>
        <w:t>s</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Performance Targets (§ 5) have been achieved;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applicable Waiting Period (§ 6.1) has expired;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Supervisory Board has notified the Participant of the number of Exercisable Stock Options (5.7);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Exercise Period (§ 6.2) has started and not yet ended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exercise has not been temporarily suspended according to § 15.2. </w:t>
            </w:r>
          </w:p>
        </w:tc>
      </w:tr>
    </w:tbl>
    <w:p>
      <w:pPr>
        <w:pStyle w:val="TextBody"/>
        <w:spacing w:before="480" w:after="0"/>
        <w:jc w:val="center"/>
        <w:rPr>
          <w:rFonts w:ascii="Times New Roman" w:hAnsi="Times New Roman"/>
          <w:b/>
          <w:sz w:val="20"/>
        </w:rPr>
      </w:pPr>
      <w:r>
        <w:rPr>
          <w:rFonts w:ascii="Times New Roman" w:hAnsi="Times New Roman"/>
          <w:b/>
          <w:sz w:val="20"/>
        </w:rPr>
        <w:t xml:space="preserve">§ 5 </w:t>
      </w:r>
    </w:p>
    <w:p>
      <w:pPr>
        <w:pStyle w:val="TextBody"/>
        <w:spacing w:before="0" w:after="0"/>
        <w:jc w:val="center"/>
        <w:rPr>
          <w:rFonts w:ascii="Times New Roman" w:hAnsi="Times New Roman"/>
          <w:b/>
          <w:sz w:val="20"/>
        </w:rPr>
      </w:pPr>
      <w:r>
        <w:rPr>
          <w:rFonts w:ascii="Times New Roman" w:hAnsi="Times New Roman"/>
          <w:b/>
          <w:sz w:val="20"/>
        </w:rPr>
        <w:t xml:space="preserve">PERFORMANCE TARGETS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Stock Options may only be exercised if and to the extent the Performance Targets have been reached in accordance with the following provisions.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Performance Targets are linked to: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611"/>
        <w:gridCol w:w="9187"/>
      </w:tblGrid>
      <w:tr>
        <w:trPr/>
        <w:tc>
          <w:tcPr>
            <w:tcW w:w="407"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5.2.1</w:t>
            </w:r>
          </w:p>
        </w:tc>
        <w:tc>
          <w:tcPr>
            <w:tcW w:w="91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absolute share price performance of the Shares during the Waiting Period (the </w:t>
            </w:r>
            <w:r>
              <w:rPr>
                <w:rFonts w:ascii="Times New Roman" w:hAnsi="Times New Roman"/>
                <w:b/>
                <w:sz w:val="20"/>
              </w:rPr>
              <w:t>Absolute Share Price Performance</w:t>
            </w:r>
            <w:r>
              <w:rPr>
                <w:rFonts w:ascii="Times New Roman" w:hAnsi="Times New Roman"/>
                <w:sz w:val="20"/>
              </w:rPr>
              <w:t xml:space="preserv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612"/>
        <w:gridCol w:w="9186"/>
      </w:tblGrid>
      <w:tr>
        <w:trPr/>
        <w:tc>
          <w:tcPr>
            <w:tcW w:w="407"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5.2.2</w:t>
            </w:r>
          </w:p>
        </w:tc>
        <w:tc>
          <w:tcPr>
            <w:tcW w:w="91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achievement of an environmental social governance (ESG) target (the </w:t>
            </w:r>
            <w:r>
              <w:rPr>
                <w:rFonts w:ascii="Times New Roman" w:hAnsi="Times New Roman"/>
                <w:b/>
                <w:sz w:val="20"/>
              </w:rPr>
              <w:t>ESG Target</w:t>
            </w:r>
            <w:r>
              <w:rPr>
                <w:rFonts w:ascii="Times New Roman" w:hAnsi="Times New Roman"/>
                <w:sz w:val="20"/>
              </w:rPr>
              <w:t>) during the Waiting Period (the Absolute Share Price Performance and the ESG Target each a </w:t>
            </w:r>
            <w:r>
              <w:rPr>
                <w:rFonts w:ascii="Times New Roman" w:hAnsi="Times New Roman"/>
                <w:b/>
                <w:sz w:val="20"/>
              </w:rPr>
              <w:t>Performance Target</w:t>
            </w:r>
            <w:r>
              <w:rPr>
                <w:rFonts w:ascii="Times New Roman" w:hAnsi="Times New Roman"/>
                <w:sz w:val="20"/>
              </w:rPr>
              <w:t> and together the </w:t>
            </w:r>
            <w:r>
              <w:rPr>
                <w:rFonts w:ascii="Times New Roman" w:hAnsi="Times New Roman"/>
                <w:b/>
                <w:sz w:val="20"/>
              </w:rPr>
              <w:t>Performance Targets</w:t>
            </w:r>
            <w:r>
              <w:rPr>
                <w:rFonts w:ascii="Times New Roman" w:hAnsi="Times New Roman"/>
                <w:sz w:val="20"/>
              </w:rPr>
              <w:t xml:space="preserv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8/35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Absolute Share Price Performance is weighted with 80% and the ESG Target is weighted with 20% with respect to the Overall Performance Target Achievement.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level of achievement of the Absolute Share Price Performance (the </w:t>
            </w:r>
            <w:r>
              <w:rPr>
                <w:rFonts w:ascii="Times New Roman" w:hAnsi="Times New Roman"/>
                <w:b/>
                <w:sz w:val="20"/>
              </w:rPr>
              <w:t>Absolute Share Price Performance Target Achievement</w:t>
            </w:r>
            <w:r>
              <w:rPr>
                <w:rFonts w:ascii="Times New Roman" w:hAnsi="Times New Roman"/>
                <w:sz w:val="20"/>
              </w:rPr>
              <w:t xml:space="preserve">) is evaluated as follows: </w:t>
            </w:r>
          </w:p>
        </w:tc>
      </w:tr>
    </w:tbl>
    <w:p>
      <w:pPr>
        <w:pStyle w:val="TextBody"/>
        <w:spacing w:before="120" w:after="0"/>
        <w:jc w:val="left"/>
        <w:rPr>
          <w:rFonts w:ascii="Times New Roman" w:hAnsi="Times New Roman"/>
          <w:sz w:val="20"/>
        </w:rPr>
      </w:pPr>
      <w:r>
        <w:rPr>
          <w:rFonts w:ascii="Times New Roman" w:hAnsi="Times New Roman"/>
          <w:sz w:val="20"/>
        </w:rPr>
        <w:t>To determine whether the Performance Target Absolute Share Price Performance has been achieved, the last year of the Waiting Period is divided into four quarters and the three-month volume-weighted average price of the Shares or the three-month volume-weighted average price to be converted into amounts per Share of the rights or certificate representing the Share on the Primary Stock Exchange during such quarter is determined at the end of each quarter (the </w:t>
      </w:r>
      <w:r>
        <w:rPr>
          <w:rFonts w:ascii="Times New Roman" w:hAnsi="Times New Roman"/>
          <w:b/>
          <w:sz w:val="20"/>
        </w:rPr>
        <w:t>Target Closing Price</w:t>
      </w:r>
      <w:r>
        <w:rPr>
          <w:rFonts w:ascii="Times New Roman" w:hAnsi="Times New Roman"/>
          <w:sz w:val="20"/>
        </w:rPr>
        <w:t xml:space="preserve">). A price in a currency other than Euro shall be converted into a Euro amount on the basis of the average exchange rate during such quarter as published by the European Central Bank; the resulting Euro amount shall be rounded down to the next two decimals. </w:t>
      </w:r>
    </w:p>
    <w:p>
      <w:pPr>
        <w:pStyle w:val="TextBody"/>
        <w:spacing w:before="120" w:after="0"/>
        <w:jc w:val="left"/>
        <w:rPr>
          <w:rFonts w:ascii="Times New Roman" w:hAnsi="Times New Roman"/>
          <w:sz w:val="20"/>
        </w:rPr>
      </w:pPr>
      <w:r>
        <w:rPr>
          <w:rFonts w:ascii="Times New Roman" w:hAnsi="Times New Roman"/>
          <w:sz w:val="20"/>
        </w:rPr>
        <w:t xml:space="preserve">The Absolute Share Price Performance is 100%, if at least one Target Closing Price is at least 50% over the Exercise Price. If no Target Closing Price is at least 50% over the Exercise Price, the target achievement of the Absolute Share Price Performance is 0%. A target achievement of the Absolute Share Price Performance above 100% is not possible.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level of achievement of the ESG Target is evaluated as follows: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9"/>
        <w:gridCol w:w="9686"/>
      </w:tblGrid>
      <w:tr>
        <w:trPr/>
        <w:tc>
          <w:tcPr>
            <w:tcW w:w="519" w:type="dxa"/>
            <w:tcBorders/>
            <w:shd w:fill="auto" w:val="clear"/>
          </w:tcPr>
          <w:p>
            <w:pPr>
              <w:pStyle w:val="TableContents"/>
              <w:spacing w:before="0" w:after="283"/>
              <w:jc w:val="left"/>
              <w:rPr/>
            </w:pPr>
            <w:r>
              <w:rPr/>
              <w:t>5.5.1</w:t>
            </w:r>
          </w:p>
        </w:tc>
        <w:tc>
          <w:tcPr>
            <w:tcW w:w="96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ESG Target is composed of a diversity target (the </w:t>
            </w:r>
            <w:r>
              <w:rPr>
                <w:rFonts w:ascii="Times New Roman" w:hAnsi="Times New Roman"/>
                <w:b/>
                <w:sz w:val="20"/>
              </w:rPr>
              <w:t>Diversity Target</w:t>
            </w:r>
            <w:r>
              <w:rPr>
                <w:rFonts w:ascii="Times New Roman" w:hAnsi="Times New Roman"/>
                <w:sz w:val="20"/>
              </w:rPr>
              <w:t>) and an employee engagement target (the </w:t>
            </w:r>
            <w:r>
              <w:rPr>
                <w:rFonts w:ascii="Times New Roman" w:hAnsi="Times New Roman"/>
                <w:b/>
                <w:sz w:val="20"/>
              </w:rPr>
              <w:t>Employee Engagement Target</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2"/>
        <w:gridCol w:w="9693"/>
      </w:tblGrid>
      <w:tr>
        <w:trPr/>
        <w:tc>
          <w:tcPr>
            <w:tcW w:w="512" w:type="dxa"/>
            <w:tcBorders/>
            <w:shd w:fill="auto" w:val="clear"/>
          </w:tcPr>
          <w:p>
            <w:pPr>
              <w:pStyle w:val="TableContents"/>
              <w:spacing w:before="0" w:after="283"/>
              <w:jc w:val="left"/>
              <w:rPr/>
            </w:pPr>
            <w:r>
              <w:rPr/>
              <w:t>5.5.2</w:t>
            </w:r>
          </w:p>
        </w:tc>
        <w:tc>
          <w:tcPr>
            <w:tcW w:w="96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determine the level of achievement of the Diversity Target, the Supervisory Board determines the proportion of women (as a percentage) within the Company and its affiliated companies within the meaning of Sec. 15 </w:t>
            </w:r>
            <w:r>
              <w:rPr>
                <w:rFonts w:ascii="Times New Roman" w:hAnsi="Times New Roman"/>
                <w:i/>
                <w:sz w:val="20"/>
              </w:rPr>
              <w:t>et. seqq.</w:t>
            </w:r>
            <w:r>
              <w:rPr>
                <w:rFonts w:ascii="Times New Roman" w:hAnsi="Times New Roman"/>
                <w:sz w:val="20"/>
              </w:rPr>
              <w:t xml:space="preserve"> AktG (the </w:t>
            </w:r>
            <w:r>
              <w:rPr>
                <w:rFonts w:ascii="Times New Roman" w:hAnsi="Times New Roman"/>
                <w:b/>
                <w:sz w:val="20"/>
              </w:rPr>
              <w:t>Mynaric Group</w:t>
            </w:r>
            <w:r>
              <w:rPr>
                <w:rFonts w:ascii="Times New Roman" w:hAnsi="Times New Roman"/>
                <w:sz w:val="20"/>
              </w:rPr>
              <w:t xml:space="preserve">) as of the beginning and the end of the Waiting Period. The Diversity Target is achieved, if the percentage of women within the Mynaric Group at the end of the Waiting Period is five percentage points higher than the percentage of women as determined at the beginning of the Waiting Period. If the proportion of women at the beginning of the Waiting Period is at least 30% or if a share of women within the Mynaric Group of at least 30% is achieved during the Waiting Period, the Diversity Target is achieved if the share of women within the Mynaric Group is still at least 30% at the end of the Waiting Period.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9/35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14"/>
        <w:gridCol w:w="9691"/>
      </w:tblGrid>
      <w:tr>
        <w:trPr/>
        <w:tc>
          <w:tcPr>
            <w:tcW w:w="514" w:type="dxa"/>
            <w:tcBorders/>
            <w:shd w:fill="auto" w:val="clear"/>
          </w:tcPr>
          <w:p>
            <w:pPr>
              <w:pStyle w:val="TableContents"/>
              <w:spacing w:before="0" w:after="283"/>
              <w:jc w:val="left"/>
              <w:rPr/>
            </w:pPr>
            <w:r>
              <w:rPr/>
              <w:t>5.5.3</w:t>
            </w:r>
          </w:p>
        </w:tc>
        <w:tc>
          <w:tcPr>
            <w:tcW w:w="96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To determine the level of achievement of the Employee Engagement Target, the Supervisory Board, with the support of an external service provider, determines the employee engagement (</w:t>
            </w:r>
            <w:r>
              <w:rPr>
                <w:rFonts w:ascii="Times New Roman" w:hAnsi="Times New Roman"/>
                <w:i/>
                <w:sz w:val="20"/>
              </w:rPr>
              <w:t>Mitarbeiterzufriedenheit</w:t>
            </w:r>
            <w:r>
              <w:rPr>
                <w:rFonts w:ascii="Times New Roman" w:hAnsi="Times New Roman"/>
                <w:sz w:val="20"/>
              </w:rPr>
              <w:t xml:space="preserve">) within the Mynaric Group as of the beginning and the end of the Waiting Period (whereby the employee engagement will be determined (i) within one month prior to the beginning and following the beginning and (ii) within one month prior to the end and following the end of the Waiting Period, respectively). The Employee Engagement Target is achieved, if the employee engagement at the end of the Waiting Period exceeds the employee engagement as determined at the beginning of the Waiting Period by at least five percentage points. If the employee engagement at the beginning of the Waiting Period is at least 80% or if an employee engagement of at least 80% is achieved during the Waiting Period, the Employee Engagement Target is achieved if the employee engagement is still 80% at the end of the Waiting Period.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2"/>
        <w:gridCol w:w="9703"/>
      </w:tblGrid>
      <w:tr>
        <w:trPr/>
        <w:tc>
          <w:tcPr>
            <w:tcW w:w="502" w:type="dxa"/>
            <w:tcBorders/>
            <w:shd w:fill="auto" w:val="clear"/>
          </w:tcPr>
          <w:p>
            <w:pPr>
              <w:pStyle w:val="TableContents"/>
              <w:spacing w:before="0" w:after="283"/>
              <w:jc w:val="left"/>
              <w:rPr/>
            </w:pPr>
            <w:r>
              <w:rPr/>
              <w:t>5.5.4</w:t>
            </w:r>
          </w:p>
        </w:tc>
        <w:tc>
          <w:tcPr>
            <w:tcW w:w="970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At the end of the Waiting Period, the Supervisory Board determines the target achievement of the ESG Target as follows: If neither the Diversity Target nor the Employee Engagement Target has been achieved at the end of the Waiting Period, the target achievement for the ESG Target (the </w:t>
            </w:r>
            <w:r>
              <w:rPr>
                <w:rFonts w:ascii="Times New Roman" w:hAnsi="Times New Roman"/>
                <w:b/>
                <w:sz w:val="20"/>
              </w:rPr>
              <w:t>ESG Target Achievement</w:t>
            </w:r>
            <w:r>
              <w:rPr>
                <w:rFonts w:ascii="Times New Roman" w:hAnsi="Times New Roman"/>
                <w:sz w:val="20"/>
              </w:rPr>
              <w:t xml:space="preserve">) is 0%. If either the Diversity Target or the Employee Engagement Target has been achieved at the end of the Waiting Period, the ESG Target Achievement is 50%. If both the Diversity Target and the Employee Engagement Target have been achieved at the end of the Waiting Period, the ESG Target Achievement is 100%. An ESG Target Achievement above 100% is not possible.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5.6</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overall target achievement (the </w:t>
            </w:r>
            <w:r>
              <w:rPr>
                <w:rFonts w:ascii="Times New Roman" w:hAnsi="Times New Roman"/>
                <w:b/>
                <w:sz w:val="20"/>
              </w:rPr>
              <w:t>Overall Target Achievement</w:t>
            </w:r>
            <w:r>
              <w:rPr>
                <w:rFonts w:ascii="Times New Roman" w:hAnsi="Times New Roman"/>
                <w:sz w:val="20"/>
              </w:rPr>
              <w:t>) is calculated as follows: The Absolute Share Price Performance Target Achievement (as a percentage) is multiplied with 0.8, and the ESG Target Achievement (as a percentage) is multiplied with 0.2. The result is added up and rounded down to the nearest integer. The number of Initial Stock Options, multiplied by the Overall Target Achievement (as a percentage), and the result rounded down to the nearest whole number, determines the final number of exercisable Stock Options (the </w:t>
            </w:r>
            <w:r>
              <w:rPr>
                <w:rFonts w:ascii="Times New Roman" w:hAnsi="Times New Roman"/>
                <w:b/>
                <w:sz w:val="20"/>
              </w:rPr>
              <w:t>Exercisable Stock Options</w:t>
            </w:r>
            <w:r>
              <w:rPr>
                <w:rFonts w:ascii="Times New Roman" w:hAnsi="Times New Roman"/>
                <w:sz w:val="20"/>
              </w:rPr>
              <w:t xml:space="preserv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10/35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283"/>
              <w:jc w:val="left"/>
              <w:rPr/>
            </w:pPr>
            <w:r>
              <w:rPr>
                <w:u w:val="single"/>
              </w:rPr>
              <w:t>Example</w:t>
            </w:r>
            <w:r>
              <w:rPr/>
              <w:t xml:space="preserve">: The Absolute Share Price Performance Target Achievement is 50% and the ESG Target Achievement is 100%. </w:t>
            </w:r>
          </w:p>
        </w:tc>
      </w:tr>
    </w:tbl>
    <w:p>
      <w:pPr>
        <w:pStyle w:val="TextBody"/>
        <w:spacing w:before="120" w:after="0"/>
        <w:jc w:val="left"/>
        <w:rPr>
          <w:rFonts w:ascii="Times New Roman" w:hAnsi="Times New Roman"/>
          <w:sz w:val="20"/>
        </w:rPr>
      </w:pPr>
      <w:r>
        <w:rPr>
          <w:rFonts w:ascii="Times New Roman" w:hAnsi="Times New Roman"/>
          <w:sz w:val="20"/>
        </w:rPr>
        <w:t xml:space="preserve">The Overall Target Achievement is calculated as follows: </w:t>
      </w:r>
    </w:p>
    <w:p>
      <w:pPr>
        <w:pStyle w:val="TextBody"/>
        <w:spacing w:before="120" w:after="0"/>
        <w:jc w:val="left"/>
        <w:rPr>
          <w:rFonts w:ascii="Times New Roman" w:hAnsi="Times New Roman"/>
          <w:sz w:val="20"/>
        </w:rPr>
      </w:pPr>
      <w:r>
        <w:rPr>
          <w:rFonts w:ascii="Times New Roman" w:hAnsi="Times New Roman"/>
          <w:sz w:val="20"/>
        </w:rPr>
        <w:t xml:space="preserve">50 * 0.8 + 100 * 0.2 = 40 + 20 = </w:t>
      </w:r>
      <w:r>
        <w:rPr>
          <w:rFonts w:ascii="Times New Roman" w:hAnsi="Times New Roman"/>
          <w:b/>
          <w:sz w:val="20"/>
          <w:u w:val="single"/>
        </w:rPr>
        <w:t>60% (Overall Target Achievement)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If the Initial Stock Options amounted to 933, the Exercisable Stock Options amount to 60% of the Initial Stock Options, i.e., 933 * 0,6 = 559,80, i.e., </w:t>
      </w:r>
      <w:r>
        <w:rPr>
          <w:rFonts w:ascii="Times New Roman" w:hAnsi="Times New Roman"/>
          <w:b/>
          <w:sz w:val="20"/>
          <w:u w:val="single"/>
        </w:rPr>
        <w:t>559 Exercisable Stock Options</w:t>
      </w:r>
      <w:r>
        <w:rPr>
          <w:rFonts w:ascii="Times New Roman" w:hAnsi="Times New Roman"/>
          <w:sz w:val="20"/>
        </w:rPr>
        <w:t xml:space="preserve"> (rounded down to the nearest whole number).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5.7</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Supervisory Board will notify the Participant of the ESG Target Achievement as well as of the underlying target achievement of the Diversity Target and the Employee Engagement Target, respectively, the Overall Target Achievement, the compliance with the Maximum Remuneration and the resulting number of Exercisable Stock Options within one month after the expiry of the Waiting Period, it being understood that Stock Options may only be exercised after such notification (and all other prerequisites for such exercise being met). </w:t>
            </w:r>
          </w:p>
        </w:tc>
      </w:tr>
    </w:tbl>
    <w:p>
      <w:pPr>
        <w:pStyle w:val="TextBody"/>
        <w:spacing w:before="240" w:after="0"/>
        <w:jc w:val="center"/>
        <w:rPr>
          <w:rFonts w:ascii="Times New Roman" w:hAnsi="Times New Roman"/>
          <w:b/>
          <w:sz w:val="20"/>
        </w:rPr>
      </w:pPr>
      <w:r>
        <w:rPr>
          <w:rFonts w:ascii="Times New Roman" w:hAnsi="Times New Roman"/>
          <w:b/>
          <w:sz w:val="20"/>
        </w:rPr>
        <w:t xml:space="preserve">§ 6 </w:t>
      </w:r>
    </w:p>
    <w:p>
      <w:pPr>
        <w:pStyle w:val="TextBody"/>
        <w:spacing w:before="0" w:after="0"/>
        <w:jc w:val="center"/>
        <w:rPr>
          <w:rFonts w:ascii="Times New Roman" w:hAnsi="Times New Roman"/>
          <w:b/>
          <w:sz w:val="20"/>
        </w:rPr>
      </w:pPr>
      <w:r>
        <w:rPr>
          <w:rFonts w:ascii="Times New Roman" w:hAnsi="Times New Roman"/>
          <w:b/>
          <w:sz w:val="20"/>
        </w:rPr>
        <w:t xml:space="preserve">WAITING PERIOD AND EXERCISE PERIOD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6.1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waiting period until the date on which the Stock Options may initially be exercised begins on the Grant Date and ends at the end of the fourth anniversary after the Grant Date (the </w:t>
            </w:r>
            <w:r>
              <w:rPr>
                <w:rFonts w:ascii="Times New Roman" w:hAnsi="Times New Roman"/>
                <w:b/>
                <w:sz w:val="20"/>
              </w:rPr>
              <w:t>Waiting Period</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6.2</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Subject to § 5, all Stock Options may be exercised only within a time period of five years following the date on which the Waiting Period has expired (the </w:t>
            </w:r>
            <w:r>
              <w:rPr>
                <w:rFonts w:ascii="Times New Roman" w:hAnsi="Times New Roman"/>
                <w:b/>
                <w:sz w:val="20"/>
              </w:rPr>
              <w:t>Exercise Period</w:t>
            </w:r>
            <w:r>
              <w:rPr>
                <w:rFonts w:ascii="Times New Roman" w:hAnsi="Times New Roman"/>
                <w:sz w:val="20"/>
              </w:rPr>
              <w:t xml:space="preserve">). The Exercise Period may be extended appropriately if, due to statutory or internal company regulations, an exercise is not possible at the end of the original Exercise Period. Stock Options that have not been exercised by the end of the respective Exercise Period shall forfeit without entitlement to compensation.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11/35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 7 </w:t>
      </w:r>
    </w:p>
    <w:p>
      <w:pPr>
        <w:pStyle w:val="TextBody"/>
        <w:spacing w:before="0" w:after="0"/>
        <w:jc w:val="center"/>
        <w:rPr>
          <w:rFonts w:ascii="Times New Roman" w:hAnsi="Times New Roman"/>
          <w:b/>
          <w:sz w:val="20"/>
        </w:rPr>
      </w:pPr>
      <w:r>
        <w:rPr>
          <w:rFonts w:ascii="Times New Roman" w:hAnsi="Times New Roman"/>
          <w:b/>
          <w:sz w:val="20"/>
        </w:rPr>
        <w:t xml:space="preserve">EXERCISE NOTICE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7.1</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Subject to the fulfilment of the Exercise Conditions, each Participant may exercise all or part of his Stock Options by way of a written declaration (</w:t>
            </w:r>
            <w:r>
              <w:rPr>
                <w:rFonts w:ascii="Times New Roman" w:hAnsi="Times New Roman"/>
                <w:i/>
                <w:sz w:val="20"/>
              </w:rPr>
              <w:t>schriftliche Erklärung</w:t>
            </w:r>
            <w:r>
              <w:rPr>
                <w:rFonts w:ascii="Times New Roman" w:hAnsi="Times New Roman"/>
                <w:sz w:val="20"/>
              </w:rPr>
              <w:t xml:space="preserve">) to the Company in the form as attached hereto as </w:t>
            </w:r>
            <w:r>
              <w:rPr>
                <w:rFonts w:ascii="Times New Roman" w:hAnsi="Times New Roman"/>
                <w:b/>
                <w:sz w:val="20"/>
                <w:u w:val="single"/>
              </w:rPr>
              <w:t>Annex 7.1</w:t>
            </w:r>
            <w:r>
              <w:rPr>
                <w:rFonts w:ascii="Times New Roman" w:hAnsi="Times New Roman"/>
                <w:sz w:val="20"/>
              </w:rPr>
              <w:t xml:space="preserve"> (the </w:t>
            </w:r>
            <w:r>
              <w:rPr>
                <w:rFonts w:ascii="Times New Roman" w:hAnsi="Times New Roman"/>
                <w:b/>
                <w:sz w:val="20"/>
              </w:rPr>
              <w:t>Exercise Notice</w:t>
            </w:r>
            <w:r>
              <w:rPr>
                <w:rFonts w:ascii="Times New Roman" w:hAnsi="Times New Roman"/>
                <w:sz w:val="20"/>
              </w:rPr>
              <w:t xml:space="preserve">), which must be received by the Company in duplicate within an Exercise Period.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7.2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Exercise Notice shall be backed by a proof of sufficient funds for the Exercise Price and further expenses payable in respect of the number of exercised Stock Options and by a proof of sufficient funds for the estimated payroll taxes and employee social security contributions (if any) or any similar taxes and duties. The Company reserves the right not to transfer the Shares to the Participant until full payment of the Exercise Price, including taxes and social security contributions, if and to the extent applicable.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7.3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In order to facilitate the exercise of the Stock Options by the Participants the Company may  in its sole discretion and subject always to applicable law  arrange for the benefit of the Participants with a financial institution (the </w:t>
            </w:r>
            <w:r>
              <w:rPr>
                <w:rFonts w:ascii="Times New Roman" w:hAnsi="Times New Roman"/>
                <w:b/>
                <w:sz w:val="20"/>
              </w:rPr>
              <w:t>Bank</w:t>
            </w:r>
            <w:r>
              <w:rPr>
                <w:rFonts w:ascii="Times New Roman" w:hAnsi="Times New Roman"/>
                <w:sz w:val="20"/>
              </w:rPr>
              <w:t>) a pre-financing of the payment of some or all of the aggregate Exercise Price (together with any taxes and social security contributions) (the </w:t>
            </w:r>
            <w:r>
              <w:rPr>
                <w:rFonts w:ascii="Times New Roman" w:hAnsi="Times New Roman"/>
                <w:b/>
                <w:sz w:val="20"/>
              </w:rPr>
              <w:t>Pre-Financing</w:t>
            </w:r>
            <w:r>
              <w:rPr>
                <w:rFonts w:ascii="Times New Roman" w:hAnsi="Times New Roman"/>
                <w:sz w:val="20"/>
              </w:rPr>
              <w:t>) and a sale on behalf of the relevant Participant of such a number of Exercise Shares on a stock exchange necessary to repay the Pre-Financing (the </w:t>
            </w:r>
            <w:r>
              <w:rPr>
                <w:rFonts w:ascii="Times New Roman" w:hAnsi="Times New Roman"/>
                <w:b/>
                <w:sz w:val="20"/>
              </w:rPr>
              <w:t>Cashless Exercise Option</w:t>
            </w:r>
            <w:r>
              <w:rPr>
                <w:rFonts w:ascii="Times New Roman" w:hAnsi="Times New Roman"/>
                <w:sz w:val="20"/>
              </w:rPr>
              <w:t xml:space="preserve">). Participants who wish to use the Cashless Exercise Option may be required inter alia: (i) to open a deposit account (Depot) with the Bank; (ii) to have all Exercise Shares for which the Cashless Exercise Option is used booked into such deposit account; and (iii) irrevocably instruct and authorize the Bank to sell the number of Exercise Shares necessary to repay the Pre-Financing. The Company bears all costs relating to the implementation of the Cashless Exercise Option (such as arrangement or administration fees). Any Participant who makes use of the Cashless Exercise Option has to bear all costs relating to the Pre-Financing and the sale of the Exercise Shares (in particular any interest and brokerage fees).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12/35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 8 </w:t>
      </w:r>
    </w:p>
    <w:p>
      <w:pPr>
        <w:pStyle w:val="TextBody"/>
        <w:spacing w:before="0" w:after="0"/>
        <w:jc w:val="center"/>
        <w:rPr>
          <w:rFonts w:ascii="Times New Roman" w:hAnsi="Times New Roman"/>
          <w:b/>
          <w:sz w:val="20"/>
        </w:rPr>
      </w:pPr>
      <w:r>
        <w:rPr>
          <w:rFonts w:ascii="Times New Roman" w:hAnsi="Times New Roman"/>
          <w:b/>
          <w:sz w:val="20"/>
        </w:rPr>
        <w:t xml:space="preserve">CLAW-BACK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8.1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In the event that a Participant willfully or grossly negligent breaches statutory duties or the code of conduct of the Company (each a </w:t>
            </w:r>
            <w:r>
              <w:rPr>
                <w:rFonts w:ascii="Times New Roman" w:hAnsi="Times New Roman"/>
                <w:b/>
                <w:sz w:val="20"/>
              </w:rPr>
              <w:t>Breach of Duty</w:t>
            </w:r>
            <w:r>
              <w:rPr>
                <w:rFonts w:ascii="Times New Roman" w:hAnsi="Times New Roman"/>
                <w:sz w:val="20"/>
              </w:rPr>
              <w:t>), the Supervisory Board is entitled to retain or reclaim in its discretion (</w:t>
            </w:r>
            <w:r>
              <w:rPr>
                <w:rFonts w:ascii="Times New Roman" w:hAnsi="Times New Roman"/>
                <w:i/>
                <w:sz w:val="20"/>
              </w:rPr>
              <w:t>pflichtgemäßes Ermessen</w:t>
            </w:r>
            <w:r>
              <w:rPr>
                <w:rFonts w:ascii="Times New Roman" w:hAnsi="Times New Roman"/>
                <w:sz w:val="20"/>
              </w:rPr>
              <w:t xml:space="preserve">) the payout in the form of a Cash Settlement or Share Settlement in whole or in part in accordance with the following provisions: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2"/>
        <w:gridCol w:w="9703"/>
      </w:tblGrid>
      <w:tr>
        <w:trPr/>
        <w:tc>
          <w:tcPr>
            <w:tcW w:w="502" w:type="dxa"/>
            <w:tcBorders/>
            <w:shd w:fill="auto" w:val="clear"/>
          </w:tcPr>
          <w:p>
            <w:pPr>
              <w:pStyle w:val="TableContents"/>
              <w:spacing w:before="0" w:after="283"/>
              <w:jc w:val="left"/>
              <w:rPr/>
            </w:pPr>
            <w:r>
              <w:rPr/>
              <w:t>8.1.1</w:t>
            </w:r>
          </w:p>
        </w:tc>
        <w:tc>
          <w:tcPr>
            <w:tcW w:w="970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In the event a Breach of Duty occurs, the Supervisory Board may decide in its discretion (</w:t>
            </w:r>
            <w:r>
              <w:rPr>
                <w:rFonts w:ascii="Times New Roman" w:hAnsi="Times New Roman"/>
                <w:i/>
                <w:sz w:val="20"/>
              </w:rPr>
              <w:t>pflichtgemäßes Ermessen</w:t>
            </w:r>
            <w:r>
              <w:rPr>
                <w:rFonts w:ascii="Times New Roman" w:hAnsi="Times New Roman"/>
                <w:sz w:val="20"/>
              </w:rPr>
              <w:t>) that Stock Options which were granted for the financial year in which the Breach of Duty has occurred and which have not been settled by the Company in accordance with § 2.4 above shall forfeit all or in part without entitlement to compensation (</w:t>
            </w:r>
            <w:r>
              <w:rPr>
                <w:rFonts w:ascii="Times New Roman" w:hAnsi="Times New Roman"/>
                <w:i/>
                <w:sz w:val="20"/>
              </w:rPr>
              <w:t>malus</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2"/>
        <w:gridCol w:w="9703"/>
      </w:tblGrid>
      <w:tr>
        <w:trPr/>
        <w:tc>
          <w:tcPr>
            <w:tcW w:w="502" w:type="dxa"/>
            <w:tcBorders/>
            <w:shd w:fill="auto" w:val="clear"/>
          </w:tcPr>
          <w:p>
            <w:pPr>
              <w:pStyle w:val="TableContents"/>
              <w:spacing w:before="0" w:after="283"/>
              <w:jc w:val="left"/>
              <w:rPr/>
            </w:pPr>
            <w:r>
              <w:rPr/>
              <w:t>8.1.2</w:t>
            </w:r>
          </w:p>
        </w:tc>
        <w:tc>
          <w:tcPr>
            <w:tcW w:w="970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In the event a Breach of Duty occurs and the Stock Options have already been settled by the Company in accordance with § 2.4 above, the Supervisory Board is further entitled to reclaim, in its discretion (</w:t>
            </w:r>
            <w:r>
              <w:rPr>
                <w:rFonts w:ascii="Times New Roman" w:hAnsi="Times New Roman"/>
                <w:i/>
                <w:sz w:val="20"/>
              </w:rPr>
              <w:t>pflichtgemäßes Ermes-sen</w:t>
            </w:r>
            <w:r>
              <w:rPr>
                <w:rFonts w:ascii="Times New Roman" w:hAnsi="Times New Roman"/>
                <w:sz w:val="20"/>
              </w:rPr>
              <w:t>) the payout in whole or in part for the financial year in which the Breach of Duty has occurred (</w:t>
            </w:r>
            <w:r>
              <w:rPr>
                <w:rFonts w:ascii="Times New Roman" w:hAnsi="Times New Roman"/>
                <w:i/>
                <w:sz w:val="20"/>
              </w:rPr>
              <w:t>clawback</w:t>
            </w:r>
            <w:r>
              <w:rPr>
                <w:rFonts w:ascii="Times New Roman" w:hAnsi="Times New Roman"/>
                <w:sz w:val="20"/>
              </w:rPr>
              <w:t xml:space="preserve">), whereby the following shall apply: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9"/>
        <w:gridCol w:w="9288"/>
      </w:tblGrid>
      <w:tr>
        <w:trPr/>
        <w:tc>
          <w:tcPr>
            <w:tcW w:w="4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Stock Options have been settled in shares in accordance with § 2.4.1 above, the Supervisory Board is entitled to claim a compensation payment for all or part of the Stock Options already settled, provided that not more than three years have passed since the settlement of the Stock Options. The compensation payment shall correspond to the amount of (i) the number of Stock Options, the Supervisory Board claims compensation for, multiplied by the Relevant Closing Price, and (ii) in case, the respective Participant has already paid the Exercise Price for Stock Options, minus the Exercise Price multiplied by the number of Stock Options the Supervisory Board claims compensation for.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10"/>
        <w:gridCol w:w="9287"/>
      </w:tblGrid>
      <w:tr>
        <w:trPr/>
        <w:tc>
          <w:tcPr>
            <w:tcW w:w="408"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(ii)</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If the Stock Options have been settled in cash in accordance with § 2.4.2 above, the Supervisory Board is entitled to reclaim in its discretion (</w:t>
            </w:r>
            <w:r>
              <w:rPr>
                <w:rFonts w:ascii="Times New Roman" w:hAnsi="Times New Roman"/>
                <w:i/>
                <w:sz w:val="20"/>
              </w:rPr>
              <w:t>pflichtgemäßes Ermessen</w:t>
            </w:r>
            <w:r>
              <w:rPr>
                <w:rFonts w:ascii="Times New Roman" w:hAnsi="Times New Roman"/>
                <w:sz w:val="20"/>
              </w:rPr>
              <w:t xml:space="preserve">) the payout in whole or in part, provided that no more than three years have passed since the settlement of the Stock Options.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13/35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35"/>
        <w:gridCol w:w="9670"/>
      </w:tblGrid>
      <w:tr>
        <w:trPr/>
        <w:tc>
          <w:tcPr>
            <w:tcW w:w="535" w:type="dxa"/>
            <w:tcBorders/>
            <w:shd w:fill="auto" w:val="clear"/>
          </w:tcPr>
          <w:p>
            <w:pPr>
              <w:pStyle w:val="TableContents"/>
              <w:spacing w:before="0" w:after="283"/>
              <w:jc w:val="left"/>
              <w:rPr/>
            </w:pPr>
            <w:r>
              <w:rPr/>
              <w:t>8.1.3</w:t>
            </w:r>
          </w:p>
        </w:tc>
        <w:tc>
          <w:tcPr>
            <w:tcW w:w="967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Proof of damage is not required.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2"/>
        <w:gridCol w:w="9683"/>
      </w:tblGrid>
      <w:tr>
        <w:trPr/>
        <w:tc>
          <w:tcPr>
            <w:tcW w:w="522" w:type="dxa"/>
            <w:tcBorders/>
            <w:shd w:fill="auto" w:val="clear"/>
          </w:tcPr>
          <w:p>
            <w:pPr>
              <w:pStyle w:val="TableContents"/>
              <w:spacing w:before="0" w:after="283"/>
              <w:jc w:val="left"/>
              <w:rPr/>
            </w:pPr>
            <w:r>
              <w:rPr/>
              <w:t>8.1.4</w:t>
            </w:r>
          </w:p>
        </w:tc>
        <w:tc>
          <w:tcPr>
            <w:tcW w:w="968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case of a permanent or recurring Breach of Duty, § 8.1.1 and § 8.1.2 above shall apply for all financial years in which the Breach of Duty occurs or is still continuing.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6"/>
        <w:gridCol w:w="9699"/>
      </w:tblGrid>
      <w:tr>
        <w:trPr/>
        <w:tc>
          <w:tcPr>
            <w:tcW w:w="506" w:type="dxa"/>
            <w:tcBorders/>
            <w:shd w:fill="auto" w:val="clear"/>
          </w:tcPr>
          <w:p>
            <w:pPr>
              <w:pStyle w:val="TableContents"/>
              <w:spacing w:before="0" w:after="283"/>
              <w:jc w:val="left"/>
              <w:rPr/>
            </w:pPr>
            <w:r>
              <w:rPr/>
              <w:t>8.1.5</w:t>
            </w:r>
          </w:p>
        </w:tc>
        <w:tc>
          <w:tcPr>
            <w:tcW w:w="96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Supervisory Board shall decide in each individual case at its due discretion, taking into account the circumstances of the individual case, in particular the significance of the duty that has been breached, the weight of the causal contribution of the Participant and the damage incurred, and considering the interests of both the Participant and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6"/>
        <w:gridCol w:w="9689"/>
      </w:tblGrid>
      <w:tr>
        <w:trPr/>
        <w:tc>
          <w:tcPr>
            <w:tcW w:w="516" w:type="dxa"/>
            <w:tcBorders/>
            <w:shd w:fill="auto" w:val="clear"/>
          </w:tcPr>
          <w:p>
            <w:pPr>
              <w:pStyle w:val="TableContents"/>
              <w:spacing w:before="0" w:after="283"/>
              <w:jc w:val="left"/>
              <w:rPr/>
            </w:pPr>
            <w:r>
              <w:rPr/>
              <w:t>8.1.6</w:t>
            </w:r>
          </w:p>
        </w:tc>
        <w:tc>
          <w:tcPr>
            <w:tcW w:w="96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818 para. (3) of the German Civil Code (</w:t>
            </w:r>
            <w:r>
              <w:rPr>
                <w:rFonts w:ascii="Times New Roman" w:hAnsi="Times New Roman"/>
                <w:i/>
                <w:sz w:val="20"/>
              </w:rPr>
              <w:t>Bürgerliches Gesetzbuch</w:t>
            </w:r>
            <w:r>
              <w:rPr>
                <w:rFonts w:ascii="Times New Roman" w:hAnsi="Times New Roman"/>
                <w:sz w:val="20"/>
              </w:rPr>
              <w:t>, </w:t>
            </w:r>
            <w:r>
              <w:rPr>
                <w:rFonts w:ascii="Times New Roman" w:hAnsi="Times New Roman"/>
                <w:b/>
                <w:sz w:val="20"/>
              </w:rPr>
              <w:t>BGB</w:t>
            </w:r>
            <w:r>
              <w:rPr>
                <w:rFonts w:ascii="Times New Roman" w:hAnsi="Times New Roman"/>
                <w:sz w:val="20"/>
              </w:rPr>
              <w:t xml:space="preserve">) shall not apply. Claims for damages of the Company shall remain unaffected.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9"/>
        <w:gridCol w:w="9686"/>
      </w:tblGrid>
      <w:tr>
        <w:trPr/>
        <w:tc>
          <w:tcPr>
            <w:tcW w:w="519" w:type="dxa"/>
            <w:tcBorders/>
            <w:shd w:fill="auto" w:val="clear"/>
          </w:tcPr>
          <w:p>
            <w:pPr>
              <w:pStyle w:val="TableContents"/>
              <w:spacing w:before="0" w:after="283"/>
              <w:jc w:val="left"/>
              <w:rPr/>
            </w:pPr>
            <w:r>
              <w:rPr/>
              <w:t>8.1.7</w:t>
            </w:r>
          </w:p>
        </w:tc>
        <w:tc>
          <w:tcPr>
            <w:tcW w:w="968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above shall also apply in case the appointment of the Participant as member of the Management Board and/or the service agreement of the Participant has already ended.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8.2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Supervisory Board is further entitled to reclaim in its discretion (</w:t>
            </w:r>
            <w:r>
              <w:rPr>
                <w:rFonts w:ascii="Times New Roman" w:hAnsi="Times New Roman"/>
                <w:i/>
                <w:sz w:val="20"/>
              </w:rPr>
              <w:t>pflichtgemäßes Ermessen</w:t>
            </w:r>
            <w:r>
              <w:rPr>
                <w:rFonts w:ascii="Times New Roman" w:hAnsi="Times New Roman"/>
                <w:sz w:val="20"/>
              </w:rPr>
              <w:t xml:space="preserve">) the payout already made in case it turns out that the calculation on the basis of which the payout was made was incorrect and that no payment or a lower payment would have been made on the basis of the correct calculation, whereby the following shall apply: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6"/>
        <w:gridCol w:w="9699"/>
      </w:tblGrid>
      <w:tr>
        <w:trPr/>
        <w:tc>
          <w:tcPr>
            <w:tcW w:w="506" w:type="dxa"/>
            <w:tcBorders/>
            <w:shd w:fill="auto" w:val="clear"/>
          </w:tcPr>
          <w:p>
            <w:pPr>
              <w:pStyle w:val="TableContents"/>
              <w:spacing w:before="0" w:after="283"/>
              <w:jc w:val="left"/>
              <w:rPr/>
            </w:pPr>
            <w:r>
              <w:rPr/>
              <w:t>8.2.1</w:t>
            </w:r>
          </w:p>
        </w:tc>
        <w:tc>
          <w:tcPr>
            <w:tcW w:w="96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Stock Options have been settled in shares in accordance with § 2.4.1 above, the Supervisory Board is entitled to claim a compensation payment for all Stock Options which have been settled in excess, provided that not more than three years have passed since the settlement of the Stock Options. The compensation payment shall correspond to the amount of (i) the number of Stock Options which have been settled excess, multiplied by the Relevant Closing Price and (ii) in case, the respective Participant has already paid the Exercise Price for Exercise Shares, minus the Exercise Price multiplied by the number of Stock Options which have been settled in excess.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283"/>
              <w:jc w:val="left"/>
              <w:rPr/>
            </w:pPr>
            <w:r>
              <w:rPr/>
              <w:t>8.2.2</w:t>
            </w:r>
          </w:p>
        </w:tc>
        <w:tc>
          <w:tcPr>
            <w:tcW w:w="967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Stock Options have been settled in cash in accordance with § 2.4.2 above, the Supervisory Board is entitled to reclaim the difference between the cash payment made by the Company and the cash payment amount that would have been made on the basis of the correct calculation, provided that not more than three years have passed since the settlement of the Stock Options.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14/35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8.2.3</w:t>
            </w:r>
          </w:p>
        </w:tc>
        <w:tc>
          <w:tcPr>
            <w:tcW w:w="96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 8.1.6 and § 8.1.7 shall apply accordingly. </w:t>
            </w:r>
          </w:p>
        </w:tc>
      </w:tr>
    </w:tbl>
    <w:p>
      <w:pPr>
        <w:pStyle w:val="TextBody"/>
        <w:spacing w:before="240" w:after="0"/>
        <w:jc w:val="center"/>
        <w:rPr>
          <w:rFonts w:ascii="Times New Roman" w:hAnsi="Times New Roman"/>
          <w:b/>
          <w:sz w:val="20"/>
        </w:rPr>
      </w:pPr>
      <w:r>
        <w:rPr>
          <w:rFonts w:ascii="Times New Roman" w:hAnsi="Times New Roman"/>
          <w:b/>
          <w:sz w:val="20"/>
        </w:rPr>
        <w:t xml:space="preserve">§ 9 </w:t>
      </w:r>
    </w:p>
    <w:p>
      <w:pPr>
        <w:pStyle w:val="TextBody"/>
        <w:spacing w:before="0" w:after="0"/>
        <w:jc w:val="center"/>
        <w:rPr>
          <w:rFonts w:ascii="Times New Roman" w:hAnsi="Times New Roman"/>
          <w:b/>
          <w:sz w:val="20"/>
        </w:rPr>
      </w:pPr>
      <w:r>
        <w:rPr>
          <w:rFonts w:ascii="Times New Roman" w:hAnsi="Times New Roman"/>
          <w:b/>
          <w:sz w:val="20"/>
        </w:rPr>
        <w:t xml:space="preserve">CONSEQUENCES OF A TERMINATION OF OFFICE </w:t>
      </w:r>
    </w:p>
    <w:p>
      <w:pPr>
        <w:pStyle w:val="TextBody"/>
        <w:spacing w:before="240" w:after="0"/>
        <w:jc w:val="left"/>
        <w:rPr>
          <w:rFonts w:ascii="Times New Roman" w:hAnsi="Times New Roman"/>
          <w:sz w:val="20"/>
        </w:rPr>
      </w:pPr>
      <w:r>
        <w:rPr>
          <w:rFonts w:ascii="Times New Roman" w:hAnsi="Times New Roman"/>
          <w:sz w:val="20"/>
        </w:rPr>
        <w:t>In the event a Participants office as member of the Management Board ends before the expiry of the applicable Waiting Period due to a revocation from office (</w:t>
      </w:r>
      <w:r>
        <w:rPr>
          <w:rFonts w:ascii="Times New Roman" w:hAnsi="Times New Roman"/>
          <w:i/>
          <w:sz w:val="20"/>
        </w:rPr>
        <w:t>Widerruf der Bestellung</w:t>
      </w:r>
      <w:r>
        <w:rPr>
          <w:rFonts w:ascii="Times New Roman" w:hAnsi="Times New Roman"/>
          <w:sz w:val="20"/>
        </w:rPr>
        <w:t>) by the Company of the relevant Participant in circumstances where there are grounds justifying a termination of the service relationship for good cause within the meaning of Sec. 626 BGB irrespective of the preclusion period pursuant to Sec. 626 para. 2 BGB (such Participant a </w:t>
      </w:r>
      <w:r>
        <w:rPr>
          <w:rFonts w:ascii="Times New Roman" w:hAnsi="Times New Roman"/>
          <w:b/>
          <w:sz w:val="20"/>
        </w:rPr>
        <w:t>Bad Leaver</w:t>
      </w:r>
      <w:r>
        <w:rPr>
          <w:rFonts w:ascii="Times New Roman" w:hAnsi="Times New Roman"/>
          <w:sz w:val="20"/>
        </w:rPr>
        <w:t>), all Stock Options granted to the Bad Leaver (whether held by him or any third party) will be forfeited without entitlement to compensation. In the event a Participants office as member of the Management Board ends before the expiry of the applicable Waiting Period due to any reason not qualifying the relevant Participant as a Bad Leaver (such Participant a </w:t>
      </w:r>
      <w:r>
        <w:rPr>
          <w:rFonts w:ascii="Times New Roman" w:hAnsi="Times New Roman"/>
          <w:b/>
          <w:sz w:val="20"/>
        </w:rPr>
        <w:t>Good Leaver</w:t>
      </w:r>
      <w:r>
        <w:rPr>
          <w:rFonts w:ascii="Times New Roman" w:hAnsi="Times New Roman"/>
          <w:sz w:val="20"/>
        </w:rPr>
        <w:t xml:space="preserve">), such Good Leaver will retain all Stock Options that he/she has been granted under the SOP 2022. </w:t>
      </w:r>
    </w:p>
    <w:p>
      <w:pPr>
        <w:pStyle w:val="TextBody"/>
        <w:spacing w:before="240" w:after="0"/>
        <w:jc w:val="center"/>
        <w:rPr>
          <w:rFonts w:ascii="Times New Roman" w:hAnsi="Times New Roman"/>
          <w:b/>
          <w:sz w:val="20"/>
        </w:rPr>
      </w:pPr>
      <w:r>
        <w:rPr>
          <w:rFonts w:ascii="Times New Roman" w:hAnsi="Times New Roman"/>
          <w:b/>
          <w:sz w:val="20"/>
        </w:rPr>
        <w:t xml:space="preserve">§ 10 </w:t>
      </w:r>
    </w:p>
    <w:p>
      <w:pPr>
        <w:pStyle w:val="TextBody"/>
        <w:spacing w:before="0" w:after="0"/>
        <w:jc w:val="center"/>
        <w:rPr>
          <w:rFonts w:ascii="Times New Roman" w:hAnsi="Times New Roman"/>
          <w:b/>
          <w:sz w:val="20"/>
        </w:rPr>
      </w:pPr>
      <w:r>
        <w:rPr>
          <w:rFonts w:ascii="Times New Roman" w:hAnsi="Times New Roman"/>
          <w:b/>
          <w:sz w:val="20"/>
        </w:rPr>
        <w:t xml:space="preserve">TRANSFERABILlTY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62"/>
        <w:gridCol w:w="9743"/>
      </w:tblGrid>
      <w:tr>
        <w:trPr/>
        <w:tc>
          <w:tcPr>
            <w:tcW w:w="462" w:type="dxa"/>
            <w:tcBorders/>
            <w:shd w:fill="auto" w:val="clear"/>
          </w:tcPr>
          <w:p>
            <w:pPr>
              <w:pStyle w:val="TableContents"/>
              <w:spacing w:before="0" w:after="283"/>
              <w:jc w:val="left"/>
              <w:rPr/>
            </w:pPr>
            <w:r>
              <w:rPr/>
              <w:t>10.1</w:t>
            </w:r>
          </w:p>
        </w:tc>
        <w:tc>
          <w:tcPr>
            <w:tcW w:w="974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Neither the Stock Options nor the rights of any Participant under any Stock Option or under the SOP 2022 are assignable or otherwise transferable except as provided in this § 10.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62"/>
        <w:gridCol w:w="9743"/>
      </w:tblGrid>
      <w:tr>
        <w:trPr/>
        <w:tc>
          <w:tcPr>
            <w:tcW w:w="462" w:type="dxa"/>
            <w:tcBorders/>
            <w:shd w:fill="auto" w:val="clear"/>
          </w:tcPr>
          <w:p>
            <w:pPr>
              <w:pStyle w:val="TableContents"/>
              <w:spacing w:before="0" w:after="283"/>
              <w:jc w:val="left"/>
              <w:rPr/>
            </w:pPr>
            <w:r>
              <w:rPr/>
              <w:t>10.2</w:t>
            </w:r>
          </w:p>
        </w:tc>
        <w:tc>
          <w:tcPr>
            <w:tcW w:w="974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Stock Options are transferable by will or applicable laws of descent upon the death of the relevant Participant.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15/35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 11 </w:t>
      </w:r>
    </w:p>
    <w:p>
      <w:pPr>
        <w:pStyle w:val="TextBody"/>
        <w:spacing w:before="0" w:after="0"/>
        <w:jc w:val="center"/>
        <w:rPr>
          <w:rFonts w:ascii="Times New Roman" w:hAnsi="Times New Roman"/>
          <w:b/>
          <w:sz w:val="20"/>
        </w:rPr>
      </w:pPr>
      <w:r>
        <w:rPr>
          <w:rFonts w:ascii="Times New Roman" w:hAnsi="Times New Roman"/>
          <w:b/>
          <w:sz w:val="20"/>
        </w:rPr>
        <w:t xml:space="preserve">ADJUSTMENT IN CASE OF SPECIFIC CAPITAL AND OTHER </w:t>
      </w:r>
    </w:p>
    <w:p>
      <w:pPr>
        <w:pStyle w:val="TextBody"/>
        <w:spacing w:before="0" w:after="0"/>
        <w:jc w:val="center"/>
        <w:rPr>
          <w:rFonts w:ascii="Times New Roman" w:hAnsi="Times New Roman"/>
          <w:b/>
          <w:sz w:val="20"/>
        </w:rPr>
      </w:pPr>
      <w:r>
        <w:rPr>
          <w:rFonts w:ascii="Times New Roman" w:hAnsi="Times New Roman"/>
          <w:b/>
          <w:sz w:val="20"/>
        </w:rPr>
        <w:t xml:space="preserve">STRUCTURAL MEASURES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52"/>
        <w:gridCol w:w="9753"/>
      </w:tblGrid>
      <w:tr>
        <w:trPr/>
        <w:tc>
          <w:tcPr>
            <w:tcW w:w="452" w:type="dxa"/>
            <w:tcBorders/>
            <w:shd w:fill="auto" w:val="clear"/>
          </w:tcPr>
          <w:p>
            <w:pPr>
              <w:pStyle w:val="TableContents"/>
              <w:spacing w:before="0" w:after="283"/>
              <w:jc w:val="left"/>
              <w:rPr/>
            </w:pPr>
            <w:r>
              <w:rPr/>
              <w:t>11.1</w:t>
            </w:r>
          </w:p>
        </w:tc>
        <w:tc>
          <w:tcPr>
            <w:tcW w:w="975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event 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714"/>
        <w:gridCol w:w="9084"/>
      </w:tblGrid>
      <w:tr>
        <w:trPr/>
        <w:tc>
          <w:tcPr>
            <w:tcW w:w="407" w:type="dxa"/>
            <w:tcBorders/>
            <w:shd w:fill="auto" w:val="clear"/>
            <w:vAlign w:val="center"/>
          </w:tcPr>
          <w:p>
            <w:pPr>
              <w:pStyle w:val="TableContents"/>
              <w:spacing w:before="0" w:after="283"/>
              <w:rPr/>
            </w:pPr>
            <w:r>
              <w:rPr/>
              <w:t> </w:t>
            </w:r>
          </w:p>
        </w:tc>
        <w:tc>
          <w:tcPr>
            <w:tcW w:w="714" w:type="dxa"/>
            <w:tcBorders/>
            <w:shd w:fill="auto" w:val="clear"/>
          </w:tcPr>
          <w:p>
            <w:pPr>
              <w:pStyle w:val="TableContents"/>
              <w:spacing w:before="0" w:after="283"/>
              <w:jc w:val="left"/>
              <w:rPr/>
            </w:pPr>
            <w:r>
              <w:rPr/>
              <w:t>11.1.1</w:t>
            </w:r>
          </w:p>
        </w:tc>
        <w:tc>
          <w:tcPr>
            <w:tcW w:w="90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 capital increase from Company funds by the issue of new shares (</w:t>
            </w:r>
            <w:r>
              <w:rPr>
                <w:rFonts w:ascii="Times New Roman" w:hAnsi="Times New Roman"/>
                <w:i/>
                <w:sz w:val="20"/>
              </w:rPr>
              <w:t>Kapitalerhöhung aus Gesellschaftsmitteln</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713"/>
        <w:gridCol w:w="9084"/>
      </w:tblGrid>
      <w:tr>
        <w:trPr/>
        <w:tc>
          <w:tcPr>
            <w:tcW w:w="408" w:type="dxa"/>
            <w:tcBorders/>
            <w:shd w:fill="auto" w:val="clear"/>
            <w:vAlign w:val="center"/>
          </w:tcPr>
          <w:p>
            <w:pPr>
              <w:pStyle w:val="TableContents"/>
              <w:spacing w:before="0" w:after="283"/>
              <w:rPr/>
            </w:pPr>
            <w:r>
              <w:rPr/>
              <w:t> </w:t>
            </w:r>
          </w:p>
        </w:tc>
        <w:tc>
          <w:tcPr>
            <w:tcW w:w="713" w:type="dxa"/>
            <w:tcBorders/>
            <w:shd w:fill="auto" w:val="clear"/>
          </w:tcPr>
          <w:p>
            <w:pPr>
              <w:pStyle w:val="TableContents"/>
              <w:spacing w:before="0" w:after="283"/>
              <w:jc w:val="left"/>
              <w:rPr/>
            </w:pPr>
            <w:r>
              <w:rPr/>
              <w:t>11.1.2</w:t>
            </w:r>
          </w:p>
        </w:tc>
        <w:tc>
          <w:tcPr>
            <w:tcW w:w="90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reduction in the number of Shares by merging Shares without capital reduction (reverse share split) or an increase in the number of Shares without capital increase (share split);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714"/>
        <w:gridCol w:w="9083"/>
      </w:tblGrid>
      <w:tr>
        <w:trPr/>
        <w:tc>
          <w:tcPr>
            <w:tcW w:w="408" w:type="dxa"/>
            <w:tcBorders/>
            <w:shd w:fill="auto" w:val="clear"/>
            <w:vAlign w:val="center"/>
          </w:tcPr>
          <w:p>
            <w:pPr>
              <w:pStyle w:val="TableContents"/>
              <w:spacing w:before="0" w:after="283"/>
              <w:rPr/>
            </w:pPr>
            <w:r>
              <w:rPr/>
              <w:t> </w:t>
            </w:r>
          </w:p>
        </w:tc>
        <w:tc>
          <w:tcPr>
            <w:tcW w:w="714" w:type="dxa"/>
            <w:tcBorders/>
            <w:shd w:fill="auto" w:val="clear"/>
          </w:tcPr>
          <w:p>
            <w:pPr>
              <w:pStyle w:val="TableContents"/>
              <w:spacing w:before="0" w:after="283"/>
              <w:jc w:val="left"/>
              <w:rPr/>
            </w:pPr>
            <w:r>
              <w:rPr/>
              <w:t>11.1.3</w:t>
            </w:r>
          </w:p>
        </w:tc>
        <w:tc>
          <w:tcPr>
            <w:tcW w:w="908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 capital reduction (</w:t>
            </w:r>
            <w:r>
              <w:rPr>
                <w:rFonts w:ascii="Times New Roman" w:hAnsi="Times New Roman"/>
                <w:i/>
                <w:sz w:val="20"/>
              </w:rPr>
              <w:t>Kapitalherabsetzung</w:t>
            </w:r>
            <w:r>
              <w:rPr>
                <w:rFonts w:ascii="Times New Roman" w:hAnsi="Times New Roman"/>
                <w:sz w:val="20"/>
              </w:rPr>
              <w:t xml:space="preserve">) with a change in the total number of Shares issued by the Company;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714"/>
        <w:gridCol w:w="9084"/>
      </w:tblGrid>
      <w:tr>
        <w:trPr/>
        <w:tc>
          <w:tcPr>
            <w:tcW w:w="407" w:type="dxa"/>
            <w:tcBorders/>
            <w:shd w:fill="auto" w:val="clear"/>
            <w:vAlign w:val="center"/>
          </w:tcPr>
          <w:p>
            <w:pPr>
              <w:pStyle w:val="TableContents"/>
              <w:spacing w:before="0" w:after="283"/>
              <w:rPr/>
            </w:pPr>
            <w:r>
              <w:rPr/>
              <w:t> </w:t>
            </w:r>
          </w:p>
        </w:tc>
        <w:tc>
          <w:tcPr>
            <w:tcW w:w="714" w:type="dxa"/>
            <w:tcBorders/>
            <w:shd w:fill="auto" w:val="clear"/>
          </w:tcPr>
          <w:p>
            <w:pPr>
              <w:pStyle w:val="TableContents"/>
              <w:spacing w:before="0" w:after="283"/>
              <w:jc w:val="left"/>
              <w:rPr/>
            </w:pPr>
            <w:r>
              <w:rPr/>
              <w:t>11.1.4</w:t>
            </w:r>
          </w:p>
        </w:tc>
        <w:tc>
          <w:tcPr>
            <w:tcW w:w="90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any other such event having an effect similar to any of the foregoing (each an </w:t>
            </w:r>
            <w:r>
              <w:rPr>
                <w:rFonts w:ascii="Times New Roman" w:hAnsi="Times New Roman"/>
                <w:b/>
                <w:i/>
                <w:sz w:val="20"/>
              </w:rPr>
              <w:t>Adjustment Event</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the Supervisory Board may (or shall, to the extent required to avoid adverse accounting consequences under applicable accounting standards)  subject to mandatory law  establish financial equality for the Participants in order to prevent that such Adjustment Event results in a dilution or enlargement of the benefits or potential benefits intended to be made available under the outstanding Stock Options. In such an Adjustment Event the financial equality shall preferably be established by adjusting the number of Stock Options (subject to available funding with Shares).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50"/>
        <w:gridCol w:w="9755"/>
      </w:tblGrid>
      <w:tr>
        <w:trPr/>
        <w:tc>
          <w:tcPr>
            <w:tcW w:w="450" w:type="dxa"/>
            <w:tcBorders/>
            <w:shd w:fill="auto" w:val="clear"/>
          </w:tcPr>
          <w:p>
            <w:pPr>
              <w:pStyle w:val="TableContents"/>
              <w:spacing w:before="0" w:after="283"/>
              <w:jc w:val="left"/>
              <w:rPr/>
            </w:pPr>
            <w:r>
              <w:rPr/>
              <w:t>11.2</w:t>
            </w:r>
          </w:p>
        </w:tc>
        <w:tc>
          <w:tcPr>
            <w:tcW w:w="975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the avoidance of doubt, no adjustment pursuant to § 11.1 shall occur in the event 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714"/>
        <w:gridCol w:w="9084"/>
      </w:tblGrid>
      <w:tr>
        <w:trPr/>
        <w:tc>
          <w:tcPr>
            <w:tcW w:w="407" w:type="dxa"/>
            <w:tcBorders/>
            <w:shd w:fill="auto" w:val="clear"/>
            <w:vAlign w:val="center"/>
          </w:tcPr>
          <w:p>
            <w:pPr>
              <w:pStyle w:val="TableContents"/>
              <w:spacing w:before="0" w:after="283"/>
              <w:rPr/>
            </w:pPr>
            <w:r>
              <w:rPr/>
              <w:t> </w:t>
            </w:r>
          </w:p>
        </w:tc>
        <w:tc>
          <w:tcPr>
            <w:tcW w:w="714" w:type="dxa"/>
            <w:tcBorders/>
            <w:shd w:fill="auto" w:val="clear"/>
          </w:tcPr>
          <w:p>
            <w:pPr>
              <w:pStyle w:val="TableContents"/>
              <w:spacing w:before="0" w:after="283"/>
              <w:jc w:val="left"/>
              <w:rPr/>
            </w:pPr>
            <w:r>
              <w:rPr/>
              <w:t>11.2.1</w:t>
            </w:r>
          </w:p>
        </w:tc>
        <w:tc>
          <w:tcPr>
            <w:tcW w:w="90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 capital increase from Company funds without the issue of new Shares (</w:t>
            </w:r>
            <w:r>
              <w:rPr>
                <w:rFonts w:ascii="Times New Roman" w:hAnsi="Times New Roman"/>
                <w:i/>
                <w:sz w:val="20"/>
              </w:rPr>
              <w:t>Kapitalerhöhung aus Gesellschaftsmitteln ohne Ausgabe neuer Aktien</w:t>
            </w:r>
            <w:r>
              <w:rPr>
                <w:rFonts w:ascii="Times New Roman" w:hAnsi="Times New Roman"/>
                <w:sz w:val="20"/>
              </w:rPr>
              <w:t xml:space="preserv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636"/>
        <w:gridCol w:w="9163"/>
      </w:tblGrid>
      <w:tr>
        <w:trPr/>
        <w:tc>
          <w:tcPr>
            <w:tcW w:w="406" w:type="dxa"/>
            <w:tcBorders/>
            <w:shd w:fill="auto" w:val="clear"/>
            <w:vAlign w:val="center"/>
          </w:tcPr>
          <w:p>
            <w:pPr>
              <w:pStyle w:val="TableContents"/>
              <w:spacing w:before="0" w:after="283"/>
              <w:rPr/>
            </w:pPr>
            <w:r>
              <w:rPr/>
              <w:t> </w:t>
            </w:r>
          </w:p>
        </w:tc>
        <w:tc>
          <w:tcPr>
            <w:tcW w:w="636" w:type="dxa"/>
            <w:tcBorders/>
            <w:shd w:fill="auto" w:val="clear"/>
          </w:tcPr>
          <w:p>
            <w:pPr>
              <w:pStyle w:val="TableContents"/>
              <w:spacing w:before="0" w:after="283"/>
              <w:jc w:val="left"/>
              <w:rPr/>
            </w:pPr>
            <w:r>
              <w:rPr/>
              <w:t>11.2.2</w:t>
            </w:r>
          </w:p>
        </w:tc>
        <w:tc>
          <w:tcPr>
            <w:tcW w:w="916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capital reduction without a change in the total number of Shares issued by the Company.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16/35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63"/>
        <w:gridCol w:w="9742"/>
      </w:tblGrid>
      <w:tr>
        <w:trPr/>
        <w:tc>
          <w:tcPr>
            <w:tcW w:w="463" w:type="dxa"/>
            <w:tcBorders/>
            <w:shd w:fill="auto" w:val="clear"/>
          </w:tcPr>
          <w:p>
            <w:pPr>
              <w:pStyle w:val="TableContents"/>
              <w:spacing w:before="0" w:after="283"/>
              <w:jc w:val="left"/>
              <w:rPr/>
            </w:pPr>
            <w:r>
              <w:rPr/>
              <w:t>11.3</w:t>
            </w:r>
          </w:p>
        </w:tc>
        <w:tc>
          <w:tcPr>
            <w:tcW w:w="974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an adjustment occurs in accordance with this § 11, fractions of shares will not be granted on the exercise of Stock Options nor will they be compensated by a payment in cash.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66"/>
        <w:gridCol w:w="9739"/>
      </w:tblGrid>
      <w:tr>
        <w:trPr/>
        <w:tc>
          <w:tcPr>
            <w:tcW w:w="466" w:type="dxa"/>
            <w:tcBorders/>
            <w:shd w:fill="auto" w:val="clear"/>
          </w:tcPr>
          <w:p>
            <w:pPr>
              <w:pStyle w:val="TableContents"/>
              <w:spacing w:before="0" w:after="283"/>
              <w:jc w:val="left"/>
              <w:rPr/>
            </w:pPr>
            <w:r>
              <w:rPr/>
              <w:t>11.4</w:t>
            </w:r>
          </w:p>
        </w:tc>
        <w:tc>
          <w:tcPr>
            <w:tcW w:w="973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the avoidance of doubt, Sec. 9 para. 1 AktG applies </w:t>
            </w:r>
            <w:r>
              <w:rPr>
                <w:rFonts w:ascii="Times New Roman" w:hAnsi="Times New Roman"/>
                <w:i/>
                <w:sz w:val="20"/>
              </w:rPr>
              <w:t>mutatis mutandis</w:t>
            </w:r>
            <w:r>
              <w:rPr>
                <w:rFonts w:ascii="Times New Roman" w:hAnsi="Times New Roman"/>
                <w:sz w:val="20"/>
              </w:rPr>
              <w:t xml:space="preserve"> to Stock Options which have been adjusted pursuant to this § 11. </w:t>
            </w:r>
          </w:p>
        </w:tc>
      </w:tr>
    </w:tbl>
    <w:p>
      <w:pPr>
        <w:pStyle w:val="TextBody"/>
        <w:spacing w:before="480" w:after="0"/>
        <w:jc w:val="center"/>
        <w:rPr>
          <w:rFonts w:ascii="Times New Roman" w:hAnsi="Times New Roman"/>
          <w:b/>
          <w:sz w:val="20"/>
        </w:rPr>
      </w:pPr>
      <w:r>
        <w:rPr>
          <w:rFonts w:ascii="Times New Roman" w:hAnsi="Times New Roman"/>
          <w:b/>
          <w:sz w:val="20"/>
        </w:rPr>
        <w:t xml:space="preserve">§ 12 </w:t>
      </w:r>
    </w:p>
    <w:p>
      <w:pPr>
        <w:pStyle w:val="TextBody"/>
        <w:spacing w:before="0" w:after="0"/>
        <w:jc w:val="center"/>
        <w:rPr>
          <w:rFonts w:ascii="Times New Roman" w:hAnsi="Times New Roman"/>
          <w:b/>
          <w:sz w:val="20"/>
        </w:rPr>
      </w:pPr>
      <w:r>
        <w:rPr>
          <w:rFonts w:ascii="Times New Roman" w:hAnsi="Times New Roman"/>
          <w:b/>
          <w:sz w:val="20"/>
        </w:rPr>
        <w:t xml:space="preserve">CHANGE OF CONTROL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45"/>
        <w:gridCol w:w="9760"/>
      </w:tblGrid>
      <w:tr>
        <w:trPr/>
        <w:tc>
          <w:tcPr>
            <w:tcW w:w="445" w:type="dxa"/>
            <w:tcBorders/>
            <w:shd w:fill="auto" w:val="clear"/>
          </w:tcPr>
          <w:p>
            <w:pPr>
              <w:pStyle w:val="TableContents"/>
              <w:spacing w:before="0" w:after="283"/>
              <w:jc w:val="left"/>
              <w:rPr/>
            </w:pPr>
            <w:r>
              <w:rPr/>
              <w:t>12.1</w:t>
            </w:r>
          </w:p>
        </w:tc>
        <w:tc>
          <w:tcPr>
            <w:tcW w:w="976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For purposes of this § 12, </w:t>
            </w:r>
            <w:r>
              <w:rPr>
                <w:rFonts w:ascii="Times New Roman" w:hAnsi="Times New Roman"/>
                <w:b/>
                <w:sz w:val="20"/>
              </w:rPr>
              <w:t>Change of Control</w:t>
            </w:r>
            <w:r>
              <w:rPr>
                <w:rFonts w:ascii="Times New Roman" w:hAnsi="Times New Roman"/>
                <w:i/>
                <w:sz w:val="20"/>
              </w:rPr>
              <w:t></w:t>
            </w:r>
            <w:r>
              <w:rPr>
                <w:rFonts w:ascii="Times New Roman" w:hAnsi="Times New Roman"/>
                <w:sz w:val="20"/>
              </w:rPr>
              <w:t xml:space="preserve"> means a situation, where, following the Grant Date, a shareholder of the Company (including any third party becoming a shareholder of the Company as a consequence of the Change of Control) for the first time (directly or indirectly and with Sec. 34 of the German Securities Trading Act (</w:t>
            </w:r>
            <w:r>
              <w:rPr>
                <w:rFonts w:ascii="Times New Roman" w:hAnsi="Times New Roman"/>
                <w:i/>
                <w:sz w:val="20"/>
              </w:rPr>
              <w:t>Wertpapierhandelsgesetz, WpHG</w:t>
            </w:r>
            <w:r>
              <w:rPr>
                <w:rFonts w:ascii="Times New Roman" w:hAnsi="Times New Roman"/>
                <w:sz w:val="20"/>
              </w:rPr>
              <w:t xml:space="preserve"> being applied </w:t>
            </w:r>
            <w:r>
              <w:rPr>
                <w:rFonts w:ascii="Times New Roman" w:hAnsi="Times New Roman"/>
                <w:i/>
                <w:sz w:val="20"/>
              </w:rPr>
              <w:t>mutatis mutandis</w:t>
            </w:r>
            <w:r>
              <w:rPr>
                <w:rFonts w:ascii="Times New Roman" w:hAnsi="Times New Roman"/>
                <w:sz w:val="20"/>
              </w:rPr>
              <w:t xml:space="preserve">) holds more than 50% of the Shares and/or voting rights of the Company (including any ADSs held by such shareholder or third party representing the respective number of Shares and/or voting rights in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52"/>
        <w:gridCol w:w="9753"/>
      </w:tblGrid>
      <w:tr>
        <w:trPr/>
        <w:tc>
          <w:tcPr>
            <w:tcW w:w="452" w:type="dxa"/>
            <w:tcBorders/>
            <w:shd w:fill="auto" w:val="clear"/>
          </w:tcPr>
          <w:p>
            <w:pPr>
              <w:pStyle w:val="TableContents"/>
              <w:spacing w:before="0" w:after="283"/>
              <w:jc w:val="left"/>
              <w:rPr/>
            </w:pPr>
            <w:r>
              <w:rPr/>
              <w:t>12.2</w:t>
            </w:r>
          </w:p>
        </w:tc>
        <w:tc>
          <w:tcPr>
            <w:tcW w:w="975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In case of a Change of Control, the Participants are entitled to request from the Company, by submitting a respective notice to the Company (the </w:t>
            </w:r>
            <w:r>
              <w:rPr>
                <w:rFonts w:ascii="Times New Roman" w:hAnsi="Times New Roman"/>
                <w:b/>
                <w:sz w:val="20"/>
              </w:rPr>
              <w:t>Participant Cancellation Request</w:t>
            </w:r>
            <w:r>
              <w:rPr>
                <w:rFonts w:ascii="Times New Roman" w:hAnsi="Times New Roman"/>
                <w:sz w:val="20"/>
              </w:rPr>
              <w:t>) that all of such Participants Stock Options are cancelled against payment of the Cancellation Compensation. The </w:t>
            </w:r>
            <w:r>
              <w:rPr>
                <w:rFonts w:ascii="Times New Roman" w:hAnsi="Times New Roman"/>
                <w:b/>
                <w:sz w:val="20"/>
              </w:rPr>
              <w:t>Cancellation Compensation</w:t>
            </w:r>
            <w:r>
              <w:rPr>
                <w:rFonts w:ascii="Times New Roman" w:hAnsi="Times New Roman"/>
                <w:sz w:val="20"/>
              </w:rPr>
              <w:t xml:space="preserve"> corresponds to (i) the purchase price which was paid in the course of the acquisition of Shares that resulted in the Change of Control (or offered to the shareholders in case of a public tender offer) or, in case such purchase price is not known, to the average share price of the Shares or rights or certificates representing the Shares on the Companys Primary Stock Exchange on the 30 trading days prior to the Company acquiring knowledge of the Change of Control, (ii) minus the Exercise Price.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17/35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 13 </w:t>
      </w:r>
    </w:p>
    <w:p>
      <w:pPr>
        <w:pStyle w:val="TextBody"/>
        <w:spacing w:before="0" w:after="0"/>
        <w:jc w:val="center"/>
        <w:rPr>
          <w:rFonts w:ascii="Times New Roman" w:hAnsi="Times New Roman"/>
          <w:b/>
          <w:sz w:val="20"/>
        </w:rPr>
      </w:pPr>
      <w:r>
        <w:rPr>
          <w:rFonts w:ascii="Times New Roman" w:hAnsi="Times New Roman"/>
          <w:b/>
          <w:sz w:val="20"/>
        </w:rPr>
        <w:t xml:space="preserve">LIMITATION OF LIABILITY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53"/>
        <w:gridCol w:w="9752"/>
      </w:tblGrid>
      <w:tr>
        <w:trPr/>
        <w:tc>
          <w:tcPr>
            <w:tcW w:w="453" w:type="dxa"/>
            <w:tcBorders/>
            <w:shd w:fill="auto" w:val="clear"/>
          </w:tcPr>
          <w:p>
            <w:pPr>
              <w:pStyle w:val="TableContents"/>
              <w:spacing w:before="0" w:after="283"/>
              <w:jc w:val="left"/>
              <w:rPr/>
            </w:pPr>
            <w:r>
              <w:rPr/>
              <w:t>13.1</w:t>
            </w:r>
          </w:p>
        </w:tc>
        <w:tc>
          <w:tcPr>
            <w:tcW w:w="975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(or any of its directors, officers, employees, agents or advisors) does not: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3"/>
        <w:gridCol w:w="643"/>
        <w:gridCol w:w="9159"/>
      </w:tblGrid>
      <w:tr>
        <w:trPr/>
        <w:tc>
          <w:tcPr>
            <w:tcW w:w="403" w:type="dxa"/>
            <w:tcBorders/>
            <w:shd w:fill="auto" w:val="clear"/>
            <w:vAlign w:val="center"/>
          </w:tcPr>
          <w:p>
            <w:pPr>
              <w:pStyle w:val="TableContents"/>
              <w:spacing w:before="0" w:after="283"/>
              <w:rPr/>
            </w:pPr>
            <w:r>
              <w:rPr/>
              <w:t> </w:t>
            </w:r>
          </w:p>
        </w:tc>
        <w:tc>
          <w:tcPr>
            <w:tcW w:w="643" w:type="dxa"/>
            <w:tcBorders/>
            <w:shd w:fill="auto" w:val="clear"/>
          </w:tcPr>
          <w:p>
            <w:pPr>
              <w:pStyle w:val="TableContents"/>
              <w:spacing w:before="0" w:after="283"/>
              <w:jc w:val="left"/>
              <w:rPr/>
            </w:pPr>
            <w:r>
              <w:rPr/>
              <w:t>13.1.1</w:t>
            </w:r>
          </w:p>
        </w:tc>
        <w:tc>
          <w:tcPr>
            <w:tcW w:w="915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assume any responsibility or liability for the development of the value or market price of the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623"/>
        <w:gridCol w:w="9177"/>
      </w:tblGrid>
      <w:tr>
        <w:trPr/>
        <w:tc>
          <w:tcPr>
            <w:tcW w:w="405" w:type="dxa"/>
            <w:tcBorders/>
            <w:shd w:fill="auto" w:val="clear"/>
            <w:vAlign w:val="center"/>
          </w:tcPr>
          <w:p>
            <w:pPr>
              <w:pStyle w:val="TableContents"/>
              <w:spacing w:before="0" w:after="283"/>
              <w:rPr/>
            </w:pPr>
            <w:r>
              <w:rPr/>
              <w:t> </w:t>
            </w:r>
          </w:p>
        </w:tc>
        <w:tc>
          <w:tcPr>
            <w:tcW w:w="623" w:type="dxa"/>
            <w:tcBorders/>
            <w:shd w:fill="auto" w:val="clear"/>
          </w:tcPr>
          <w:p>
            <w:pPr>
              <w:pStyle w:val="TableContents"/>
              <w:spacing w:before="0" w:after="283"/>
              <w:jc w:val="left"/>
              <w:rPr/>
            </w:pPr>
            <w:r>
              <w:rPr/>
              <w:t>13.1.2</w:t>
            </w:r>
          </w:p>
        </w:tc>
        <w:tc>
          <w:tcPr>
            <w:tcW w:w="917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warrant, assure or guarantee any increase in value of the Shares, in particular it is neither warranted, assured or guaranteed that a Participant will be able to sell his participation in the Company with a profit in the future, nor that no loss will be incurred;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620"/>
        <w:gridCol w:w="9180"/>
      </w:tblGrid>
      <w:tr>
        <w:trPr/>
        <w:tc>
          <w:tcPr>
            <w:tcW w:w="405" w:type="dxa"/>
            <w:tcBorders/>
            <w:shd w:fill="auto" w:val="clear"/>
            <w:vAlign w:val="center"/>
          </w:tcPr>
          <w:p>
            <w:pPr>
              <w:pStyle w:val="TableContents"/>
              <w:spacing w:before="0" w:after="283"/>
              <w:rPr/>
            </w:pPr>
            <w:r>
              <w:rPr/>
              <w:t> </w:t>
            </w:r>
          </w:p>
        </w:tc>
        <w:tc>
          <w:tcPr>
            <w:tcW w:w="620" w:type="dxa"/>
            <w:tcBorders/>
            <w:shd w:fill="auto" w:val="clear"/>
          </w:tcPr>
          <w:p>
            <w:pPr>
              <w:pStyle w:val="TableContents"/>
              <w:spacing w:before="0" w:after="283"/>
              <w:jc w:val="left"/>
              <w:rPr/>
            </w:pPr>
            <w:r>
              <w:rPr/>
              <w:t>13.1.3</w:t>
            </w:r>
          </w:p>
        </w:tc>
        <w:tc>
          <w:tcPr>
            <w:tcW w:w="91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warrant, assure or guarantee a profit of a Participant from the SOP 2022 or any Stock Option granted thereunder.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59"/>
        <w:gridCol w:w="9746"/>
      </w:tblGrid>
      <w:tr>
        <w:trPr/>
        <w:tc>
          <w:tcPr>
            <w:tcW w:w="459" w:type="dxa"/>
            <w:tcBorders/>
            <w:shd w:fill="auto" w:val="clear"/>
          </w:tcPr>
          <w:p>
            <w:pPr>
              <w:pStyle w:val="TableContents"/>
              <w:spacing w:before="0" w:after="283"/>
              <w:jc w:val="left"/>
              <w:rPr/>
            </w:pPr>
            <w:r>
              <w:rPr/>
              <w:t>13.2</w:t>
            </w:r>
          </w:p>
        </w:tc>
        <w:tc>
          <w:tcPr>
            <w:tcW w:w="974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Participant declares with his participation in the SOP 2022 that the participation is voluntary. Each Participant is aware of the fact that she/he alone bears the risk of a decrease in or total loss of value of her/his investments. Each Participant accepts the offer to participate in the SOP 2022 at her/his own risk and assumes any liability relating thereto.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57"/>
        <w:gridCol w:w="9748"/>
      </w:tblGrid>
      <w:tr>
        <w:trPr/>
        <w:tc>
          <w:tcPr>
            <w:tcW w:w="457" w:type="dxa"/>
            <w:tcBorders/>
            <w:shd w:fill="auto" w:val="clear"/>
          </w:tcPr>
          <w:p>
            <w:pPr>
              <w:pStyle w:val="TableContents"/>
              <w:spacing w:before="0" w:after="283"/>
              <w:jc w:val="left"/>
              <w:rPr/>
            </w:pPr>
            <w:r>
              <w:rPr/>
              <w:t>13.3</w:t>
            </w:r>
          </w:p>
        </w:tc>
        <w:tc>
          <w:tcPr>
            <w:tcW w:w="974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Participant is responsible for obtaining legal, tax and any other necessary advice before participating in the SOP 2022 and for evaluating the tax effects connected with the SOP 2022. Each Participant accepts and declares that she/he has not been advised by or on behalf of the Company with respect to her/his participation in the SOP 2022 (in particular, regarding legal and tax issues of such participation). </w:t>
            </w:r>
          </w:p>
        </w:tc>
      </w:tr>
    </w:tbl>
    <w:p>
      <w:pPr>
        <w:pStyle w:val="TextBody"/>
        <w:spacing w:before="480" w:after="0"/>
        <w:jc w:val="center"/>
        <w:rPr>
          <w:rFonts w:ascii="Times New Roman" w:hAnsi="Times New Roman"/>
          <w:b/>
          <w:sz w:val="20"/>
        </w:rPr>
      </w:pPr>
      <w:r>
        <w:rPr>
          <w:rFonts w:ascii="Times New Roman" w:hAnsi="Times New Roman"/>
          <w:b/>
          <w:sz w:val="20"/>
        </w:rPr>
        <w:t xml:space="preserve">§ 14 </w:t>
      </w:r>
    </w:p>
    <w:p>
      <w:pPr>
        <w:pStyle w:val="TextBody"/>
        <w:spacing w:before="0" w:after="0"/>
        <w:jc w:val="center"/>
        <w:rPr>
          <w:rFonts w:ascii="Times New Roman" w:hAnsi="Times New Roman"/>
          <w:b/>
          <w:sz w:val="20"/>
        </w:rPr>
      </w:pPr>
      <w:r>
        <w:rPr>
          <w:rFonts w:ascii="Times New Roman" w:hAnsi="Times New Roman"/>
          <w:b/>
          <w:sz w:val="20"/>
        </w:rPr>
        <w:t xml:space="preserve">TAXES, SOCIAL SECURITY AND COSTS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53"/>
        <w:gridCol w:w="9752"/>
      </w:tblGrid>
      <w:tr>
        <w:trPr/>
        <w:tc>
          <w:tcPr>
            <w:tcW w:w="453" w:type="dxa"/>
            <w:tcBorders/>
            <w:shd w:fill="auto" w:val="clear"/>
          </w:tcPr>
          <w:p>
            <w:pPr>
              <w:pStyle w:val="TableContents"/>
              <w:spacing w:before="0" w:after="283"/>
              <w:jc w:val="left"/>
              <w:rPr/>
            </w:pPr>
            <w:r>
              <w:rPr/>
              <w:t>14.1</w:t>
            </w:r>
          </w:p>
        </w:tc>
        <w:tc>
          <w:tcPr>
            <w:tcW w:w="975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taxes (including payroll taxes), social security contributions, further duties and costs accrued by the Participant in connection with her/his participation in the SOP 2022 shall be borne by each Participant. Each Participant is obliged to pay taxes relating to the respective Stock Options granted/exercised under the SOP 2022, or relating to a transfer of such Stock Options by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18/35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283"/>
              <w:jc w:val="left"/>
              <w:rPr/>
            </w:pPr>
            <w:r>
              <w:rPr/>
              <w:t xml:space="preserve">the Participant to a third party, to the competent tax authorities. Each Participant shall fully indemnify the Company in respect of all such liabilities and obligations against tax authorities.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53"/>
        <w:gridCol w:w="9752"/>
      </w:tblGrid>
      <w:tr>
        <w:trPr/>
        <w:tc>
          <w:tcPr>
            <w:tcW w:w="453" w:type="dxa"/>
            <w:tcBorders/>
            <w:shd w:fill="auto" w:val="clear"/>
          </w:tcPr>
          <w:p>
            <w:pPr>
              <w:pStyle w:val="TableContents"/>
              <w:spacing w:before="0" w:after="283"/>
              <w:jc w:val="left"/>
              <w:rPr/>
            </w:pPr>
            <w:r>
              <w:rPr/>
              <w:t>14.2</w:t>
            </w:r>
          </w:p>
        </w:tc>
        <w:tc>
          <w:tcPr>
            <w:tcW w:w="975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is entitled, if required by statutory law, to withhold payroll tax or any other taxes or duties or social security contributions to be paid by (or on behalf and account of) the Participant. This applies even after termination of the employment relationship of a Participant with the Company. The Company is entitled to demand the full cooperation of the Participant even after her/his leave with respect to the withholding of taxes, social security contributions, other duties and costs in connection with the SOP 2022. The Participant undertakes to fully co-operate with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53"/>
        <w:gridCol w:w="9752"/>
      </w:tblGrid>
      <w:tr>
        <w:trPr/>
        <w:tc>
          <w:tcPr>
            <w:tcW w:w="453" w:type="dxa"/>
            <w:tcBorders/>
            <w:shd w:fill="auto" w:val="clear"/>
          </w:tcPr>
          <w:p>
            <w:pPr>
              <w:pStyle w:val="TableContents"/>
              <w:spacing w:before="0" w:after="283"/>
              <w:jc w:val="left"/>
              <w:rPr/>
            </w:pPr>
            <w:r>
              <w:rPr/>
              <w:t>14.3</w:t>
            </w:r>
          </w:p>
        </w:tc>
        <w:tc>
          <w:tcPr>
            <w:tcW w:w="975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Withholdings mentioned above do not release the Participant from her/his responsibility and obligation to pay all taxes, social contributions, further duties and costs being due and accruing in connection with his participation in the SOP 2022 or the grant, exercise or transfer of any Stock Options. </w:t>
            </w:r>
          </w:p>
        </w:tc>
      </w:tr>
    </w:tbl>
    <w:p>
      <w:pPr>
        <w:pStyle w:val="TextBody"/>
        <w:spacing w:before="480" w:after="0"/>
        <w:jc w:val="center"/>
        <w:rPr>
          <w:rFonts w:ascii="Times New Roman" w:hAnsi="Times New Roman"/>
          <w:b/>
          <w:sz w:val="20"/>
        </w:rPr>
      </w:pPr>
      <w:r>
        <w:rPr>
          <w:rFonts w:ascii="Times New Roman" w:hAnsi="Times New Roman"/>
          <w:b/>
          <w:sz w:val="20"/>
        </w:rPr>
        <w:t xml:space="preserve">§ 15 </w:t>
      </w:r>
    </w:p>
    <w:p>
      <w:pPr>
        <w:pStyle w:val="TextBody"/>
        <w:spacing w:before="0" w:after="0"/>
        <w:jc w:val="center"/>
        <w:rPr>
          <w:rFonts w:ascii="Times New Roman" w:hAnsi="Times New Roman"/>
          <w:b/>
          <w:sz w:val="20"/>
        </w:rPr>
      </w:pPr>
      <w:r>
        <w:rPr>
          <w:rFonts w:ascii="Times New Roman" w:hAnsi="Times New Roman"/>
          <w:b/>
          <w:sz w:val="20"/>
        </w:rPr>
        <w:t xml:space="preserve">INSIDER TRADING AND BLACK-OUT PERIODS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43"/>
        <w:gridCol w:w="9762"/>
      </w:tblGrid>
      <w:tr>
        <w:trPr/>
        <w:tc>
          <w:tcPr>
            <w:tcW w:w="443" w:type="dxa"/>
            <w:tcBorders/>
            <w:shd w:fill="auto" w:val="clear"/>
          </w:tcPr>
          <w:p>
            <w:pPr>
              <w:pStyle w:val="TableContents"/>
              <w:spacing w:before="0" w:after="283"/>
              <w:jc w:val="left"/>
              <w:rPr/>
            </w:pPr>
            <w:r>
              <w:rPr/>
              <w:t>15.1</w:t>
            </w:r>
          </w:p>
        </w:tc>
        <w:tc>
          <w:tcPr>
            <w:tcW w:w="976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Any exercise of, or any other transaction in, the Stock Options (each a </w:t>
            </w:r>
            <w:r>
              <w:rPr>
                <w:rFonts w:ascii="Times New Roman" w:hAnsi="Times New Roman"/>
                <w:b/>
                <w:sz w:val="20"/>
              </w:rPr>
              <w:t>Transaction</w:t>
            </w:r>
            <w:r>
              <w:rPr>
                <w:rFonts w:ascii="Times New Roman" w:hAnsi="Times New Roman"/>
                <w:sz w:val="20"/>
              </w:rPr>
              <w:t xml:space="preserve">) must be conducted in compliance with </w:t>
            </w:r>
            <w:r>
              <w:rPr>
                <w:rFonts w:ascii="Times New Roman" w:hAnsi="Times New Roman"/>
                <w:i/>
                <w:sz w:val="20"/>
              </w:rPr>
              <w:t>(i)</w:t>
            </w:r>
            <w:r>
              <w:rPr>
                <w:rFonts w:ascii="Times New Roman" w:hAnsi="Times New Roman"/>
                <w:sz w:val="20"/>
              </w:rPr>
              <w:t> all applicable insider trading laws and regulations, in particular the provisions of the Market Abuse Regulation (</w:t>
            </w:r>
            <w:r>
              <w:rPr>
                <w:rFonts w:ascii="Times New Roman" w:hAnsi="Times New Roman"/>
                <w:b/>
                <w:sz w:val="20"/>
              </w:rPr>
              <w:t>MAR</w:t>
            </w:r>
            <w:r>
              <w:rPr>
                <w:rFonts w:ascii="Times New Roman" w:hAnsi="Times New Roman"/>
                <w:sz w:val="20"/>
              </w:rPr>
              <w:t xml:space="preserve">), and </w:t>
            </w:r>
            <w:r>
              <w:rPr>
                <w:rFonts w:ascii="Times New Roman" w:hAnsi="Times New Roman"/>
                <w:i/>
                <w:sz w:val="20"/>
              </w:rPr>
              <w:t>(ii)</w:t>
            </w:r>
            <w:r>
              <w:rPr>
                <w:rFonts w:ascii="Times New Roman" w:hAnsi="Times New Roman"/>
                <w:sz w:val="20"/>
              </w:rPr>
              <w:t> all provisions of any insider trading rules established by the Company (</w:t>
            </w:r>
            <w:r>
              <w:rPr>
                <w:rFonts w:ascii="Times New Roman" w:hAnsi="Times New Roman"/>
                <w:i/>
                <w:sz w:val="20"/>
              </w:rPr>
              <w:t>(i)</w:t>
            </w:r>
            <w:r>
              <w:rPr>
                <w:rFonts w:ascii="Times New Roman" w:hAnsi="Times New Roman"/>
                <w:sz w:val="20"/>
              </w:rPr>
              <w:t xml:space="preserve"> and </w:t>
            </w:r>
            <w:r>
              <w:rPr>
                <w:rFonts w:ascii="Times New Roman" w:hAnsi="Times New Roman"/>
                <w:i/>
                <w:sz w:val="20"/>
              </w:rPr>
              <w:t>(ii)</w:t>
            </w:r>
            <w:r>
              <w:rPr>
                <w:rFonts w:ascii="Times New Roman" w:hAnsi="Times New Roman"/>
                <w:sz w:val="20"/>
              </w:rPr>
              <w:t> together the </w:t>
            </w:r>
            <w:r>
              <w:rPr>
                <w:rFonts w:ascii="Times New Roman" w:hAnsi="Times New Roman"/>
                <w:b/>
                <w:sz w:val="20"/>
              </w:rPr>
              <w:t>Insider Trading Rules</w:t>
            </w:r>
            <w:r>
              <w:rPr>
                <w:rFonts w:ascii="Times New Roman" w:hAnsi="Times New Roman"/>
                <w:sz w:val="20"/>
              </w:rPr>
              <w:t xml:space="preserve">). Each Participant is personally responsible for informing herself/himself about, and acting in full compliance with all applicable Insider Trading Rules. Any individual non-compliance with applicable Insider Trading Rules may lead to the imposition of civil and criminal penalties (as the case may be).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50"/>
        <w:gridCol w:w="9755"/>
      </w:tblGrid>
      <w:tr>
        <w:trPr/>
        <w:tc>
          <w:tcPr>
            <w:tcW w:w="450" w:type="dxa"/>
            <w:tcBorders/>
            <w:shd w:fill="auto" w:val="clear"/>
          </w:tcPr>
          <w:p>
            <w:pPr>
              <w:pStyle w:val="TableContents"/>
              <w:spacing w:before="0" w:after="283"/>
              <w:jc w:val="left"/>
              <w:rPr/>
            </w:pPr>
            <w:r>
              <w:rPr/>
              <w:t>15.2</w:t>
            </w:r>
          </w:p>
        </w:tc>
        <w:tc>
          <w:tcPr>
            <w:tcW w:w="975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In order to minimize the potential for prohibited insider trading, the Supervisory Board may establish in its sole discretion periods from time to time during which all or some of the Participants may not engage in transactions involving the Stock Options (the </w:t>
            </w:r>
            <w:r>
              <w:rPr>
                <w:rFonts w:ascii="Times New Roman" w:hAnsi="Times New Roman"/>
                <w:b/>
                <w:sz w:val="20"/>
              </w:rPr>
              <w:t>Non-Trading Periods</w:t>
            </w:r>
            <w:r>
              <w:rPr>
                <w:rFonts w:ascii="Times New Roman" w:hAnsi="Times New Roman"/>
                <w:sz w:val="20"/>
              </w:rPr>
              <w:t xml:space="preserve">). Notwithstanding any other provisions in these Terms &amp; Conditions, the Participants may not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19/35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vAlign w:val="center"/>
          </w:tcPr>
          <w:p>
            <w:pPr>
              <w:pStyle w:val="TableContents"/>
              <w:spacing w:before="0" w:after="283"/>
              <w:rPr/>
            </w:pPr>
            <w:r>
              <w:rPr/>
              <w:t> </w:t>
            </w:r>
          </w:p>
        </w:tc>
        <w:tc>
          <w:tcPr>
            <w:tcW w:w="9798" w:type="dxa"/>
            <w:tcBorders/>
            <w:shd w:fill="auto" w:val="clear"/>
          </w:tcPr>
          <w:p>
            <w:pPr>
              <w:pStyle w:val="TableContents"/>
              <w:spacing w:before="0" w:after="283"/>
              <w:jc w:val="left"/>
              <w:rPr/>
            </w:pPr>
            <w:r>
              <w:rPr/>
              <w:t xml:space="preserve">exercise any Stock Options during an applicable Non-Trading Period. Art. 19 paras. 11, 12 MAR regarding closed periods and the permissibility of trading by persons discharging managerial responsibilities within the Company during closed periods, as well as the respective delegated regulation by the Eu-ropean Commission, as applicable from time to time, remain unaffected. </w:t>
            </w:r>
          </w:p>
        </w:tc>
      </w:tr>
    </w:tbl>
    <w:p>
      <w:pPr>
        <w:pStyle w:val="TextBody"/>
        <w:spacing w:before="480" w:after="0"/>
        <w:jc w:val="center"/>
        <w:rPr>
          <w:rFonts w:ascii="Times New Roman" w:hAnsi="Times New Roman"/>
          <w:b/>
          <w:sz w:val="20"/>
        </w:rPr>
      </w:pPr>
      <w:r>
        <w:rPr>
          <w:rFonts w:ascii="Times New Roman" w:hAnsi="Times New Roman"/>
          <w:b/>
          <w:sz w:val="20"/>
        </w:rPr>
        <w:t xml:space="preserve">§ 16 </w:t>
      </w:r>
    </w:p>
    <w:p>
      <w:pPr>
        <w:pStyle w:val="TextBody"/>
        <w:spacing w:before="0" w:after="0"/>
        <w:jc w:val="center"/>
        <w:rPr>
          <w:rFonts w:ascii="Times New Roman" w:hAnsi="Times New Roman"/>
          <w:b/>
          <w:sz w:val="20"/>
        </w:rPr>
      </w:pPr>
      <w:r>
        <w:rPr>
          <w:rFonts w:ascii="Times New Roman" w:hAnsi="Times New Roman"/>
          <w:b/>
          <w:sz w:val="20"/>
        </w:rPr>
        <w:t xml:space="preserve">FORM REQUIREMENTS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50"/>
        <w:gridCol w:w="9755"/>
      </w:tblGrid>
      <w:tr>
        <w:trPr/>
        <w:tc>
          <w:tcPr>
            <w:tcW w:w="450" w:type="dxa"/>
            <w:tcBorders/>
            <w:shd w:fill="auto" w:val="clear"/>
          </w:tcPr>
          <w:p>
            <w:pPr>
              <w:pStyle w:val="TableContents"/>
              <w:spacing w:before="0" w:after="283"/>
              <w:jc w:val="left"/>
              <w:rPr/>
            </w:pPr>
            <w:r>
              <w:rPr/>
              <w:t>16.1</w:t>
            </w:r>
          </w:p>
        </w:tc>
        <w:tc>
          <w:tcPr>
            <w:tcW w:w="975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Any legal statements and other notices in connection with the SOP 2022 (collectively the </w:t>
            </w:r>
            <w:r>
              <w:rPr>
                <w:rFonts w:ascii="Times New Roman" w:hAnsi="Times New Roman"/>
                <w:b/>
                <w:sz w:val="20"/>
              </w:rPr>
              <w:t>Notices</w:t>
            </w:r>
            <w:r>
              <w:rPr>
                <w:rFonts w:ascii="Times New Roman" w:hAnsi="Times New Roman"/>
                <w:sz w:val="20"/>
              </w:rPr>
              <w:t>) or any amendment of these Terms &amp; Conditions (including an amendment of this § 16.1) shall be made in text form (</w:t>
            </w:r>
            <w:r>
              <w:rPr>
                <w:rFonts w:ascii="Times New Roman" w:hAnsi="Times New Roman"/>
                <w:i/>
                <w:sz w:val="20"/>
              </w:rPr>
              <w:t>Textform</w:t>
            </w:r>
            <w:r>
              <w:rPr>
                <w:rFonts w:ascii="Times New Roman" w:hAnsi="Times New Roman"/>
                <w:sz w:val="20"/>
              </w:rPr>
              <w:t xml:space="preserve">) or electronic form (e.g., e-mail) unless any other specific form is required by mandatory law or these Terms &amp; Conditions.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43"/>
        <w:gridCol w:w="9762"/>
      </w:tblGrid>
      <w:tr>
        <w:trPr/>
        <w:tc>
          <w:tcPr>
            <w:tcW w:w="443" w:type="dxa"/>
            <w:tcBorders/>
            <w:shd w:fill="auto" w:val="clear"/>
          </w:tcPr>
          <w:p>
            <w:pPr>
              <w:pStyle w:val="TableContents"/>
              <w:spacing w:before="0" w:after="283"/>
              <w:jc w:val="left"/>
              <w:rPr/>
            </w:pPr>
            <w:r>
              <w:rPr/>
              <w:t>16.2</w:t>
            </w:r>
          </w:p>
        </w:tc>
        <w:tc>
          <w:tcPr>
            <w:tcW w:w="976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Notice to be delivered to the Company shall be addressed by email to the HR Department of Mynaric AG (e-mail: hr@mynaric.com). The Company shall communicate changes in the address set forth in the previous sentence as soon as possible to the Participants. In the absence of such communication, the address stated above shall remain in place.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42"/>
        <w:gridCol w:w="9763"/>
      </w:tblGrid>
      <w:tr>
        <w:trPr/>
        <w:tc>
          <w:tcPr>
            <w:tcW w:w="442" w:type="dxa"/>
            <w:tcBorders/>
            <w:shd w:fill="auto" w:val="clear"/>
          </w:tcPr>
          <w:p>
            <w:pPr>
              <w:pStyle w:val="TableContents"/>
              <w:spacing w:before="0" w:after="283"/>
              <w:jc w:val="left"/>
              <w:rPr/>
            </w:pPr>
            <w:r>
              <w:rPr/>
              <w:t>16.3</w:t>
            </w:r>
          </w:p>
        </w:tc>
        <w:tc>
          <w:tcPr>
            <w:tcW w:w="976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Notice to be given to a Participant may be served by being sent to her/him by email or to her/his home or business address. Each Participant shall communicate changes of address as soon as possible to the Company. </w:t>
            </w:r>
          </w:p>
        </w:tc>
      </w:tr>
    </w:tbl>
    <w:p>
      <w:pPr>
        <w:pStyle w:val="TextBody"/>
        <w:spacing w:before="480" w:after="0"/>
        <w:jc w:val="center"/>
        <w:rPr>
          <w:rFonts w:ascii="Times New Roman" w:hAnsi="Times New Roman"/>
          <w:b/>
          <w:sz w:val="20"/>
        </w:rPr>
      </w:pPr>
      <w:r>
        <w:rPr>
          <w:rFonts w:ascii="Times New Roman" w:hAnsi="Times New Roman"/>
          <w:b/>
          <w:sz w:val="20"/>
        </w:rPr>
        <w:t xml:space="preserve">§ 17 </w:t>
      </w:r>
    </w:p>
    <w:p>
      <w:pPr>
        <w:pStyle w:val="TextBody"/>
        <w:spacing w:before="0" w:after="0"/>
        <w:jc w:val="center"/>
        <w:rPr>
          <w:rFonts w:ascii="Times New Roman" w:hAnsi="Times New Roman"/>
          <w:b/>
          <w:sz w:val="20"/>
        </w:rPr>
      </w:pPr>
      <w:r>
        <w:rPr>
          <w:rFonts w:ascii="Times New Roman" w:hAnsi="Times New Roman"/>
          <w:b/>
          <w:sz w:val="20"/>
        </w:rPr>
        <w:t xml:space="preserve">PROCESSING OF PERSONAL DATA </w:t>
      </w:r>
    </w:p>
    <w:p>
      <w:pPr>
        <w:pStyle w:val="TextBody"/>
        <w:spacing w:before="240" w:after="0"/>
        <w:jc w:val="left"/>
        <w:rPr>
          <w:rFonts w:ascii="Times New Roman" w:hAnsi="Times New Roman"/>
          <w:sz w:val="20"/>
        </w:rPr>
      </w:pPr>
      <w:r>
        <w:rPr>
          <w:rFonts w:ascii="Times New Roman" w:hAnsi="Times New Roman"/>
          <w:sz w:val="20"/>
        </w:rPr>
        <w:t xml:space="preserve">The Company processes personal data of the Participants in connection with the administration, implementation and settlement of the SOP 2022. Additional information regarding the processing of personal data in connection with the SOP 2022 is included as an </w:t>
      </w:r>
      <w:r>
        <w:rPr>
          <w:rFonts w:ascii="Times New Roman" w:hAnsi="Times New Roman"/>
          <w:b/>
          <w:sz w:val="20"/>
          <w:u w:val="single"/>
        </w:rPr>
        <w:t>Annex 17</w:t>
      </w:r>
      <w:r>
        <w:rPr>
          <w:rFonts w:ascii="Times New Roman" w:hAnsi="Times New Roman"/>
          <w:sz w:val="20"/>
        </w:rPr>
        <w:t xml:space="preserve"> (Information on the Processing of Personal Data).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20/35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 18 </w:t>
      </w:r>
    </w:p>
    <w:p>
      <w:pPr>
        <w:pStyle w:val="TextBody"/>
        <w:spacing w:before="0" w:after="0"/>
        <w:jc w:val="center"/>
        <w:rPr>
          <w:rFonts w:ascii="Times New Roman" w:hAnsi="Times New Roman"/>
          <w:b/>
          <w:sz w:val="20"/>
        </w:rPr>
      </w:pPr>
      <w:r>
        <w:rPr>
          <w:rFonts w:ascii="Times New Roman" w:hAnsi="Times New Roman"/>
          <w:b/>
          <w:sz w:val="20"/>
        </w:rPr>
        <w:t xml:space="preserve">GOVERNING LAW AND JURISDICTION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42"/>
        <w:gridCol w:w="9763"/>
      </w:tblGrid>
      <w:tr>
        <w:trPr/>
        <w:tc>
          <w:tcPr>
            <w:tcW w:w="442" w:type="dxa"/>
            <w:tcBorders/>
            <w:shd w:fill="auto" w:val="clear"/>
          </w:tcPr>
          <w:p>
            <w:pPr>
              <w:pStyle w:val="TableContents"/>
              <w:spacing w:before="0" w:after="283"/>
              <w:jc w:val="left"/>
              <w:rPr/>
            </w:pPr>
            <w:r>
              <w:rPr/>
              <w:t>18.1</w:t>
            </w:r>
          </w:p>
        </w:tc>
        <w:tc>
          <w:tcPr>
            <w:tcW w:w="976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SOP 2022, any Stock Options granted thereunder and these Terms &amp; Conditions shall be exclusively governed by, and be construed in accordance with, the laws of the Federal Republic of Germany, without regard to principles of conflicts of laws.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42"/>
        <w:gridCol w:w="9763"/>
      </w:tblGrid>
      <w:tr>
        <w:trPr/>
        <w:tc>
          <w:tcPr>
            <w:tcW w:w="442" w:type="dxa"/>
            <w:tcBorders/>
            <w:shd w:fill="auto" w:val="clear"/>
          </w:tcPr>
          <w:p>
            <w:pPr>
              <w:pStyle w:val="TableContents"/>
              <w:spacing w:before="0" w:after="283"/>
              <w:jc w:val="left"/>
              <w:rPr/>
            </w:pPr>
            <w:r>
              <w:rPr/>
              <w:t>18.2</w:t>
            </w:r>
          </w:p>
        </w:tc>
        <w:tc>
          <w:tcPr>
            <w:tcW w:w="976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dispute, controversy or claim arising from or in connection with the SOP 2022, any Stock Options granted thereunder or these Terms &amp; Conditions or their validity shall be, to the extent legally permissible, decided upon by the competent courts in Munich, Germany. </w:t>
            </w:r>
          </w:p>
        </w:tc>
      </w:tr>
    </w:tbl>
    <w:p>
      <w:pPr>
        <w:pStyle w:val="TextBody"/>
        <w:spacing w:before="480" w:after="0"/>
        <w:jc w:val="center"/>
        <w:rPr>
          <w:rFonts w:ascii="Times New Roman" w:hAnsi="Times New Roman"/>
          <w:b/>
          <w:sz w:val="20"/>
        </w:rPr>
      </w:pPr>
      <w:r>
        <w:rPr>
          <w:rFonts w:ascii="Times New Roman" w:hAnsi="Times New Roman"/>
          <w:b/>
          <w:sz w:val="20"/>
        </w:rPr>
        <w:t xml:space="preserve">§ 19 </w:t>
      </w:r>
    </w:p>
    <w:p>
      <w:pPr>
        <w:pStyle w:val="TextBody"/>
        <w:spacing w:before="0" w:after="0"/>
        <w:jc w:val="center"/>
        <w:rPr>
          <w:rFonts w:ascii="Times New Roman" w:hAnsi="Times New Roman"/>
          <w:b/>
          <w:sz w:val="20"/>
        </w:rPr>
      </w:pPr>
      <w:r>
        <w:rPr>
          <w:rFonts w:ascii="Times New Roman" w:hAnsi="Times New Roman"/>
          <w:b/>
          <w:sz w:val="20"/>
        </w:rPr>
        <w:t xml:space="preserve">FINAL PROVISIONS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42"/>
        <w:gridCol w:w="9763"/>
      </w:tblGrid>
      <w:tr>
        <w:trPr/>
        <w:tc>
          <w:tcPr>
            <w:tcW w:w="442" w:type="dxa"/>
            <w:tcBorders/>
            <w:shd w:fill="auto" w:val="clear"/>
          </w:tcPr>
          <w:p>
            <w:pPr>
              <w:pStyle w:val="TableContents"/>
              <w:spacing w:before="0" w:after="283"/>
              <w:jc w:val="left"/>
              <w:rPr/>
            </w:pPr>
            <w:r>
              <w:rPr/>
              <w:t>19.1</w:t>
            </w:r>
          </w:p>
        </w:tc>
        <w:tc>
          <w:tcPr>
            <w:tcW w:w="976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provisions in these Terms &amp; Conditions shall be subject to the terms and conditions established by the SOP Resolution.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50"/>
        <w:gridCol w:w="9755"/>
      </w:tblGrid>
      <w:tr>
        <w:trPr/>
        <w:tc>
          <w:tcPr>
            <w:tcW w:w="450" w:type="dxa"/>
            <w:tcBorders/>
            <w:shd w:fill="auto" w:val="clear"/>
          </w:tcPr>
          <w:p>
            <w:pPr>
              <w:pStyle w:val="TableContents"/>
              <w:spacing w:before="0" w:after="283"/>
              <w:jc w:val="left"/>
              <w:rPr/>
            </w:pPr>
            <w:r>
              <w:rPr/>
              <w:t>19.2</w:t>
            </w:r>
          </w:p>
        </w:tc>
        <w:tc>
          <w:tcPr>
            <w:tcW w:w="975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Unless otherwise explicitly provided for in these Terms &amp; Conditions, no Participant shall be entitled to assign any rights or claims under the SOP 2022 and these Terms &amp; Conditions without the written consent of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52"/>
        <w:gridCol w:w="9753"/>
      </w:tblGrid>
      <w:tr>
        <w:trPr/>
        <w:tc>
          <w:tcPr>
            <w:tcW w:w="452" w:type="dxa"/>
            <w:tcBorders/>
            <w:shd w:fill="auto" w:val="clear"/>
          </w:tcPr>
          <w:p>
            <w:pPr>
              <w:pStyle w:val="TableContents"/>
              <w:spacing w:before="0" w:after="283"/>
              <w:jc w:val="left"/>
              <w:rPr/>
            </w:pPr>
            <w:r>
              <w:rPr/>
              <w:t>19.3</w:t>
            </w:r>
          </w:p>
        </w:tc>
        <w:tc>
          <w:tcPr>
            <w:tcW w:w="975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these Terms &amp; Conditions, the headings are inserted for convenience only and shall not affect the interpretation of these Terms &amp; Conditions; where a German term has been inserted in italics, it alone (and not the English term to which it relates) shall be authoritative for the purpose of the interpretation of the relevant English term in these Terms &amp; Conditions. Any reference made in these Terms &amp; Conditions to any clauses without further indication of a law, an agreement or another document shall mean clauses of these Terms &amp; Conditions.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21/35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42"/>
        <w:gridCol w:w="9763"/>
      </w:tblGrid>
      <w:tr>
        <w:trPr/>
        <w:tc>
          <w:tcPr>
            <w:tcW w:w="442" w:type="dxa"/>
            <w:tcBorders/>
            <w:shd w:fill="auto" w:val="clear"/>
          </w:tcPr>
          <w:p>
            <w:pPr>
              <w:pStyle w:val="TableContents"/>
              <w:spacing w:before="0" w:after="283"/>
              <w:jc w:val="left"/>
              <w:rPr/>
            </w:pPr>
            <w:r>
              <w:rPr/>
              <w:t>19.4</w:t>
            </w:r>
          </w:p>
        </w:tc>
        <w:tc>
          <w:tcPr>
            <w:tcW w:w="976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In the event that one or more provisions of these Terms &amp; Conditions shall, or shall be deemed to, be invalid or unenforceable, the validity and enforceability of the other provisions of these Terms &amp; Conditions shall not be affected thereby. In such case, the Company and each Participant agree to recognize and give effect to such valid and enforceable provision or provisions, which correspond as closely as possible with the commercial intent of the Parties. The same shall apply in the event that these Terms &amp; Conditions contain any unintended gaps (</w:t>
            </w:r>
            <w:r>
              <w:rPr>
                <w:rFonts w:ascii="Times New Roman" w:hAnsi="Times New Roman"/>
                <w:i/>
                <w:sz w:val="20"/>
              </w:rPr>
              <w:t>unbeabsichtigte Lücken</w:t>
            </w:r>
            <w:r>
              <w:rPr>
                <w:rFonts w:ascii="Times New Roman" w:hAnsi="Times New Roman"/>
                <w:sz w:val="20"/>
              </w:rPr>
              <w:t xml:space="preserve">). </w:t>
            </w:r>
          </w:p>
        </w:tc>
      </w:tr>
    </w:tbl>
    <w:p>
      <w:pPr>
        <w:pStyle w:val="TextBody"/>
        <w:spacing w:before="240" w:after="0"/>
        <w:jc w:val="center"/>
        <w:rPr>
          <w:rFonts w:ascii="Times New Roman" w:hAnsi="Times New Roman"/>
          <w:sz w:val="20"/>
        </w:rPr>
      </w:pPr>
      <w:r>
        <w:rPr>
          <w:rFonts w:ascii="Times New Roman" w:hAnsi="Times New Roman"/>
          <w:sz w:val="20"/>
        </w:rPr>
        <w:t xml:space="preserve">Gilching, September 2022 </w:t>
      </w:r>
    </w:p>
    <w:p>
      <w:pPr>
        <w:pStyle w:val="TextBody"/>
        <w:spacing w:before="240" w:after="0"/>
        <w:jc w:val="center"/>
        <w:rPr>
          <w:rFonts w:ascii="Times New Roman" w:hAnsi="Times New Roman"/>
          <w:sz w:val="20"/>
        </w:rPr>
      </w:pPr>
      <w:r>
        <w:rPr>
          <w:rFonts w:ascii="Times New Roman" w:hAnsi="Times New Roman"/>
          <w:sz w:val="20"/>
        </w:rPr>
        <w:t xml:space="preserve">Mynaric AG </w:t>
      </w:r>
    </w:p>
    <w:p>
      <w:pPr>
        <w:pStyle w:val="TextBody"/>
        <w:spacing w:before="240" w:after="0"/>
        <w:jc w:val="center"/>
        <w:rPr>
          <w:rFonts w:ascii="Times New Roman" w:hAnsi="Times New Roman"/>
          <w:sz w:val="20"/>
        </w:rPr>
      </w:pPr>
      <w:r>
        <w:rPr>
          <w:rFonts w:ascii="Times New Roman" w:hAnsi="Times New Roman"/>
          <w:sz w:val="20"/>
        </w:rPr>
        <w:t xml:space="preserve">* * * *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22/35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Annex 7.1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268"/>
        <w:gridCol w:w="120"/>
        <w:gridCol w:w="4817"/>
      </w:tblGrid>
      <w:tr>
        <w:trPr/>
        <w:tc>
          <w:tcPr>
            <w:tcW w:w="526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817" w:type="dxa"/>
            <w:tcBorders/>
            <w:shd w:fill="auto" w:val="clear"/>
            <w:vAlign w:val="center"/>
          </w:tcPr>
          <w:p>
            <w:pPr>
              <w:pStyle w:val="TableContents"/>
              <w:spacing w:before="0" w:after="283"/>
              <w:rPr>
                <w:sz w:val="4"/>
                <w:szCs w:val="4"/>
              </w:rPr>
            </w:pPr>
            <w:r>
              <w:rPr>
                <w:sz w:val="4"/>
                <w:szCs w:val="4"/>
              </w:rPr>
            </w:r>
          </w:p>
        </w:tc>
      </w:tr>
      <w:tr>
        <w:trPr/>
        <w:tc>
          <w:tcPr>
            <w:tcW w:w="5268" w:type="dxa"/>
            <w:tcBorders/>
            <w:shd w:fill="auto" w:val="clear"/>
          </w:tcPr>
          <w:p>
            <w:pPr>
              <w:pStyle w:val="TableContents"/>
              <w:spacing w:before="0" w:after="283"/>
              <w:jc w:val="center"/>
              <w:rPr>
                <w:b/>
              </w:rPr>
            </w:pPr>
            <w:r>
              <w:rPr>
                <w:b/>
              </w:rPr>
              <w:t>AUSÜBUNGS- UND</w:t>
            </w:r>
          </w:p>
        </w:tc>
        <w:tc>
          <w:tcPr>
            <w:tcW w:w="120" w:type="dxa"/>
            <w:tcBorders/>
            <w:shd w:fill="auto" w:val="clear"/>
            <w:vAlign w:val="bottom"/>
          </w:tcPr>
          <w:p>
            <w:pPr>
              <w:pStyle w:val="TableContents"/>
              <w:spacing w:before="0" w:after="283"/>
              <w:rPr/>
            </w:pPr>
            <w:r>
              <w:rPr/>
              <w:t>  </w:t>
            </w:r>
          </w:p>
        </w:tc>
        <w:tc>
          <w:tcPr>
            <w:tcW w:w="4817" w:type="dxa"/>
            <w:tcBorders/>
            <w:shd w:fill="auto" w:val="clear"/>
          </w:tcPr>
          <w:p>
            <w:pPr>
              <w:pStyle w:val="TableContents"/>
              <w:spacing w:before="0" w:after="283"/>
              <w:jc w:val="center"/>
              <w:rPr>
                <w:b/>
              </w:rPr>
            </w:pPr>
            <w:r>
              <w:rPr>
                <w:b/>
              </w:rPr>
              <w:t>EXERCISE NOTICE AND</w:t>
            </w:r>
          </w:p>
        </w:tc>
      </w:tr>
      <w:tr>
        <w:trPr/>
        <w:tc>
          <w:tcPr>
            <w:tcW w:w="5268" w:type="dxa"/>
            <w:tcBorders/>
            <w:shd w:fill="auto" w:val="clear"/>
          </w:tcPr>
          <w:p>
            <w:pPr>
              <w:pStyle w:val="TableContents"/>
              <w:spacing w:before="0" w:after="283"/>
              <w:jc w:val="center"/>
              <w:rPr>
                <w:b/>
              </w:rPr>
            </w:pPr>
            <w:r>
              <w:rPr>
                <w:b/>
              </w:rPr>
              <w:t>BEZUGSERKLÄRUNG</w:t>
            </w:r>
          </w:p>
        </w:tc>
        <w:tc>
          <w:tcPr>
            <w:tcW w:w="120" w:type="dxa"/>
            <w:tcBorders/>
            <w:shd w:fill="auto" w:val="clear"/>
            <w:vAlign w:val="bottom"/>
          </w:tcPr>
          <w:p>
            <w:pPr>
              <w:pStyle w:val="TableContents"/>
              <w:spacing w:before="0" w:after="283"/>
              <w:rPr/>
            </w:pPr>
            <w:r>
              <w:rPr/>
              <w:t>  </w:t>
            </w:r>
          </w:p>
        </w:tc>
        <w:tc>
          <w:tcPr>
            <w:tcW w:w="4817" w:type="dxa"/>
            <w:tcBorders/>
            <w:shd w:fill="auto" w:val="clear"/>
          </w:tcPr>
          <w:p>
            <w:pPr>
              <w:pStyle w:val="TableContents"/>
              <w:spacing w:before="0" w:after="283"/>
              <w:jc w:val="center"/>
              <w:rPr>
                <w:b/>
              </w:rPr>
            </w:pPr>
            <w:r>
              <w:rPr>
                <w:b/>
              </w:rPr>
              <w:t>SUBSCRIPTION DECLARATION</w:t>
            </w:r>
          </w:p>
        </w:tc>
      </w:tr>
      <w:tr>
        <w:trPr/>
        <w:tc>
          <w:tcPr>
            <w:tcW w:w="5268" w:type="dxa"/>
            <w:tcBorders/>
            <w:shd w:fill="auto" w:val="clear"/>
          </w:tcPr>
          <w:p>
            <w:pPr>
              <w:pStyle w:val="TableContents"/>
              <w:spacing w:before="0" w:after="283"/>
              <w:jc w:val="center"/>
              <w:rPr>
                <w:b/>
              </w:rPr>
            </w:pPr>
            <w:r>
              <w:rPr>
                <w:b/>
              </w:rPr>
              <w:t>zum</w:t>
            </w:r>
          </w:p>
        </w:tc>
        <w:tc>
          <w:tcPr>
            <w:tcW w:w="120" w:type="dxa"/>
            <w:tcBorders/>
            <w:shd w:fill="auto" w:val="clear"/>
            <w:vAlign w:val="bottom"/>
          </w:tcPr>
          <w:p>
            <w:pPr>
              <w:pStyle w:val="TableContents"/>
              <w:spacing w:before="0" w:after="283"/>
              <w:rPr/>
            </w:pPr>
            <w:r>
              <w:rPr/>
              <w:t>  </w:t>
            </w:r>
          </w:p>
        </w:tc>
        <w:tc>
          <w:tcPr>
            <w:tcW w:w="4817" w:type="dxa"/>
            <w:tcBorders/>
            <w:shd w:fill="auto" w:val="clear"/>
          </w:tcPr>
          <w:p>
            <w:pPr>
              <w:pStyle w:val="TableContents"/>
              <w:spacing w:before="0" w:after="283"/>
              <w:jc w:val="center"/>
              <w:rPr>
                <w:b/>
              </w:rPr>
            </w:pPr>
            <w:r>
              <w:rPr>
                <w:b/>
              </w:rPr>
              <w:t>relating to the</w:t>
            </w:r>
          </w:p>
        </w:tc>
      </w:tr>
      <w:tr>
        <w:trPr/>
        <w:tc>
          <w:tcPr>
            <w:tcW w:w="5268" w:type="dxa"/>
            <w:tcBorders/>
            <w:shd w:fill="auto" w:val="clear"/>
          </w:tcPr>
          <w:p>
            <w:pPr>
              <w:pStyle w:val="TableContents"/>
              <w:spacing w:before="0" w:after="283"/>
              <w:jc w:val="center"/>
              <w:rPr>
                <w:b/>
              </w:rPr>
            </w:pPr>
            <w:r>
              <w:rPr>
                <w:b/>
              </w:rPr>
              <w:t>Aktienoptionsprogramm 2022</w:t>
            </w:r>
          </w:p>
        </w:tc>
        <w:tc>
          <w:tcPr>
            <w:tcW w:w="120" w:type="dxa"/>
            <w:tcBorders/>
            <w:shd w:fill="auto" w:val="clear"/>
            <w:vAlign w:val="bottom"/>
          </w:tcPr>
          <w:p>
            <w:pPr>
              <w:pStyle w:val="TableContents"/>
              <w:spacing w:before="0" w:after="283"/>
              <w:rPr/>
            </w:pPr>
            <w:r>
              <w:rPr/>
              <w:t>  </w:t>
            </w:r>
          </w:p>
        </w:tc>
        <w:tc>
          <w:tcPr>
            <w:tcW w:w="4817" w:type="dxa"/>
            <w:tcBorders/>
            <w:shd w:fill="auto" w:val="clear"/>
          </w:tcPr>
          <w:p>
            <w:pPr>
              <w:pStyle w:val="TableContents"/>
              <w:spacing w:before="0" w:after="283"/>
              <w:jc w:val="center"/>
              <w:rPr>
                <w:b/>
              </w:rPr>
            </w:pPr>
            <w:r>
              <w:rPr>
                <w:b/>
              </w:rPr>
              <w:t>Stock Option Plan 2022</w:t>
            </w:r>
          </w:p>
        </w:tc>
      </w:tr>
      <w:tr>
        <w:trPr/>
        <w:tc>
          <w:tcPr>
            <w:tcW w:w="5268" w:type="dxa"/>
            <w:tcBorders/>
            <w:shd w:fill="auto" w:val="clear"/>
          </w:tcPr>
          <w:p>
            <w:pPr>
              <w:pStyle w:val="TableContents"/>
              <w:spacing w:before="0" w:after="283"/>
              <w:jc w:val="center"/>
              <w:rPr>
                <w:b/>
              </w:rPr>
            </w:pPr>
            <w:r>
              <w:rPr>
                <w:b/>
              </w:rPr>
              <w:t>gemäß § 198 Abs. 1 AktG</w:t>
            </w:r>
          </w:p>
        </w:tc>
        <w:tc>
          <w:tcPr>
            <w:tcW w:w="120" w:type="dxa"/>
            <w:tcBorders/>
            <w:shd w:fill="auto" w:val="clear"/>
            <w:vAlign w:val="bottom"/>
          </w:tcPr>
          <w:p>
            <w:pPr>
              <w:pStyle w:val="TableContents"/>
              <w:spacing w:before="0" w:after="283"/>
              <w:rPr/>
            </w:pPr>
            <w:r>
              <w:rPr/>
              <w:t>  </w:t>
            </w:r>
          </w:p>
        </w:tc>
        <w:tc>
          <w:tcPr>
            <w:tcW w:w="4817" w:type="dxa"/>
            <w:tcBorders/>
            <w:shd w:fill="auto" w:val="clear"/>
          </w:tcPr>
          <w:p>
            <w:pPr>
              <w:pStyle w:val="TableContents"/>
              <w:spacing w:before="0" w:after="283"/>
              <w:jc w:val="center"/>
              <w:rPr>
                <w:b/>
              </w:rPr>
            </w:pPr>
            <w:r>
              <w:rPr>
                <w:b/>
              </w:rPr>
              <w:t>pursuant to Sec. 198 para. 1 of the</w:t>
            </w:r>
          </w:p>
        </w:tc>
      </w:tr>
      <w:tr>
        <w:trPr/>
        <w:tc>
          <w:tcPr>
            <w:tcW w:w="5268" w:type="dxa"/>
            <w:tcBorders/>
            <w:shd w:fill="auto" w:val="clear"/>
          </w:tcPr>
          <w:p>
            <w:pPr>
              <w:pStyle w:val="TableContents"/>
              <w:spacing w:before="0" w:after="283"/>
              <w:jc w:val="center"/>
              <w:rPr>
                <w:b/>
              </w:rPr>
            </w:pPr>
            <w:r>
              <w:rPr>
                <w:b/>
              </w:rPr>
              <w:t>(doppelt ausgestellt)</w:t>
            </w:r>
          </w:p>
        </w:tc>
        <w:tc>
          <w:tcPr>
            <w:tcW w:w="120" w:type="dxa"/>
            <w:tcBorders/>
            <w:shd w:fill="auto" w:val="clear"/>
            <w:vAlign w:val="bottom"/>
          </w:tcPr>
          <w:p>
            <w:pPr>
              <w:pStyle w:val="TableContents"/>
              <w:spacing w:before="0" w:after="283"/>
              <w:rPr/>
            </w:pPr>
            <w:r>
              <w:rPr/>
              <w:t>  </w:t>
            </w:r>
          </w:p>
        </w:tc>
        <w:tc>
          <w:tcPr>
            <w:tcW w:w="4817" w:type="dxa"/>
            <w:tcBorders/>
            <w:shd w:fill="auto" w:val="clear"/>
          </w:tcPr>
          <w:p>
            <w:pPr>
              <w:pStyle w:val="TableContents"/>
              <w:spacing w:before="0" w:after="283"/>
              <w:jc w:val="center"/>
              <w:rPr>
                <w:b/>
              </w:rPr>
            </w:pPr>
            <w:r>
              <w:rPr>
                <w:b/>
              </w:rPr>
              <w:t>German Stock Corporation Act (AktG)</w:t>
            </w:r>
          </w:p>
        </w:tc>
      </w:tr>
      <w:tr>
        <w:trPr/>
        <w:tc>
          <w:tcPr>
            <w:tcW w:w="5268"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4817" w:type="dxa"/>
            <w:tcBorders/>
            <w:shd w:fill="auto" w:val="clear"/>
          </w:tcPr>
          <w:p>
            <w:pPr>
              <w:pStyle w:val="TableContents"/>
              <w:spacing w:before="0" w:after="283"/>
              <w:jc w:val="center"/>
              <w:rPr>
                <w:b/>
              </w:rPr>
            </w:pPr>
            <w:r>
              <w:rPr>
                <w:b/>
              </w:rPr>
              <w:t>(issued twice)</w:t>
            </w:r>
          </w:p>
        </w:tc>
      </w:tr>
      <w:tr>
        <w:trPr>
          <w:trHeight w:val="120" w:hRule="atLeast"/>
        </w:trPr>
        <w:tc>
          <w:tcPr>
            <w:tcW w:w="5268" w:type="dxa"/>
            <w:tcBorders/>
            <w:shd w:fill="auto" w:val="clear"/>
            <w:vAlign w:val="center"/>
          </w:tcPr>
          <w:p>
            <w:pPr>
              <w:pStyle w:val="TableContents"/>
              <w:spacing w:before="0" w:after="283"/>
              <w:rPr>
                <w:sz w:val="4"/>
                <w:szCs w:val="4"/>
              </w:rPr>
            </w:pPr>
            <w:r>
              <w:rPr>
                <w:sz w:val="4"/>
                <w:szCs w:val="4"/>
              </w:rPr>
            </w:r>
          </w:p>
        </w:tc>
        <w:tc>
          <w:tcPr>
            <w:tcW w:w="4937" w:type="dxa"/>
            <w:gridSpan w:val="2"/>
            <w:tcBorders/>
            <w:shd w:fill="auto" w:val="clear"/>
            <w:vAlign w:val="center"/>
          </w:tcPr>
          <w:p>
            <w:pPr>
              <w:pStyle w:val="TableContents"/>
              <w:spacing w:before="0" w:after="283"/>
              <w:rPr>
                <w:sz w:val="4"/>
                <w:szCs w:val="4"/>
              </w:rPr>
            </w:pPr>
            <w:r>
              <w:rPr>
                <w:sz w:val="4"/>
                <w:szCs w:val="4"/>
              </w:rPr>
            </w:r>
          </w:p>
        </w:tc>
      </w:tr>
      <w:tr>
        <w:trPr/>
        <w:tc>
          <w:tcPr>
            <w:tcW w:w="5268" w:type="dxa"/>
            <w:tcBorders/>
            <w:shd w:fill="auto" w:val="clear"/>
          </w:tcPr>
          <w:p>
            <w:pPr>
              <w:pStyle w:val="TableContents"/>
              <w:spacing w:before="0" w:after="283"/>
              <w:rPr/>
            </w:pPr>
            <w:r>
              <w:rPr/>
              <w:t>Durch Beschluss der ordentlichen Hauptver-sammlung der Mynaric AG vom 14. Juli 2022 wurde das Grundkapital der Mynaric AG um bis zu EUR 115.000,00 durch Ausgabe von bis zu 115.000 neuen, auf den Inhaber oder auf den Na-men lautende Stückaktien mit einem rechneri-schen Anteil am Grundkapital von EUR 1,00 be-dingt erhöht (</w:t>
            </w:r>
            <w:r>
              <w:rPr>
                <w:b/>
              </w:rPr>
              <w:t>Bedingtes Kapital 2022/II</w:t>
            </w:r>
            <w:r>
              <w:rPr/>
              <w:t>). Das Bedingte Kapital 2022 dient ausschließlich der Sicherung von Bezugsrechten auf Aktien (Aktienoptionen) an Vorstandsmitglieder der Gesellschaft, die im Rahmen eines Aktienopti-onsprogramms in der Zeit ab Eintragung des Be-dingten Kapitals 2022/II bis zum 13. Juli 2027 ausgegeben werden.</w:t>
            </w:r>
          </w:p>
        </w:tc>
        <w:tc>
          <w:tcPr>
            <w:tcW w:w="120" w:type="dxa"/>
            <w:tcBorders/>
            <w:shd w:fill="auto" w:val="clear"/>
            <w:vAlign w:val="bottom"/>
          </w:tcPr>
          <w:p>
            <w:pPr>
              <w:pStyle w:val="TableContents"/>
              <w:spacing w:before="0" w:after="283"/>
              <w:rPr/>
            </w:pPr>
            <w:r>
              <w:rPr/>
              <w:t>  </w:t>
            </w:r>
          </w:p>
        </w:tc>
        <w:tc>
          <w:tcPr>
            <w:tcW w:w="4817" w:type="dxa"/>
            <w:tcBorders/>
            <w:shd w:fill="auto" w:val="clear"/>
          </w:tcPr>
          <w:p>
            <w:pPr>
              <w:pStyle w:val="TableContents"/>
              <w:spacing w:before="0" w:after="283"/>
              <w:rPr/>
            </w:pPr>
            <w:r>
              <w:rPr/>
              <w:t>By resolution of the annual general meeting of Mynaric AG of July 14, 2022, the share capital of Mynaric AG was conditionally increased by up to EUR 115,000.00 through the issuance of up to 115,000 no-par value bearer or registered shares with a pro rata mount of the share capital of EUR 1.00 (</w:t>
            </w:r>
            <w:r>
              <w:rPr>
                <w:b/>
              </w:rPr>
              <w:t>Conditional Capital 2022/II</w:t>
            </w:r>
            <w:r>
              <w:rPr/>
              <w:t>). The Conditional Capital 2022/II serves to se-cure subscription rights (stock options) to members of the Management Board, issued under a Stock Option Plan in the time period from the date of registration of the Conditional Cap- ital 2022/II until July 13, 2027.</w:t>
            </w:r>
          </w:p>
        </w:tc>
      </w:tr>
      <w:tr>
        <w:trPr>
          <w:trHeight w:val="120" w:hRule="atLeast"/>
        </w:trPr>
        <w:tc>
          <w:tcPr>
            <w:tcW w:w="5268" w:type="dxa"/>
            <w:tcBorders/>
            <w:shd w:fill="auto" w:val="clear"/>
            <w:vAlign w:val="center"/>
          </w:tcPr>
          <w:p>
            <w:pPr>
              <w:pStyle w:val="TableContents"/>
              <w:spacing w:before="0" w:after="283"/>
              <w:rPr>
                <w:sz w:val="4"/>
                <w:szCs w:val="4"/>
              </w:rPr>
            </w:pPr>
            <w:r>
              <w:rPr>
                <w:sz w:val="4"/>
                <w:szCs w:val="4"/>
              </w:rPr>
            </w:r>
          </w:p>
        </w:tc>
        <w:tc>
          <w:tcPr>
            <w:tcW w:w="4937" w:type="dxa"/>
            <w:gridSpan w:val="2"/>
            <w:tcBorders/>
            <w:shd w:fill="auto" w:val="clear"/>
            <w:vAlign w:val="center"/>
          </w:tcPr>
          <w:p>
            <w:pPr>
              <w:pStyle w:val="TableContents"/>
              <w:spacing w:before="0" w:after="283"/>
              <w:rPr>
                <w:sz w:val="4"/>
                <w:szCs w:val="4"/>
              </w:rPr>
            </w:pPr>
            <w:r>
              <w:rPr>
                <w:sz w:val="4"/>
                <w:szCs w:val="4"/>
              </w:rPr>
            </w:r>
          </w:p>
        </w:tc>
      </w:tr>
      <w:tr>
        <w:trPr/>
        <w:tc>
          <w:tcPr>
            <w:tcW w:w="5268" w:type="dxa"/>
            <w:tcBorders/>
            <w:shd w:fill="auto" w:val="clear"/>
          </w:tcPr>
          <w:p>
            <w:pPr>
              <w:pStyle w:val="TableContents"/>
              <w:spacing w:before="0" w:after="283"/>
              <w:rPr/>
            </w:pPr>
            <w:r>
              <w:rPr/>
              <w:t>Der Aufsichtsrat wurde durch Beschluss der or-dentlichen Hauptversammlung der Mynaric AG vom 14. Juli 2022 ermächtigt, bis einschließlich zum 13. Juli 2027 einmalig oder mehrmals Be-zugsrechte (Aktienoptionen) auf insgesamt bis zu 115.000 auf den Inhaber oder auf den Namen lautende Stückaktien der Gesellschaft an Vor-standsmitglieder der Gesellschaft zu gewähren.</w:t>
            </w:r>
          </w:p>
        </w:tc>
        <w:tc>
          <w:tcPr>
            <w:tcW w:w="120" w:type="dxa"/>
            <w:tcBorders/>
            <w:shd w:fill="auto" w:val="clear"/>
            <w:vAlign w:val="bottom"/>
          </w:tcPr>
          <w:p>
            <w:pPr>
              <w:pStyle w:val="TableContents"/>
              <w:spacing w:before="0" w:after="283"/>
              <w:rPr/>
            </w:pPr>
            <w:r>
              <w:rPr/>
              <w:t>  </w:t>
            </w:r>
          </w:p>
        </w:tc>
        <w:tc>
          <w:tcPr>
            <w:tcW w:w="4817" w:type="dxa"/>
            <w:tcBorders/>
            <w:shd w:fill="auto" w:val="clear"/>
          </w:tcPr>
          <w:p>
            <w:pPr>
              <w:pStyle w:val="TableContents"/>
              <w:spacing w:before="0" w:after="283"/>
              <w:rPr/>
            </w:pPr>
            <w:r>
              <w:rPr/>
              <w:t>By resolution of the annual general meeting of Mynaric AG of July 14, 2022, the Supervisory Board was authorized to grant on one or more occasion until (and including) July 13, 2027, subscription rights (stock options) to up to 115,000 no-par value bearer or registered shares of the Company to members of the Man- agement Board of the Company.</w:t>
            </w:r>
          </w:p>
        </w:tc>
      </w:tr>
      <w:tr>
        <w:trPr>
          <w:trHeight w:val="120" w:hRule="atLeast"/>
        </w:trPr>
        <w:tc>
          <w:tcPr>
            <w:tcW w:w="5268" w:type="dxa"/>
            <w:tcBorders/>
            <w:shd w:fill="auto" w:val="clear"/>
            <w:vAlign w:val="center"/>
          </w:tcPr>
          <w:p>
            <w:pPr>
              <w:pStyle w:val="TableContents"/>
              <w:spacing w:before="0" w:after="283"/>
              <w:rPr>
                <w:sz w:val="4"/>
                <w:szCs w:val="4"/>
              </w:rPr>
            </w:pPr>
            <w:r>
              <w:rPr>
                <w:sz w:val="4"/>
                <w:szCs w:val="4"/>
              </w:rPr>
            </w:r>
          </w:p>
        </w:tc>
        <w:tc>
          <w:tcPr>
            <w:tcW w:w="4937" w:type="dxa"/>
            <w:gridSpan w:val="2"/>
            <w:tcBorders/>
            <w:shd w:fill="auto" w:val="clear"/>
            <w:vAlign w:val="center"/>
          </w:tcPr>
          <w:p>
            <w:pPr>
              <w:pStyle w:val="TableContents"/>
              <w:spacing w:before="0" w:after="283"/>
              <w:rPr>
                <w:sz w:val="4"/>
                <w:szCs w:val="4"/>
              </w:rPr>
            </w:pPr>
            <w:r>
              <w:rPr>
                <w:sz w:val="4"/>
                <w:szCs w:val="4"/>
              </w:rPr>
            </w:r>
          </w:p>
        </w:tc>
      </w:tr>
      <w:tr>
        <w:trPr/>
        <w:tc>
          <w:tcPr>
            <w:tcW w:w="5268" w:type="dxa"/>
            <w:tcBorders/>
            <w:shd w:fill="auto" w:val="clear"/>
          </w:tcPr>
          <w:p>
            <w:pPr>
              <w:pStyle w:val="TableContents"/>
              <w:spacing w:before="0" w:after="283"/>
              <w:rPr/>
            </w:pPr>
            <w:r>
              <w:rPr/>
              <w:t>Eine Aktienoption (Stock Option) gewährt ein Bezugsrecht auf eine Aktie der Gesellschaft mit einem rechnerischen Anteil am Grundkapital der Mynaric AG von EUR 1,00.</w:t>
            </w:r>
          </w:p>
        </w:tc>
        <w:tc>
          <w:tcPr>
            <w:tcW w:w="120" w:type="dxa"/>
            <w:tcBorders/>
            <w:shd w:fill="auto" w:val="clear"/>
            <w:vAlign w:val="bottom"/>
          </w:tcPr>
          <w:p>
            <w:pPr>
              <w:pStyle w:val="TableContents"/>
              <w:spacing w:before="0" w:after="283"/>
              <w:rPr/>
            </w:pPr>
            <w:r>
              <w:rPr/>
              <w:t>  </w:t>
            </w:r>
          </w:p>
        </w:tc>
        <w:tc>
          <w:tcPr>
            <w:tcW w:w="4817" w:type="dxa"/>
            <w:tcBorders/>
            <w:shd w:fill="auto" w:val="clear"/>
          </w:tcPr>
          <w:p>
            <w:pPr>
              <w:pStyle w:val="TableContents"/>
              <w:spacing w:before="0" w:after="283"/>
              <w:rPr/>
            </w:pPr>
            <w:r>
              <w:rPr/>
              <w:t xml:space="preserve">One stock option grants a subscription right to one share of the company with a </w:t>
            </w:r>
            <w:r>
              <w:rPr>
                <w:i/>
              </w:rPr>
              <w:t xml:space="preserve">pro rata </w:t>
            </w:r>
            <w:r>
              <w:rPr/>
              <w:t>amount of the nominal share capital of My- naric AG of EUR 1.00.</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23/35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5197"/>
        <w:gridCol w:w="120"/>
        <w:gridCol w:w="4888"/>
      </w:tblGrid>
      <w:tr>
        <w:trPr/>
        <w:tc>
          <w:tcPr>
            <w:tcW w:w="51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888" w:type="dxa"/>
            <w:tcBorders/>
            <w:shd w:fill="auto" w:val="clear"/>
            <w:vAlign w:val="center"/>
          </w:tcPr>
          <w:p>
            <w:pPr>
              <w:pStyle w:val="TableContents"/>
              <w:spacing w:before="0" w:after="283"/>
              <w:rPr>
                <w:sz w:val="4"/>
                <w:szCs w:val="4"/>
              </w:rPr>
            </w:pPr>
            <w:r>
              <w:rPr>
                <w:sz w:val="4"/>
                <w:szCs w:val="4"/>
              </w:rPr>
            </w:r>
          </w:p>
        </w:tc>
      </w:tr>
      <w:tr>
        <w:trPr/>
        <w:tc>
          <w:tcPr>
            <w:tcW w:w="5197" w:type="dxa"/>
            <w:tcBorders/>
            <w:shd w:fill="auto" w:val="clear"/>
          </w:tcPr>
          <w:p>
            <w:pPr>
              <w:pStyle w:val="TableContents"/>
              <w:spacing w:before="0" w:after="283"/>
              <w:rPr/>
            </w:pPr>
            <w:r>
              <w:rPr/>
              <w:t xml:space="preserve">Ich, Frau/Herr </w:t>
            </w:r>
            <w:r>
              <w:rPr>
                <w:b/>
                <w:i/>
              </w:rPr>
              <w:t>[Vor- und Nachname, Geburts-datum, Adresse], bin Inhaber/in von insgesamt [] Bezugsrechten aus [] Aktienoptionen mit dem Recht auf den Bezug von jeweils einer Ak-tie der Mynaric AG mit einem rechnerischen Anteil am Grundkapital der Mynaric AG von EUR 1,00 je Aktie aus dem Aktienoptionspro gramm 2022.</w:t>
            </w:r>
          </w:p>
        </w:tc>
        <w:tc>
          <w:tcPr>
            <w:tcW w:w="120" w:type="dxa"/>
            <w:tcBorders/>
            <w:shd w:fill="auto" w:val="clear"/>
            <w:vAlign w:val="bottom"/>
          </w:tcPr>
          <w:p>
            <w:pPr>
              <w:pStyle w:val="TableContents"/>
              <w:spacing w:before="0" w:after="283"/>
              <w:rPr/>
            </w:pPr>
            <w:r>
              <w:rPr/>
              <w:t>  </w:t>
            </w:r>
          </w:p>
        </w:tc>
        <w:tc>
          <w:tcPr>
            <w:tcW w:w="4888" w:type="dxa"/>
            <w:tcBorders/>
            <w:shd w:fill="auto" w:val="clear"/>
          </w:tcPr>
          <w:p>
            <w:pPr>
              <w:pStyle w:val="TableContents"/>
              <w:spacing w:before="0" w:after="283"/>
              <w:rPr/>
            </w:pPr>
            <w:r>
              <w:rPr/>
              <w:t>I, Mrs./Mr. </w:t>
            </w:r>
            <w:r>
              <w:rPr>
                <w:b/>
                <w:i/>
              </w:rPr>
              <w:t>[first and last name, date of birth, address]</w:t>
            </w:r>
            <w:r>
              <w:rPr/>
              <w:t xml:space="preserve">, am the holder of a total of [] sub- scription rights from [] stock options, each of them entitling me to the subscription of one share of Mynaric AG with a </w:t>
            </w:r>
            <w:r>
              <w:rPr>
                <w:i/>
              </w:rPr>
              <w:t xml:space="preserve">pro rata </w:t>
            </w:r>
            <w:r>
              <w:rPr/>
              <w:t>amount of EUR 1.00 of the nominal share capital of My-naric AG under the Stock Option Program 2022.</w:t>
            </w:r>
          </w:p>
        </w:tc>
      </w:tr>
      <w:tr>
        <w:trPr>
          <w:trHeight w:val="120" w:hRule="atLeast"/>
        </w:trPr>
        <w:tc>
          <w:tcPr>
            <w:tcW w:w="5197" w:type="dxa"/>
            <w:tcBorders/>
            <w:shd w:fill="auto" w:val="clear"/>
            <w:vAlign w:val="center"/>
          </w:tcPr>
          <w:p>
            <w:pPr>
              <w:pStyle w:val="TableContents"/>
              <w:spacing w:before="0" w:after="283"/>
              <w:rPr>
                <w:sz w:val="4"/>
                <w:szCs w:val="4"/>
              </w:rPr>
            </w:pPr>
            <w:r>
              <w:rPr>
                <w:sz w:val="4"/>
                <w:szCs w:val="4"/>
              </w:rPr>
            </w:r>
          </w:p>
        </w:tc>
        <w:tc>
          <w:tcPr>
            <w:tcW w:w="5008" w:type="dxa"/>
            <w:gridSpan w:val="2"/>
            <w:tcBorders/>
            <w:shd w:fill="auto" w:val="clear"/>
            <w:vAlign w:val="center"/>
          </w:tcPr>
          <w:p>
            <w:pPr>
              <w:pStyle w:val="TableContents"/>
              <w:spacing w:before="0" w:after="283"/>
              <w:rPr>
                <w:sz w:val="4"/>
                <w:szCs w:val="4"/>
              </w:rPr>
            </w:pPr>
            <w:r>
              <w:rPr>
                <w:sz w:val="4"/>
                <w:szCs w:val="4"/>
              </w:rPr>
            </w:r>
          </w:p>
        </w:tc>
      </w:tr>
      <w:tr>
        <w:trPr/>
        <w:tc>
          <w:tcPr>
            <w:tcW w:w="5197" w:type="dxa"/>
            <w:tcBorders/>
            <w:shd w:fill="auto" w:val="clear"/>
          </w:tcPr>
          <w:p>
            <w:pPr>
              <w:pStyle w:val="TableContents"/>
              <w:spacing w:before="0" w:after="283"/>
              <w:rPr/>
            </w:pPr>
            <w:r>
              <w:rPr/>
              <w:t>Ich erkläre hiermit gemäß § 198 Abs. 1 AktG nach Maßgabe der Optionsbedingungen die Ausübung von [] Bezugsrechten, und zeichne und übernehme aus dem von der Hauptver-sammlung der Mynaric AG vom 14. Juli 2022 unter TOP 15 beschlossenen und in das Han-delsregister eingetragenen Bedingten Kapi-tal 2022/II insgesamt [] auf den Namen lau-tende Stückaktien der Mynaric AG mit einem rechnerischen Anteil am Grundkapital der My- naric AG von EUR 1,00 je Aktie.</w:t>
            </w:r>
          </w:p>
        </w:tc>
        <w:tc>
          <w:tcPr>
            <w:tcW w:w="120" w:type="dxa"/>
            <w:tcBorders/>
            <w:shd w:fill="auto" w:val="clear"/>
            <w:vAlign w:val="bottom"/>
          </w:tcPr>
          <w:p>
            <w:pPr>
              <w:pStyle w:val="TableContents"/>
              <w:spacing w:before="0" w:after="283"/>
              <w:rPr/>
            </w:pPr>
            <w:r>
              <w:rPr/>
              <w:t>  </w:t>
            </w:r>
          </w:p>
        </w:tc>
        <w:tc>
          <w:tcPr>
            <w:tcW w:w="4888" w:type="dxa"/>
            <w:tcBorders/>
            <w:shd w:fill="auto" w:val="clear"/>
          </w:tcPr>
          <w:p>
            <w:pPr>
              <w:pStyle w:val="TableContents"/>
              <w:spacing w:before="0" w:after="283"/>
              <w:rPr/>
            </w:pPr>
            <w:r>
              <w:rPr/>
              <w:t xml:space="preserve">I herewith declare pursuant to Sec. 198 para. 1 AktG in accordance with the Option Terms &amp; Conditions the exercise of [] subscription rights, and subscribe for a total of [] no-par- value registered shares of Mynaric AG with a </w:t>
            </w:r>
            <w:r>
              <w:rPr>
                <w:i/>
              </w:rPr>
              <w:t xml:space="preserve">pro rata </w:t>
            </w:r>
            <w:r>
              <w:rPr/>
              <w:t>amount of EUR 1.00 of the nominal share capital of Mynaric AG AG out of the Conditional Capital 2022/II, resolved upon by the general meeting of Mynaric AG as of July 14. 2022, under agenda item 15 and registered with the commercial register.</w:t>
            </w:r>
          </w:p>
        </w:tc>
      </w:tr>
      <w:tr>
        <w:trPr>
          <w:trHeight w:val="120" w:hRule="atLeast"/>
        </w:trPr>
        <w:tc>
          <w:tcPr>
            <w:tcW w:w="5197" w:type="dxa"/>
            <w:tcBorders/>
            <w:shd w:fill="auto" w:val="clear"/>
            <w:vAlign w:val="center"/>
          </w:tcPr>
          <w:p>
            <w:pPr>
              <w:pStyle w:val="TableContents"/>
              <w:spacing w:before="0" w:after="283"/>
              <w:rPr>
                <w:sz w:val="4"/>
                <w:szCs w:val="4"/>
              </w:rPr>
            </w:pPr>
            <w:r>
              <w:rPr>
                <w:sz w:val="4"/>
                <w:szCs w:val="4"/>
              </w:rPr>
            </w:r>
          </w:p>
        </w:tc>
        <w:tc>
          <w:tcPr>
            <w:tcW w:w="5008" w:type="dxa"/>
            <w:gridSpan w:val="2"/>
            <w:tcBorders/>
            <w:shd w:fill="auto" w:val="clear"/>
            <w:vAlign w:val="center"/>
          </w:tcPr>
          <w:p>
            <w:pPr>
              <w:pStyle w:val="TableContents"/>
              <w:spacing w:before="0" w:after="283"/>
              <w:rPr>
                <w:sz w:val="4"/>
                <w:szCs w:val="4"/>
              </w:rPr>
            </w:pPr>
            <w:r>
              <w:rPr>
                <w:sz w:val="4"/>
                <w:szCs w:val="4"/>
              </w:rPr>
            </w:r>
          </w:p>
        </w:tc>
      </w:tr>
      <w:tr>
        <w:trPr/>
        <w:tc>
          <w:tcPr>
            <w:tcW w:w="5197" w:type="dxa"/>
            <w:tcBorders/>
            <w:shd w:fill="auto" w:val="clear"/>
          </w:tcPr>
          <w:p>
            <w:pPr>
              <w:pStyle w:val="TableContents"/>
              <w:spacing w:before="0" w:after="283"/>
              <w:rPr/>
            </w:pPr>
            <w:r>
              <w:rPr/>
              <w:t>Der für diese Aktien zu leistende Ausübungs-preis von EUR [] je Aktie, und damit EUR [] insgesamt, wurde auf das vom Aufsichtsrat be- zeichnete Konto der Mynaric AG bei der</w:t>
            </w:r>
          </w:p>
        </w:tc>
        <w:tc>
          <w:tcPr>
            <w:tcW w:w="120" w:type="dxa"/>
            <w:tcBorders/>
            <w:shd w:fill="auto" w:val="clear"/>
            <w:vAlign w:val="bottom"/>
          </w:tcPr>
          <w:p>
            <w:pPr>
              <w:pStyle w:val="TableContents"/>
              <w:spacing w:before="0" w:after="283"/>
              <w:rPr/>
            </w:pPr>
            <w:r>
              <w:rPr/>
              <w:t>  </w:t>
            </w:r>
          </w:p>
        </w:tc>
        <w:tc>
          <w:tcPr>
            <w:tcW w:w="4888" w:type="dxa"/>
            <w:tcBorders/>
            <w:shd w:fill="auto" w:val="clear"/>
          </w:tcPr>
          <w:p>
            <w:pPr>
              <w:pStyle w:val="TableContents"/>
              <w:spacing w:before="0" w:after="283"/>
              <w:rPr/>
            </w:pPr>
            <w:r>
              <w:rPr/>
              <w:t>The exercise price for these shares in the amount of EUR [] per share and, thus, a total amount of EUR [], has been paid or trans- ferred to the account of Mynaric AG, as deter- mined by the Supervisory Board at</w:t>
            </w:r>
          </w:p>
        </w:tc>
      </w:tr>
      <w:tr>
        <w:trPr>
          <w:trHeight w:val="120" w:hRule="atLeast"/>
        </w:trPr>
        <w:tc>
          <w:tcPr>
            <w:tcW w:w="5197" w:type="dxa"/>
            <w:tcBorders/>
            <w:shd w:fill="auto" w:val="clear"/>
            <w:vAlign w:val="center"/>
          </w:tcPr>
          <w:p>
            <w:pPr>
              <w:pStyle w:val="TableContents"/>
              <w:spacing w:before="0" w:after="283"/>
              <w:rPr>
                <w:sz w:val="4"/>
                <w:szCs w:val="4"/>
              </w:rPr>
            </w:pPr>
            <w:r>
              <w:rPr>
                <w:sz w:val="4"/>
                <w:szCs w:val="4"/>
              </w:rPr>
            </w:r>
          </w:p>
        </w:tc>
        <w:tc>
          <w:tcPr>
            <w:tcW w:w="5008" w:type="dxa"/>
            <w:gridSpan w:val="2"/>
            <w:tcBorders/>
            <w:shd w:fill="auto" w:val="clear"/>
            <w:vAlign w:val="center"/>
          </w:tcPr>
          <w:p>
            <w:pPr>
              <w:pStyle w:val="TableContents"/>
              <w:spacing w:before="0" w:after="283"/>
              <w:rPr>
                <w:sz w:val="4"/>
                <w:szCs w:val="4"/>
              </w:rPr>
            </w:pPr>
            <w:r>
              <w:rPr>
                <w:sz w:val="4"/>
                <w:szCs w:val="4"/>
              </w:rPr>
            </w:r>
          </w:p>
        </w:tc>
      </w:tr>
      <w:tr>
        <w:trPr/>
        <w:tc>
          <w:tcPr>
            <w:tcW w:w="5197" w:type="dxa"/>
            <w:tcBorders/>
            <w:shd w:fill="auto" w:val="clear"/>
          </w:tcPr>
          <w:p>
            <w:pPr>
              <w:pStyle w:val="TableContents"/>
              <w:spacing w:before="0" w:after="0"/>
              <w:rPr>
                <w:rFonts w:ascii="Times New Roman" w:hAnsi="Times New Roman"/>
                <w:sz w:val="20"/>
              </w:rPr>
            </w:pPr>
            <w:r>
              <w:rPr>
                <w:rFonts w:ascii="Times New Roman" w:hAnsi="Times New Roman"/>
                <w:sz w:val="20"/>
              </w:rPr>
              <w:t>[]</w:t>
            </w:r>
            <w:r>
              <w:rPr>
                <w:rFonts w:ascii="Times New Roman" w:hAnsi="Times New Roman"/>
                <w:b/>
                <w:i/>
                <w:sz w:val="20"/>
              </w:rPr>
              <w:t xml:space="preserve">, </w:t>
            </w:r>
          </w:p>
        </w:tc>
        <w:tc>
          <w:tcPr>
            <w:tcW w:w="120" w:type="dxa"/>
            <w:tcBorders/>
            <w:shd w:fill="auto" w:val="clear"/>
            <w:vAlign w:val="bottom"/>
          </w:tcPr>
          <w:p>
            <w:pPr>
              <w:pStyle w:val="TableContents"/>
              <w:spacing w:before="0" w:after="283"/>
              <w:rPr/>
            </w:pPr>
            <w:r>
              <w:rPr/>
              <w:t>  </w:t>
            </w:r>
          </w:p>
        </w:tc>
        <w:tc>
          <w:tcPr>
            <w:tcW w:w="4888" w:type="dxa"/>
            <w:tcBorders/>
            <w:shd w:fill="auto" w:val="clear"/>
          </w:tcPr>
          <w:p>
            <w:pPr>
              <w:pStyle w:val="TableContents"/>
              <w:spacing w:before="0" w:after="0"/>
              <w:rPr>
                <w:rFonts w:ascii="Times New Roman" w:hAnsi="Times New Roman"/>
                <w:sz w:val="20"/>
              </w:rPr>
            </w:pPr>
            <w:r>
              <w:rPr>
                <w:rFonts w:ascii="Times New Roman" w:hAnsi="Times New Roman"/>
                <w:sz w:val="20"/>
              </w:rPr>
              <w:t>[]</w:t>
            </w:r>
            <w:r>
              <w:rPr>
                <w:rFonts w:ascii="Times New Roman" w:hAnsi="Times New Roman"/>
                <w:b/>
                <w:i/>
                <w:sz w:val="20"/>
              </w:rPr>
              <w:t xml:space="preserve">, </w:t>
            </w:r>
          </w:p>
        </w:tc>
      </w:tr>
      <w:tr>
        <w:trPr/>
        <w:tc>
          <w:tcPr>
            <w:tcW w:w="5197" w:type="dxa"/>
            <w:tcBorders/>
            <w:shd w:fill="auto" w:val="clear"/>
          </w:tcPr>
          <w:p>
            <w:pPr>
              <w:pStyle w:val="TableContents"/>
              <w:spacing w:before="0" w:after="0"/>
              <w:rPr>
                <w:rFonts w:ascii="Times New Roman" w:hAnsi="Times New Roman"/>
                <w:sz w:val="20"/>
              </w:rPr>
            </w:pPr>
            <w:r>
              <w:rPr>
                <w:rFonts w:ascii="Times New Roman" w:hAnsi="Times New Roman"/>
                <w:b/>
                <w:i/>
                <w:sz w:val="20"/>
              </w:rPr>
              <w:t xml:space="preserve">IBAN: </w:t>
            </w:r>
            <w:r>
              <w:rPr>
                <w:rFonts w:ascii="Times New Roman" w:hAnsi="Times New Roman"/>
                <w:sz w:val="20"/>
              </w:rPr>
              <w:t>[]</w:t>
            </w:r>
            <w:r>
              <w:rPr>
                <w:rFonts w:ascii="Times New Roman" w:hAnsi="Times New Roman"/>
                <w:b/>
                <w:i/>
                <w:sz w:val="20"/>
              </w:rPr>
              <w:t xml:space="preserve">, </w:t>
            </w:r>
          </w:p>
        </w:tc>
        <w:tc>
          <w:tcPr>
            <w:tcW w:w="120" w:type="dxa"/>
            <w:tcBorders/>
            <w:shd w:fill="auto" w:val="clear"/>
            <w:vAlign w:val="bottom"/>
          </w:tcPr>
          <w:p>
            <w:pPr>
              <w:pStyle w:val="TableContents"/>
              <w:spacing w:before="0" w:after="283"/>
              <w:rPr/>
            </w:pPr>
            <w:r>
              <w:rPr/>
              <w:t>  </w:t>
            </w:r>
          </w:p>
        </w:tc>
        <w:tc>
          <w:tcPr>
            <w:tcW w:w="4888" w:type="dxa"/>
            <w:tcBorders/>
            <w:shd w:fill="auto" w:val="clear"/>
          </w:tcPr>
          <w:p>
            <w:pPr>
              <w:pStyle w:val="TableContents"/>
              <w:spacing w:before="0" w:after="0"/>
              <w:rPr>
                <w:rFonts w:ascii="Times New Roman" w:hAnsi="Times New Roman"/>
                <w:sz w:val="20"/>
              </w:rPr>
            </w:pPr>
            <w:r>
              <w:rPr>
                <w:rFonts w:ascii="Times New Roman" w:hAnsi="Times New Roman"/>
                <w:b/>
                <w:i/>
                <w:sz w:val="20"/>
              </w:rPr>
              <w:t xml:space="preserve">IBAN: </w:t>
            </w:r>
            <w:r>
              <w:rPr>
                <w:rFonts w:ascii="Times New Roman" w:hAnsi="Times New Roman"/>
                <w:sz w:val="20"/>
              </w:rPr>
              <w:t>[]</w:t>
            </w:r>
            <w:r>
              <w:rPr>
                <w:rFonts w:ascii="Times New Roman" w:hAnsi="Times New Roman"/>
                <w:b/>
                <w:i/>
                <w:sz w:val="20"/>
              </w:rPr>
              <w:t xml:space="preserve">, </w:t>
            </w:r>
          </w:p>
        </w:tc>
      </w:tr>
      <w:tr>
        <w:trPr/>
        <w:tc>
          <w:tcPr>
            <w:tcW w:w="5197" w:type="dxa"/>
            <w:tcBorders/>
            <w:shd w:fill="auto" w:val="clear"/>
          </w:tcPr>
          <w:p>
            <w:pPr>
              <w:pStyle w:val="TableContents"/>
              <w:spacing w:before="0" w:after="0"/>
              <w:rPr>
                <w:rFonts w:ascii="Times New Roman" w:hAnsi="Times New Roman"/>
                <w:sz w:val="20"/>
              </w:rPr>
            </w:pPr>
            <w:r>
              <w:rPr>
                <w:rFonts w:ascii="Times New Roman" w:hAnsi="Times New Roman"/>
                <w:b/>
                <w:i/>
                <w:sz w:val="20"/>
              </w:rPr>
              <w:t xml:space="preserve">BIC: </w:t>
            </w:r>
            <w:r>
              <w:rPr>
                <w:rFonts w:ascii="Times New Roman" w:hAnsi="Times New Roman"/>
                <w:sz w:val="20"/>
              </w:rPr>
              <w:t>[]</w:t>
            </w:r>
            <w:r>
              <w:rPr>
                <w:rFonts w:ascii="Times New Roman" w:hAnsi="Times New Roman"/>
                <w:i/>
                <w:sz w:val="20"/>
              </w:rPr>
              <w:t xml:space="preserve">, </w:t>
            </w:r>
          </w:p>
        </w:tc>
        <w:tc>
          <w:tcPr>
            <w:tcW w:w="120" w:type="dxa"/>
            <w:tcBorders/>
            <w:shd w:fill="auto" w:val="clear"/>
            <w:vAlign w:val="bottom"/>
          </w:tcPr>
          <w:p>
            <w:pPr>
              <w:pStyle w:val="TableContents"/>
              <w:spacing w:before="0" w:after="283"/>
              <w:rPr/>
            </w:pPr>
            <w:r>
              <w:rPr/>
              <w:t>  </w:t>
            </w:r>
          </w:p>
        </w:tc>
        <w:tc>
          <w:tcPr>
            <w:tcW w:w="4888" w:type="dxa"/>
            <w:tcBorders/>
            <w:shd w:fill="auto" w:val="clear"/>
          </w:tcPr>
          <w:p>
            <w:pPr>
              <w:pStyle w:val="TableContents"/>
              <w:spacing w:before="0" w:after="0"/>
              <w:rPr>
                <w:rFonts w:ascii="Times New Roman" w:hAnsi="Times New Roman"/>
                <w:sz w:val="20"/>
              </w:rPr>
            </w:pPr>
            <w:r>
              <w:rPr>
                <w:rFonts w:ascii="Times New Roman" w:hAnsi="Times New Roman"/>
                <w:b/>
                <w:i/>
                <w:sz w:val="20"/>
              </w:rPr>
              <w:t xml:space="preserve">BIC: </w:t>
            </w:r>
            <w:r>
              <w:rPr>
                <w:rFonts w:ascii="Times New Roman" w:hAnsi="Times New Roman"/>
                <w:sz w:val="20"/>
              </w:rPr>
              <w:t>[]</w:t>
            </w:r>
            <w:r>
              <w:rPr>
                <w:rFonts w:ascii="Times New Roman" w:hAnsi="Times New Roman"/>
                <w:b/>
                <w:i/>
                <w:sz w:val="20"/>
              </w:rPr>
              <w:t>]</w:t>
            </w:r>
            <w:r>
              <w:rPr>
                <w:rFonts w:ascii="Times New Roman" w:hAnsi="Times New Roman"/>
                <w:sz w:val="20"/>
              </w:rPr>
              <w:t>.</w:t>
            </w:r>
          </w:p>
        </w:tc>
      </w:tr>
      <w:tr>
        <w:trPr>
          <w:trHeight w:val="120" w:hRule="atLeast"/>
        </w:trPr>
        <w:tc>
          <w:tcPr>
            <w:tcW w:w="5197" w:type="dxa"/>
            <w:tcBorders/>
            <w:shd w:fill="auto" w:val="clear"/>
            <w:vAlign w:val="center"/>
          </w:tcPr>
          <w:p>
            <w:pPr>
              <w:pStyle w:val="TableContents"/>
              <w:spacing w:before="0" w:after="283"/>
              <w:rPr>
                <w:sz w:val="4"/>
                <w:szCs w:val="4"/>
              </w:rPr>
            </w:pPr>
            <w:r>
              <w:rPr>
                <w:sz w:val="4"/>
                <w:szCs w:val="4"/>
              </w:rPr>
            </w:r>
          </w:p>
        </w:tc>
        <w:tc>
          <w:tcPr>
            <w:tcW w:w="5008" w:type="dxa"/>
            <w:gridSpan w:val="2"/>
            <w:tcBorders/>
            <w:shd w:fill="auto" w:val="clear"/>
            <w:vAlign w:val="center"/>
          </w:tcPr>
          <w:p>
            <w:pPr>
              <w:pStyle w:val="TableContents"/>
              <w:spacing w:before="0" w:after="283"/>
              <w:rPr>
                <w:sz w:val="4"/>
                <w:szCs w:val="4"/>
              </w:rPr>
            </w:pPr>
            <w:r>
              <w:rPr>
                <w:sz w:val="4"/>
                <w:szCs w:val="4"/>
              </w:rPr>
            </w:r>
          </w:p>
        </w:tc>
      </w:tr>
      <w:tr>
        <w:trPr/>
        <w:tc>
          <w:tcPr>
            <w:tcW w:w="5197" w:type="dxa"/>
            <w:tcBorders/>
            <w:shd w:fill="auto" w:val="clear"/>
          </w:tcPr>
          <w:p>
            <w:pPr>
              <w:pStyle w:val="TableContents"/>
              <w:spacing w:before="0" w:after="283"/>
              <w:rPr/>
            </w:pPr>
            <w:r>
              <w:rPr/>
              <w:t>eingezahlt bzw. überwiesen.</w:t>
            </w:r>
          </w:p>
        </w:tc>
        <w:tc>
          <w:tcPr>
            <w:tcW w:w="120" w:type="dxa"/>
            <w:tcBorders/>
            <w:shd w:fill="auto" w:val="clear"/>
            <w:vAlign w:val="bottom"/>
          </w:tcPr>
          <w:p>
            <w:pPr>
              <w:pStyle w:val="TableContents"/>
              <w:spacing w:before="0" w:after="283"/>
              <w:rPr/>
            </w:pPr>
            <w:r>
              <w:rPr/>
              <w:t>  </w:t>
            </w:r>
          </w:p>
        </w:tc>
        <w:tc>
          <w:tcPr>
            <w:tcW w:w="4888" w:type="dxa"/>
            <w:tcBorders/>
            <w:shd w:fill="auto" w:val="clear"/>
          </w:tcPr>
          <w:p>
            <w:pPr>
              <w:pStyle w:val="TableContents"/>
              <w:spacing w:before="0" w:after="283"/>
              <w:rPr>
                <w:sz w:val="4"/>
                <w:szCs w:val="4"/>
              </w:rPr>
            </w:pPr>
            <w:r>
              <w:rPr>
                <w:sz w:val="4"/>
                <w:szCs w:val="4"/>
              </w:rPr>
            </w:r>
          </w:p>
        </w:tc>
      </w:tr>
      <w:tr>
        <w:trPr>
          <w:trHeight w:val="120" w:hRule="atLeast"/>
        </w:trPr>
        <w:tc>
          <w:tcPr>
            <w:tcW w:w="5197" w:type="dxa"/>
            <w:tcBorders/>
            <w:shd w:fill="auto" w:val="clear"/>
            <w:vAlign w:val="center"/>
          </w:tcPr>
          <w:p>
            <w:pPr>
              <w:pStyle w:val="TableContents"/>
              <w:spacing w:before="0" w:after="283"/>
              <w:rPr>
                <w:sz w:val="4"/>
                <w:szCs w:val="4"/>
              </w:rPr>
            </w:pPr>
            <w:r>
              <w:rPr>
                <w:sz w:val="4"/>
                <w:szCs w:val="4"/>
              </w:rPr>
            </w:r>
          </w:p>
        </w:tc>
        <w:tc>
          <w:tcPr>
            <w:tcW w:w="5008" w:type="dxa"/>
            <w:gridSpan w:val="2"/>
            <w:tcBorders/>
            <w:shd w:fill="auto" w:val="clear"/>
            <w:vAlign w:val="center"/>
          </w:tcPr>
          <w:p>
            <w:pPr>
              <w:pStyle w:val="TableContents"/>
              <w:spacing w:before="0" w:after="283"/>
              <w:rPr>
                <w:sz w:val="4"/>
                <w:szCs w:val="4"/>
              </w:rPr>
            </w:pPr>
            <w:r>
              <w:rPr>
                <w:sz w:val="4"/>
                <w:szCs w:val="4"/>
              </w:rPr>
            </w:r>
          </w:p>
        </w:tc>
      </w:tr>
      <w:tr>
        <w:trPr/>
        <w:tc>
          <w:tcPr>
            <w:tcW w:w="5197" w:type="dxa"/>
            <w:tcBorders/>
            <w:shd w:fill="auto" w:val="clear"/>
          </w:tcPr>
          <w:p>
            <w:pPr>
              <w:pStyle w:val="TableContents"/>
              <w:spacing w:before="0" w:after="283"/>
              <w:rPr/>
            </w:pPr>
            <w:r>
              <w:rPr/>
              <w:t>Die Aktien sollen in Form von Miteigentumsan-teilen an einer Globalurkunde in mein Depot bei der</w:t>
            </w:r>
          </w:p>
        </w:tc>
        <w:tc>
          <w:tcPr>
            <w:tcW w:w="120" w:type="dxa"/>
            <w:tcBorders/>
            <w:shd w:fill="auto" w:val="clear"/>
            <w:vAlign w:val="bottom"/>
          </w:tcPr>
          <w:p>
            <w:pPr>
              <w:pStyle w:val="TableContents"/>
              <w:spacing w:before="0" w:after="283"/>
              <w:rPr/>
            </w:pPr>
            <w:r>
              <w:rPr/>
              <w:t>  </w:t>
            </w:r>
          </w:p>
        </w:tc>
        <w:tc>
          <w:tcPr>
            <w:tcW w:w="4888" w:type="dxa"/>
            <w:tcBorders/>
            <w:shd w:fill="auto" w:val="clear"/>
          </w:tcPr>
          <w:p>
            <w:pPr>
              <w:pStyle w:val="TableContents"/>
              <w:spacing w:before="0" w:after="283"/>
              <w:rPr/>
            </w:pPr>
            <w:r>
              <w:rPr/>
              <w:t>The shares shall be booked in my share deposit in the form of a co-ownership share (</w:t>
            </w:r>
            <w:r>
              <w:rPr>
                <w:i/>
              </w:rPr>
              <w:t>Miteigen-tumsanteil</w:t>
            </w:r>
            <w:r>
              <w:rPr/>
              <w:t>) of a global share certificate (</w:t>
            </w:r>
            <w:r>
              <w:rPr>
                <w:i/>
              </w:rPr>
              <w:t>Glob-</w:t>
            </w:r>
            <w:r>
              <w:rPr/>
              <w:t xml:space="preserve"> </w:t>
            </w:r>
            <w:r>
              <w:rPr>
                <w:i/>
              </w:rPr>
              <w:t>alurkunde</w:t>
            </w:r>
            <w:r>
              <w:rPr/>
              <w:t>) with</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24/35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5242"/>
        <w:gridCol w:w="123"/>
        <w:gridCol w:w="4840"/>
      </w:tblGrid>
      <w:tr>
        <w:trPr/>
        <w:tc>
          <w:tcPr>
            <w:tcW w:w="524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4840" w:type="dxa"/>
            <w:tcBorders/>
            <w:shd w:fill="auto" w:val="clear"/>
            <w:vAlign w:val="center"/>
          </w:tcPr>
          <w:p>
            <w:pPr>
              <w:pStyle w:val="TableContents"/>
              <w:spacing w:before="0" w:after="283"/>
              <w:rPr>
                <w:sz w:val="4"/>
                <w:szCs w:val="4"/>
              </w:rPr>
            </w:pPr>
            <w:r>
              <w:rPr>
                <w:sz w:val="4"/>
                <w:szCs w:val="4"/>
              </w:rPr>
            </w:r>
          </w:p>
        </w:tc>
      </w:tr>
      <w:tr>
        <w:trPr/>
        <w:tc>
          <w:tcPr>
            <w:tcW w:w="5242" w:type="dxa"/>
            <w:tcBorders/>
            <w:shd w:fill="auto" w:val="clear"/>
          </w:tcPr>
          <w:p>
            <w:pPr>
              <w:pStyle w:val="TableContents"/>
              <w:spacing w:before="0" w:after="0"/>
              <w:rPr>
                <w:rFonts w:ascii="Times New Roman" w:hAnsi="Times New Roman"/>
                <w:sz w:val="20"/>
              </w:rPr>
            </w:pPr>
            <w:r>
              <w:rPr>
                <w:rFonts w:ascii="Times New Roman" w:hAnsi="Times New Roman"/>
                <w:b/>
                <w:i/>
                <w:sz w:val="20"/>
              </w:rPr>
              <w:t>[Bezeichnung des Kreditinstituts]</w:t>
            </w:r>
            <w:r>
              <w:rPr>
                <w:rFonts w:ascii="Times New Roman" w:hAnsi="Times New Roman"/>
                <w:sz w:val="20"/>
              </w:rPr>
              <w:t>,</w:t>
            </w:r>
          </w:p>
        </w:tc>
        <w:tc>
          <w:tcPr>
            <w:tcW w:w="123" w:type="dxa"/>
            <w:tcBorders/>
            <w:shd w:fill="auto" w:val="clear"/>
            <w:vAlign w:val="bottom"/>
          </w:tcPr>
          <w:p>
            <w:pPr>
              <w:pStyle w:val="TableContents"/>
              <w:spacing w:before="0" w:after="283"/>
              <w:rPr/>
            </w:pPr>
            <w:r>
              <w:rPr/>
              <w:t>  </w:t>
            </w:r>
          </w:p>
        </w:tc>
        <w:tc>
          <w:tcPr>
            <w:tcW w:w="4840" w:type="dxa"/>
            <w:tcBorders/>
            <w:shd w:fill="auto" w:val="clear"/>
          </w:tcPr>
          <w:p>
            <w:pPr>
              <w:pStyle w:val="TableContents"/>
              <w:spacing w:before="0" w:after="0"/>
              <w:rPr>
                <w:rFonts w:ascii="Times New Roman" w:hAnsi="Times New Roman"/>
                <w:sz w:val="20"/>
              </w:rPr>
            </w:pPr>
            <w:r>
              <w:rPr>
                <w:rFonts w:ascii="Times New Roman" w:hAnsi="Times New Roman"/>
                <w:b/>
                <w:i/>
                <w:sz w:val="20"/>
              </w:rPr>
              <w:t>[name of bank]</w:t>
            </w:r>
            <w:r>
              <w:rPr>
                <w:rFonts w:ascii="Times New Roman" w:hAnsi="Times New Roman"/>
                <w:sz w:val="20"/>
              </w:rPr>
              <w:t>,</w:t>
            </w:r>
          </w:p>
        </w:tc>
      </w:tr>
      <w:tr>
        <w:trPr/>
        <w:tc>
          <w:tcPr>
            <w:tcW w:w="5242" w:type="dxa"/>
            <w:tcBorders/>
            <w:shd w:fill="auto" w:val="clear"/>
          </w:tcPr>
          <w:p>
            <w:pPr>
              <w:pStyle w:val="TableContents"/>
              <w:spacing w:before="0" w:after="0"/>
              <w:rPr>
                <w:rFonts w:ascii="Times New Roman" w:hAnsi="Times New Roman"/>
                <w:sz w:val="20"/>
              </w:rPr>
            </w:pPr>
            <w:r>
              <w:rPr>
                <w:rFonts w:ascii="Times New Roman" w:hAnsi="Times New Roman"/>
                <w:sz w:val="20"/>
              </w:rPr>
              <w:t>IBAN: [],</w:t>
            </w:r>
          </w:p>
        </w:tc>
        <w:tc>
          <w:tcPr>
            <w:tcW w:w="123" w:type="dxa"/>
            <w:tcBorders/>
            <w:shd w:fill="auto" w:val="clear"/>
            <w:vAlign w:val="bottom"/>
          </w:tcPr>
          <w:p>
            <w:pPr>
              <w:pStyle w:val="TableContents"/>
              <w:spacing w:before="0" w:after="283"/>
              <w:rPr/>
            </w:pPr>
            <w:r>
              <w:rPr/>
              <w:t>  </w:t>
            </w:r>
          </w:p>
        </w:tc>
        <w:tc>
          <w:tcPr>
            <w:tcW w:w="4840" w:type="dxa"/>
            <w:tcBorders/>
            <w:shd w:fill="auto" w:val="clear"/>
          </w:tcPr>
          <w:p>
            <w:pPr>
              <w:pStyle w:val="TableContents"/>
              <w:spacing w:before="0" w:after="0"/>
              <w:rPr>
                <w:rFonts w:ascii="Times New Roman" w:hAnsi="Times New Roman"/>
                <w:sz w:val="20"/>
              </w:rPr>
            </w:pPr>
            <w:r>
              <w:rPr>
                <w:rFonts w:ascii="Times New Roman" w:hAnsi="Times New Roman"/>
                <w:sz w:val="20"/>
              </w:rPr>
              <w:t>IBAN: [],</w:t>
            </w:r>
          </w:p>
        </w:tc>
      </w:tr>
      <w:tr>
        <w:trPr/>
        <w:tc>
          <w:tcPr>
            <w:tcW w:w="5242" w:type="dxa"/>
            <w:tcBorders/>
            <w:shd w:fill="auto" w:val="clear"/>
          </w:tcPr>
          <w:p>
            <w:pPr>
              <w:pStyle w:val="TableContents"/>
              <w:spacing w:before="0" w:after="0"/>
              <w:rPr>
                <w:rFonts w:ascii="Times New Roman" w:hAnsi="Times New Roman"/>
                <w:sz w:val="20"/>
              </w:rPr>
            </w:pPr>
            <w:r>
              <w:rPr>
                <w:rFonts w:ascii="Times New Roman" w:hAnsi="Times New Roman"/>
                <w:sz w:val="20"/>
              </w:rPr>
              <w:t>BIC: [],</w:t>
            </w:r>
          </w:p>
        </w:tc>
        <w:tc>
          <w:tcPr>
            <w:tcW w:w="123" w:type="dxa"/>
            <w:tcBorders/>
            <w:shd w:fill="auto" w:val="clear"/>
            <w:vAlign w:val="bottom"/>
          </w:tcPr>
          <w:p>
            <w:pPr>
              <w:pStyle w:val="TableContents"/>
              <w:spacing w:before="0" w:after="283"/>
              <w:rPr/>
            </w:pPr>
            <w:r>
              <w:rPr/>
              <w:t>  </w:t>
            </w:r>
          </w:p>
        </w:tc>
        <w:tc>
          <w:tcPr>
            <w:tcW w:w="4840" w:type="dxa"/>
            <w:tcBorders/>
            <w:shd w:fill="auto" w:val="clear"/>
          </w:tcPr>
          <w:p>
            <w:pPr>
              <w:pStyle w:val="TableContents"/>
              <w:spacing w:before="0" w:after="0"/>
              <w:rPr>
                <w:rFonts w:ascii="Times New Roman" w:hAnsi="Times New Roman"/>
                <w:sz w:val="20"/>
              </w:rPr>
            </w:pPr>
            <w:r>
              <w:rPr>
                <w:rFonts w:ascii="Times New Roman" w:hAnsi="Times New Roman"/>
                <w:sz w:val="20"/>
              </w:rPr>
              <w:t>BIC: [],</w:t>
            </w:r>
          </w:p>
        </w:tc>
      </w:tr>
      <w:tr>
        <w:trPr/>
        <w:tc>
          <w:tcPr>
            <w:tcW w:w="5242" w:type="dxa"/>
            <w:tcBorders/>
            <w:shd w:fill="auto" w:val="clear"/>
          </w:tcPr>
          <w:p>
            <w:pPr>
              <w:pStyle w:val="TableContents"/>
              <w:spacing w:before="0" w:after="0"/>
              <w:rPr>
                <w:rFonts w:ascii="Times New Roman" w:hAnsi="Times New Roman"/>
                <w:sz w:val="20"/>
              </w:rPr>
            </w:pPr>
            <w:r>
              <w:rPr>
                <w:rFonts w:ascii="Times New Roman" w:hAnsi="Times New Roman"/>
                <w:sz w:val="20"/>
              </w:rPr>
              <w:t>Depotinhaber: [],</w:t>
            </w:r>
          </w:p>
        </w:tc>
        <w:tc>
          <w:tcPr>
            <w:tcW w:w="123" w:type="dxa"/>
            <w:tcBorders/>
            <w:shd w:fill="auto" w:val="clear"/>
            <w:vAlign w:val="bottom"/>
          </w:tcPr>
          <w:p>
            <w:pPr>
              <w:pStyle w:val="TableContents"/>
              <w:spacing w:before="0" w:after="283"/>
              <w:rPr/>
            </w:pPr>
            <w:r>
              <w:rPr/>
              <w:t>  </w:t>
            </w:r>
          </w:p>
        </w:tc>
        <w:tc>
          <w:tcPr>
            <w:tcW w:w="4840" w:type="dxa"/>
            <w:tcBorders/>
            <w:shd w:fill="auto" w:val="clear"/>
          </w:tcPr>
          <w:p>
            <w:pPr>
              <w:pStyle w:val="TableContents"/>
              <w:spacing w:before="0" w:after="0"/>
              <w:rPr>
                <w:rFonts w:ascii="Times New Roman" w:hAnsi="Times New Roman"/>
                <w:sz w:val="20"/>
              </w:rPr>
            </w:pPr>
            <w:r>
              <w:rPr>
                <w:rFonts w:ascii="Times New Roman" w:hAnsi="Times New Roman"/>
                <w:sz w:val="20"/>
              </w:rPr>
              <w:t>depositor: [].</w:t>
            </w:r>
          </w:p>
        </w:tc>
      </w:tr>
      <w:tr>
        <w:trPr>
          <w:trHeight w:val="240" w:hRule="atLeast"/>
        </w:trPr>
        <w:tc>
          <w:tcPr>
            <w:tcW w:w="5242" w:type="dxa"/>
            <w:tcBorders/>
            <w:shd w:fill="auto" w:val="clear"/>
            <w:vAlign w:val="center"/>
          </w:tcPr>
          <w:p>
            <w:pPr>
              <w:pStyle w:val="TableContents"/>
              <w:spacing w:before="0" w:after="283"/>
              <w:rPr>
                <w:sz w:val="4"/>
                <w:szCs w:val="4"/>
              </w:rPr>
            </w:pPr>
            <w:r>
              <w:rPr>
                <w:sz w:val="4"/>
                <w:szCs w:val="4"/>
              </w:rPr>
            </w:r>
          </w:p>
        </w:tc>
        <w:tc>
          <w:tcPr>
            <w:tcW w:w="4963" w:type="dxa"/>
            <w:gridSpan w:val="2"/>
            <w:tcBorders/>
            <w:shd w:fill="auto" w:val="clear"/>
            <w:vAlign w:val="center"/>
          </w:tcPr>
          <w:p>
            <w:pPr>
              <w:pStyle w:val="TableContents"/>
              <w:spacing w:before="0" w:after="283"/>
              <w:rPr>
                <w:sz w:val="4"/>
                <w:szCs w:val="4"/>
              </w:rPr>
            </w:pPr>
            <w:r>
              <w:rPr>
                <w:sz w:val="4"/>
                <w:szCs w:val="4"/>
              </w:rPr>
            </w:r>
          </w:p>
        </w:tc>
      </w:tr>
      <w:tr>
        <w:trPr/>
        <w:tc>
          <w:tcPr>
            <w:tcW w:w="5242" w:type="dxa"/>
            <w:tcBorders/>
            <w:shd w:fill="auto" w:val="clear"/>
          </w:tcPr>
          <w:p>
            <w:pPr>
              <w:pStyle w:val="TableContents"/>
              <w:spacing w:before="0" w:after="283"/>
              <w:rPr/>
            </w:pPr>
            <w:r>
              <w:rPr/>
              <w:t>eingebucht werden.</w:t>
            </w:r>
          </w:p>
        </w:tc>
        <w:tc>
          <w:tcPr>
            <w:tcW w:w="123" w:type="dxa"/>
            <w:tcBorders/>
            <w:shd w:fill="auto" w:val="clear"/>
            <w:vAlign w:val="bottom"/>
          </w:tcPr>
          <w:p>
            <w:pPr>
              <w:pStyle w:val="TableContents"/>
              <w:spacing w:before="0" w:after="283"/>
              <w:rPr/>
            </w:pPr>
            <w:r>
              <w:rPr/>
              <w:t>  </w:t>
            </w:r>
          </w:p>
        </w:tc>
        <w:tc>
          <w:tcPr>
            <w:tcW w:w="4840" w:type="dxa"/>
            <w:tcBorders/>
            <w:shd w:fill="auto" w:val="clear"/>
          </w:tcPr>
          <w:p>
            <w:pPr>
              <w:pStyle w:val="TableContents"/>
              <w:spacing w:before="0" w:after="283"/>
              <w:rPr>
                <w:sz w:val="4"/>
                <w:szCs w:val="4"/>
              </w:rPr>
            </w:pPr>
            <w:r>
              <w:rPr>
                <w:sz w:val="4"/>
                <w:szCs w:val="4"/>
              </w:rPr>
            </w:r>
          </w:p>
        </w:tc>
      </w:tr>
      <w:tr>
        <w:trPr>
          <w:trHeight w:val="240" w:hRule="atLeast"/>
        </w:trPr>
        <w:tc>
          <w:tcPr>
            <w:tcW w:w="5242" w:type="dxa"/>
            <w:tcBorders/>
            <w:shd w:fill="auto" w:val="clear"/>
            <w:vAlign w:val="center"/>
          </w:tcPr>
          <w:p>
            <w:pPr>
              <w:pStyle w:val="TableContents"/>
              <w:spacing w:before="0" w:after="283"/>
              <w:rPr>
                <w:sz w:val="4"/>
                <w:szCs w:val="4"/>
              </w:rPr>
            </w:pPr>
            <w:r>
              <w:rPr>
                <w:sz w:val="4"/>
                <w:szCs w:val="4"/>
              </w:rPr>
            </w:r>
          </w:p>
        </w:tc>
        <w:tc>
          <w:tcPr>
            <w:tcW w:w="4963" w:type="dxa"/>
            <w:gridSpan w:val="2"/>
            <w:tcBorders/>
            <w:shd w:fill="auto" w:val="clear"/>
            <w:vAlign w:val="center"/>
          </w:tcPr>
          <w:p>
            <w:pPr>
              <w:pStyle w:val="TableContents"/>
              <w:spacing w:before="0" w:after="283"/>
              <w:rPr>
                <w:sz w:val="4"/>
                <w:szCs w:val="4"/>
              </w:rPr>
            </w:pPr>
            <w:r>
              <w:rPr>
                <w:sz w:val="4"/>
                <w:szCs w:val="4"/>
              </w:rPr>
            </w:r>
          </w:p>
        </w:tc>
      </w:tr>
      <w:tr>
        <w:trPr/>
        <w:tc>
          <w:tcPr>
            <w:tcW w:w="5242" w:type="dxa"/>
            <w:tcBorders/>
            <w:shd w:fill="auto" w:val="clear"/>
          </w:tcPr>
          <w:p>
            <w:pPr>
              <w:pStyle w:val="TableContents"/>
              <w:spacing w:before="0" w:after="283"/>
              <w:rPr/>
            </w:pPr>
            <w:r>
              <w:rPr/>
              <w:t>Eine Zweitausfertigung dieser Ausübungs-und Bezugserklärung ist beigefügt. Die deutsche Fassung dieser Ausübungs-und Bezugserklä-rung ist maßgeblich.</w:t>
            </w:r>
          </w:p>
        </w:tc>
        <w:tc>
          <w:tcPr>
            <w:tcW w:w="123" w:type="dxa"/>
            <w:tcBorders/>
            <w:shd w:fill="auto" w:val="clear"/>
            <w:vAlign w:val="bottom"/>
          </w:tcPr>
          <w:p>
            <w:pPr>
              <w:pStyle w:val="TableContents"/>
              <w:spacing w:before="0" w:after="283"/>
              <w:rPr/>
            </w:pPr>
            <w:r>
              <w:rPr/>
              <w:t>  </w:t>
            </w:r>
          </w:p>
        </w:tc>
        <w:tc>
          <w:tcPr>
            <w:tcW w:w="4840" w:type="dxa"/>
            <w:tcBorders/>
            <w:shd w:fill="auto" w:val="clear"/>
          </w:tcPr>
          <w:p>
            <w:pPr>
              <w:pStyle w:val="TableContents"/>
              <w:spacing w:before="0" w:after="283"/>
              <w:rPr/>
            </w:pPr>
            <w:r>
              <w:rPr/>
              <w:t>A duplicate of this exercise notice and sub-scription declaration is attached. The German version of this exercise notice and subscription declaration shall prevail.</w:t>
            </w:r>
          </w:p>
        </w:tc>
      </w:tr>
    </w:tbl>
    <w:p>
      <w:pPr>
        <w:pStyle w:val="TextBody"/>
        <w:spacing w:before="240" w:after="0"/>
        <w:jc w:val="center"/>
        <w:rPr>
          <w:rFonts w:ascii="Times New Roman" w:hAnsi="Times New Roman"/>
          <w:sz w:val="20"/>
        </w:rPr>
      </w:pPr>
      <w:r>
        <w:rPr>
          <w:rFonts w:ascii="Times New Roman" w:hAnsi="Times New Roman"/>
          <w:sz w:val="20"/>
        </w:rPr>
        <w:t xml:space="preserve">Ort/Place, Datum/Date: __________________________ </w:t>
      </w:r>
    </w:p>
    <w:p>
      <w:pPr>
        <w:pStyle w:val="TextBody"/>
        <w:spacing w:before="240" w:after="0"/>
        <w:jc w:val="center"/>
        <w:rPr>
          <w:rFonts w:ascii="Times New Roman" w:hAnsi="Times New Roman"/>
          <w:sz w:val="20"/>
        </w:rPr>
      </w:pPr>
      <w:r>
        <w:rPr>
          <w:rFonts w:ascii="Times New Roman" w:hAnsi="Times New Roman"/>
          <w:sz w:val="20"/>
        </w:rPr>
        <w:t xml:space="preserve">Unterschrift/Signature: ___________________________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25/35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u w:val="single"/>
        </w:rPr>
      </w:pPr>
      <w:r>
        <w:rPr>
          <w:rFonts w:ascii="Times New Roman" w:hAnsi="Times New Roman"/>
          <w:b/>
          <w:sz w:val="20"/>
          <w:u w:val="single"/>
        </w:rPr>
        <w:t xml:space="preserve">Annex 17 </w:t>
      </w:r>
    </w:p>
    <w:p>
      <w:pPr>
        <w:pStyle w:val="TextBody"/>
        <w:spacing w:before="240" w:after="0"/>
        <w:jc w:val="center"/>
        <w:rPr>
          <w:rFonts w:ascii="Times New Roman" w:hAnsi="Times New Roman"/>
          <w:b/>
          <w:sz w:val="20"/>
        </w:rPr>
      </w:pPr>
      <w:r>
        <w:rPr>
          <w:rFonts w:ascii="Times New Roman" w:hAnsi="Times New Roman"/>
          <w:b/>
          <w:sz w:val="20"/>
        </w:rPr>
        <w:t xml:space="preserve">Information on the Processing of Personal Data </w:t>
      </w:r>
    </w:p>
    <w:p>
      <w:pPr>
        <w:pStyle w:val="TextBody"/>
        <w:spacing w:before="0" w:after="0"/>
        <w:jc w:val="center"/>
        <w:rPr>
          <w:rFonts w:ascii="Times New Roman" w:hAnsi="Times New Roman"/>
          <w:b/>
          <w:sz w:val="20"/>
        </w:rPr>
      </w:pPr>
      <w:r>
        <w:rPr>
          <w:rFonts w:ascii="Times New Roman" w:hAnsi="Times New Roman"/>
          <w:b/>
          <w:sz w:val="20"/>
        </w:rPr>
        <w:t xml:space="preserve">in connection with the Stock Option Program 2022 </w:t>
      </w:r>
    </w:p>
    <w:p>
      <w:pPr>
        <w:pStyle w:val="TextBody"/>
        <w:spacing w:before="240" w:after="0"/>
        <w:jc w:val="center"/>
        <w:rPr>
          <w:rFonts w:ascii="Times New Roman" w:hAnsi="Times New Roman"/>
          <w:sz w:val="20"/>
        </w:rPr>
      </w:pPr>
      <w:r>
        <w:rPr>
          <w:rFonts w:ascii="Times New Roman" w:hAnsi="Times New Roman"/>
          <w:sz w:val="20"/>
        </w:rPr>
        <w:t>(hereinafter referred to as </w:t>
      </w:r>
      <w:r>
        <w:rPr>
          <w:rFonts w:ascii="Times New Roman" w:hAnsi="Times New Roman"/>
          <w:b/>
          <w:sz w:val="20"/>
        </w:rPr>
        <w:t>SOP 2022</w:t>
      </w:r>
      <w:r>
        <w:rPr>
          <w:rFonts w:ascii="Times New Roman" w:hAnsi="Times New Roman"/>
          <w:sz w:val="20"/>
        </w:rPr>
        <w:t xml:space="preserve">) </w:t>
      </w:r>
    </w:p>
    <w:p>
      <w:pPr>
        <w:pStyle w:val="TextBody"/>
        <w:spacing w:before="0" w:after="0"/>
        <w:jc w:val="center"/>
        <w:rPr>
          <w:rFonts w:ascii="Times New Roman" w:hAnsi="Times New Roman"/>
          <w:b/>
          <w:sz w:val="20"/>
        </w:rPr>
      </w:pPr>
      <w:r>
        <w:rPr>
          <w:rFonts w:ascii="Times New Roman" w:hAnsi="Times New Roman"/>
          <w:b/>
          <w:sz w:val="20"/>
        </w:rPr>
        <w:t xml:space="preserve">of Mynaric AG </w:t>
      </w:r>
    </w:p>
    <w:p>
      <w:pPr>
        <w:pStyle w:val="TextBody"/>
        <w:spacing w:before="240" w:after="0"/>
        <w:jc w:val="center"/>
        <w:rPr>
          <w:rFonts w:ascii="Times New Roman" w:hAnsi="Times New Roman"/>
          <w:sz w:val="20"/>
        </w:rPr>
      </w:pPr>
      <w:r>
        <w:rPr>
          <w:rFonts w:ascii="Times New Roman" w:hAnsi="Times New Roman"/>
          <w:sz w:val="20"/>
        </w:rPr>
        <w:t>(hereinafter referred to as the </w:t>
      </w:r>
      <w:r>
        <w:rPr>
          <w:rFonts w:ascii="Times New Roman" w:hAnsi="Times New Roman"/>
          <w:b/>
          <w:i/>
          <w:sz w:val="20"/>
        </w:rPr>
        <w:t>Company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In connection with the administration, processing and execution of the SOP 2022, the Company processes personal data of the beneficiaries (hereinafter also referred to as </w:t>
      </w:r>
      <w:r>
        <w:rPr>
          <w:rFonts w:ascii="Times New Roman" w:hAnsi="Times New Roman"/>
          <w:b/>
          <w:i/>
          <w:sz w:val="20"/>
        </w:rPr>
        <w:t>Data Subjects</w:t>
      </w:r>
      <w:r>
        <w:rPr>
          <w:rFonts w:ascii="Times New Roman" w:hAnsi="Times New Roman"/>
          <w:sz w:val="20"/>
        </w:rPr>
        <w:t>) in accordance with the EU General Data Protection Regulation (</w:t>
      </w:r>
      <w:r>
        <w:rPr>
          <w:rFonts w:ascii="Times New Roman" w:hAnsi="Times New Roman"/>
          <w:b/>
          <w:i/>
          <w:sz w:val="20"/>
        </w:rPr>
        <w:t>GDPR</w:t>
      </w:r>
      <w:r>
        <w:rPr>
          <w:rFonts w:ascii="Times New Roman" w:hAnsi="Times New Roman"/>
          <w:sz w:val="20"/>
        </w:rPr>
        <w:t xml:space="preserve">). Pursuant to the GDPR, the Company is obliged to provide the following information on the processing of personal data. All defined terms used in this information have the meaning assigned to them in the option conditions.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I.</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Responsibilities and Contact Information </w:t>
            </w:r>
          </w:p>
        </w:tc>
      </w:tr>
    </w:tbl>
    <w:p>
      <w:pPr>
        <w:pStyle w:val="TextBody"/>
        <w:spacing w:before="120" w:after="0"/>
        <w:jc w:val="left"/>
        <w:rPr>
          <w:rFonts w:ascii="Times New Roman" w:hAnsi="Times New Roman"/>
          <w:sz w:val="20"/>
        </w:rPr>
      </w:pPr>
      <w:r>
        <w:rPr>
          <w:rFonts w:ascii="Times New Roman" w:hAnsi="Times New Roman"/>
          <w:sz w:val="20"/>
        </w:rPr>
        <w:t xml:space="preserve">The controller of the personal data pursuant to Art. 4 para. 7 GDPR is the Company: </w:t>
      </w:r>
    </w:p>
    <w:p>
      <w:pPr>
        <w:pStyle w:val="TextBody"/>
        <w:spacing w:before="360" w:after="0"/>
        <w:jc w:val="left"/>
        <w:rPr>
          <w:rFonts w:ascii="Times New Roman" w:hAnsi="Times New Roman"/>
          <w:b/>
          <w:sz w:val="20"/>
        </w:rPr>
      </w:pPr>
      <w:r>
        <w:rPr>
          <w:rFonts w:ascii="Times New Roman" w:hAnsi="Times New Roman"/>
          <w:b/>
          <w:sz w:val="20"/>
        </w:rPr>
        <w:t xml:space="preserve">Mynaric AG </w:t>
      </w:r>
    </w:p>
    <w:p>
      <w:pPr>
        <w:pStyle w:val="TextBody"/>
        <w:spacing w:before="120" w:after="0"/>
        <w:jc w:val="left"/>
        <w:rPr>
          <w:rFonts w:ascii="Times New Roman" w:hAnsi="Times New Roman"/>
          <w:sz w:val="20"/>
        </w:rPr>
      </w:pPr>
      <w:r>
        <w:rPr>
          <w:rFonts w:ascii="Times New Roman" w:hAnsi="Times New Roman"/>
          <w:sz w:val="20"/>
        </w:rPr>
        <w:t xml:space="preserve">Dornierstr. 19, 82205 Gilching </w:t>
      </w:r>
    </w:p>
    <w:p>
      <w:pPr>
        <w:pStyle w:val="TextBody"/>
        <w:spacing w:before="120" w:after="0"/>
        <w:jc w:val="left"/>
        <w:rPr>
          <w:rFonts w:ascii="Times New Roman" w:hAnsi="Times New Roman"/>
          <w:sz w:val="20"/>
        </w:rPr>
      </w:pPr>
      <w:r>
        <w:rPr>
          <w:rFonts w:ascii="Times New Roman" w:hAnsi="Times New Roman"/>
          <w:sz w:val="20"/>
        </w:rPr>
        <w:t xml:space="preserve">Telephone:         +49 (0)8105 7999 0 </w:t>
      </w:r>
    </w:p>
    <w:p>
      <w:pPr>
        <w:pStyle w:val="TextBody"/>
        <w:spacing w:before="120" w:after="0"/>
        <w:jc w:val="left"/>
        <w:rPr>
          <w:rFonts w:ascii="Times New Roman" w:hAnsi="Times New Roman"/>
          <w:sz w:val="20"/>
        </w:rPr>
      </w:pPr>
      <w:r>
        <w:rPr>
          <w:rFonts w:ascii="Times New Roman" w:hAnsi="Times New Roman"/>
          <w:sz w:val="20"/>
        </w:rPr>
        <w:t xml:space="preserve">E-Mail: info@mynaric.com </w:t>
      </w:r>
    </w:p>
    <w:p>
      <w:pPr>
        <w:pStyle w:val="TextBody"/>
        <w:spacing w:before="120" w:after="0"/>
        <w:jc w:val="left"/>
        <w:rPr>
          <w:rFonts w:ascii="Times New Roman" w:hAnsi="Times New Roman"/>
          <w:sz w:val="20"/>
        </w:rPr>
      </w:pPr>
      <w:r>
        <w:rPr>
          <w:rFonts w:ascii="Times New Roman" w:hAnsi="Times New Roman"/>
          <w:sz w:val="20"/>
        </w:rPr>
        <w:t xml:space="preserve">Website: www.mynaric.com </w:t>
      </w:r>
    </w:p>
    <w:p>
      <w:pPr>
        <w:pStyle w:val="TextBody"/>
        <w:spacing w:before="240" w:after="0"/>
        <w:jc w:val="left"/>
        <w:rPr>
          <w:rFonts w:ascii="Times New Roman" w:hAnsi="Times New Roman"/>
          <w:sz w:val="20"/>
        </w:rPr>
      </w:pPr>
      <w:r>
        <w:rPr>
          <w:rFonts w:ascii="Times New Roman" w:hAnsi="Times New Roman"/>
          <w:sz w:val="20"/>
        </w:rPr>
        <w:t xml:space="preserve">The Data Protection Officer of the Company can be contacted through: </w:t>
      </w:r>
    </w:p>
    <w:p>
      <w:pPr>
        <w:pStyle w:val="TextBody"/>
        <w:spacing w:before="360" w:after="0"/>
        <w:jc w:val="left"/>
        <w:rPr>
          <w:rFonts w:ascii="Times New Roman" w:hAnsi="Times New Roman"/>
          <w:b/>
          <w:sz w:val="20"/>
        </w:rPr>
      </w:pPr>
      <w:r>
        <w:rPr>
          <w:rFonts w:ascii="Times New Roman" w:hAnsi="Times New Roman"/>
          <w:b/>
          <w:sz w:val="20"/>
        </w:rPr>
        <w:t xml:space="preserve">Mynaric AG </w:t>
      </w:r>
    </w:p>
    <w:p>
      <w:pPr>
        <w:pStyle w:val="TextBody"/>
        <w:spacing w:before="120" w:after="0"/>
        <w:jc w:val="left"/>
        <w:rPr>
          <w:rFonts w:ascii="Times New Roman" w:hAnsi="Times New Roman"/>
          <w:sz w:val="20"/>
        </w:rPr>
      </w:pPr>
      <w:r>
        <w:rPr>
          <w:rFonts w:ascii="Times New Roman" w:hAnsi="Times New Roman"/>
          <w:sz w:val="20"/>
        </w:rPr>
        <w:t xml:space="preserve">Data Protection Officer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26/35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Dornierstr. 19, 82205 Gilching </w:t>
      </w:r>
    </w:p>
    <w:p>
      <w:pPr>
        <w:pStyle w:val="TextBody"/>
        <w:spacing w:before="120" w:after="0"/>
        <w:jc w:val="left"/>
        <w:rPr>
          <w:rFonts w:ascii="Times New Roman" w:hAnsi="Times New Roman"/>
          <w:sz w:val="20"/>
        </w:rPr>
      </w:pPr>
      <w:r>
        <w:rPr>
          <w:rFonts w:ascii="Times New Roman" w:hAnsi="Times New Roman"/>
          <w:sz w:val="20"/>
        </w:rPr>
        <w:t xml:space="preserve">or </w:t>
      </w:r>
    </w:p>
    <w:p>
      <w:pPr>
        <w:pStyle w:val="TextBody"/>
        <w:spacing w:before="120" w:after="0"/>
        <w:jc w:val="left"/>
        <w:rPr>
          <w:rFonts w:ascii="Times New Roman" w:hAnsi="Times New Roman"/>
          <w:sz w:val="20"/>
        </w:rPr>
      </w:pPr>
      <w:r>
        <w:rPr>
          <w:rFonts w:ascii="Times New Roman" w:hAnsi="Times New Roman"/>
          <w:sz w:val="20"/>
        </w:rPr>
        <w:t xml:space="preserve">Email: dataprotection@mynaric.com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II.</w:t>
            </w:r>
          </w:p>
        </w:tc>
        <w:tc>
          <w:tcPr>
            <w:tcW w:w="97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Use of Personal Data by the Company </w:t>
            </w:r>
          </w:p>
        </w:tc>
      </w:tr>
    </w:tbl>
    <w:p>
      <w:pPr>
        <w:pStyle w:val="TextBody"/>
        <w:spacing w:before="120" w:after="0"/>
        <w:jc w:val="left"/>
        <w:rPr>
          <w:rFonts w:ascii="Times New Roman" w:hAnsi="Times New Roman"/>
          <w:sz w:val="20"/>
        </w:rPr>
      </w:pPr>
      <w:r>
        <w:rPr>
          <w:rFonts w:ascii="Times New Roman" w:hAnsi="Times New Roman"/>
          <w:sz w:val="20"/>
        </w:rPr>
        <w:t xml:space="preserve">The Company processes personal data of the Data Subjects such as names, contact data, tax numbers and all other information necessary for the participation of a Data Subject in the SOP 2022 as well as for the administration, processing and execution of the SOP 2022 (processing purpose). The legal basis for data processing is Art. 6 Para. 1 (b) GDPR. </w:t>
      </w:r>
    </w:p>
    <w:p>
      <w:pPr>
        <w:pStyle w:val="TextBody"/>
        <w:spacing w:before="240" w:after="0"/>
        <w:jc w:val="left"/>
        <w:rPr>
          <w:rFonts w:ascii="Times New Roman" w:hAnsi="Times New Roman"/>
          <w:sz w:val="20"/>
        </w:rPr>
      </w:pPr>
      <w:r>
        <w:rPr>
          <w:rFonts w:ascii="Times New Roman" w:hAnsi="Times New Roman"/>
          <w:sz w:val="20"/>
        </w:rPr>
        <w:t xml:space="preserve">In addition, the Company processes personal data of the Data Subjects if and to the extent required by the law applicable to the Company (e.g., tax law). The legal basis for data processing in this respect is Art. 6 para. 1 (c) GDPR.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III.</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Transfer of Personal Data </w:t>
            </w:r>
          </w:p>
        </w:tc>
      </w:tr>
    </w:tbl>
    <w:p>
      <w:pPr>
        <w:pStyle w:val="TextBody"/>
        <w:spacing w:before="120" w:after="0"/>
        <w:jc w:val="left"/>
        <w:rPr>
          <w:rFonts w:ascii="Times New Roman" w:hAnsi="Times New Roman"/>
          <w:sz w:val="20"/>
        </w:rPr>
      </w:pPr>
      <w:r>
        <w:rPr>
          <w:rFonts w:ascii="Times New Roman" w:hAnsi="Times New Roman"/>
          <w:sz w:val="20"/>
        </w:rPr>
        <w:t>The Company may disclose personal data to an external service provider (</w:t>
      </w:r>
      <w:r>
        <w:rPr>
          <w:rFonts w:ascii="Times New Roman" w:hAnsi="Times New Roman"/>
          <w:b/>
          <w:sz w:val="20"/>
        </w:rPr>
        <w:t>External Service Provider</w:t>
      </w:r>
      <w:r>
        <w:rPr>
          <w:rFonts w:ascii="Times New Roman" w:hAnsi="Times New Roman"/>
          <w:sz w:val="20"/>
        </w:rPr>
        <w:t xml:space="preserve">) commissioned or involved for the purposes of the administration, processing and/or execution of the SOP 2022 in order to support the processing of personal data for the processing purpose set out in Section II above. If and to the extent permitted by law, the Company may also commission other third parties to provide certain services, such as IT-services and legal services, for the processing purpose set out in Section II above and may disclose personal data to such third parties. These recipients provide their assistance or services to the Company under its control and direction and may have access to personal data to the extent necessary to provide their assistance or services. </w:t>
      </w:r>
    </w:p>
    <w:p>
      <w:pPr>
        <w:pStyle w:val="TextBody"/>
        <w:spacing w:before="240" w:after="0"/>
        <w:jc w:val="left"/>
        <w:rPr>
          <w:rFonts w:ascii="Times New Roman" w:hAnsi="Times New Roman"/>
          <w:sz w:val="20"/>
        </w:rPr>
      </w:pPr>
      <w:r>
        <w:rPr>
          <w:rFonts w:ascii="Times New Roman" w:hAnsi="Times New Roman"/>
          <w:sz w:val="20"/>
        </w:rPr>
        <w:t xml:space="preserve">In addition, the Company may, to the extent required and permitted by law, transfer personal data to domestic and foreign authorities or courts in order to fulfil legal obligations.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IV.</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Storage and Deletion of Personal Data </w:t>
            </w:r>
          </w:p>
        </w:tc>
      </w:tr>
    </w:tbl>
    <w:p>
      <w:pPr>
        <w:pStyle w:val="TextBody"/>
        <w:spacing w:before="120" w:after="0"/>
        <w:jc w:val="left"/>
        <w:rPr>
          <w:rFonts w:ascii="Times New Roman" w:hAnsi="Times New Roman"/>
          <w:sz w:val="20"/>
        </w:rPr>
      </w:pPr>
      <w:r>
        <w:rPr>
          <w:rFonts w:ascii="Times New Roman" w:hAnsi="Times New Roman"/>
          <w:sz w:val="20"/>
        </w:rPr>
        <w:t xml:space="preserve">The Company processes the personal data within the framework of the participation of the Data Subjects in the SOP 2022. The Company deletes the personal data if it no longer needs it for the fulfilment of its contractual obligations under the SOP 2022 and if there are no legal storage obligations. In the event of a legal obligation to retain personal data, the Company shall restrict the processing of such personal data.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27/35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V. Rights of the Data Subjects </w:t>
      </w:r>
    </w:p>
    <w:p>
      <w:pPr>
        <w:pStyle w:val="TextBody"/>
        <w:spacing w:before="120" w:after="0"/>
        <w:jc w:val="left"/>
        <w:rPr>
          <w:rFonts w:ascii="Times New Roman" w:hAnsi="Times New Roman"/>
          <w:sz w:val="20"/>
        </w:rPr>
      </w:pPr>
      <w:r>
        <w:rPr>
          <w:rFonts w:ascii="Times New Roman" w:hAnsi="Times New Roman"/>
          <w:sz w:val="20"/>
        </w:rPr>
        <w:t xml:space="preserve">The Data Subjects may, at any time and free of charge, contact the Company or its Data Protection Officer directly with an informal notification in order to exercise their rights under the GDPR. The Data Subjects have the right, subject to the legal requirements, the fulfilment of which is to be examined on a case-by-case basis, to request information on their personal data, any rectification or deletion of their personal data, information regarding restrictions on the processing of their personal data and they have the right to receive their personal data in a structured, generally used and machine-readable format. </w:t>
      </w:r>
    </w:p>
    <w:p>
      <w:pPr>
        <w:pStyle w:val="TextBody"/>
        <w:spacing w:before="240" w:after="0"/>
        <w:jc w:val="left"/>
        <w:rPr>
          <w:rFonts w:ascii="Times New Roman" w:hAnsi="Times New Roman"/>
          <w:sz w:val="20"/>
        </w:rPr>
      </w:pPr>
      <w:r>
        <w:rPr>
          <w:rFonts w:ascii="Times New Roman" w:hAnsi="Times New Roman"/>
          <w:sz w:val="20"/>
        </w:rPr>
        <w:t xml:space="preserve">The Data Subjects also have the right to object to the processing of their personal data, subject to the legal requirements, the fulfilment of which must be examined on a case-by-case basis. </w:t>
      </w:r>
    </w:p>
    <w:p>
      <w:pPr>
        <w:pStyle w:val="TextBody"/>
        <w:spacing w:before="240" w:after="0"/>
        <w:jc w:val="left"/>
        <w:rPr>
          <w:rFonts w:ascii="Times New Roman" w:hAnsi="Times New Roman"/>
          <w:sz w:val="20"/>
        </w:rPr>
      </w:pPr>
      <w:r>
        <w:rPr>
          <w:rFonts w:ascii="Times New Roman" w:hAnsi="Times New Roman"/>
          <w:sz w:val="20"/>
        </w:rPr>
        <w:t xml:space="preserve">In addition, Data Subjects have the right to lodge a complaint with a supervisory authority.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28/35 </w:t>
      </w:r>
      <w:r>
        <w:br w:type="page"/>
      </w:r>
    </w:p>
    <w:p>
      <w:pPr>
        <w:pStyle w:val="TextBody"/>
        <w:spacing w:before="0" w:after="0"/>
        <w:jc w:val="right"/>
        <w:rPr>
          <w:rFonts w:ascii="Times New Roman" w:hAnsi="Times New Roman"/>
          <w:b/>
          <w:sz w:val="20"/>
        </w:rPr>
      </w:pPr>
      <w:bookmarkStart w:id="83" w:name="d497326dex47.htm"/>
      <w:bookmarkStart w:id="84" w:name="ksd497326dex47"/>
      <w:bookmarkEnd w:id="83"/>
      <w:bookmarkEnd w:id="84"/>
      <w:r>
        <w:rPr>
          <w:rFonts w:ascii="Times New Roman" w:hAnsi="Times New Roman"/>
          <w:b/>
          <w:sz w:val="20"/>
        </w:rPr>
        <w:t xml:space="preserve">Exhibit 4.7 </w:t>
      </w:r>
    </w:p>
    <w:p>
      <w:pPr>
        <w:pStyle w:val="TextBody"/>
        <w:spacing w:before="240" w:after="0"/>
        <w:jc w:val="center"/>
        <w:rPr>
          <w:rFonts w:ascii="Times New Roman" w:hAnsi="Times New Roman"/>
          <w:b/>
          <w:sz w:val="20"/>
        </w:rPr>
      </w:pPr>
      <w:r>
        <w:rPr>
          <w:rFonts w:ascii="Times New Roman" w:hAnsi="Times New Roman"/>
          <w:b/>
          <w:sz w:val="20"/>
        </w:rPr>
        <w:t xml:space="preserve">CREDIT AGREEMENT </w:t>
      </w:r>
    </w:p>
    <w:p>
      <w:pPr>
        <w:pStyle w:val="TextBody"/>
        <w:spacing w:before="240" w:after="0"/>
        <w:jc w:val="center"/>
        <w:rPr>
          <w:rFonts w:ascii="Times New Roman" w:hAnsi="Times New Roman"/>
          <w:b/>
          <w:sz w:val="20"/>
        </w:rPr>
      </w:pPr>
      <w:r>
        <w:rPr>
          <w:rFonts w:ascii="Times New Roman" w:hAnsi="Times New Roman"/>
          <w:b/>
          <w:sz w:val="20"/>
        </w:rPr>
        <w:t xml:space="preserve">dated as of April 25, 2023 </w:t>
      </w:r>
    </w:p>
    <w:p>
      <w:pPr>
        <w:pStyle w:val="TextBody"/>
        <w:spacing w:before="240" w:after="0"/>
        <w:jc w:val="center"/>
        <w:rPr>
          <w:rFonts w:ascii="Times New Roman" w:hAnsi="Times New Roman"/>
          <w:b/>
          <w:sz w:val="20"/>
        </w:rPr>
      </w:pPr>
      <w:r>
        <w:rPr>
          <w:rFonts w:ascii="Times New Roman" w:hAnsi="Times New Roman"/>
          <w:b/>
          <w:sz w:val="20"/>
        </w:rPr>
        <w:t xml:space="preserve">among </w:t>
      </w:r>
    </w:p>
    <w:p>
      <w:pPr>
        <w:pStyle w:val="TextBody"/>
        <w:spacing w:before="240" w:after="0"/>
        <w:jc w:val="center"/>
        <w:rPr>
          <w:rFonts w:ascii="Times New Roman" w:hAnsi="Times New Roman"/>
          <w:b/>
          <w:sz w:val="20"/>
        </w:rPr>
      </w:pPr>
      <w:r>
        <w:rPr>
          <w:rFonts w:ascii="Times New Roman" w:hAnsi="Times New Roman"/>
          <w:b/>
          <w:sz w:val="20"/>
        </w:rPr>
        <w:t xml:space="preserve">MYNARIC USA INC., </w:t>
      </w:r>
    </w:p>
    <w:p>
      <w:pPr>
        <w:pStyle w:val="TextBody"/>
        <w:spacing w:before="0" w:after="0"/>
        <w:jc w:val="center"/>
        <w:rPr>
          <w:rFonts w:ascii="Times New Roman" w:hAnsi="Times New Roman"/>
          <w:b/>
          <w:sz w:val="20"/>
        </w:rPr>
      </w:pPr>
      <w:r>
        <w:rPr>
          <w:rFonts w:ascii="Times New Roman" w:hAnsi="Times New Roman"/>
          <w:b/>
          <w:sz w:val="20"/>
        </w:rPr>
        <w:t xml:space="preserve">as the Borrower, </w:t>
      </w:r>
    </w:p>
    <w:p>
      <w:pPr>
        <w:pStyle w:val="TextBody"/>
        <w:spacing w:before="240" w:after="0"/>
        <w:jc w:val="center"/>
        <w:rPr>
          <w:rFonts w:ascii="Times New Roman" w:hAnsi="Times New Roman"/>
          <w:b/>
          <w:sz w:val="20"/>
        </w:rPr>
      </w:pPr>
      <w:r>
        <w:rPr>
          <w:rFonts w:ascii="Times New Roman" w:hAnsi="Times New Roman"/>
          <w:b/>
          <w:sz w:val="20"/>
        </w:rPr>
        <w:t xml:space="preserve">MYNARIC AG, </w:t>
      </w:r>
    </w:p>
    <w:p>
      <w:pPr>
        <w:pStyle w:val="TextBody"/>
        <w:spacing w:before="0" w:after="0"/>
        <w:jc w:val="center"/>
        <w:rPr>
          <w:rFonts w:ascii="Times New Roman" w:hAnsi="Times New Roman"/>
          <w:b/>
          <w:sz w:val="20"/>
        </w:rPr>
      </w:pPr>
      <w:r>
        <w:rPr>
          <w:rFonts w:ascii="Times New Roman" w:hAnsi="Times New Roman"/>
          <w:b/>
          <w:sz w:val="20"/>
        </w:rPr>
        <w:t xml:space="preserve">as Holdings, </w:t>
      </w:r>
    </w:p>
    <w:p>
      <w:pPr>
        <w:pStyle w:val="TextBody"/>
        <w:spacing w:before="240" w:after="0"/>
        <w:jc w:val="center"/>
        <w:rPr>
          <w:rFonts w:ascii="Times New Roman" w:hAnsi="Times New Roman"/>
          <w:b/>
          <w:sz w:val="20"/>
        </w:rPr>
      </w:pPr>
      <w:r>
        <w:rPr>
          <w:rFonts w:ascii="Times New Roman" w:hAnsi="Times New Roman"/>
          <w:b/>
          <w:sz w:val="20"/>
        </w:rPr>
        <w:t xml:space="preserve">THE LENDERS PARTY HERETO, </w:t>
      </w:r>
    </w:p>
    <w:p>
      <w:pPr>
        <w:pStyle w:val="TextBody"/>
        <w:spacing w:before="240" w:after="0"/>
        <w:jc w:val="center"/>
        <w:rPr>
          <w:rFonts w:ascii="Times New Roman" w:hAnsi="Times New Roman"/>
          <w:b/>
          <w:sz w:val="20"/>
        </w:rPr>
      </w:pPr>
      <w:r>
        <w:rPr>
          <w:rFonts w:ascii="Times New Roman" w:hAnsi="Times New Roman"/>
          <w:b/>
          <w:sz w:val="20"/>
        </w:rPr>
        <w:t xml:space="preserve">and </w:t>
      </w:r>
    </w:p>
    <w:p>
      <w:pPr>
        <w:pStyle w:val="TextBody"/>
        <w:spacing w:before="240" w:after="0"/>
        <w:jc w:val="center"/>
        <w:rPr>
          <w:rFonts w:ascii="Times New Roman" w:hAnsi="Times New Roman"/>
          <w:b/>
          <w:sz w:val="20"/>
        </w:rPr>
      </w:pPr>
      <w:r>
        <w:rPr>
          <w:rFonts w:ascii="Times New Roman" w:hAnsi="Times New Roman"/>
          <w:b/>
          <w:sz w:val="20"/>
        </w:rPr>
        <w:t xml:space="preserve">ALTER DOMUS (US) LLC, </w:t>
      </w:r>
    </w:p>
    <w:p>
      <w:pPr>
        <w:pStyle w:val="TextBody"/>
        <w:spacing w:before="0" w:after="0"/>
        <w:jc w:val="center"/>
        <w:rPr>
          <w:rFonts w:ascii="Times New Roman" w:hAnsi="Times New Roman"/>
          <w:b/>
          <w:sz w:val="20"/>
        </w:rPr>
      </w:pPr>
      <w:r>
        <w:rPr>
          <w:rFonts w:ascii="Times New Roman" w:hAnsi="Times New Roman"/>
          <w:b/>
          <w:sz w:val="20"/>
        </w:rPr>
        <w:t xml:space="preserve">as Administrative Agent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862"/>
        <w:gridCol w:w="126"/>
        <w:gridCol w:w="7461"/>
        <w:gridCol w:w="175"/>
        <w:gridCol w:w="96"/>
        <w:gridCol w:w="421"/>
        <w:gridCol w:w="64"/>
      </w:tblGrid>
      <w:tr>
        <w:trPr/>
        <w:tc>
          <w:tcPr>
            <w:tcW w:w="1862"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7461"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186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46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51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64" w:type="dxa"/>
            <w:tcBorders/>
            <w:shd w:fill="auto" w:val="clear"/>
            <w:vAlign w:val="bottom"/>
          </w:tcPr>
          <w:p>
            <w:pPr>
              <w:pStyle w:val="TableContents"/>
              <w:spacing w:before="0" w:after="283"/>
              <w:rPr/>
            </w:pPr>
            <w:r>
              <w:rPr/>
              <w:t> </w:t>
            </w:r>
          </w:p>
        </w:tc>
      </w:tr>
      <w:tr>
        <w:trPr/>
        <w:tc>
          <w:tcPr>
            <w:tcW w:w="9449" w:type="dxa"/>
            <w:gridSpan w:val="3"/>
            <w:tcBorders/>
            <w:shd w:fill="auto" w:val="clear"/>
          </w:tcPr>
          <w:p>
            <w:pPr>
              <w:pStyle w:val="TableContents"/>
              <w:spacing w:before="0" w:after="283"/>
              <w:rPr/>
            </w:pPr>
            <w:r>
              <w:rPr/>
              <w:t>ARTICLE 1 DEFINITIONS AND RULES OF CONSTRUCTION</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1</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1.1</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Definitions</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1</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1.2</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Classification of Loans and Borrowings</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38</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1.3</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Terms Generally</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38</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1.4</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Accounting Terms; GAAP; Currency Translation</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38</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1.5</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Rounding</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39</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1.6</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References to Time</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39</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1.7</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Resolution of Drafting Ambiguities</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39</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1.8</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Status of Loan Document Obligations</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39</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1.9</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Rates Generally</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40</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1.10</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Divisions</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40</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1.11</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German Terms</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40</w:t>
            </w:r>
          </w:p>
        </w:tc>
        <w:tc>
          <w:tcPr>
            <w:tcW w:w="64" w:type="dxa"/>
            <w:tcBorders/>
            <w:shd w:fill="auto" w:val="clear"/>
            <w:vAlign w:val="bottom"/>
          </w:tcPr>
          <w:p>
            <w:pPr>
              <w:pStyle w:val="TableContents"/>
              <w:spacing w:before="0" w:after="283"/>
              <w:rPr/>
            </w:pPr>
            <w:r>
              <w:rPr/>
              <w:t> </w:t>
            </w:r>
          </w:p>
        </w:tc>
      </w:tr>
      <w:tr>
        <w:trPr>
          <w:trHeight w:val="120" w:hRule="atLeast"/>
        </w:trPr>
        <w:tc>
          <w:tcPr>
            <w:tcW w:w="9449" w:type="dxa"/>
            <w:gridSpan w:val="3"/>
            <w:tcBorders/>
            <w:shd w:fill="auto" w:val="clear"/>
            <w:vAlign w:val="center"/>
          </w:tcPr>
          <w:p>
            <w:pPr>
              <w:pStyle w:val="TableContents"/>
              <w:spacing w:before="0" w:after="283"/>
              <w:rPr>
                <w:sz w:val="4"/>
                <w:szCs w:val="4"/>
              </w:rPr>
            </w:pPr>
            <w:r>
              <w:rPr>
                <w:sz w:val="4"/>
                <w:szCs w:val="4"/>
              </w:rPr>
            </w:r>
          </w:p>
        </w:tc>
        <w:tc>
          <w:tcPr>
            <w:tcW w:w="756" w:type="dxa"/>
            <w:gridSpan w:val="4"/>
            <w:tcBorders/>
            <w:shd w:fill="auto" w:val="clear"/>
            <w:vAlign w:val="center"/>
          </w:tcPr>
          <w:p>
            <w:pPr>
              <w:pStyle w:val="TableContents"/>
              <w:spacing w:before="0" w:after="283"/>
              <w:rPr>
                <w:sz w:val="4"/>
                <w:szCs w:val="4"/>
              </w:rPr>
            </w:pPr>
            <w:r>
              <w:rPr>
                <w:sz w:val="4"/>
                <w:szCs w:val="4"/>
              </w:rPr>
            </w:r>
          </w:p>
        </w:tc>
      </w:tr>
      <w:tr>
        <w:trPr/>
        <w:tc>
          <w:tcPr>
            <w:tcW w:w="9449" w:type="dxa"/>
            <w:gridSpan w:val="3"/>
            <w:tcBorders/>
            <w:shd w:fill="auto" w:val="clear"/>
          </w:tcPr>
          <w:p>
            <w:pPr>
              <w:pStyle w:val="TableContents"/>
              <w:spacing w:before="0" w:after="283"/>
              <w:rPr/>
            </w:pPr>
            <w:r>
              <w:rPr/>
              <w:t>ARTICLE 2 THE CREDITS</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41</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2.1</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Commitments</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41</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2.2</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Borrowings, Conversions and Continuations of Loans</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41</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2.3</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Procedure for Borrowing</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42</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2.4</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[Reserved]</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42</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2.5</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Termination of Commitments</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42</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2.6</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Repayment of Loans; Evidence of Debt</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42</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2.7</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Prepayments</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42</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2.8</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Payments Generally</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45</w:t>
            </w:r>
          </w:p>
        </w:tc>
        <w:tc>
          <w:tcPr>
            <w:tcW w:w="64" w:type="dxa"/>
            <w:tcBorders/>
            <w:shd w:fill="auto" w:val="clear"/>
            <w:vAlign w:val="bottom"/>
          </w:tcPr>
          <w:p>
            <w:pPr>
              <w:pStyle w:val="TableContents"/>
              <w:spacing w:before="0" w:after="283"/>
              <w:rPr/>
            </w:pPr>
            <w:r>
              <w:rPr/>
              <w:t> </w:t>
            </w:r>
          </w:p>
        </w:tc>
      </w:tr>
      <w:tr>
        <w:trPr>
          <w:trHeight w:val="120" w:hRule="atLeast"/>
        </w:trPr>
        <w:tc>
          <w:tcPr>
            <w:tcW w:w="9449" w:type="dxa"/>
            <w:gridSpan w:val="3"/>
            <w:tcBorders/>
            <w:shd w:fill="auto" w:val="clear"/>
            <w:vAlign w:val="center"/>
          </w:tcPr>
          <w:p>
            <w:pPr>
              <w:pStyle w:val="TableContents"/>
              <w:spacing w:before="0" w:after="283"/>
              <w:rPr>
                <w:sz w:val="4"/>
                <w:szCs w:val="4"/>
              </w:rPr>
            </w:pPr>
            <w:r>
              <w:rPr>
                <w:sz w:val="4"/>
                <w:szCs w:val="4"/>
              </w:rPr>
            </w:r>
          </w:p>
        </w:tc>
        <w:tc>
          <w:tcPr>
            <w:tcW w:w="756" w:type="dxa"/>
            <w:gridSpan w:val="4"/>
            <w:tcBorders/>
            <w:shd w:fill="auto" w:val="clear"/>
            <w:vAlign w:val="center"/>
          </w:tcPr>
          <w:p>
            <w:pPr>
              <w:pStyle w:val="TableContents"/>
              <w:spacing w:before="0" w:after="283"/>
              <w:rPr>
                <w:sz w:val="4"/>
                <w:szCs w:val="4"/>
              </w:rPr>
            </w:pPr>
            <w:r>
              <w:rPr>
                <w:sz w:val="4"/>
                <w:szCs w:val="4"/>
              </w:rPr>
            </w:r>
          </w:p>
        </w:tc>
      </w:tr>
      <w:tr>
        <w:trPr/>
        <w:tc>
          <w:tcPr>
            <w:tcW w:w="9449" w:type="dxa"/>
            <w:gridSpan w:val="3"/>
            <w:tcBorders/>
            <w:shd w:fill="auto" w:val="clear"/>
          </w:tcPr>
          <w:p>
            <w:pPr>
              <w:pStyle w:val="TableContents"/>
              <w:spacing w:before="0" w:after="283"/>
              <w:rPr/>
            </w:pPr>
            <w:r>
              <w:rPr/>
              <w:t>ARTICLE 3 INTEREST, FEES, YIELD PROTECTION, ETC.</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46</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3.1</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Interest</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46</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3.2</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Fees</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48</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3.3</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Inability to Determine Rates</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49</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3.4</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Increased Costs; Illegality</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49</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3.5</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Compensation for Losses</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51</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3.6</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Taxes</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51</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3.7</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Mitigation Obligations</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54</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3.8</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Benchmark Replacement Setting</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55</w:t>
            </w:r>
          </w:p>
        </w:tc>
        <w:tc>
          <w:tcPr>
            <w:tcW w:w="64" w:type="dxa"/>
            <w:tcBorders/>
            <w:shd w:fill="auto" w:val="clear"/>
            <w:vAlign w:val="bottom"/>
          </w:tcPr>
          <w:p>
            <w:pPr>
              <w:pStyle w:val="TableContents"/>
              <w:spacing w:before="0" w:after="283"/>
              <w:rPr/>
            </w:pPr>
            <w:r>
              <w:rPr/>
              <w:t> </w:t>
            </w:r>
          </w:p>
        </w:tc>
      </w:tr>
      <w:tr>
        <w:trPr>
          <w:trHeight w:val="120" w:hRule="atLeast"/>
        </w:trPr>
        <w:tc>
          <w:tcPr>
            <w:tcW w:w="9449" w:type="dxa"/>
            <w:gridSpan w:val="3"/>
            <w:tcBorders/>
            <w:shd w:fill="auto" w:val="clear"/>
            <w:vAlign w:val="center"/>
          </w:tcPr>
          <w:p>
            <w:pPr>
              <w:pStyle w:val="TableContents"/>
              <w:spacing w:before="0" w:after="283"/>
              <w:rPr>
                <w:sz w:val="4"/>
                <w:szCs w:val="4"/>
              </w:rPr>
            </w:pPr>
            <w:r>
              <w:rPr>
                <w:sz w:val="4"/>
                <w:szCs w:val="4"/>
              </w:rPr>
            </w:r>
          </w:p>
        </w:tc>
        <w:tc>
          <w:tcPr>
            <w:tcW w:w="756" w:type="dxa"/>
            <w:gridSpan w:val="4"/>
            <w:tcBorders/>
            <w:shd w:fill="auto" w:val="clear"/>
            <w:vAlign w:val="center"/>
          </w:tcPr>
          <w:p>
            <w:pPr>
              <w:pStyle w:val="TableContents"/>
              <w:spacing w:before="0" w:after="283"/>
              <w:rPr>
                <w:sz w:val="4"/>
                <w:szCs w:val="4"/>
              </w:rPr>
            </w:pPr>
            <w:r>
              <w:rPr>
                <w:sz w:val="4"/>
                <w:szCs w:val="4"/>
              </w:rPr>
            </w:r>
          </w:p>
        </w:tc>
      </w:tr>
      <w:tr>
        <w:trPr/>
        <w:tc>
          <w:tcPr>
            <w:tcW w:w="9449" w:type="dxa"/>
            <w:gridSpan w:val="3"/>
            <w:tcBorders/>
            <w:shd w:fill="auto" w:val="clear"/>
          </w:tcPr>
          <w:p>
            <w:pPr>
              <w:pStyle w:val="TableContents"/>
              <w:spacing w:before="0" w:after="283"/>
              <w:rPr/>
            </w:pPr>
            <w:r>
              <w:rPr/>
              <w:t>ARTICLE 4 CONDITIONS PRECEDENT TO CREDIT EXTENSIONS</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56</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4.1</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Conditions to Initial Credit Extensions</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56</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4.2</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Conditions to All Credit Extensions</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58</w:t>
            </w:r>
          </w:p>
        </w:tc>
        <w:tc>
          <w:tcPr>
            <w:tcW w:w="64" w:type="dxa"/>
            <w:tcBorders/>
            <w:shd w:fill="auto" w:val="clear"/>
            <w:vAlign w:val="bottom"/>
          </w:tcPr>
          <w:p>
            <w:pPr>
              <w:pStyle w:val="TableContents"/>
              <w:spacing w:before="0" w:after="283"/>
              <w:rPr/>
            </w:pPr>
            <w:r>
              <w:rPr/>
              <w:t> </w:t>
            </w:r>
          </w:p>
        </w:tc>
      </w:tr>
      <w:tr>
        <w:trPr>
          <w:trHeight w:val="120" w:hRule="atLeast"/>
        </w:trPr>
        <w:tc>
          <w:tcPr>
            <w:tcW w:w="9449" w:type="dxa"/>
            <w:gridSpan w:val="3"/>
            <w:tcBorders/>
            <w:shd w:fill="auto" w:val="clear"/>
            <w:vAlign w:val="center"/>
          </w:tcPr>
          <w:p>
            <w:pPr>
              <w:pStyle w:val="TableContents"/>
              <w:spacing w:before="0" w:after="283"/>
              <w:rPr>
                <w:sz w:val="4"/>
                <w:szCs w:val="4"/>
              </w:rPr>
            </w:pPr>
            <w:r>
              <w:rPr>
                <w:sz w:val="4"/>
                <w:szCs w:val="4"/>
              </w:rPr>
            </w:r>
          </w:p>
        </w:tc>
        <w:tc>
          <w:tcPr>
            <w:tcW w:w="756" w:type="dxa"/>
            <w:gridSpan w:val="4"/>
            <w:tcBorders/>
            <w:shd w:fill="auto" w:val="clear"/>
            <w:vAlign w:val="center"/>
          </w:tcPr>
          <w:p>
            <w:pPr>
              <w:pStyle w:val="TableContents"/>
              <w:spacing w:before="0" w:after="283"/>
              <w:rPr>
                <w:sz w:val="4"/>
                <w:szCs w:val="4"/>
              </w:rPr>
            </w:pPr>
            <w:r>
              <w:rPr>
                <w:sz w:val="4"/>
                <w:szCs w:val="4"/>
              </w:rPr>
            </w:r>
          </w:p>
        </w:tc>
      </w:tr>
      <w:tr>
        <w:trPr/>
        <w:tc>
          <w:tcPr>
            <w:tcW w:w="9449" w:type="dxa"/>
            <w:gridSpan w:val="3"/>
            <w:tcBorders/>
            <w:shd w:fill="auto" w:val="clear"/>
          </w:tcPr>
          <w:p>
            <w:pPr>
              <w:pStyle w:val="TableContents"/>
              <w:spacing w:before="0" w:after="283"/>
              <w:rPr/>
            </w:pPr>
            <w:r>
              <w:rPr/>
              <w:t>ARTICLE 5 REPRESENTATIONS AND WARRANTIES</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59</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5.1</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Existence, Qualification and Power; Compliance with Laws</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59</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5.2</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Authorization; No Contravention</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59</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5.3</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Governmental Authorization; Other Consents</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60</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5.4</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Execution and Delivery; Binding Effect</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60</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5.5</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Financial Statements; No Material Adverse Effect</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60</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5.6</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Litigation</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61</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5.7</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Environmental Matters</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61</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5.8</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Ownership of Properties</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62</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5.9</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Casualty, Etc.</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62</w:t>
            </w:r>
          </w:p>
        </w:tc>
        <w:tc>
          <w:tcPr>
            <w:tcW w:w="64" w:type="dxa"/>
            <w:tcBorders/>
            <w:shd w:fill="auto" w:val="clear"/>
            <w:vAlign w:val="bottom"/>
          </w:tcPr>
          <w:p>
            <w:pPr>
              <w:pStyle w:val="TableContents"/>
              <w:spacing w:before="0" w:after="283"/>
              <w:rPr/>
            </w:pPr>
            <w:r>
              <w:rPr/>
              <w:t> </w:t>
            </w:r>
          </w:p>
        </w:tc>
      </w:tr>
      <w:tr>
        <w:trPr/>
        <w:tc>
          <w:tcPr>
            <w:tcW w:w="1862" w:type="dxa"/>
            <w:tcBorders/>
            <w:shd w:fill="auto" w:val="clear"/>
          </w:tcPr>
          <w:p>
            <w:pPr>
              <w:pStyle w:val="TableContents"/>
              <w:spacing w:before="0" w:after="0"/>
              <w:rPr>
                <w:rFonts w:ascii="Times New Roman" w:hAnsi="Times New Roman"/>
                <w:sz w:val="20"/>
              </w:rPr>
            </w:pPr>
            <w:r>
              <w:rPr>
                <w:rFonts w:ascii="Times New Roman" w:hAnsi="Times New Roman"/>
                <w:sz w:val="20"/>
              </w:rPr>
              <w:t>Section 5.10</w:t>
            </w:r>
          </w:p>
        </w:tc>
        <w:tc>
          <w:tcPr>
            <w:tcW w:w="126" w:type="dxa"/>
            <w:tcBorders/>
            <w:shd w:fill="auto" w:val="clear"/>
            <w:vAlign w:val="bottom"/>
          </w:tcPr>
          <w:p>
            <w:pPr>
              <w:pStyle w:val="TableContents"/>
              <w:spacing w:before="0" w:after="283"/>
              <w:rPr/>
            </w:pPr>
            <w:r>
              <w:rPr/>
              <w:t> </w:t>
            </w:r>
          </w:p>
        </w:tc>
        <w:tc>
          <w:tcPr>
            <w:tcW w:w="7461" w:type="dxa"/>
            <w:tcBorders/>
            <w:shd w:fill="auto" w:val="clear"/>
          </w:tcPr>
          <w:p>
            <w:pPr>
              <w:pStyle w:val="TableContents"/>
              <w:spacing w:before="0" w:after="0"/>
              <w:rPr>
                <w:rFonts w:ascii="Times New Roman" w:hAnsi="Times New Roman"/>
                <w:sz w:val="20"/>
              </w:rPr>
            </w:pPr>
            <w:r>
              <w:rPr>
                <w:rFonts w:ascii="Times New Roman" w:hAnsi="Times New Roman"/>
                <w:sz w:val="20"/>
              </w:rPr>
              <w:t>Investment Company Status, Etc.</w:t>
            </w:r>
          </w:p>
        </w:tc>
        <w:tc>
          <w:tcPr>
            <w:tcW w:w="17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63</w:t>
            </w:r>
          </w:p>
        </w:tc>
        <w:tc>
          <w:tcPr>
            <w:tcW w:w="64" w:type="dxa"/>
            <w:tcBorders/>
            <w:shd w:fill="auto" w:val="clear"/>
            <w:vAlign w:val="bottom"/>
          </w:tcPr>
          <w:p>
            <w:pPr>
              <w:pStyle w:val="TableContents"/>
              <w:spacing w:before="0" w:after="283"/>
              <w:rPr/>
            </w:pPr>
            <w:r>
              <w:rPr/>
              <w:t> </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1787"/>
        <w:gridCol w:w="123"/>
        <w:gridCol w:w="7745"/>
        <w:gridCol w:w="165"/>
        <w:gridCol w:w="60"/>
        <w:gridCol w:w="262"/>
        <w:gridCol w:w="63"/>
      </w:tblGrid>
      <w:tr>
        <w:trPr/>
        <w:tc>
          <w:tcPr>
            <w:tcW w:w="178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774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5.11</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Taxes</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63</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5.12</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ERISA</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63</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5.13</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Subsidiaries; Equity Interests</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64</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5.14</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Insurance</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64</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5.15</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Federal Reserve Regulations, Etc.</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64</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5.16</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Collateral Documents</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65</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5.17</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Solvency</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65</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5.18</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Anti-Corruption Laws; Sanctions; Anti-Terrorism Laws</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65</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5.19</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Material Owned Real Property</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66</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5.20</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Accuracy of Information, Etc.</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66</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5.21</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Labor Matters</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67</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5.22</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[Reserved]</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67</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5.23</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No Default</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67</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5.24</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Common Enterprise</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67</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5.25</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Brokers Fees</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67</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5.26</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Affected Financial Institutions</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67</w:t>
            </w:r>
          </w:p>
        </w:tc>
        <w:tc>
          <w:tcPr>
            <w:tcW w:w="63" w:type="dxa"/>
            <w:tcBorders/>
            <w:shd w:fill="auto" w:val="clear"/>
            <w:vAlign w:val="bottom"/>
          </w:tcPr>
          <w:p>
            <w:pPr>
              <w:pStyle w:val="TableContents"/>
              <w:spacing w:before="0" w:after="283"/>
              <w:rPr/>
            </w:pPr>
            <w:r>
              <w:rPr/>
              <w:t> </w:t>
            </w:r>
          </w:p>
        </w:tc>
      </w:tr>
      <w:tr>
        <w:trPr>
          <w:trHeight w:val="120" w:hRule="atLeast"/>
        </w:trPr>
        <w:tc>
          <w:tcPr>
            <w:tcW w:w="9655" w:type="dxa"/>
            <w:gridSpan w:val="3"/>
            <w:tcBorders/>
            <w:shd w:fill="auto" w:val="clear"/>
            <w:vAlign w:val="center"/>
          </w:tcPr>
          <w:p>
            <w:pPr>
              <w:pStyle w:val="TableContents"/>
              <w:spacing w:before="0" w:after="283"/>
              <w:rPr>
                <w:sz w:val="4"/>
                <w:szCs w:val="4"/>
              </w:rPr>
            </w:pPr>
            <w:r>
              <w:rPr>
                <w:sz w:val="4"/>
                <w:szCs w:val="4"/>
              </w:rPr>
            </w:r>
          </w:p>
        </w:tc>
        <w:tc>
          <w:tcPr>
            <w:tcW w:w="550" w:type="dxa"/>
            <w:gridSpan w:val="4"/>
            <w:tcBorders/>
            <w:shd w:fill="auto" w:val="clear"/>
            <w:vAlign w:val="center"/>
          </w:tcPr>
          <w:p>
            <w:pPr>
              <w:pStyle w:val="TableContents"/>
              <w:spacing w:before="0" w:after="283"/>
              <w:rPr>
                <w:sz w:val="4"/>
                <w:szCs w:val="4"/>
              </w:rPr>
            </w:pPr>
            <w:r>
              <w:rPr>
                <w:sz w:val="4"/>
                <w:szCs w:val="4"/>
              </w:rPr>
            </w:r>
          </w:p>
        </w:tc>
      </w:tr>
      <w:tr>
        <w:trPr/>
        <w:tc>
          <w:tcPr>
            <w:tcW w:w="9655" w:type="dxa"/>
            <w:gridSpan w:val="3"/>
            <w:tcBorders/>
            <w:shd w:fill="auto" w:val="clear"/>
          </w:tcPr>
          <w:p>
            <w:pPr>
              <w:pStyle w:val="TableContents"/>
              <w:spacing w:before="0" w:after="283"/>
              <w:rPr/>
            </w:pPr>
            <w:r>
              <w:rPr/>
              <w:t>ARTICLE 6 AFFIRMATIVE COVENANTS</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67</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6.1</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Financial Statements and Other Information</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67</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6.2</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Notices of Material Events</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69</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6.3</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Existence</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70</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6.4</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Payment and Performance of Obligations</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70</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6.5</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Maintenance of Properties</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70</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6.6</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Books and Records; Inspection Rights</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70</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6.7</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Compliance with Laws</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71</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6.8</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Use of Proceeds</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71</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6.9</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Information Concerning Collateral</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72</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6.10</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Insurance</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72</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6.11</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[Reserved]</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74</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6.12</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Covenant to Guarantee and Provide Security</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74</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6.13</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Environmental Matters</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75</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6.14</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[Reserved]</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75</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6.15</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Certain Post-Closing Obligations</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75</w:t>
            </w:r>
          </w:p>
        </w:tc>
        <w:tc>
          <w:tcPr>
            <w:tcW w:w="63" w:type="dxa"/>
            <w:tcBorders/>
            <w:shd w:fill="auto" w:val="clear"/>
            <w:vAlign w:val="bottom"/>
          </w:tcPr>
          <w:p>
            <w:pPr>
              <w:pStyle w:val="TableContents"/>
              <w:spacing w:before="0" w:after="283"/>
              <w:rPr/>
            </w:pPr>
            <w:r>
              <w:rPr/>
              <w:t> </w:t>
            </w:r>
          </w:p>
        </w:tc>
      </w:tr>
      <w:tr>
        <w:trPr>
          <w:trHeight w:val="120" w:hRule="atLeast"/>
        </w:trPr>
        <w:tc>
          <w:tcPr>
            <w:tcW w:w="9655" w:type="dxa"/>
            <w:gridSpan w:val="3"/>
            <w:tcBorders/>
            <w:shd w:fill="auto" w:val="clear"/>
            <w:vAlign w:val="center"/>
          </w:tcPr>
          <w:p>
            <w:pPr>
              <w:pStyle w:val="TableContents"/>
              <w:spacing w:before="0" w:after="283"/>
              <w:rPr>
                <w:sz w:val="4"/>
                <w:szCs w:val="4"/>
              </w:rPr>
            </w:pPr>
            <w:r>
              <w:rPr>
                <w:sz w:val="4"/>
                <w:szCs w:val="4"/>
              </w:rPr>
            </w:r>
          </w:p>
        </w:tc>
        <w:tc>
          <w:tcPr>
            <w:tcW w:w="550" w:type="dxa"/>
            <w:gridSpan w:val="4"/>
            <w:tcBorders/>
            <w:shd w:fill="auto" w:val="clear"/>
            <w:vAlign w:val="center"/>
          </w:tcPr>
          <w:p>
            <w:pPr>
              <w:pStyle w:val="TableContents"/>
              <w:spacing w:before="0" w:after="283"/>
              <w:rPr>
                <w:sz w:val="4"/>
                <w:szCs w:val="4"/>
              </w:rPr>
            </w:pPr>
            <w:r>
              <w:rPr>
                <w:sz w:val="4"/>
                <w:szCs w:val="4"/>
              </w:rPr>
            </w:r>
          </w:p>
        </w:tc>
      </w:tr>
      <w:tr>
        <w:trPr/>
        <w:tc>
          <w:tcPr>
            <w:tcW w:w="9655" w:type="dxa"/>
            <w:gridSpan w:val="3"/>
            <w:tcBorders/>
            <w:shd w:fill="auto" w:val="clear"/>
          </w:tcPr>
          <w:p>
            <w:pPr>
              <w:pStyle w:val="TableContents"/>
              <w:spacing w:before="0" w:after="283"/>
              <w:rPr/>
            </w:pPr>
            <w:r>
              <w:rPr/>
              <w:t>ARTICLE 7 NEGATIVE COVENANTS</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75</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7.1</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Indebtedness; Equity Interests</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75</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7.2</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Liens</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77</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7.3</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Fundamental Changes; Business; Fiscal Year</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78</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7.4</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Investments, Loans, Advances, Guarantees and Acquisitions</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79</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7.5</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Dispositions</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80</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7.6</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[Reserved]</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81</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7.7</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Reserved</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81</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7.8</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Restricted Payments</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81</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7.9</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Transactions with Affiliates</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82</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7.10</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Restrictive Agreements</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82</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7.11</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Amendment of Material Documents</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82</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7.12</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Financial Covenants</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83</w:t>
            </w:r>
          </w:p>
        </w:tc>
        <w:tc>
          <w:tcPr>
            <w:tcW w:w="63" w:type="dxa"/>
            <w:tcBorders/>
            <w:shd w:fill="auto" w:val="clear"/>
            <w:vAlign w:val="bottom"/>
          </w:tcPr>
          <w:p>
            <w:pPr>
              <w:pStyle w:val="TableContents"/>
              <w:spacing w:before="0" w:after="283"/>
              <w:rPr/>
            </w:pPr>
            <w:r>
              <w:rPr/>
              <w:t> </w:t>
            </w:r>
          </w:p>
        </w:tc>
      </w:tr>
      <w:tr>
        <w:trPr/>
        <w:tc>
          <w:tcPr>
            <w:tcW w:w="1787" w:type="dxa"/>
            <w:tcBorders/>
            <w:shd w:fill="auto" w:val="clear"/>
          </w:tcPr>
          <w:p>
            <w:pPr>
              <w:pStyle w:val="TableContents"/>
              <w:spacing w:before="0" w:after="0"/>
              <w:rPr>
                <w:rFonts w:ascii="Times New Roman" w:hAnsi="Times New Roman"/>
                <w:sz w:val="20"/>
              </w:rPr>
            </w:pPr>
            <w:r>
              <w:rPr>
                <w:rFonts w:ascii="Times New Roman" w:hAnsi="Times New Roman"/>
                <w:sz w:val="20"/>
              </w:rPr>
              <w:t>Section 7.13</w:t>
            </w:r>
          </w:p>
        </w:tc>
        <w:tc>
          <w:tcPr>
            <w:tcW w:w="123" w:type="dxa"/>
            <w:tcBorders/>
            <w:shd w:fill="auto" w:val="clear"/>
            <w:vAlign w:val="bottom"/>
          </w:tcPr>
          <w:p>
            <w:pPr>
              <w:pStyle w:val="TableContents"/>
              <w:spacing w:before="0" w:after="283"/>
              <w:rPr/>
            </w:pPr>
            <w:r>
              <w:rPr/>
              <w:t> </w:t>
            </w:r>
          </w:p>
        </w:tc>
        <w:tc>
          <w:tcPr>
            <w:tcW w:w="7745" w:type="dxa"/>
            <w:tcBorders/>
            <w:shd w:fill="auto" w:val="clear"/>
          </w:tcPr>
          <w:p>
            <w:pPr>
              <w:pStyle w:val="TableContents"/>
              <w:spacing w:before="0" w:after="0"/>
              <w:rPr>
                <w:rFonts w:ascii="Times New Roman" w:hAnsi="Times New Roman"/>
                <w:sz w:val="20"/>
              </w:rPr>
            </w:pPr>
            <w:r>
              <w:rPr>
                <w:rFonts w:ascii="Times New Roman" w:hAnsi="Times New Roman"/>
                <w:sz w:val="20"/>
              </w:rPr>
              <w:t>Payments on Subordinated Debt</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83</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ii -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741"/>
        <w:gridCol w:w="117"/>
        <w:gridCol w:w="7685"/>
        <w:gridCol w:w="152"/>
        <w:gridCol w:w="60"/>
        <w:gridCol w:w="387"/>
        <w:gridCol w:w="63"/>
      </w:tblGrid>
      <w:tr>
        <w:trPr/>
        <w:tc>
          <w:tcPr>
            <w:tcW w:w="174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bottom"/>
          </w:tcPr>
          <w:p>
            <w:pPr>
              <w:pStyle w:val="TableContents"/>
              <w:spacing w:before="0" w:after="283"/>
              <w:rPr>
                <w:sz w:val="4"/>
                <w:szCs w:val="4"/>
              </w:rPr>
            </w:pPr>
            <w:r>
              <w:rPr>
                <w:sz w:val="4"/>
                <w:szCs w:val="4"/>
              </w:rPr>
            </w:r>
          </w:p>
        </w:tc>
        <w:tc>
          <w:tcPr>
            <w:tcW w:w="7685"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543" w:type="dxa"/>
            <w:gridSpan w:val="3"/>
            <w:tcBorders/>
            <w:shd w:fill="auto" w:val="clear"/>
          </w:tcPr>
          <w:p>
            <w:pPr>
              <w:pStyle w:val="TableContents"/>
              <w:spacing w:before="0" w:after="283"/>
              <w:rPr/>
            </w:pPr>
            <w:r>
              <w:rPr/>
              <w:t>ARTICLE 8 EVENTS OF DEFAULT</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83</w:t>
            </w:r>
          </w:p>
        </w:tc>
        <w:tc>
          <w:tcPr>
            <w:tcW w:w="63" w:type="dxa"/>
            <w:tcBorders/>
            <w:shd w:fill="auto" w:val="clear"/>
            <w:vAlign w:val="bottom"/>
          </w:tcPr>
          <w:p>
            <w:pPr>
              <w:pStyle w:val="TableContents"/>
              <w:spacing w:before="0" w:after="283"/>
              <w:rPr/>
            </w:pPr>
            <w:r>
              <w:rPr/>
              <w:t> </w:t>
            </w:r>
          </w:p>
        </w:tc>
      </w:tr>
      <w:tr>
        <w:trPr/>
        <w:tc>
          <w:tcPr>
            <w:tcW w:w="1741" w:type="dxa"/>
            <w:tcBorders/>
            <w:shd w:fill="auto" w:val="clear"/>
          </w:tcPr>
          <w:p>
            <w:pPr>
              <w:pStyle w:val="TableContents"/>
              <w:spacing w:before="0" w:after="0"/>
              <w:rPr>
                <w:rFonts w:ascii="Times New Roman" w:hAnsi="Times New Roman"/>
                <w:sz w:val="20"/>
              </w:rPr>
            </w:pPr>
            <w:r>
              <w:rPr>
                <w:rFonts w:ascii="Times New Roman" w:hAnsi="Times New Roman"/>
                <w:sz w:val="20"/>
              </w:rPr>
              <w:t>Section 8.1</w:t>
            </w:r>
          </w:p>
        </w:tc>
        <w:tc>
          <w:tcPr>
            <w:tcW w:w="117" w:type="dxa"/>
            <w:tcBorders/>
            <w:shd w:fill="auto" w:val="clear"/>
            <w:vAlign w:val="bottom"/>
          </w:tcPr>
          <w:p>
            <w:pPr>
              <w:pStyle w:val="TableContents"/>
              <w:spacing w:before="0" w:after="283"/>
              <w:rPr/>
            </w:pPr>
            <w:r>
              <w:rPr/>
              <w:t> </w:t>
            </w:r>
          </w:p>
        </w:tc>
        <w:tc>
          <w:tcPr>
            <w:tcW w:w="7685" w:type="dxa"/>
            <w:tcBorders/>
            <w:shd w:fill="auto" w:val="clear"/>
          </w:tcPr>
          <w:p>
            <w:pPr>
              <w:pStyle w:val="TableContents"/>
              <w:spacing w:before="0" w:after="0"/>
              <w:rPr>
                <w:rFonts w:ascii="Times New Roman" w:hAnsi="Times New Roman"/>
                <w:sz w:val="20"/>
              </w:rPr>
            </w:pPr>
            <w:r>
              <w:rPr>
                <w:rFonts w:ascii="Times New Roman" w:hAnsi="Times New Roman"/>
                <w:sz w:val="20"/>
              </w:rPr>
              <w:t>Events of Default</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83</w:t>
            </w:r>
          </w:p>
        </w:tc>
        <w:tc>
          <w:tcPr>
            <w:tcW w:w="63" w:type="dxa"/>
            <w:tcBorders/>
            <w:shd w:fill="auto" w:val="clear"/>
            <w:vAlign w:val="bottom"/>
          </w:tcPr>
          <w:p>
            <w:pPr>
              <w:pStyle w:val="TableContents"/>
              <w:spacing w:before="0" w:after="283"/>
              <w:rPr/>
            </w:pPr>
            <w:r>
              <w:rPr/>
              <w:t> </w:t>
            </w:r>
          </w:p>
        </w:tc>
      </w:tr>
      <w:tr>
        <w:trPr/>
        <w:tc>
          <w:tcPr>
            <w:tcW w:w="1741" w:type="dxa"/>
            <w:tcBorders/>
            <w:shd w:fill="auto" w:val="clear"/>
          </w:tcPr>
          <w:p>
            <w:pPr>
              <w:pStyle w:val="TableContents"/>
              <w:spacing w:before="0" w:after="0"/>
              <w:rPr>
                <w:rFonts w:ascii="Times New Roman" w:hAnsi="Times New Roman"/>
                <w:sz w:val="20"/>
              </w:rPr>
            </w:pPr>
            <w:r>
              <w:rPr>
                <w:rFonts w:ascii="Times New Roman" w:hAnsi="Times New Roman"/>
                <w:sz w:val="20"/>
              </w:rPr>
              <w:t>Section 8.2</w:t>
            </w:r>
          </w:p>
        </w:tc>
        <w:tc>
          <w:tcPr>
            <w:tcW w:w="117" w:type="dxa"/>
            <w:tcBorders/>
            <w:shd w:fill="auto" w:val="clear"/>
            <w:vAlign w:val="bottom"/>
          </w:tcPr>
          <w:p>
            <w:pPr>
              <w:pStyle w:val="TableContents"/>
              <w:spacing w:before="0" w:after="283"/>
              <w:rPr/>
            </w:pPr>
            <w:r>
              <w:rPr/>
              <w:t> </w:t>
            </w:r>
          </w:p>
        </w:tc>
        <w:tc>
          <w:tcPr>
            <w:tcW w:w="7685" w:type="dxa"/>
            <w:tcBorders/>
            <w:shd w:fill="auto" w:val="clear"/>
          </w:tcPr>
          <w:p>
            <w:pPr>
              <w:pStyle w:val="TableContents"/>
              <w:spacing w:before="0" w:after="0"/>
              <w:rPr>
                <w:rFonts w:ascii="Times New Roman" w:hAnsi="Times New Roman"/>
                <w:sz w:val="20"/>
              </w:rPr>
            </w:pPr>
            <w:r>
              <w:rPr>
                <w:rFonts w:ascii="Times New Roman" w:hAnsi="Times New Roman"/>
                <w:sz w:val="20"/>
              </w:rPr>
              <w:t>Remedies Upon Event of Default</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86</w:t>
            </w:r>
          </w:p>
        </w:tc>
        <w:tc>
          <w:tcPr>
            <w:tcW w:w="63" w:type="dxa"/>
            <w:tcBorders/>
            <w:shd w:fill="auto" w:val="clear"/>
            <w:vAlign w:val="bottom"/>
          </w:tcPr>
          <w:p>
            <w:pPr>
              <w:pStyle w:val="TableContents"/>
              <w:spacing w:before="0" w:after="283"/>
              <w:rPr/>
            </w:pPr>
            <w:r>
              <w:rPr/>
              <w:t> </w:t>
            </w:r>
          </w:p>
        </w:tc>
      </w:tr>
      <w:tr>
        <w:trPr/>
        <w:tc>
          <w:tcPr>
            <w:tcW w:w="1741" w:type="dxa"/>
            <w:tcBorders/>
            <w:shd w:fill="auto" w:val="clear"/>
          </w:tcPr>
          <w:p>
            <w:pPr>
              <w:pStyle w:val="TableContents"/>
              <w:spacing w:before="0" w:after="0"/>
              <w:rPr>
                <w:rFonts w:ascii="Times New Roman" w:hAnsi="Times New Roman"/>
                <w:sz w:val="20"/>
              </w:rPr>
            </w:pPr>
            <w:r>
              <w:rPr>
                <w:rFonts w:ascii="Times New Roman" w:hAnsi="Times New Roman"/>
                <w:sz w:val="20"/>
              </w:rPr>
              <w:t>Section 8.3</w:t>
            </w:r>
          </w:p>
        </w:tc>
        <w:tc>
          <w:tcPr>
            <w:tcW w:w="117" w:type="dxa"/>
            <w:tcBorders/>
            <w:shd w:fill="auto" w:val="clear"/>
            <w:vAlign w:val="bottom"/>
          </w:tcPr>
          <w:p>
            <w:pPr>
              <w:pStyle w:val="TableContents"/>
              <w:spacing w:before="0" w:after="283"/>
              <w:rPr/>
            </w:pPr>
            <w:r>
              <w:rPr/>
              <w:t> </w:t>
            </w:r>
          </w:p>
        </w:tc>
        <w:tc>
          <w:tcPr>
            <w:tcW w:w="7685" w:type="dxa"/>
            <w:tcBorders/>
            <w:shd w:fill="auto" w:val="clear"/>
          </w:tcPr>
          <w:p>
            <w:pPr>
              <w:pStyle w:val="TableContents"/>
              <w:spacing w:before="0" w:after="0"/>
              <w:rPr>
                <w:rFonts w:ascii="Times New Roman" w:hAnsi="Times New Roman"/>
                <w:sz w:val="20"/>
              </w:rPr>
            </w:pPr>
            <w:r>
              <w:rPr>
                <w:rFonts w:ascii="Times New Roman" w:hAnsi="Times New Roman"/>
                <w:sz w:val="20"/>
              </w:rPr>
              <w:t>Application of Funds</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86</w:t>
            </w:r>
          </w:p>
        </w:tc>
        <w:tc>
          <w:tcPr>
            <w:tcW w:w="63" w:type="dxa"/>
            <w:tcBorders/>
            <w:shd w:fill="auto" w:val="clear"/>
            <w:vAlign w:val="bottom"/>
          </w:tcPr>
          <w:p>
            <w:pPr>
              <w:pStyle w:val="TableContents"/>
              <w:spacing w:before="0" w:after="283"/>
              <w:rPr/>
            </w:pPr>
            <w:r>
              <w:rPr/>
              <w:t> </w:t>
            </w:r>
          </w:p>
        </w:tc>
      </w:tr>
      <w:tr>
        <w:trPr>
          <w:trHeight w:val="120" w:hRule="atLeast"/>
        </w:trPr>
        <w:tc>
          <w:tcPr>
            <w:tcW w:w="9543" w:type="dxa"/>
            <w:gridSpan w:val="3"/>
            <w:tcBorders/>
            <w:shd w:fill="auto" w:val="clear"/>
            <w:vAlign w:val="center"/>
          </w:tcPr>
          <w:p>
            <w:pPr>
              <w:pStyle w:val="TableContents"/>
              <w:spacing w:before="0" w:after="283"/>
              <w:rPr>
                <w:sz w:val="4"/>
                <w:szCs w:val="4"/>
              </w:rPr>
            </w:pPr>
            <w:r>
              <w:rPr>
                <w:sz w:val="4"/>
                <w:szCs w:val="4"/>
              </w:rPr>
            </w:r>
          </w:p>
        </w:tc>
        <w:tc>
          <w:tcPr>
            <w:tcW w:w="662" w:type="dxa"/>
            <w:gridSpan w:val="4"/>
            <w:tcBorders/>
            <w:shd w:fill="auto" w:val="clear"/>
            <w:vAlign w:val="center"/>
          </w:tcPr>
          <w:p>
            <w:pPr>
              <w:pStyle w:val="TableContents"/>
              <w:spacing w:before="0" w:after="283"/>
              <w:rPr>
                <w:sz w:val="4"/>
                <w:szCs w:val="4"/>
              </w:rPr>
            </w:pPr>
            <w:r>
              <w:rPr>
                <w:sz w:val="4"/>
                <w:szCs w:val="4"/>
              </w:rPr>
            </w:r>
          </w:p>
        </w:tc>
      </w:tr>
      <w:tr>
        <w:trPr/>
        <w:tc>
          <w:tcPr>
            <w:tcW w:w="9543" w:type="dxa"/>
            <w:gridSpan w:val="3"/>
            <w:tcBorders/>
            <w:shd w:fill="auto" w:val="clear"/>
          </w:tcPr>
          <w:p>
            <w:pPr>
              <w:pStyle w:val="TableContents"/>
              <w:spacing w:before="0" w:after="283"/>
              <w:rPr/>
            </w:pPr>
            <w:r>
              <w:rPr/>
              <w:t>ARTICLE 9 THE ADMINISTRATIVE AGENT</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87</w:t>
            </w:r>
          </w:p>
        </w:tc>
        <w:tc>
          <w:tcPr>
            <w:tcW w:w="63" w:type="dxa"/>
            <w:tcBorders/>
            <w:shd w:fill="auto" w:val="clear"/>
            <w:vAlign w:val="bottom"/>
          </w:tcPr>
          <w:p>
            <w:pPr>
              <w:pStyle w:val="TableContents"/>
              <w:spacing w:before="0" w:after="283"/>
              <w:rPr/>
            </w:pPr>
            <w:r>
              <w:rPr/>
              <w:t> </w:t>
            </w:r>
          </w:p>
        </w:tc>
      </w:tr>
      <w:tr>
        <w:trPr/>
        <w:tc>
          <w:tcPr>
            <w:tcW w:w="1741" w:type="dxa"/>
            <w:tcBorders/>
            <w:shd w:fill="auto" w:val="clear"/>
          </w:tcPr>
          <w:p>
            <w:pPr>
              <w:pStyle w:val="TableContents"/>
              <w:spacing w:before="0" w:after="0"/>
              <w:rPr>
                <w:rFonts w:ascii="Times New Roman" w:hAnsi="Times New Roman"/>
                <w:sz w:val="20"/>
              </w:rPr>
            </w:pPr>
            <w:r>
              <w:rPr>
                <w:rFonts w:ascii="Times New Roman" w:hAnsi="Times New Roman"/>
                <w:sz w:val="20"/>
              </w:rPr>
              <w:t>Section 9.1</w:t>
            </w:r>
          </w:p>
        </w:tc>
        <w:tc>
          <w:tcPr>
            <w:tcW w:w="117" w:type="dxa"/>
            <w:tcBorders/>
            <w:shd w:fill="auto" w:val="clear"/>
            <w:vAlign w:val="bottom"/>
          </w:tcPr>
          <w:p>
            <w:pPr>
              <w:pStyle w:val="TableContents"/>
              <w:spacing w:before="0" w:after="283"/>
              <w:rPr/>
            </w:pPr>
            <w:r>
              <w:rPr/>
              <w:t> </w:t>
            </w:r>
          </w:p>
        </w:tc>
        <w:tc>
          <w:tcPr>
            <w:tcW w:w="7685" w:type="dxa"/>
            <w:tcBorders/>
            <w:shd w:fill="auto" w:val="clear"/>
          </w:tcPr>
          <w:p>
            <w:pPr>
              <w:pStyle w:val="TableContents"/>
              <w:spacing w:before="0" w:after="0"/>
              <w:rPr>
                <w:rFonts w:ascii="Times New Roman" w:hAnsi="Times New Roman"/>
                <w:sz w:val="20"/>
              </w:rPr>
            </w:pPr>
            <w:r>
              <w:rPr>
                <w:rFonts w:ascii="Times New Roman" w:hAnsi="Times New Roman"/>
                <w:sz w:val="20"/>
              </w:rPr>
              <w:t>Appointment and Authority</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87</w:t>
            </w:r>
          </w:p>
        </w:tc>
        <w:tc>
          <w:tcPr>
            <w:tcW w:w="63" w:type="dxa"/>
            <w:tcBorders/>
            <w:shd w:fill="auto" w:val="clear"/>
            <w:vAlign w:val="bottom"/>
          </w:tcPr>
          <w:p>
            <w:pPr>
              <w:pStyle w:val="TableContents"/>
              <w:spacing w:before="0" w:after="283"/>
              <w:rPr/>
            </w:pPr>
            <w:r>
              <w:rPr/>
              <w:t> </w:t>
            </w:r>
          </w:p>
        </w:tc>
      </w:tr>
      <w:tr>
        <w:trPr/>
        <w:tc>
          <w:tcPr>
            <w:tcW w:w="1741" w:type="dxa"/>
            <w:tcBorders/>
            <w:shd w:fill="auto" w:val="clear"/>
          </w:tcPr>
          <w:p>
            <w:pPr>
              <w:pStyle w:val="TableContents"/>
              <w:spacing w:before="0" w:after="0"/>
              <w:rPr>
                <w:rFonts w:ascii="Times New Roman" w:hAnsi="Times New Roman"/>
                <w:sz w:val="20"/>
              </w:rPr>
            </w:pPr>
            <w:r>
              <w:rPr>
                <w:rFonts w:ascii="Times New Roman" w:hAnsi="Times New Roman"/>
                <w:sz w:val="20"/>
              </w:rPr>
              <w:t>Section 9.2</w:t>
            </w:r>
          </w:p>
        </w:tc>
        <w:tc>
          <w:tcPr>
            <w:tcW w:w="117" w:type="dxa"/>
            <w:tcBorders/>
            <w:shd w:fill="auto" w:val="clear"/>
            <w:vAlign w:val="bottom"/>
          </w:tcPr>
          <w:p>
            <w:pPr>
              <w:pStyle w:val="TableContents"/>
              <w:spacing w:before="0" w:after="283"/>
              <w:rPr/>
            </w:pPr>
            <w:r>
              <w:rPr/>
              <w:t> </w:t>
            </w:r>
          </w:p>
        </w:tc>
        <w:tc>
          <w:tcPr>
            <w:tcW w:w="7685" w:type="dxa"/>
            <w:tcBorders/>
            <w:shd w:fill="auto" w:val="clear"/>
          </w:tcPr>
          <w:p>
            <w:pPr>
              <w:pStyle w:val="TableContents"/>
              <w:spacing w:before="0" w:after="0"/>
              <w:rPr>
                <w:rFonts w:ascii="Times New Roman" w:hAnsi="Times New Roman"/>
                <w:sz w:val="20"/>
              </w:rPr>
            </w:pPr>
            <w:r>
              <w:rPr>
                <w:rFonts w:ascii="Times New Roman" w:hAnsi="Times New Roman"/>
                <w:sz w:val="20"/>
              </w:rPr>
              <w:t>Rights as a Lender</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87</w:t>
            </w:r>
          </w:p>
        </w:tc>
        <w:tc>
          <w:tcPr>
            <w:tcW w:w="63" w:type="dxa"/>
            <w:tcBorders/>
            <w:shd w:fill="auto" w:val="clear"/>
            <w:vAlign w:val="bottom"/>
          </w:tcPr>
          <w:p>
            <w:pPr>
              <w:pStyle w:val="TableContents"/>
              <w:spacing w:before="0" w:after="283"/>
              <w:rPr/>
            </w:pPr>
            <w:r>
              <w:rPr/>
              <w:t> </w:t>
            </w:r>
          </w:p>
        </w:tc>
      </w:tr>
      <w:tr>
        <w:trPr/>
        <w:tc>
          <w:tcPr>
            <w:tcW w:w="1741" w:type="dxa"/>
            <w:tcBorders/>
            <w:shd w:fill="auto" w:val="clear"/>
          </w:tcPr>
          <w:p>
            <w:pPr>
              <w:pStyle w:val="TableContents"/>
              <w:spacing w:before="0" w:after="0"/>
              <w:rPr>
                <w:rFonts w:ascii="Times New Roman" w:hAnsi="Times New Roman"/>
                <w:sz w:val="20"/>
              </w:rPr>
            </w:pPr>
            <w:r>
              <w:rPr>
                <w:rFonts w:ascii="Times New Roman" w:hAnsi="Times New Roman"/>
                <w:sz w:val="20"/>
              </w:rPr>
              <w:t>Section 9.3</w:t>
            </w:r>
          </w:p>
        </w:tc>
        <w:tc>
          <w:tcPr>
            <w:tcW w:w="117" w:type="dxa"/>
            <w:tcBorders/>
            <w:shd w:fill="auto" w:val="clear"/>
            <w:vAlign w:val="bottom"/>
          </w:tcPr>
          <w:p>
            <w:pPr>
              <w:pStyle w:val="TableContents"/>
              <w:spacing w:before="0" w:after="283"/>
              <w:rPr/>
            </w:pPr>
            <w:r>
              <w:rPr/>
              <w:t> </w:t>
            </w:r>
          </w:p>
        </w:tc>
        <w:tc>
          <w:tcPr>
            <w:tcW w:w="7685" w:type="dxa"/>
            <w:tcBorders/>
            <w:shd w:fill="auto" w:val="clear"/>
          </w:tcPr>
          <w:p>
            <w:pPr>
              <w:pStyle w:val="TableContents"/>
              <w:spacing w:before="0" w:after="0"/>
              <w:rPr>
                <w:rFonts w:ascii="Times New Roman" w:hAnsi="Times New Roman"/>
                <w:sz w:val="20"/>
              </w:rPr>
            </w:pPr>
            <w:r>
              <w:rPr>
                <w:rFonts w:ascii="Times New Roman" w:hAnsi="Times New Roman"/>
                <w:sz w:val="20"/>
              </w:rPr>
              <w:t>Exculpatory Provisions</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87</w:t>
            </w:r>
          </w:p>
        </w:tc>
        <w:tc>
          <w:tcPr>
            <w:tcW w:w="63" w:type="dxa"/>
            <w:tcBorders/>
            <w:shd w:fill="auto" w:val="clear"/>
            <w:vAlign w:val="bottom"/>
          </w:tcPr>
          <w:p>
            <w:pPr>
              <w:pStyle w:val="TableContents"/>
              <w:spacing w:before="0" w:after="283"/>
              <w:rPr/>
            </w:pPr>
            <w:r>
              <w:rPr/>
              <w:t> </w:t>
            </w:r>
          </w:p>
        </w:tc>
      </w:tr>
      <w:tr>
        <w:trPr/>
        <w:tc>
          <w:tcPr>
            <w:tcW w:w="1741" w:type="dxa"/>
            <w:tcBorders/>
            <w:shd w:fill="auto" w:val="clear"/>
          </w:tcPr>
          <w:p>
            <w:pPr>
              <w:pStyle w:val="TableContents"/>
              <w:spacing w:before="0" w:after="0"/>
              <w:rPr>
                <w:rFonts w:ascii="Times New Roman" w:hAnsi="Times New Roman"/>
                <w:sz w:val="20"/>
              </w:rPr>
            </w:pPr>
            <w:r>
              <w:rPr>
                <w:rFonts w:ascii="Times New Roman" w:hAnsi="Times New Roman"/>
                <w:sz w:val="20"/>
              </w:rPr>
              <w:t>Section 9.4</w:t>
            </w:r>
          </w:p>
        </w:tc>
        <w:tc>
          <w:tcPr>
            <w:tcW w:w="117" w:type="dxa"/>
            <w:tcBorders/>
            <w:shd w:fill="auto" w:val="clear"/>
            <w:vAlign w:val="bottom"/>
          </w:tcPr>
          <w:p>
            <w:pPr>
              <w:pStyle w:val="TableContents"/>
              <w:spacing w:before="0" w:after="283"/>
              <w:rPr/>
            </w:pPr>
            <w:r>
              <w:rPr/>
              <w:t> </w:t>
            </w:r>
          </w:p>
        </w:tc>
        <w:tc>
          <w:tcPr>
            <w:tcW w:w="7685" w:type="dxa"/>
            <w:tcBorders/>
            <w:shd w:fill="auto" w:val="clear"/>
          </w:tcPr>
          <w:p>
            <w:pPr>
              <w:pStyle w:val="TableContents"/>
              <w:spacing w:before="0" w:after="0"/>
              <w:rPr>
                <w:rFonts w:ascii="Times New Roman" w:hAnsi="Times New Roman"/>
                <w:sz w:val="20"/>
              </w:rPr>
            </w:pPr>
            <w:r>
              <w:rPr>
                <w:rFonts w:ascii="Times New Roman" w:hAnsi="Times New Roman"/>
                <w:sz w:val="20"/>
              </w:rPr>
              <w:t>Reliance by Administrative Agent</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90</w:t>
            </w:r>
          </w:p>
        </w:tc>
        <w:tc>
          <w:tcPr>
            <w:tcW w:w="63" w:type="dxa"/>
            <w:tcBorders/>
            <w:shd w:fill="auto" w:val="clear"/>
            <w:vAlign w:val="bottom"/>
          </w:tcPr>
          <w:p>
            <w:pPr>
              <w:pStyle w:val="TableContents"/>
              <w:spacing w:before="0" w:after="283"/>
              <w:rPr/>
            </w:pPr>
            <w:r>
              <w:rPr/>
              <w:t> </w:t>
            </w:r>
          </w:p>
        </w:tc>
      </w:tr>
      <w:tr>
        <w:trPr/>
        <w:tc>
          <w:tcPr>
            <w:tcW w:w="1741" w:type="dxa"/>
            <w:tcBorders/>
            <w:shd w:fill="auto" w:val="clear"/>
          </w:tcPr>
          <w:p>
            <w:pPr>
              <w:pStyle w:val="TableContents"/>
              <w:spacing w:before="0" w:after="0"/>
              <w:rPr>
                <w:rFonts w:ascii="Times New Roman" w:hAnsi="Times New Roman"/>
                <w:sz w:val="20"/>
              </w:rPr>
            </w:pPr>
            <w:r>
              <w:rPr>
                <w:rFonts w:ascii="Times New Roman" w:hAnsi="Times New Roman"/>
                <w:sz w:val="20"/>
              </w:rPr>
              <w:t>Section 9.5</w:t>
            </w:r>
          </w:p>
        </w:tc>
        <w:tc>
          <w:tcPr>
            <w:tcW w:w="117" w:type="dxa"/>
            <w:tcBorders/>
            <w:shd w:fill="auto" w:val="clear"/>
            <w:vAlign w:val="bottom"/>
          </w:tcPr>
          <w:p>
            <w:pPr>
              <w:pStyle w:val="TableContents"/>
              <w:spacing w:before="0" w:after="283"/>
              <w:rPr/>
            </w:pPr>
            <w:r>
              <w:rPr/>
              <w:t> </w:t>
            </w:r>
          </w:p>
        </w:tc>
        <w:tc>
          <w:tcPr>
            <w:tcW w:w="7685" w:type="dxa"/>
            <w:tcBorders/>
            <w:shd w:fill="auto" w:val="clear"/>
          </w:tcPr>
          <w:p>
            <w:pPr>
              <w:pStyle w:val="TableContents"/>
              <w:spacing w:before="0" w:after="0"/>
              <w:rPr>
                <w:rFonts w:ascii="Times New Roman" w:hAnsi="Times New Roman"/>
                <w:sz w:val="20"/>
              </w:rPr>
            </w:pPr>
            <w:r>
              <w:rPr>
                <w:rFonts w:ascii="Times New Roman" w:hAnsi="Times New Roman"/>
                <w:sz w:val="20"/>
              </w:rPr>
              <w:t>Delegation of Duties</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90</w:t>
            </w:r>
          </w:p>
        </w:tc>
        <w:tc>
          <w:tcPr>
            <w:tcW w:w="63" w:type="dxa"/>
            <w:tcBorders/>
            <w:shd w:fill="auto" w:val="clear"/>
            <w:vAlign w:val="bottom"/>
          </w:tcPr>
          <w:p>
            <w:pPr>
              <w:pStyle w:val="TableContents"/>
              <w:spacing w:before="0" w:after="283"/>
              <w:rPr/>
            </w:pPr>
            <w:r>
              <w:rPr/>
              <w:t> </w:t>
            </w:r>
          </w:p>
        </w:tc>
      </w:tr>
      <w:tr>
        <w:trPr/>
        <w:tc>
          <w:tcPr>
            <w:tcW w:w="1741" w:type="dxa"/>
            <w:tcBorders/>
            <w:shd w:fill="auto" w:val="clear"/>
          </w:tcPr>
          <w:p>
            <w:pPr>
              <w:pStyle w:val="TableContents"/>
              <w:spacing w:before="0" w:after="0"/>
              <w:rPr>
                <w:rFonts w:ascii="Times New Roman" w:hAnsi="Times New Roman"/>
                <w:sz w:val="20"/>
              </w:rPr>
            </w:pPr>
            <w:r>
              <w:rPr>
                <w:rFonts w:ascii="Times New Roman" w:hAnsi="Times New Roman"/>
                <w:sz w:val="20"/>
              </w:rPr>
              <w:t>Section 9.6</w:t>
            </w:r>
          </w:p>
        </w:tc>
        <w:tc>
          <w:tcPr>
            <w:tcW w:w="117" w:type="dxa"/>
            <w:tcBorders/>
            <w:shd w:fill="auto" w:val="clear"/>
            <w:vAlign w:val="bottom"/>
          </w:tcPr>
          <w:p>
            <w:pPr>
              <w:pStyle w:val="TableContents"/>
              <w:spacing w:before="0" w:after="283"/>
              <w:rPr/>
            </w:pPr>
            <w:r>
              <w:rPr/>
              <w:t> </w:t>
            </w:r>
          </w:p>
        </w:tc>
        <w:tc>
          <w:tcPr>
            <w:tcW w:w="7685" w:type="dxa"/>
            <w:tcBorders/>
            <w:shd w:fill="auto" w:val="clear"/>
          </w:tcPr>
          <w:p>
            <w:pPr>
              <w:pStyle w:val="TableContents"/>
              <w:spacing w:before="0" w:after="0"/>
              <w:rPr>
                <w:rFonts w:ascii="Times New Roman" w:hAnsi="Times New Roman"/>
                <w:sz w:val="20"/>
              </w:rPr>
            </w:pPr>
            <w:r>
              <w:rPr>
                <w:rFonts w:ascii="Times New Roman" w:hAnsi="Times New Roman"/>
                <w:sz w:val="20"/>
              </w:rPr>
              <w:t>Resignation of Administrative Agent</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90</w:t>
            </w:r>
          </w:p>
        </w:tc>
        <w:tc>
          <w:tcPr>
            <w:tcW w:w="63" w:type="dxa"/>
            <w:tcBorders/>
            <w:shd w:fill="auto" w:val="clear"/>
            <w:vAlign w:val="bottom"/>
          </w:tcPr>
          <w:p>
            <w:pPr>
              <w:pStyle w:val="TableContents"/>
              <w:spacing w:before="0" w:after="283"/>
              <w:rPr/>
            </w:pPr>
            <w:r>
              <w:rPr/>
              <w:t> </w:t>
            </w:r>
          </w:p>
        </w:tc>
      </w:tr>
      <w:tr>
        <w:trPr/>
        <w:tc>
          <w:tcPr>
            <w:tcW w:w="1741" w:type="dxa"/>
            <w:tcBorders/>
            <w:shd w:fill="auto" w:val="clear"/>
          </w:tcPr>
          <w:p>
            <w:pPr>
              <w:pStyle w:val="TableContents"/>
              <w:spacing w:before="0" w:after="0"/>
              <w:rPr>
                <w:rFonts w:ascii="Times New Roman" w:hAnsi="Times New Roman"/>
                <w:sz w:val="20"/>
              </w:rPr>
            </w:pPr>
            <w:r>
              <w:rPr>
                <w:rFonts w:ascii="Times New Roman" w:hAnsi="Times New Roman"/>
                <w:sz w:val="20"/>
              </w:rPr>
              <w:t>Section 9.7</w:t>
            </w:r>
          </w:p>
        </w:tc>
        <w:tc>
          <w:tcPr>
            <w:tcW w:w="117" w:type="dxa"/>
            <w:tcBorders/>
            <w:shd w:fill="auto" w:val="clear"/>
            <w:vAlign w:val="bottom"/>
          </w:tcPr>
          <w:p>
            <w:pPr>
              <w:pStyle w:val="TableContents"/>
              <w:spacing w:before="0" w:after="283"/>
              <w:rPr/>
            </w:pPr>
            <w:r>
              <w:rPr/>
              <w:t> </w:t>
            </w:r>
          </w:p>
        </w:tc>
        <w:tc>
          <w:tcPr>
            <w:tcW w:w="7685" w:type="dxa"/>
            <w:tcBorders/>
            <w:shd w:fill="auto" w:val="clear"/>
          </w:tcPr>
          <w:p>
            <w:pPr>
              <w:pStyle w:val="TableContents"/>
              <w:spacing w:before="0" w:after="0"/>
              <w:rPr>
                <w:rFonts w:ascii="Times New Roman" w:hAnsi="Times New Roman"/>
                <w:sz w:val="20"/>
              </w:rPr>
            </w:pPr>
            <w:r>
              <w:rPr>
                <w:rFonts w:ascii="Times New Roman" w:hAnsi="Times New Roman"/>
                <w:sz w:val="20"/>
              </w:rPr>
              <w:t>Non-Reliance on Administrative Agent and Other Lenders</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91</w:t>
            </w:r>
          </w:p>
        </w:tc>
        <w:tc>
          <w:tcPr>
            <w:tcW w:w="63" w:type="dxa"/>
            <w:tcBorders/>
            <w:shd w:fill="auto" w:val="clear"/>
            <w:vAlign w:val="bottom"/>
          </w:tcPr>
          <w:p>
            <w:pPr>
              <w:pStyle w:val="TableContents"/>
              <w:spacing w:before="0" w:after="283"/>
              <w:rPr/>
            </w:pPr>
            <w:r>
              <w:rPr/>
              <w:t> </w:t>
            </w:r>
          </w:p>
        </w:tc>
      </w:tr>
      <w:tr>
        <w:trPr/>
        <w:tc>
          <w:tcPr>
            <w:tcW w:w="1741" w:type="dxa"/>
            <w:tcBorders/>
            <w:shd w:fill="auto" w:val="clear"/>
          </w:tcPr>
          <w:p>
            <w:pPr>
              <w:pStyle w:val="TableContents"/>
              <w:spacing w:before="0" w:after="0"/>
              <w:rPr>
                <w:rFonts w:ascii="Times New Roman" w:hAnsi="Times New Roman"/>
                <w:sz w:val="20"/>
              </w:rPr>
            </w:pPr>
            <w:r>
              <w:rPr>
                <w:rFonts w:ascii="Times New Roman" w:hAnsi="Times New Roman"/>
                <w:sz w:val="20"/>
              </w:rPr>
              <w:t>Section 9.8</w:t>
            </w:r>
          </w:p>
        </w:tc>
        <w:tc>
          <w:tcPr>
            <w:tcW w:w="117" w:type="dxa"/>
            <w:tcBorders/>
            <w:shd w:fill="auto" w:val="clear"/>
            <w:vAlign w:val="bottom"/>
          </w:tcPr>
          <w:p>
            <w:pPr>
              <w:pStyle w:val="TableContents"/>
              <w:spacing w:before="0" w:after="283"/>
              <w:rPr/>
            </w:pPr>
            <w:r>
              <w:rPr/>
              <w:t> </w:t>
            </w:r>
          </w:p>
        </w:tc>
        <w:tc>
          <w:tcPr>
            <w:tcW w:w="7685" w:type="dxa"/>
            <w:tcBorders/>
            <w:shd w:fill="auto" w:val="clear"/>
          </w:tcPr>
          <w:p>
            <w:pPr>
              <w:pStyle w:val="TableContents"/>
              <w:spacing w:before="0" w:after="0"/>
              <w:rPr>
                <w:rFonts w:ascii="Times New Roman" w:hAnsi="Times New Roman"/>
                <w:sz w:val="20"/>
              </w:rPr>
            </w:pPr>
            <w:r>
              <w:rPr>
                <w:rFonts w:ascii="Times New Roman" w:hAnsi="Times New Roman"/>
                <w:sz w:val="20"/>
              </w:rPr>
              <w:t>[Reserved]</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92</w:t>
            </w:r>
          </w:p>
        </w:tc>
        <w:tc>
          <w:tcPr>
            <w:tcW w:w="63" w:type="dxa"/>
            <w:tcBorders/>
            <w:shd w:fill="auto" w:val="clear"/>
            <w:vAlign w:val="bottom"/>
          </w:tcPr>
          <w:p>
            <w:pPr>
              <w:pStyle w:val="TableContents"/>
              <w:spacing w:before="0" w:after="283"/>
              <w:rPr/>
            </w:pPr>
            <w:r>
              <w:rPr/>
              <w:t> </w:t>
            </w:r>
          </w:p>
        </w:tc>
      </w:tr>
      <w:tr>
        <w:trPr/>
        <w:tc>
          <w:tcPr>
            <w:tcW w:w="1741" w:type="dxa"/>
            <w:tcBorders/>
            <w:shd w:fill="auto" w:val="clear"/>
          </w:tcPr>
          <w:p>
            <w:pPr>
              <w:pStyle w:val="TableContents"/>
              <w:spacing w:before="0" w:after="0"/>
              <w:rPr>
                <w:rFonts w:ascii="Times New Roman" w:hAnsi="Times New Roman"/>
                <w:sz w:val="20"/>
              </w:rPr>
            </w:pPr>
            <w:r>
              <w:rPr>
                <w:rFonts w:ascii="Times New Roman" w:hAnsi="Times New Roman"/>
                <w:sz w:val="20"/>
              </w:rPr>
              <w:t>Section 9.9</w:t>
            </w:r>
          </w:p>
        </w:tc>
        <w:tc>
          <w:tcPr>
            <w:tcW w:w="117" w:type="dxa"/>
            <w:tcBorders/>
            <w:shd w:fill="auto" w:val="clear"/>
            <w:vAlign w:val="bottom"/>
          </w:tcPr>
          <w:p>
            <w:pPr>
              <w:pStyle w:val="TableContents"/>
              <w:spacing w:before="0" w:after="283"/>
              <w:rPr/>
            </w:pPr>
            <w:r>
              <w:rPr/>
              <w:t> </w:t>
            </w:r>
          </w:p>
        </w:tc>
        <w:tc>
          <w:tcPr>
            <w:tcW w:w="7685" w:type="dxa"/>
            <w:tcBorders/>
            <w:shd w:fill="auto" w:val="clear"/>
          </w:tcPr>
          <w:p>
            <w:pPr>
              <w:pStyle w:val="TableContents"/>
              <w:spacing w:before="0" w:after="0"/>
              <w:rPr>
                <w:rFonts w:ascii="Times New Roman" w:hAnsi="Times New Roman"/>
                <w:sz w:val="20"/>
              </w:rPr>
            </w:pPr>
            <w:r>
              <w:rPr>
                <w:rFonts w:ascii="Times New Roman" w:hAnsi="Times New Roman"/>
                <w:sz w:val="20"/>
              </w:rPr>
              <w:t>Administrative Agent May File Proofs of Claim</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92</w:t>
            </w:r>
          </w:p>
        </w:tc>
        <w:tc>
          <w:tcPr>
            <w:tcW w:w="63" w:type="dxa"/>
            <w:tcBorders/>
            <w:shd w:fill="auto" w:val="clear"/>
            <w:vAlign w:val="bottom"/>
          </w:tcPr>
          <w:p>
            <w:pPr>
              <w:pStyle w:val="TableContents"/>
              <w:spacing w:before="0" w:after="283"/>
              <w:rPr/>
            </w:pPr>
            <w:r>
              <w:rPr/>
              <w:t> </w:t>
            </w:r>
          </w:p>
        </w:tc>
      </w:tr>
      <w:tr>
        <w:trPr/>
        <w:tc>
          <w:tcPr>
            <w:tcW w:w="1741" w:type="dxa"/>
            <w:tcBorders/>
            <w:shd w:fill="auto" w:val="clear"/>
          </w:tcPr>
          <w:p>
            <w:pPr>
              <w:pStyle w:val="TableContents"/>
              <w:spacing w:before="0" w:after="0"/>
              <w:rPr>
                <w:rFonts w:ascii="Times New Roman" w:hAnsi="Times New Roman"/>
                <w:sz w:val="20"/>
              </w:rPr>
            </w:pPr>
            <w:r>
              <w:rPr>
                <w:rFonts w:ascii="Times New Roman" w:hAnsi="Times New Roman"/>
                <w:sz w:val="20"/>
              </w:rPr>
              <w:t>Section 9.10</w:t>
            </w:r>
          </w:p>
        </w:tc>
        <w:tc>
          <w:tcPr>
            <w:tcW w:w="117" w:type="dxa"/>
            <w:tcBorders/>
            <w:shd w:fill="auto" w:val="clear"/>
            <w:vAlign w:val="bottom"/>
          </w:tcPr>
          <w:p>
            <w:pPr>
              <w:pStyle w:val="TableContents"/>
              <w:spacing w:before="0" w:after="283"/>
              <w:rPr/>
            </w:pPr>
            <w:r>
              <w:rPr/>
              <w:t> </w:t>
            </w:r>
          </w:p>
        </w:tc>
        <w:tc>
          <w:tcPr>
            <w:tcW w:w="7685" w:type="dxa"/>
            <w:tcBorders/>
            <w:shd w:fill="auto" w:val="clear"/>
          </w:tcPr>
          <w:p>
            <w:pPr>
              <w:pStyle w:val="TableContents"/>
              <w:spacing w:before="0" w:after="0"/>
              <w:rPr>
                <w:rFonts w:ascii="Times New Roman" w:hAnsi="Times New Roman"/>
                <w:sz w:val="20"/>
              </w:rPr>
            </w:pPr>
            <w:r>
              <w:rPr>
                <w:rFonts w:ascii="Times New Roman" w:hAnsi="Times New Roman"/>
                <w:sz w:val="20"/>
              </w:rPr>
              <w:t>Collateral and Guarantee Matters</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92</w:t>
            </w:r>
          </w:p>
        </w:tc>
        <w:tc>
          <w:tcPr>
            <w:tcW w:w="63" w:type="dxa"/>
            <w:tcBorders/>
            <w:shd w:fill="auto" w:val="clear"/>
            <w:vAlign w:val="bottom"/>
          </w:tcPr>
          <w:p>
            <w:pPr>
              <w:pStyle w:val="TableContents"/>
              <w:spacing w:before="0" w:after="283"/>
              <w:rPr/>
            </w:pPr>
            <w:r>
              <w:rPr/>
              <w:t> </w:t>
            </w:r>
          </w:p>
        </w:tc>
      </w:tr>
      <w:tr>
        <w:trPr/>
        <w:tc>
          <w:tcPr>
            <w:tcW w:w="1741" w:type="dxa"/>
            <w:tcBorders/>
            <w:shd w:fill="auto" w:val="clear"/>
          </w:tcPr>
          <w:p>
            <w:pPr>
              <w:pStyle w:val="TableContents"/>
              <w:spacing w:before="0" w:after="0"/>
              <w:rPr>
                <w:rFonts w:ascii="Times New Roman" w:hAnsi="Times New Roman"/>
                <w:sz w:val="20"/>
              </w:rPr>
            </w:pPr>
            <w:r>
              <w:rPr>
                <w:rFonts w:ascii="Times New Roman" w:hAnsi="Times New Roman"/>
                <w:sz w:val="20"/>
              </w:rPr>
              <w:t>Section 9.11</w:t>
            </w:r>
          </w:p>
        </w:tc>
        <w:tc>
          <w:tcPr>
            <w:tcW w:w="117" w:type="dxa"/>
            <w:tcBorders/>
            <w:shd w:fill="auto" w:val="clear"/>
            <w:vAlign w:val="bottom"/>
          </w:tcPr>
          <w:p>
            <w:pPr>
              <w:pStyle w:val="TableContents"/>
              <w:spacing w:before="0" w:after="283"/>
              <w:rPr/>
            </w:pPr>
            <w:r>
              <w:rPr/>
              <w:t> </w:t>
            </w:r>
          </w:p>
        </w:tc>
        <w:tc>
          <w:tcPr>
            <w:tcW w:w="7685" w:type="dxa"/>
            <w:tcBorders/>
            <w:shd w:fill="auto" w:val="clear"/>
          </w:tcPr>
          <w:p>
            <w:pPr>
              <w:pStyle w:val="TableContents"/>
              <w:spacing w:before="0" w:after="0"/>
              <w:rPr>
                <w:rFonts w:ascii="Times New Roman" w:hAnsi="Times New Roman"/>
                <w:sz w:val="20"/>
              </w:rPr>
            </w:pPr>
            <w:r>
              <w:rPr>
                <w:rFonts w:ascii="Times New Roman" w:hAnsi="Times New Roman"/>
                <w:sz w:val="20"/>
              </w:rPr>
              <w:t>Erroneous Payments</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93</w:t>
            </w:r>
          </w:p>
        </w:tc>
        <w:tc>
          <w:tcPr>
            <w:tcW w:w="63" w:type="dxa"/>
            <w:tcBorders/>
            <w:shd w:fill="auto" w:val="clear"/>
            <w:vAlign w:val="bottom"/>
          </w:tcPr>
          <w:p>
            <w:pPr>
              <w:pStyle w:val="TableContents"/>
              <w:spacing w:before="0" w:after="283"/>
              <w:rPr/>
            </w:pPr>
            <w:r>
              <w:rPr/>
              <w:t> </w:t>
            </w:r>
          </w:p>
        </w:tc>
      </w:tr>
      <w:tr>
        <w:trPr>
          <w:trHeight w:val="120" w:hRule="atLeast"/>
        </w:trPr>
        <w:tc>
          <w:tcPr>
            <w:tcW w:w="9543" w:type="dxa"/>
            <w:gridSpan w:val="3"/>
            <w:tcBorders/>
            <w:shd w:fill="auto" w:val="clear"/>
            <w:vAlign w:val="center"/>
          </w:tcPr>
          <w:p>
            <w:pPr>
              <w:pStyle w:val="TableContents"/>
              <w:spacing w:before="0" w:after="283"/>
              <w:rPr>
                <w:sz w:val="4"/>
                <w:szCs w:val="4"/>
              </w:rPr>
            </w:pPr>
            <w:r>
              <w:rPr>
                <w:sz w:val="4"/>
                <w:szCs w:val="4"/>
              </w:rPr>
            </w:r>
          </w:p>
        </w:tc>
        <w:tc>
          <w:tcPr>
            <w:tcW w:w="662" w:type="dxa"/>
            <w:gridSpan w:val="4"/>
            <w:tcBorders/>
            <w:shd w:fill="auto" w:val="clear"/>
            <w:vAlign w:val="center"/>
          </w:tcPr>
          <w:p>
            <w:pPr>
              <w:pStyle w:val="TableContents"/>
              <w:spacing w:before="0" w:after="283"/>
              <w:rPr>
                <w:sz w:val="4"/>
                <w:szCs w:val="4"/>
              </w:rPr>
            </w:pPr>
            <w:r>
              <w:rPr>
                <w:sz w:val="4"/>
                <w:szCs w:val="4"/>
              </w:rPr>
            </w:r>
          </w:p>
        </w:tc>
      </w:tr>
      <w:tr>
        <w:trPr/>
        <w:tc>
          <w:tcPr>
            <w:tcW w:w="9543" w:type="dxa"/>
            <w:gridSpan w:val="3"/>
            <w:tcBorders/>
            <w:shd w:fill="auto" w:val="clear"/>
          </w:tcPr>
          <w:p>
            <w:pPr>
              <w:pStyle w:val="TableContents"/>
              <w:spacing w:before="0" w:after="283"/>
              <w:rPr/>
            </w:pPr>
            <w:r>
              <w:rPr/>
              <w:t>ARTICLE 10 MISCELLANEOUS</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95</w:t>
            </w:r>
          </w:p>
        </w:tc>
        <w:tc>
          <w:tcPr>
            <w:tcW w:w="63" w:type="dxa"/>
            <w:tcBorders/>
            <w:shd w:fill="auto" w:val="clear"/>
            <w:vAlign w:val="bottom"/>
          </w:tcPr>
          <w:p>
            <w:pPr>
              <w:pStyle w:val="TableContents"/>
              <w:spacing w:before="0" w:after="283"/>
              <w:rPr/>
            </w:pPr>
            <w:r>
              <w:rPr/>
              <w:t> </w:t>
            </w:r>
          </w:p>
        </w:tc>
      </w:tr>
      <w:tr>
        <w:trPr/>
        <w:tc>
          <w:tcPr>
            <w:tcW w:w="1741" w:type="dxa"/>
            <w:tcBorders/>
            <w:shd w:fill="auto" w:val="clear"/>
          </w:tcPr>
          <w:p>
            <w:pPr>
              <w:pStyle w:val="TableContents"/>
              <w:spacing w:before="0" w:after="0"/>
              <w:rPr>
                <w:rFonts w:ascii="Times New Roman" w:hAnsi="Times New Roman"/>
                <w:sz w:val="20"/>
              </w:rPr>
            </w:pPr>
            <w:r>
              <w:rPr>
                <w:rFonts w:ascii="Times New Roman" w:hAnsi="Times New Roman"/>
                <w:sz w:val="20"/>
              </w:rPr>
              <w:t>Section 10.1</w:t>
            </w:r>
          </w:p>
        </w:tc>
        <w:tc>
          <w:tcPr>
            <w:tcW w:w="117" w:type="dxa"/>
            <w:tcBorders/>
            <w:shd w:fill="auto" w:val="clear"/>
            <w:vAlign w:val="bottom"/>
          </w:tcPr>
          <w:p>
            <w:pPr>
              <w:pStyle w:val="TableContents"/>
              <w:spacing w:before="0" w:after="283"/>
              <w:rPr/>
            </w:pPr>
            <w:r>
              <w:rPr/>
              <w:t> </w:t>
            </w:r>
          </w:p>
        </w:tc>
        <w:tc>
          <w:tcPr>
            <w:tcW w:w="7685" w:type="dxa"/>
            <w:tcBorders/>
            <w:shd w:fill="auto" w:val="clear"/>
          </w:tcPr>
          <w:p>
            <w:pPr>
              <w:pStyle w:val="TableContents"/>
              <w:spacing w:before="0" w:after="0"/>
              <w:rPr>
                <w:rFonts w:ascii="Times New Roman" w:hAnsi="Times New Roman"/>
                <w:sz w:val="20"/>
              </w:rPr>
            </w:pPr>
            <w:r>
              <w:rPr>
                <w:rFonts w:ascii="Times New Roman" w:hAnsi="Times New Roman"/>
                <w:sz w:val="20"/>
              </w:rPr>
              <w:t>Notices</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95</w:t>
            </w:r>
          </w:p>
        </w:tc>
        <w:tc>
          <w:tcPr>
            <w:tcW w:w="63" w:type="dxa"/>
            <w:tcBorders/>
            <w:shd w:fill="auto" w:val="clear"/>
            <w:vAlign w:val="bottom"/>
          </w:tcPr>
          <w:p>
            <w:pPr>
              <w:pStyle w:val="TableContents"/>
              <w:spacing w:before="0" w:after="283"/>
              <w:rPr/>
            </w:pPr>
            <w:r>
              <w:rPr/>
              <w:t> </w:t>
            </w:r>
          </w:p>
        </w:tc>
      </w:tr>
      <w:tr>
        <w:trPr/>
        <w:tc>
          <w:tcPr>
            <w:tcW w:w="1741" w:type="dxa"/>
            <w:tcBorders/>
            <w:shd w:fill="auto" w:val="clear"/>
          </w:tcPr>
          <w:p>
            <w:pPr>
              <w:pStyle w:val="TableContents"/>
              <w:spacing w:before="0" w:after="0"/>
              <w:rPr>
                <w:rFonts w:ascii="Times New Roman" w:hAnsi="Times New Roman"/>
                <w:sz w:val="20"/>
              </w:rPr>
            </w:pPr>
            <w:r>
              <w:rPr>
                <w:rFonts w:ascii="Times New Roman" w:hAnsi="Times New Roman"/>
                <w:sz w:val="20"/>
              </w:rPr>
              <w:t>Section 10.2</w:t>
            </w:r>
          </w:p>
        </w:tc>
        <w:tc>
          <w:tcPr>
            <w:tcW w:w="117" w:type="dxa"/>
            <w:tcBorders/>
            <w:shd w:fill="auto" w:val="clear"/>
            <w:vAlign w:val="bottom"/>
          </w:tcPr>
          <w:p>
            <w:pPr>
              <w:pStyle w:val="TableContents"/>
              <w:spacing w:before="0" w:after="283"/>
              <w:rPr/>
            </w:pPr>
            <w:r>
              <w:rPr/>
              <w:t> </w:t>
            </w:r>
          </w:p>
        </w:tc>
        <w:tc>
          <w:tcPr>
            <w:tcW w:w="7685" w:type="dxa"/>
            <w:tcBorders/>
            <w:shd w:fill="auto" w:val="clear"/>
          </w:tcPr>
          <w:p>
            <w:pPr>
              <w:pStyle w:val="TableContents"/>
              <w:spacing w:before="0" w:after="0"/>
              <w:rPr>
                <w:rFonts w:ascii="Times New Roman" w:hAnsi="Times New Roman"/>
                <w:sz w:val="20"/>
              </w:rPr>
            </w:pPr>
            <w:r>
              <w:rPr>
                <w:rFonts w:ascii="Times New Roman" w:hAnsi="Times New Roman"/>
                <w:sz w:val="20"/>
              </w:rPr>
              <w:t>Waivers; Amendments</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97</w:t>
            </w:r>
          </w:p>
        </w:tc>
        <w:tc>
          <w:tcPr>
            <w:tcW w:w="63" w:type="dxa"/>
            <w:tcBorders/>
            <w:shd w:fill="auto" w:val="clear"/>
            <w:vAlign w:val="bottom"/>
          </w:tcPr>
          <w:p>
            <w:pPr>
              <w:pStyle w:val="TableContents"/>
              <w:spacing w:before="0" w:after="283"/>
              <w:rPr/>
            </w:pPr>
            <w:r>
              <w:rPr/>
              <w:t> </w:t>
            </w:r>
          </w:p>
        </w:tc>
      </w:tr>
      <w:tr>
        <w:trPr/>
        <w:tc>
          <w:tcPr>
            <w:tcW w:w="1741" w:type="dxa"/>
            <w:tcBorders/>
            <w:shd w:fill="auto" w:val="clear"/>
          </w:tcPr>
          <w:p>
            <w:pPr>
              <w:pStyle w:val="TableContents"/>
              <w:spacing w:before="0" w:after="0"/>
              <w:rPr>
                <w:rFonts w:ascii="Times New Roman" w:hAnsi="Times New Roman"/>
                <w:sz w:val="20"/>
              </w:rPr>
            </w:pPr>
            <w:r>
              <w:rPr>
                <w:rFonts w:ascii="Times New Roman" w:hAnsi="Times New Roman"/>
                <w:sz w:val="20"/>
              </w:rPr>
              <w:t>Section 10.3</w:t>
            </w:r>
          </w:p>
        </w:tc>
        <w:tc>
          <w:tcPr>
            <w:tcW w:w="117" w:type="dxa"/>
            <w:tcBorders/>
            <w:shd w:fill="auto" w:val="clear"/>
            <w:vAlign w:val="bottom"/>
          </w:tcPr>
          <w:p>
            <w:pPr>
              <w:pStyle w:val="TableContents"/>
              <w:spacing w:before="0" w:after="283"/>
              <w:rPr/>
            </w:pPr>
            <w:r>
              <w:rPr/>
              <w:t> </w:t>
            </w:r>
          </w:p>
        </w:tc>
        <w:tc>
          <w:tcPr>
            <w:tcW w:w="7685" w:type="dxa"/>
            <w:tcBorders/>
            <w:shd w:fill="auto" w:val="clear"/>
          </w:tcPr>
          <w:p>
            <w:pPr>
              <w:pStyle w:val="TableContents"/>
              <w:spacing w:before="0" w:after="0"/>
              <w:rPr>
                <w:rFonts w:ascii="Times New Roman" w:hAnsi="Times New Roman"/>
                <w:sz w:val="20"/>
              </w:rPr>
            </w:pPr>
            <w:r>
              <w:rPr>
                <w:rFonts w:ascii="Times New Roman" w:hAnsi="Times New Roman"/>
                <w:sz w:val="20"/>
              </w:rPr>
              <w:t>Expenses; Indemnity; Damage Waiver</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99</w:t>
            </w:r>
          </w:p>
        </w:tc>
        <w:tc>
          <w:tcPr>
            <w:tcW w:w="63" w:type="dxa"/>
            <w:tcBorders/>
            <w:shd w:fill="auto" w:val="clear"/>
            <w:vAlign w:val="bottom"/>
          </w:tcPr>
          <w:p>
            <w:pPr>
              <w:pStyle w:val="TableContents"/>
              <w:spacing w:before="0" w:after="283"/>
              <w:rPr/>
            </w:pPr>
            <w:r>
              <w:rPr/>
              <w:t> </w:t>
            </w:r>
          </w:p>
        </w:tc>
      </w:tr>
      <w:tr>
        <w:trPr/>
        <w:tc>
          <w:tcPr>
            <w:tcW w:w="1741" w:type="dxa"/>
            <w:tcBorders/>
            <w:shd w:fill="auto" w:val="clear"/>
          </w:tcPr>
          <w:p>
            <w:pPr>
              <w:pStyle w:val="TableContents"/>
              <w:spacing w:before="0" w:after="0"/>
              <w:rPr>
                <w:rFonts w:ascii="Times New Roman" w:hAnsi="Times New Roman"/>
                <w:sz w:val="20"/>
              </w:rPr>
            </w:pPr>
            <w:r>
              <w:rPr>
                <w:rFonts w:ascii="Times New Roman" w:hAnsi="Times New Roman"/>
                <w:sz w:val="20"/>
              </w:rPr>
              <w:t>Section 10.4</w:t>
            </w:r>
          </w:p>
        </w:tc>
        <w:tc>
          <w:tcPr>
            <w:tcW w:w="117" w:type="dxa"/>
            <w:tcBorders/>
            <w:shd w:fill="auto" w:val="clear"/>
            <w:vAlign w:val="bottom"/>
          </w:tcPr>
          <w:p>
            <w:pPr>
              <w:pStyle w:val="TableContents"/>
              <w:spacing w:before="0" w:after="283"/>
              <w:rPr/>
            </w:pPr>
            <w:r>
              <w:rPr/>
              <w:t> </w:t>
            </w:r>
          </w:p>
        </w:tc>
        <w:tc>
          <w:tcPr>
            <w:tcW w:w="7685" w:type="dxa"/>
            <w:tcBorders/>
            <w:shd w:fill="auto" w:val="clear"/>
          </w:tcPr>
          <w:p>
            <w:pPr>
              <w:pStyle w:val="TableContents"/>
              <w:spacing w:before="0" w:after="0"/>
              <w:rPr>
                <w:rFonts w:ascii="Times New Roman" w:hAnsi="Times New Roman"/>
                <w:sz w:val="20"/>
              </w:rPr>
            </w:pPr>
            <w:r>
              <w:rPr>
                <w:rFonts w:ascii="Times New Roman" w:hAnsi="Times New Roman"/>
                <w:sz w:val="20"/>
              </w:rPr>
              <w:t>Successors and Assigns</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100</w:t>
            </w:r>
          </w:p>
        </w:tc>
        <w:tc>
          <w:tcPr>
            <w:tcW w:w="63" w:type="dxa"/>
            <w:tcBorders/>
            <w:shd w:fill="auto" w:val="clear"/>
            <w:vAlign w:val="bottom"/>
          </w:tcPr>
          <w:p>
            <w:pPr>
              <w:pStyle w:val="TableContents"/>
              <w:spacing w:before="0" w:after="283"/>
              <w:rPr/>
            </w:pPr>
            <w:r>
              <w:rPr/>
              <w:t> </w:t>
            </w:r>
          </w:p>
        </w:tc>
      </w:tr>
      <w:tr>
        <w:trPr/>
        <w:tc>
          <w:tcPr>
            <w:tcW w:w="1741" w:type="dxa"/>
            <w:tcBorders/>
            <w:shd w:fill="auto" w:val="clear"/>
          </w:tcPr>
          <w:p>
            <w:pPr>
              <w:pStyle w:val="TableContents"/>
              <w:spacing w:before="0" w:after="0"/>
              <w:rPr>
                <w:rFonts w:ascii="Times New Roman" w:hAnsi="Times New Roman"/>
                <w:sz w:val="20"/>
              </w:rPr>
            </w:pPr>
            <w:r>
              <w:rPr>
                <w:rFonts w:ascii="Times New Roman" w:hAnsi="Times New Roman"/>
                <w:sz w:val="20"/>
              </w:rPr>
              <w:t>Section 10.5</w:t>
            </w:r>
          </w:p>
        </w:tc>
        <w:tc>
          <w:tcPr>
            <w:tcW w:w="117" w:type="dxa"/>
            <w:tcBorders/>
            <w:shd w:fill="auto" w:val="clear"/>
            <w:vAlign w:val="bottom"/>
          </w:tcPr>
          <w:p>
            <w:pPr>
              <w:pStyle w:val="TableContents"/>
              <w:spacing w:before="0" w:after="283"/>
              <w:rPr/>
            </w:pPr>
            <w:r>
              <w:rPr/>
              <w:t> </w:t>
            </w:r>
          </w:p>
        </w:tc>
        <w:tc>
          <w:tcPr>
            <w:tcW w:w="7685" w:type="dxa"/>
            <w:tcBorders/>
            <w:shd w:fill="auto" w:val="clear"/>
          </w:tcPr>
          <w:p>
            <w:pPr>
              <w:pStyle w:val="TableContents"/>
              <w:spacing w:before="0" w:after="0"/>
              <w:rPr>
                <w:rFonts w:ascii="Times New Roman" w:hAnsi="Times New Roman"/>
                <w:sz w:val="20"/>
              </w:rPr>
            </w:pPr>
            <w:r>
              <w:rPr>
                <w:rFonts w:ascii="Times New Roman" w:hAnsi="Times New Roman"/>
                <w:sz w:val="20"/>
              </w:rPr>
              <w:t>Equitably Subordinated Parties</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104</w:t>
            </w:r>
          </w:p>
        </w:tc>
        <w:tc>
          <w:tcPr>
            <w:tcW w:w="63" w:type="dxa"/>
            <w:tcBorders/>
            <w:shd w:fill="auto" w:val="clear"/>
            <w:vAlign w:val="bottom"/>
          </w:tcPr>
          <w:p>
            <w:pPr>
              <w:pStyle w:val="TableContents"/>
              <w:spacing w:before="0" w:after="283"/>
              <w:rPr/>
            </w:pPr>
            <w:r>
              <w:rPr/>
              <w:t> </w:t>
            </w:r>
          </w:p>
        </w:tc>
      </w:tr>
      <w:tr>
        <w:trPr/>
        <w:tc>
          <w:tcPr>
            <w:tcW w:w="1741" w:type="dxa"/>
            <w:tcBorders/>
            <w:shd w:fill="auto" w:val="clear"/>
          </w:tcPr>
          <w:p>
            <w:pPr>
              <w:pStyle w:val="TableContents"/>
              <w:spacing w:before="0" w:after="0"/>
              <w:rPr>
                <w:rFonts w:ascii="Times New Roman" w:hAnsi="Times New Roman"/>
                <w:sz w:val="20"/>
              </w:rPr>
            </w:pPr>
            <w:r>
              <w:rPr>
                <w:rFonts w:ascii="Times New Roman" w:hAnsi="Times New Roman"/>
                <w:sz w:val="20"/>
              </w:rPr>
              <w:t>Section 10.6</w:t>
            </w:r>
          </w:p>
        </w:tc>
        <w:tc>
          <w:tcPr>
            <w:tcW w:w="117" w:type="dxa"/>
            <w:tcBorders/>
            <w:shd w:fill="auto" w:val="clear"/>
            <w:vAlign w:val="bottom"/>
          </w:tcPr>
          <w:p>
            <w:pPr>
              <w:pStyle w:val="TableContents"/>
              <w:spacing w:before="0" w:after="283"/>
              <w:rPr/>
            </w:pPr>
            <w:r>
              <w:rPr/>
              <w:t> </w:t>
            </w:r>
          </w:p>
        </w:tc>
        <w:tc>
          <w:tcPr>
            <w:tcW w:w="7685" w:type="dxa"/>
            <w:tcBorders/>
            <w:shd w:fill="auto" w:val="clear"/>
          </w:tcPr>
          <w:p>
            <w:pPr>
              <w:pStyle w:val="TableContents"/>
              <w:spacing w:before="0" w:after="0"/>
              <w:rPr>
                <w:rFonts w:ascii="Times New Roman" w:hAnsi="Times New Roman"/>
                <w:sz w:val="20"/>
              </w:rPr>
            </w:pPr>
            <w:r>
              <w:rPr>
                <w:rFonts w:ascii="Times New Roman" w:hAnsi="Times New Roman"/>
                <w:sz w:val="20"/>
              </w:rPr>
              <w:t>Survival</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105</w:t>
            </w:r>
          </w:p>
        </w:tc>
        <w:tc>
          <w:tcPr>
            <w:tcW w:w="63" w:type="dxa"/>
            <w:tcBorders/>
            <w:shd w:fill="auto" w:val="clear"/>
            <w:vAlign w:val="bottom"/>
          </w:tcPr>
          <w:p>
            <w:pPr>
              <w:pStyle w:val="TableContents"/>
              <w:spacing w:before="0" w:after="283"/>
              <w:rPr/>
            </w:pPr>
            <w:r>
              <w:rPr/>
              <w:t> </w:t>
            </w:r>
          </w:p>
        </w:tc>
      </w:tr>
      <w:tr>
        <w:trPr/>
        <w:tc>
          <w:tcPr>
            <w:tcW w:w="1741" w:type="dxa"/>
            <w:tcBorders/>
            <w:shd w:fill="auto" w:val="clear"/>
          </w:tcPr>
          <w:p>
            <w:pPr>
              <w:pStyle w:val="TableContents"/>
              <w:spacing w:before="0" w:after="0"/>
              <w:rPr>
                <w:rFonts w:ascii="Times New Roman" w:hAnsi="Times New Roman"/>
                <w:sz w:val="20"/>
              </w:rPr>
            </w:pPr>
            <w:r>
              <w:rPr>
                <w:rFonts w:ascii="Times New Roman" w:hAnsi="Times New Roman"/>
                <w:sz w:val="20"/>
              </w:rPr>
              <w:t>Section 10.7</w:t>
            </w:r>
          </w:p>
        </w:tc>
        <w:tc>
          <w:tcPr>
            <w:tcW w:w="117" w:type="dxa"/>
            <w:tcBorders/>
            <w:shd w:fill="auto" w:val="clear"/>
            <w:vAlign w:val="bottom"/>
          </w:tcPr>
          <w:p>
            <w:pPr>
              <w:pStyle w:val="TableContents"/>
              <w:spacing w:before="0" w:after="283"/>
              <w:rPr/>
            </w:pPr>
            <w:r>
              <w:rPr/>
              <w:t> </w:t>
            </w:r>
          </w:p>
        </w:tc>
        <w:tc>
          <w:tcPr>
            <w:tcW w:w="7685" w:type="dxa"/>
            <w:tcBorders/>
            <w:shd w:fill="auto" w:val="clear"/>
          </w:tcPr>
          <w:p>
            <w:pPr>
              <w:pStyle w:val="TableContents"/>
              <w:spacing w:before="0" w:after="0"/>
              <w:rPr>
                <w:rFonts w:ascii="Times New Roman" w:hAnsi="Times New Roman"/>
                <w:sz w:val="20"/>
              </w:rPr>
            </w:pPr>
            <w:r>
              <w:rPr>
                <w:rFonts w:ascii="Times New Roman" w:hAnsi="Times New Roman"/>
                <w:sz w:val="20"/>
              </w:rPr>
              <w:t>Counterparts; Integration; Effectiveness; Electronic Execution; Entire Agreement</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105</w:t>
            </w:r>
          </w:p>
        </w:tc>
        <w:tc>
          <w:tcPr>
            <w:tcW w:w="63" w:type="dxa"/>
            <w:tcBorders/>
            <w:shd w:fill="auto" w:val="clear"/>
            <w:vAlign w:val="bottom"/>
          </w:tcPr>
          <w:p>
            <w:pPr>
              <w:pStyle w:val="TableContents"/>
              <w:spacing w:before="0" w:after="283"/>
              <w:rPr/>
            </w:pPr>
            <w:r>
              <w:rPr/>
              <w:t> </w:t>
            </w:r>
          </w:p>
        </w:tc>
      </w:tr>
      <w:tr>
        <w:trPr/>
        <w:tc>
          <w:tcPr>
            <w:tcW w:w="1741" w:type="dxa"/>
            <w:tcBorders/>
            <w:shd w:fill="auto" w:val="clear"/>
          </w:tcPr>
          <w:p>
            <w:pPr>
              <w:pStyle w:val="TableContents"/>
              <w:spacing w:before="0" w:after="0"/>
              <w:rPr>
                <w:rFonts w:ascii="Times New Roman" w:hAnsi="Times New Roman"/>
                <w:sz w:val="20"/>
              </w:rPr>
            </w:pPr>
            <w:r>
              <w:rPr>
                <w:rFonts w:ascii="Times New Roman" w:hAnsi="Times New Roman"/>
                <w:sz w:val="20"/>
              </w:rPr>
              <w:t>Section 10.8</w:t>
            </w:r>
          </w:p>
        </w:tc>
        <w:tc>
          <w:tcPr>
            <w:tcW w:w="117" w:type="dxa"/>
            <w:tcBorders/>
            <w:shd w:fill="auto" w:val="clear"/>
            <w:vAlign w:val="bottom"/>
          </w:tcPr>
          <w:p>
            <w:pPr>
              <w:pStyle w:val="TableContents"/>
              <w:spacing w:before="0" w:after="283"/>
              <w:rPr/>
            </w:pPr>
            <w:r>
              <w:rPr/>
              <w:t> </w:t>
            </w:r>
          </w:p>
        </w:tc>
        <w:tc>
          <w:tcPr>
            <w:tcW w:w="7685" w:type="dxa"/>
            <w:tcBorders/>
            <w:shd w:fill="auto" w:val="clear"/>
          </w:tcPr>
          <w:p>
            <w:pPr>
              <w:pStyle w:val="TableContents"/>
              <w:spacing w:before="0" w:after="0"/>
              <w:rPr>
                <w:rFonts w:ascii="Times New Roman" w:hAnsi="Times New Roman"/>
                <w:sz w:val="20"/>
              </w:rPr>
            </w:pPr>
            <w:r>
              <w:rPr>
                <w:rFonts w:ascii="Times New Roman" w:hAnsi="Times New Roman"/>
                <w:sz w:val="20"/>
              </w:rPr>
              <w:t>Severability</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105</w:t>
            </w:r>
          </w:p>
        </w:tc>
        <w:tc>
          <w:tcPr>
            <w:tcW w:w="63" w:type="dxa"/>
            <w:tcBorders/>
            <w:shd w:fill="auto" w:val="clear"/>
            <w:vAlign w:val="bottom"/>
          </w:tcPr>
          <w:p>
            <w:pPr>
              <w:pStyle w:val="TableContents"/>
              <w:spacing w:before="0" w:after="283"/>
              <w:rPr/>
            </w:pPr>
            <w:r>
              <w:rPr/>
              <w:t> </w:t>
            </w:r>
          </w:p>
        </w:tc>
      </w:tr>
      <w:tr>
        <w:trPr/>
        <w:tc>
          <w:tcPr>
            <w:tcW w:w="1741" w:type="dxa"/>
            <w:tcBorders/>
            <w:shd w:fill="auto" w:val="clear"/>
          </w:tcPr>
          <w:p>
            <w:pPr>
              <w:pStyle w:val="TableContents"/>
              <w:spacing w:before="0" w:after="0"/>
              <w:rPr>
                <w:rFonts w:ascii="Times New Roman" w:hAnsi="Times New Roman"/>
                <w:sz w:val="20"/>
              </w:rPr>
            </w:pPr>
            <w:r>
              <w:rPr>
                <w:rFonts w:ascii="Times New Roman" w:hAnsi="Times New Roman"/>
                <w:sz w:val="20"/>
              </w:rPr>
              <w:t>Section 10.9</w:t>
            </w:r>
          </w:p>
        </w:tc>
        <w:tc>
          <w:tcPr>
            <w:tcW w:w="117" w:type="dxa"/>
            <w:tcBorders/>
            <w:shd w:fill="auto" w:val="clear"/>
            <w:vAlign w:val="bottom"/>
          </w:tcPr>
          <w:p>
            <w:pPr>
              <w:pStyle w:val="TableContents"/>
              <w:spacing w:before="0" w:after="283"/>
              <w:rPr/>
            </w:pPr>
            <w:r>
              <w:rPr/>
              <w:t> </w:t>
            </w:r>
          </w:p>
        </w:tc>
        <w:tc>
          <w:tcPr>
            <w:tcW w:w="7685" w:type="dxa"/>
            <w:tcBorders/>
            <w:shd w:fill="auto" w:val="clear"/>
          </w:tcPr>
          <w:p>
            <w:pPr>
              <w:pStyle w:val="TableContents"/>
              <w:spacing w:before="0" w:after="0"/>
              <w:rPr>
                <w:rFonts w:ascii="Times New Roman" w:hAnsi="Times New Roman"/>
                <w:sz w:val="20"/>
              </w:rPr>
            </w:pPr>
            <w:r>
              <w:rPr>
                <w:rFonts w:ascii="Times New Roman" w:hAnsi="Times New Roman"/>
                <w:sz w:val="20"/>
              </w:rPr>
              <w:t>Setoff</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106</w:t>
            </w:r>
          </w:p>
        </w:tc>
        <w:tc>
          <w:tcPr>
            <w:tcW w:w="63" w:type="dxa"/>
            <w:tcBorders/>
            <w:shd w:fill="auto" w:val="clear"/>
            <w:vAlign w:val="bottom"/>
          </w:tcPr>
          <w:p>
            <w:pPr>
              <w:pStyle w:val="TableContents"/>
              <w:spacing w:before="0" w:after="283"/>
              <w:rPr/>
            </w:pPr>
            <w:r>
              <w:rPr/>
              <w:t> </w:t>
            </w:r>
          </w:p>
        </w:tc>
      </w:tr>
      <w:tr>
        <w:trPr/>
        <w:tc>
          <w:tcPr>
            <w:tcW w:w="1741" w:type="dxa"/>
            <w:tcBorders/>
            <w:shd w:fill="auto" w:val="clear"/>
          </w:tcPr>
          <w:p>
            <w:pPr>
              <w:pStyle w:val="TableContents"/>
              <w:spacing w:before="0" w:after="0"/>
              <w:rPr>
                <w:rFonts w:ascii="Times New Roman" w:hAnsi="Times New Roman"/>
                <w:sz w:val="20"/>
              </w:rPr>
            </w:pPr>
            <w:r>
              <w:rPr>
                <w:rFonts w:ascii="Times New Roman" w:hAnsi="Times New Roman"/>
                <w:sz w:val="20"/>
              </w:rPr>
              <w:t>Section 10.10</w:t>
            </w:r>
          </w:p>
        </w:tc>
        <w:tc>
          <w:tcPr>
            <w:tcW w:w="117" w:type="dxa"/>
            <w:tcBorders/>
            <w:shd w:fill="auto" w:val="clear"/>
            <w:vAlign w:val="bottom"/>
          </w:tcPr>
          <w:p>
            <w:pPr>
              <w:pStyle w:val="TableContents"/>
              <w:spacing w:before="0" w:after="283"/>
              <w:rPr/>
            </w:pPr>
            <w:r>
              <w:rPr/>
              <w:t> </w:t>
            </w:r>
          </w:p>
        </w:tc>
        <w:tc>
          <w:tcPr>
            <w:tcW w:w="7685" w:type="dxa"/>
            <w:tcBorders/>
            <w:shd w:fill="auto" w:val="clear"/>
          </w:tcPr>
          <w:p>
            <w:pPr>
              <w:pStyle w:val="TableContents"/>
              <w:spacing w:before="0" w:after="0"/>
              <w:rPr>
                <w:rFonts w:ascii="Times New Roman" w:hAnsi="Times New Roman"/>
                <w:sz w:val="20"/>
              </w:rPr>
            </w:pPr>
            <w:r>
              <w:rPr>
                <w:rFonts w:ascii="Times New Roman" w:hAnsi="Times New Roman"/>
                <w:sz w:val="20"/>
              </w:rPr>
              <w:t>Governing Law; Jurisdiction; Consent to Service of Process</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106</w:t>
            </w:r>
          </w:p>
        </w:tc>
        <w:tc>
          <w:tcPr>
            <w:tcW w:w="63" w:type="dxa"/>
            <w:tcBorders/>
            <w:shd w:fill="auto" w:val="clear"/>
            <w:vAlign w:val="bottom"/>
          </w:tcPr>
          <w:p>
            <w:pPr>
              <w:pStyle w:val="TableContents"/>
              <w:spacing w:before="0" w:after="283"/>
              <w:rPr/>
            </w:pPr>
            <w:r>
              <w:rPr/>
              <w:t> </w:t>
            </w:r>
          </w:p>
        </w:tc>
      </w:tr>
      <w:tr>
        <w:trPr/>
        <w:tc>
          <w:tcPr>
            <w:tcW w:w="1741" w:type="dxa"/>
            <w:tcBorders/>
            <w:shd w:fill="auto" w:val="clear"/>
          </w:tcPr>
          <w:p>
            <w:pPr>
              <w:pStyle w:val="TableContents"/>
              <w:spacing w:before="0" w:after="0"/>
              <w:rPr>
                <w:rFonts w:ascii="Times New Roman" w:hAnsi="Times New Roman"/>
                <w:sz w:val="20"/>
              </w:rPr>
            </w:pPr>
            <w:r>
              <w:rPr>
                <w:rFonts w:ascii="Times New Roman" w:hAnsi="Times New Roman"/>
                <w:sz w:val="20"/>
              </w:rPr>
              <w:t>Section 10.11</w:t>
            </w:r>
          </w:p>
        </w:tc>
        <w:tc>
          <w:tcPr>
            <w:tcW w:w="117" w:type="dxa"/>
            <w:tcBorders/>
            <w:shd w:fill="auto" w:val="clear"/>
            <w:vAlign w:val="bottom"/>
          </w:tcPr>
          <w:p>
            <w:pPr>
              <w:pStyle w:val="TableContents"/>
              <w:spacing w:before="0" w:after="283"/>
              <w:rPr/>
            </w:pPr>
            <w:r>
              <w:rPr/>
              <w:t> </w:t>
            </w:r>
          </w:p>
        </w:tc>
        <w:tc>
          <w:tcPr>
            <w:tcW w:w="7685" w:type="dxa"/>
            <w:tcBorders/>
            <w:shd w:fill="auto" w:val="clear"/>
          </w:tcPr>
          <w:p>
            <w:pPr>
              <w:pStyle w:val="TableContents"/>
              <w:spacing w:before="0" w:after="0"/>
              <w:rPr>
                <w:rFonts w:ascii="Times New Roman" w:hAnsi="Times New Roman"/>
                <w:sz w:val="20"/>
              </w:rPr>
            </w:pPr>
            <w:r>
              <w:rPr>
                <w:rFonts w:ascii="Times New Roman" w:hAnsi="Times New Roman"/>
                <w:sz w:val="20"/>
              </w:rPr>
              <w:t>WAIVER OF JURY TRIAL</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107</w:t>
            </w:r>
          </w:p>
        </w:tc>
        <w:tc>
          <w:tcPr>
            <w:tcW w:w="63" w:type="dxa"/>
            <w:tcBorders/>
            <w:shd w:fill="auto" w:val="clear"/>
            <w:vAlign w:val="bottom"/>
          </w:tcPr>
          <w:p>
            <w:pPr>
              <w:pStyle w:val="TableContents"/>
              <w:spacing w:before="0" w:after="283"/>
              <w:rPr/>
            </w:pPr>
            <w:r>
              <w:rPr/>
              <w:t> </w:t>
            </w:r>
          </w:p>
        </w:tc>
      </w:tr>
      <w:tr>
        <w:trPr/>
        <w:tc>
          <w:tcPr>
            <w:tcW w:w="1741" w:type="dxa"/>
            <w:tcBorders/>
            <w:shd w:fill="auto" w:val="clear"/>
          </w:tcPr>
          <w:p>
            <w:pPr>
              <w:pStyle w:val="TableContents"/>
              <w:spacing w:before="0" w:after="0"/>
              <w:rPr>
                <w:rFonts w:ascii="Times New Roman" w:hAnsi="Times New Roman"/>
                <w:sz w:val="20"/>
              </w:rPr>
            </w:pPr>
            <w:r>
              <w:rPr>
                <w:rFonts w:ascii="Times New Roman" w:hAnsi="Times New Roman"/>
                <w:sz w:val="20"/>
              </w:rPr>
              <w:t>Section 10.12</w:t>
            </w:r>
          </w:p>
        </w:tc>
        <w:tc>
          <w:tcPr>
            <w:tcW w:w="117" w:type="dxa"/>
            <w:tcBorders/>
            <w:shd w:fill="auto" w:val="clear"/>
            <w:vAlign w:val="bottom"/>
          </w:tcPr>
          <w:p>
            <w:pPr>
              <w:pStyle w:val="TableContents"/>
              <w:spacing w:before="0" w:after="283"/>
              <w:rPr/>
            </w:pPr>
            <w:r>
              <w:rPr/>
              <w:t> </w:t>
            </w:r>
          </w:p>
        </w:tc>
        <w:tc>
          <w:tcPr>
            <w:tcW w:w="7685" w:type="dxa"/>
            <w:tcBorders/>
            <w:shd w:fill="auto" w:val="clear"/>
          </w:tcPr>
          <w:p>
            <w:pPr>
              <w:pStyle w:val="TableContents"/>
              <w:spacing w:before="0" w:after="0"/>
              <w:rPr>
                <w:rFonts w:ascii="Times New Roman" w:hAnsi="Times New Roman"/>
                <w:sz w:val="20"/>
              </w:rPr>
            </w:pPr>
            <w:r>
              <w:rPr>
                <w:rFonts w:ascii="Times New Roman" w:hAnsi="Times New Roman"/>
                <w:sz w:val="20"/>
              </w:rPr>
              <w:t>Payments Set Aside</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107</w:t>
            </w:r>
          </w:p>
        </w:tc>
        <w:tc>
          <w:tcPr>
            <w:tcW w:w="63" w:type="dxa"/>
            <w:tcBorders/>
            <w:shd w:fill="auto" w:val="clear"/>
            <w:vAlign w:val="bottom"/>
          </w:tcPr>
          <w:p>
            <w:pPr>
              <w:pStyle w:val="TableContents"/>
              <w:spacing w:before="0" w:after="283"/>
              <w:rPr/>
            </w:pPr>
            <w:r>
              <w:rPr/>
              <w:t> </w:t>
            </w:r>
          </w:p>
        </w:tc>
      </w:tr>
      <w:tr>
        <w:trPr/>
        <w:tc>
          <w:tcPr>
            <w:tcW w:w="1741" w:type="dxa"/>
            <w:tcBorders/>
            <w:shd w:fill="auto" w:val="clear"/>
          </w:tcPr>
          <w:p>
            <w:pPr>
              <w:pStyle w:val="TableContents"/>
              <w:spacing w:before="0" w:after="0"/>
              <w:rPr>
                <w:rFonts w:ascii="Times New Roman" w:hAnsi="Times New Roman"/>
                <w:sz w:val="20"/>
              </w:rPr>
            </w:pPr>
            <w:r>
              <w:rPr>
                <w:rFonts w:ascii="Times New Roman" w:hAnsi="Times New Roman"/>
                <w:sz w:val="20"/>
              </w:rPr>
              <w:t>Section 10.13</w:t>
            </w:r>
          </w:p>
        </w:tc>
        <w:tc>
          <w:tcPr>
            <w:tcW w:w="117" w:type="dxa"/>
            <w:tcBorders/>
            <w:shd w:fill="auto" w:val="clear"/>
            <w:vAlign w:val="bottom"/>
          </w:tcPr>
          <w:p>
            <w:pPr>
              <w:pStyle w:val="TableContents"/>
              <w:spacing w:before="0" w:after="283"/>
              <w:rPr/>
            </w:pPr>
            <w:r>
              <w:rPr/>
              <w:t> </w:t>
            </w:r>
          </w:p>
        </w:tc>
        <w:tc>
          <w:tcPr>
            <w:tcW w:w="7685" w:type="dxa"/>
            <w:tcBorders/>
            <w:shd w:fill="auto" w:val="clear"/>
          </w:tcPr>
          <w:p>
            <w:pPr>
              <w:pStyle w:val="TableContents"/>
              <w:spacing w:before="0" w:after="0"/>
              <w:rPr>
                <w:rFonts w:ascii="Times New Roman" w:hAnsi="Times New Roman"/>
                <w:sz w:val="20"/>
              </w:rPr>
            </w:pPr>
            <w:r>
              <w:rPr>
                <w:rFonts w:ascii="Times New Roman" w:hAnsi="Times New Roman"/>
                <w:sz w:val="20"/>
              </w:rPr>
              <w:t>Headings</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107</w:t>
            </w:r>
          </w:p>
        </w:tc>
        <w:tc>
          <w:tcPr>
            <w:tcW w:w="63" w:type="dxa"/>
            <w:tcBorders/>
            <w:shd w:fill="auto" w:val="clear"/>
            <w:vAlign w:val="bottom"/>
          </w:tcPr>
          <w:p>
            <w:pPr>
              <w:pStyle w:val="TableContents"/>
              <w:spacing w:before="0" w:after="283"/>
              <w:rPr/>
            </w:pPr>
            <w:r>
              <w:rPr/>
              <w:t> </w:t>
            </w:r>
          </w:p>
        </w:tc>
      </w:tr>
      <w:tr>
        <w:trPr/>
        <w:tc>
          <w:tcPr>
            <w:tcW w:w="1741" w:type="dxa"/>
            <w:tcBorders/>
            <w:shd w:fill="auto" w:val="clear"/>
          </w:tcPr>
          <w:p>
            <w:pPr>
              <w:pStyle w:val="TableContents"/>
              <w:spacing w:before="0" w:after="0"/>
              <w:rPr>
                <w:rFonts w:ascii="Times New Roman" w:hAnsi="Times New Roman"/>
                <w:sz w:val="20"/>
              </w:rPr>
            </w:pPr>
            <w:r>
              <w:rPr>
                <w:rFonts w:ascii="Times New Roman" w:hAnsi="Times New Roman"/>
                <w:sz w:val="20"/>
              </w:rPr>
              <w:t>Section 10.14</w:t>
            </w:r>
          </w:p>
        </w:tc>
        <w:tc>
          <w:tcPr>
            <w:tcW w:w="117" w:type="dxa"/>
            <w:tcBorders/>
            <w:shd w:fill="auto" w:val="clear"/>
            <w:vAlign w:val="bottom"/>
          </w:tcPr>
          <w:p>
            <w:pPr>
              <w:pStyle w:val="TableContents"/>
              <w:spacing w:before="0" w:after="283"/>
              <w:rPr/>
            </w:pPr>
            <w:r>
              <w:rPr/>
              <w:t> </w:t>
            </w:r>
          </w:p>
        </w:tc>
        <w:tc>
          <w:tcPr>
            <w:tcW w:w="7685" w:type="dxa"/>
            <w:tcBorders/>
            <w:shd w:fill="auto" w:val="clear"/>
          </w:tcPr>
          <w:p>
            <w:pPr>
              <w:pStyle w:val="TableContents"/>
              <w:spacing w:before="0" w:after="0"/>
              <w:rPr>
                <w:rFonts w:ascii="Times New Roman" w:hAnsi="Times New Roman"/>
                <w:sz w:val="20"/>
              </w:rPr>
            </w:pPr>
            <w:r>
              <w:rPr>
                <w:rFonts w:ascii="Times New Roman" w:hAnsi="Times New Roman"/>
                <w:sz w:val="20"/>
              </w:rPr>
              <w:t>Interest Rate Limitation</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107</w:t>
            </w:r>
          </w:p>
        </w:tc>
        <w:tc>
          <w:tcPr>
            <w:tcW w:w="63" w:type="dxa"/>
            <w:tcBorders/>
            <w:shd w:fill="auto" w:val="clear"/>
            <w:vAlign w:val="bottom"/>
          </w:tcPr>
          <w:p>
            <w:pPr>
              <w:pStyle w:val="TableContents"/>
              <w:spacing w:before="0" w:after="283"/>
              <w:rPr/>
            </w:pPr>
            <w:r>
              <w:rPr/>
              <w:t> </w:t>
            </w:r>
          </w:p>
        </w:tc>
      </w:tr>
      <w:tr>
        <w:trPr/>
        <w:tc>
          <w:tcPr>
            <w:tcW w:w="1741" w:type="dxa"/>
            <w:tcBorders/>
            <w:shd w:fill="auto" w:val="clear"/>
          </w:tcPr>
          <w:p>
            <w:pPr>
              <w:pStyle w:val="TableContents"/>
              <w:spacing w:before="0" w:after="0"/>
              <w:rPr>
                <w:rFonts w:ascii="Times New Roman" w:hAnsi="Times New Roman"/>
                <w:sz w:val="20"/>
              </w:rPr>
            </w:pPr>
            <w:r>
              <w:rPr>
                <w:rFonts w:ascii="Times New Roman" w:hAnsi="Times New Roman"/>
                <w:sz w:val="20"/>
              </w:rPr>
              <w:t>Section 10.15</w:t>
            </w:r>
          </w:p>
        </w:tc>
        <w:tc>
          <w:tcPr>
            <w:tcW w:w="117" w:type="dxa"/>
            <w:tcBorders/>
            <w:shd w:fill="auto" w:val="clear"/>
            <w:vAlign w:val="bottom"/>
          </w:tcPr>
          <w:p>
            <w:pPr>
              <w:pStyle w:val="TableContents"/>
              <w:spacing w:before="0" w:after="283"/>
              <w:rPr/>
            </w:pPr>
            <w:r>
              <w:rPr/>
              <w:t> </w:t>
            </w:r>
          </w:p>
        </w:tc>
        <w:tc>
          <w:tcPr>
            <w:tcW w:w="7685" w:type="dxa"/>
            <w:tcBorders/>
            <w:shd w:fill="auto" w:val="clear"/>
          </w:tcPr>
          <w:p>
            <w:pPr>
              <w:pStyle w:val="TableContents"/>
              <w:spacing w:before="0" w:after="0"/>
              <w:rPr>
                <w:rFonts w:ascii="Times New Roman" w:hAnsi="Times New Roman"/>
                <w:sz w:val="20"/>
              </w:rPr>
            </w:pPr>
            <w:r>
              <w:rPr>
                <w:rFonts w:ascii="Times New Roman" w:hAnsi="Times New Roman"/>
                <w:sz w:val="20"/>
              </w:rPr>
              <w:t>Confidentiality; Treatment of Certain Information</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107</w:t>
            </w:r>
          </w:p>
        </w:tc>
        <w:tc>
          <w:tcPr>
            <w:tcW w:w="63" w:type="dxa"/>
            <w:tcBorders/>
            <w:shd w:fill="auto" w:val="clear"/>
            <w:vAlign w:val="bottom"/>
          </w:tcPr>
          <w:p>
            <w:pPr>
              <w:pStyle w:val="TableContents"/>
              <w:spacing w:before="0" w:after="283"/>
              <w:rPr/>
            </w:pPr>
            <w:r>
              <w:rPr/>
              <w:t> </w:t>
            </w:r>
          </w:p>
        </w:tc>
      </w:tr>
      <w:tr>
        <w:trPr/>
        <w:tc>
          <w:tcPr>
            <w:tcW w:w="1741" w:type="dxa"/>
            <w:tcBorders/>
            <w:shd w:fill="auto" w:val="clear"/>
          </w:tcPr>
          <w:p>
            <w:pPr>
              <w:pStyle w:val="TableContents"/>
              <w:spacing w:before="0" w:after="0"/>
              <w:rPr>
                <w:rFonts w:ascii="Times New Roman" w:hAnsi="Times New Roman"/>
                <w:sz w:val="20"/>
              </w:rPr>
            </w:pPr>
            <w:r>
              <w:rPr>
                <w:rFonts w:ascii="Times New Roman" w:hAnsi="Times New Roman"/>
                <w:sz w:val="20"/>
              </w:rPr>
              <w:t>Section 10.16</w:t>
            </w:r>
          </w:p>
        </w:tc>
        <w:tc>
          <w:tcPr>
            <w:tcW w:w="117" w:type="dxa"/>
            <w:tcBorders/>
            <w:shd w:fill="auto" w:val="clear"/>
            <w:vAlign w:val="bottom"/>
          </w:tcPr>
          <w:p>
            <w:pPr>
              <w:pStyle w:val="TableContents"/>
              <w:spacing w:before="0" w:after="283"/>
              <w:rPr/>
            </w:pPr>
            <w:r>
              <w:rPr/>
              <w:t> </w:t>
            </w:r>
          </w:p>
        </w:tc>
        <w:tc>
          <w:tcPr>
            <w:tcW w:w="7685" w:type="dxa"/>
            <w:tcBorders/>
            <w:shd w:fill="auto" w:val="clear"/>
          </w:tcPr>
          <w:p>
            <w:pPr>
              <w:pStyle w:val="TableContents"/>
              <w:spacing w:before="0" w:after="0"/>
              <w:rPr>
                <w:rFonts w:ascii="Times New Roman" w:hAnsi="Times New Roman"/>
                <w:sz w:val="20"/>
              </w:rPr>
            </w:pPr>
            <w:r>
              <w:rPr>
                <w:rFonts w:ascii="Times New Roman" w:hAnsi="Times New Roman"/>
                <w:sz w:val="20"/>
              </w:rPr>
              <w:t>USA PATRIOT Act</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109</w:t>
            </w:r>
          </w:p>
        </w:tc>
        <w:tc>
          <w:tcPr>
            <w:tcW w:w="63" w:type="dxa"/>
            <w:tcBorders/>
            <w:shd w:fill="auto" w:val="clear"/>
            <w:vAlign w:val="bottom"/>
          </w:tcPr>
          <w:p>
            <w:pPr>
              <w:pStyle w:val="TableContents"/>
              <w:spacing w:before="0" w:after="283"/>
              <w:rPr/>
            </w:pPr>
            <w:r>
              <w:rPr/>
              <w:t> </w:t>
            </w:r>
          </w:p>
        </w:tc>
      </w:tr>
      <w:tr>
        <w:trPr/>
        <w:tc>
          <w:tcPr>
            <w:tcW w:w="1741" w:type="dxa"/>
            <w:tcBorders/>
            <w:shd w:fill="auto" w:val="clear"/>
          </w:tcPr>
          <w:p>
            <w:pPr>
              <w:pStyle w:val="TableContents"/>
              <w:spacing w:before="0" w:after="0"/>
              <w:rPr>
                <w:rFonts w:ascii="Times New Roman" w:hAnsi="Times New Roman"/>
                <w:sz w:val="20"/>
              </w:rPr>
            </w:pPr>
            <w:r>
              <w:rPr>
                <w:rFonts w:ascii="Times New Roman" w:hAnsi="Times New Roman"/>
                <w:sz w:val="20"/>
              </w:rPr>
              <w:t>Section 10.17</w:t>
            </w:r>
          </w:p>
        </w:tc>
        <w:tc>
          <w:tcPr>
            <w:tcW w:w="117" w:type="dxa"/>
            <w:tcBorders/>
            <w:shd w:fill="auto" w:val="clear"/>
            <w:vAlign w:val="bottom"/>
          </w:tcPr>
          <w:p>
            <w:pPr>
              <w:pStyle w:val="TableContents"/>
              <w:spacing w:before="0" w:after="283"/>
              <w:rPr/>
            </w:pPr>
            <w:r>
              <w:rPr/>
              <w:t> </w:t>
            </w:r>
          </w:p>
        </w:tc>
        <w:tc>
          <w:tcPr>
            <w:tcW w:w="7685" w:type="dxa"/>
            <w:tcBorders/>
            <w:shd w:fill="auto" w:val="clear"/>
          </w:tcPr>
          <w:p>
            <w:pPr>
              <w:pStyle w:val="TableContents"/>
              <w:spacing w:before="0" w:after="0"/>
              <w:rPr>
                <w:rFonts w:ascii="Times New Roman" w:hAnsi="Times New Roman"/>
                <w:sz w:val="20"/>
              </w:rPr>
            </w:pPr>
            <w:r>
              <w:rPr>
                <w:rFonts w:ascii="Times New Roman" w:hAnsi="Times New Roman"/>
                <w:sz w:val="20"/>
              </w:rPr>
              <w:t>No Fiduciary Duty</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109</w:t>
            </w:r>
          </w:p>
        </w:tc>
        <w:tc>
          <w:tcPr>
            <w:tcW w:w="63" w:type="dxa"/>
            <w:tcBorders/>
            <w:shd w:fill="auto" w:val="clear"/>
            <w:vAlign w:val="bottom"/>
          </w:tcPr>
          <w:p>
            <w:pPr>
              <w:pStyle w:val="TableContents"/>
              <w:spacing w:before="0" w:after="283"/>
              <w:rPr/>
            </w:pPr>
            <w:r>
              <w:rPr/>
              <w:t> </w:t>
            </w:r>
          </w:p>
        </w:tc>
      </w:tr>
      <w:tr>
        <w:trPr/>
        <w:tc>
          <w:tcPr>
            <w:tcW w:w="1741" w:type="dxa"/>
            <w:tcBorders/>
            <w:shd w:fill="auto" w:val="clear"/>
          </w:tcPr>
          <w:p>
            <w:pPr>
              <w:pStyle w:val="TableContents"/>
              <w:spacing w:before="0" w:after="0"/>
              <w:rPr>
                <w:rFonts w:ascii="Times New Roman" w:hAnsi="Times New Roman"/>
                <w:sz w:val="20"/>
              </w:rPr>
            </w:pPr>
            <w:r>
              <w:rPr>
                <w:rFonts w:ascii="Times New Roman" w:hAnsi="Times New Roman"/>
                <w:sz w:val="20"/>
              </w:rPr>
              <w:t>Section 10.18</w:t>
            </w:r>
          </w:p>
        </w:tc>
        <w:tc>
          <w:tcPr>
            <w:tcW w:w="117" w:type="dxa"/>
            <w:tcBorders/>
            <w:shd w:fill="auto" w:val="clear"/>
            <w:vAlign w:val="bottom"/>
          </w:tcPr>
          <w:p>
            <w:pPr>
              <w:pStyle w:val="TableContents"/>
              <w:spacing w:before="0" w:after="283"/>
              <w:rPr/>
            </w:pPr>
            <w:r>
              <w:rPr/>
              <w:t> </w:t>
            </w:r>
          </w:p>
        </w:tc>
        <w:tc>
          <w:tcPr>
            <w:tcW w:w="7685" w:type="dxa"/>
            <w:tcBorders/>
            <w:shd w:fill="auto" w:val="clear"/>
          </w:tcPr>
          <w:p>
            <w:pPr>
              <w:pStyle w:val="TableContents"/>
              <w:spacing w:before="0" w:after="0"/>
              <w:rPr>
                <w:rFonts w:ascii="Times New Roman" w:hAnsi="Times New Roman"/>
                <w:sz w:val="20"/>
              </w:rPr>
            </w:pPr>
            <w:r>
              <w:rPr>
                <w:rFonts w:ascii="Times New Roman" w:hAnsi="Times New Roman"/>
                <w:sz w:val="20"/>
              </w:rPr>
              <w:t>Acknowledgement and Consent to Bail-In of Affected Financial Institutions</w:t>
            </w:r>
          </w:p>
        </w:tc>
        <w:tc>
          <w:tcPr>
            <w:tcW w:w="15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jc w:val="right"/>
              <w:rPr/>
            </w:pPr>
            <w:r>
              <w:rPr/>
              <w:t>109</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iii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u w:val="single"/>
        </w:rPr>
        <w:t>SCHEDULES</w:t>
      </w:r>
      <w:r>
        <w:rPr>
          <w:rFonts w:ascii="Times New Roman" w:hAnsi="Times New Roman"/>
          <w:sz w:val="20"/>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645"/>
        <w:gridCol w:w="122"/>
        <w:gridCol w:w="8438"/>
      </w:tblGrid>
      <w:tr>
        <w:trPr/>
        <w:tc>
          <w:tcPr>
            <w:tcW w:w="164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8438" w:type="dxa"/>
            <w:tcBorders/>
            <w:shd w:fill="auto" w:val="clear"/>
            <w:vAlign w:val="center"/>
          </w:tcPr>
          <w:p>
            <w:pPr>
              <w:pStyle w:val="TableContents"/>
              <w:spacing w:before="0" w:after="283"/>
              <w:rPr>
                <w:sz w:val="4"/>
                <w:szCs w:val="4"/>
              </w:rPr>
            </w:pPr>
            <w:r>
              <w:rPr>
                <w:sz w:val="4"/>
                <w:szCs w:val="4"/>
              </w:rPr>
            </w:r>
          </w:p>
        </w:tc>
      </w:tr>
      <w:tr>
        <w:trPr/>
        <w:tc>
          <w:tcPr>
            <w:tcW w:w="1645" w:type="dxa"/>
            <w:tcBorders/>
            <w:shd w:fill="auto" w:val="clear"/>
          </w:tcPr>
          <w:p>
            <w:pPr>
              <w:pStyle w:val="TableContents"/>
              <w:spacing w:before="0" w:after="283"/>
              <w:rPr/>
            </w:pPr>
            <w:r>
              <w:rPr/>
              <w:t>Schedule 2.1</w:t>
            </w:r>
          </w:p>
        </w:tc>
        <w:tc>
          <w:tcPr>
            <w:tcW w:w="122" w:type="dxa"/>
            <w:tcBorders/>
            <w:shd w:fill="auto" w:val="clear"/>
            <w:vAlign w:val="bottom"/>
          </w:tcPr>
          <w:p>
            <w:pPr>
              <w:pStyle w:val="TableContents"/>
              <w:spacing w:before="0" w:after="283"/>
              <w:rPr/>
            </w:pPr>
            <w:r>
              <w:rPr/>
              <w:t>  </w:t>
            </w:r>
          </w:p>
        </w:tc>
        <w:tc>
          <w:tcPr>
            <w:tcW w:w="8438" w:type="dxa"/>
            <w:tcBorders/>
            <w:shd w:fill="auto" w:val="clear"/>
          </w:tcPr>
          <w:p>
            <w:pPr>
              <w:pStyle w:val="TableContents"/>
              <w:spacing w:before="0" w:after="283"/>
              <w:rPr/>
            </w:pPr>
            <w:r>
              <w:rPr/>
              <w:t>Commitments</w:t>
            </w:r>
          </w:p>
        </w:tc>
      </w:tr>
      <w:tr>
        <w:trPr/>
        <w:tc>
          <w:tcPr>
            <w:tcW w:w="1645" w:type="dxa"/>
            <w:tcBorders/>
            <w:shd w:fill="auto" w:val="clear"/>
          </w:tcPr>
          <w:p>
            <w:pPr>
              <w:pStyle w:val="TableContents"/>
              <w:spacing w:before="0" w:after="283"/>
              <w:rPr/>
            </w:pPr>
            <w:r>
              <w:rPr/>
              <w:t>Schedule 4.1(f)</w:t>
            </w:r>
          </w:p>
        </w:tc>
        <w:tc>
          <w:tcPr>
            <w:tcW w:w="122" w:type="dxa"/>
            <w:tcBorders/>
            <w:shd w:fill="auto" w:val="clear"/>
            <w:vAlign w:val="bottom"/>
          </w:tcPr>
          <w:p>
            <w:pPr>
              <w:pStyle w:val="TableContents"/>
              <w:spacing w:before="0" w:after="283"/>
              <w:rPr/>
            </w:pPr>
            <w:r>
              <w:rPr/>
              <w:t>  </w:t>
            </w:r>
          </w:p>
        </w:tc>
        <w:tc>
          <w:tcPr>
            <w:tcW w:w="8438" w:type="dxa"/>
            <w:tcBorders/>
            <w:shd w:fill="auto" w:val="clear"/>
          </w:tcPr>
          <w:p>
            <w:pPr>
              <w:pStyle w:val="TableContents"/>
              <w:spacing w:before="0" w:after="283"/>
              <w:rPr/>
            </w:pPr>
            <w:r>
              <w:rPr/>
              <w:t>Collateral Documents and Closing Checklist</w:t>
            </w:r>
          </w:p>
        </w:tc>
      </w:tr>
      <w:tr>
        <w:trPr/>
        <w:tc>
          <w:tcPr>
            <w:tcW w:w="1645" w:type="dxa"/>
            <w:tcBorders/>
            <w:shd w:fill="auto" w:val="clear"/>
          </w:tcPr>
          <w:p>
            <w:pPr>
              <w:pStyle w:val="TableContents"/>
              <w:spacing w:before="0" w:after="283"/>
              <w:rPr/>
            </w:pPr>
            <w:r>
              <w:rPr/>
              <w:t>Schedule 5.6</w:t>
            </w:r>
          </w:p>
        </w:tc>
        <w:tc>
          <w:tcPr>
            <w:tcW w:w="122" w:type="dxa"/>
            <w:tcBorders/>
            <w:shd w:fill="auto" w:val="clear"/>
            <w:vAlign w:val="bottom"/>
          </w:tcPr>
          <w:p>
            <w:pPr>
              <w:pStyle w:val="TableContents"/>
              <w:spacing w:before="0" w:after="283"/>
              <w:rPr/>
            </w:pPr>
            <w:r>
              <w:rPr/>
              <w:t>  </w:t>
            </w:r>
          </w:p>
        </w:tc>
        <w:tc>
          <w:tcPr>
            <w:tcW w:w="8438" w:type="dxa"/>
            <w:tcBorders/>
            <w:shd w:fill="auto" w:val="clear"/>
          </w:tcPr>
          <w:p>
            <w:pPr>
              <w:pStyle w:val="TableContents"/>
              <w:spacing w:before="0" w:after="283"/>
              <w:rPr/>
            </w:pPr>
            <w:r>
              <w:rPr/>
              <w:t>Disclosed Matters</w:t>
            </w:r>
          </w:p>
        </w:tc>
      </w:tr>
      <w:tr>
        <w:trPr/>
        <w:tc>
          <w:tcPr>
            <w:tcW w:w="1645" w:type="dxa"/>
            <w:tcBorders/>
            <w:shd w:fill="auto" w:val="clear"/>
          </w:tcPr>
          <w:p>
            <w:pPr>
              <w:pStyle w:val="TableContents"/>
              <w:spacing w:before="0" w:after="283"/>
              <w:rPr/>
            </w:pPr>
            <w:r>
              <w:rPr/>
              <w:t>Schedule 5.13</w:t>
            </w:r>
          </w:p>
        </w:tc>
        <w:tc>
          <w:tcPr>
            <w:tcW w:w="122" w:type="dxa"/>
            <w:tcBorders/>
            <w:shd w:fill="auto" w:val="clear"/>
            <w:vAlign w:val="bottom"/>
          </w:tcPr>
          <w:p>
            <w:pPr>
              <w:pStyle w:val="TableContents"/>
              <w:spacing w:before="0" w:after="283"/>
              <w:rPr/>
            </w:pPr>
            <w:r>
              <w:rPr/>
              <w:t>  </w:t>
            </w:r>
          </w:p>
        </w:tc>
        <w:tc>
          <w:tcPr>
            <w:tcW w:w="8438" w:type="dxa"/>
            <w:tcBorders/>
            <w:shd w:fill="auto" w:val="clear"/>
          </w:tcPr>
          <w:p>
            <w:pPr>
              <w:pStyle w:val="TableContents"/>
              <w:spacing w:before="0" w:after="283"/>
              <w:rPr/>
            </w:pPr>
            <w:r>
              <w:rPr/>
              <w:t>Subsidiaries; Equity Interests</w:t>
            </w:r>
          </w:p>
        </w:tc>
      </w:tr>
      <w:tr>
        <w:trPr/>
        <w:tc>
          <w:tcPr>
            <w:tcW w:w="1645" w:type="dxa"/>
            <w:tcBorders/>
            <w:shd w:fill="auto" w:val="clear"/>
          </w:tcPr>
          <w:p>
            <w:pPr>
              <w:pStyle w:val="TableContents"/>
              <w:spacing w:before="0" w:after="283"/>
              <w:rPr/>
            </w:pPr>
            <w:r>
              <w:rPr/>
              <w:t>Schedule 5.14</w:t>
            </w:r>
          </w:p>
        </w:tc>
        <w:tc>
          <w:tcPr>
            <w:tcW w:w="122" w:type="dxa"/>
            <w:tcBorders/>
            <w:shd w:fill="auto" w:val="clear"/>
            <w:vAlign w:val="bottom"/>
          </w:tcPr>
          <w:p>
            <w:pPr>
              <w:pStyle w:val="TableContents"/>
              <w:spacing w:before="0" w:after="283"/>
              <w:rPr/>
            </w:pPr>
            <w:r>
              <w:rPr/>
              <w:t>  </w:t>
            </w:r>
          </w:p>
        </w:tc>
        <w:tc>
          <w:tcPr>
            <w:tcW w:w="8438" w:type="dxa"/>
            <w:tcBorders/>
            <w:shd w:fill="auto" w:val="clear"/>
          </w:tcPr>
          <w:p>
            <w:pPr>
              <w:pStyle w:val="TableContents"/>
              <w:spacing w:before="0" w:after="283"/>
              <w:rPr/>
            </w:pPr>
            <w:r>
              <w:rPr/>
              <w:t>Insurance</w:t>
            </w:r>
          </w:p>
        </w:tc>
      </w:tr>
      <w:tr>
        <w:trPr/>
        <w:tc>
          <w:tcPr>
            <w:tcW w:w="1645" w:type="dxa"/>
            <w:tcBorders/>
            <w:shd w:fill="auto" w:val="clear"/>
          </w:tcPr>
          <w:p>
            <w:pPr>
              <w:pStyle w:val="TableContents"/>
              <w:spacing w:before="0" w:after="283"/>
              <w:rPr/>
            </w:pPr>
            <w:r>
              <w:rPr/>
              <w:t>Schedule 5.16(a)</w:t>
            </w:r>
          </w:p>
        </w:tc>
        <w:tc>
          <w:tcPr>
            <w:tcW w:w="122" w:type="dxa"/>
            <w:tcBorders/>
            <w:shd w:fill="auto" w:val="clear"/>
            <w:vAlign w:val="bottom"/>
          </w:tcPr>
          <w:p>
            <w:pPr>
              <w:pStyle w:val="TableContents"/>
              <w:spacing w:before="0" w:after="283"/>
              <w:rPr/>
            </w:pPr>
            <w:r>
              <w:rPr/>
              <w:t>  </w:t>
            </w:r>
          </w:p>
        </w:tc>
        <w:tc>
          <w:tcPr>
            <w:tcW w:w="8438" w:type="dxa"/>
            <w:tcBorders/>
            <w:shd w:fill="auto" w:val="clear"/>
          </w:tcPr>
          <w:p>
            <w:pPr>
              <w:pStyle w:val="TableContents"/>
              <w:spacing w:before="0" w:after="283"/>
              <w:rPr/>
            </w:pPr>
            <w:r>
              <w:rPr/>
              <w:t>UCC Filing Offices</w:t>
            </w:r>
          </w:p>
        </w:tc>
      </w:tr>
      <w:tr>
        <w:trPr/>
        <w:tc>
          <w:tcPr>
            <w:tcW w:w="1645" w:type="dxa"/>
            <w:tcBorders/>
            <w:shd w:fill="auto" w:val="clear"/>
          </w:tcPr>
          <w:p>
            <w:pPr>
              <w:pStyle w:val="TableContents"/>
              <w:spacing w:before="0" w:after="283"/>
              <w:rPr/>
            </w:pPr>
            <w:r>
              <w:rPr/>
              <w:t>Schedule 5.19</w:t>
            </w:r>
          </w:p>
        </w:tc>
        <w:tc>
          <w:tcPr>
            <w:tcW w:w="122" w:type="dxa"/>
            <w:tcBorders/>
            <w:shd w:fill="auto" w:val="clear"/>
            <w:vAlign w:val="bottom"/>
          </w:tcPr>
          <w:p>
            <w:pPr>
              <w:pStyle w:val="TableContents"/>
              <w:spacing w:before="0" w:after="283"/>
              <w:rPr/>
            </w:pPr>
            <w:r>
              <w:rPr/>
              <w:t>  </w:t>
            </w:r>
          </w:p>
        </w:tc>
        <w:tc>
          <w:tcPr>
            <w:tcW w:w="8438" w:type="dxa"/>
            <w:tcBorders/>
            <w:shd w:fill="auto" w:val="clear"/>
          </w:tcPr>
          <w:p>
            <w:pPr>
              <w:pStyle w:val="TableContents"/>
              <w:spacing w:before="0" w:after="283"/>
              <w:rPr/>
            </w:pPr>
            <w:r>
              <w:rPr/>
              <w:t>Owned Real Property</w:t>
            </w:r>
          </w:p>
        </w:tc>
      </w:tr>
      <w:tr>
        <w:trPr/>
        <w:tc>
          <w:tcPr>
            <w:tcW w:w="1645" w:type="dxa"/>
            <w:tcBorders/>
            <w:shd w:fill="auto" w:val="clear"/>
          </w:tcPr>
          <w:p>
            <w:pPr>
              <w:pStyle w:val="TableContents"/>
              <w:spacing w:before="0" w:after="283"/>
              <w:rPr/>
            </w:pPr>
            <w:r>
              <w:rPr/>
              <w:t>Schedule 6.15</w:t>
            </w:r>
          </w:p>
        </w:tc>
        <w:tc>
          <w:tcPr>
            <w:tcW w:w="122" w:type="dxa"/>
            <w:tcBorders/>
            <w:shd w:fill="auto" w:val="clear"/>
            <w:vAlign w:val="bottom"/>
          </w:tcPr>
          <w:p>
            <w:pPr>
              <w:pStyle w:val="TableContents"/>
              <w:spacing w:before="0" w:after="283"/>
              <w:rPr/>
            </w:pPr>
            <w:r>
              <w:rPr/>
              <w:t>  </w:t>
            </w:r>
          </w:p>
        </w:tc>
        <w:tc>
          <w:tcPr>
            <w:tcW w:w="8438" w:type="dxa"/>
            <w:tcBorders/>
            <w:shd w:fill="auto" w:val="clear"/>
          </w:tcPr>
          <w:p>
            <w:pPr>
              <w:pStyle w:val="TableContents"/>
              <w:spacing w:before="0" w:after="283"/>
              <w:rPr/>
            </w:pPr>
            <w:r>
              <w:rPr/>
              <w:t>Certain Post-Closing Obligations</w:t>
            </w:r>
          </w:p>
        </w:tc>
      </w:tr>
      <w:tr>
        <w:trPr/>
        <w:tc>
          <w:tcPr>
            <w:tcW w:w="1645" w:type="dxa"/>
            <w:tcBorders/>
            <w:shd w:fill="auto" w:val="clear"/>
          </w:tcPr>
          <w:p>
            <w:pPr>
              <w:pStyle w:val="TableContents"/>
              <w:spacing w:before="0" w:after="283"/>
              <w:rPr/>
            </w:pPr>
            <w:r>
              <w:rPr/>
              <w:t>Schedule 7.1</w:t>
            </w:r>
          </w:p>
        </w:tc>
        <w:tc>
          <w:tcPr>
            <w:tcW w:w="122" w:type="dxa"/>
            <w:tcBorders/>
            <w:shd w:fill="auto" w:val="clear"/>
            <w:vAlign w:val="bottom"/>
          </w:tcPr>
          <w:p>
            <w:pPr>
              <w:pStyle w:val="TableContents"/>
              <w:spacing w:before="0" w:after="283"/>
              <w:rPr/>
            </w:pPr>
            <w:r>
              <w:rPr/>
              <w:t>  </w:t>
            </w:r>
          </w:p>
        </w:tc>
        <w:tc>
          <w:tcPr>
            <w:tcW w:w="8438" w:type="dxa"/>
            <w:tcBorders/>
            <w:shd w:fill="auto" w:val="clear"/>
          </w:tcPr>
          <w:p>
            <w:pPr>
              <w:pStyle w:val="TableContents"/>
              <w:spacing w:before="0" w:after="283"/>
              <w:rPr/>
            </w:pPr>
            <w:r>
              <w:rPr/>
              <w:t>Existing Indebtedness</w:t>
            </w:r>
          </w:p>
        </w:tc>
      </w:tr>
      <w:tr>
        <w:trPr/>
        <w:tc>
          <w:tcPr>
            <w:tcW w:w="1645" w:type="dxa"/>
            <w:tcBorders/>
            <w:shd w:fill="auto" w:val="clear"/>
          </w:tcPr>
          <w:p>
            <w:pPr>
              <w:pStyle w:val="TableContents"/>
              <w:spacing w:before="0" w:after="283"/>
              <w:rPr/>
            </w:pPr>
            <w:r>
              <w:rPr/>
              <w:t>Schedule 7.2</w:t>
            </w:r>
          </w:p>
        </w:tc>
        <w:tc>
          <w:tcPr>
            <w:tcW w:w="122" w:type="dxa"/>
            <w:tcBorders/>
            <w:shd w:fill="auto" w:val="clear"/>
            <w:vAlign w:val="bottom"/>
          </w:tcPr>
          <w:p>
            <w:pPr>
              <w:pStyle w:val="TableContents"/>
              <w:spacing w:before="0" w:after="283"/>
              <w:rPr/>
            </w:pPr>
            <w:r>
              <w:rPr/>
              <w:t>  </w:t>
            </w:r>
          </w:p>
        </w:tc>
        <w:tc>
          <w:tcPr>
            <w:tcW w:w="8438" w:type="dxa"/>
            <w:tcBorders/>
            <w:shd w:fill="auto" w:val="clear"/>
          </w:tcPr>
          <w:p>
            <w:pPr>
              <w:pStyle w:val="TableContents"/>
              <w:spacing w:before="0" w:after="283"/>
              <w:rPr/>
            </w:pPr>
            <w:r>
              <w:rPr/>
              <w:t>Existing Liens</w:t>
            </w:r>
          </w:p>
        </w:tc>
      </w:tr>
      <w:tr>
        <w:trPr/>
        <w:tc>
          <w:tcPr>
            <w:tcW w:w="1645" w:type="dxa"/>
            <w:tcBorders/>
            <w:shd w:fill="auto" w:val="clear"/>
          </w:tcPr>
          <w:p>
            <w:pPr>
              <w:pStyle w:val="TableContents"/>
              <w:spacing w:before="0" w:after="283"/>
              <w:rPr/>
            </w:pPr>
            <w:r>
              <w:rPr/>
              <w:t>Schedule 7.4</w:t>
            </w:r>
          </w:p>
        </w:tc>
        <w:tc>
          <w:tcPr>
            <w:tcW w:w="122" w:type="dxa"/>
            <w:tcBorders/>
            <w:shd w:fill="auto" w:val="clear"/>
            <w:vAlign w:val="bottom"/>
          </w:tcPr>
          <w:p>
            <w:pPr>
              <w:pStyle w:val="TableContents"/>
              <w:spacing w:before="0" w:after="283"/>
              <w:rPr/>
            </w:pPr>
            <w:r>
              <w:rPr/>
              <w:t>  </w:t>
            </w:r>
          </w:p>
        </w:tc>
        <w:tc>
          <w:tcPr>
            <w:tcW w:w="8438" w:type="dxa"/>
            <w:tcBorders/>
            <w:shd w:fill="auto" w:val="clear"/>
          </w:tcPr>
          <w:p>
            <w:pPr>
              <w:pStyle w:val="TableContents"/>
              <w:spacing w:before="0" w:after="283"/>
              <w:rPr/>
            </w:pPr>
            <w:r>
              <w:rPr/>
              <w:t>Existing Investments</w:t>
            </w:r>
          </w:p>
        </w:tc>
      </w:tr>
      <w:tr>
        <w:trPr/>
        <w:tc>
          <w:tcPr>
            <w:tcW w:w="1645" w:type="dxa"/>
            <w:tcBorders/>
            <w:shd w:fill="auto" w:val="clear"/>
          </w:tcPr>
          <w:p>
            <w:pPr>
              <w:pStyle w:val="TableContents"/>
              <w:spacing w:before="0" w:after="283"/>
              <w:rPr/>
            </w:pPr>
            <w:r>
              <w:rPr/>
              <w:t>Schedule 7.10</w:t>
            </w:r>
          </w:p>
        </w:tc>
        <w:tc>
          <w:tcPr>
            <w:tcW w:w="122" w:type="dxa"/>
            <w:tcBorders/>
            <w:shd w:fill="auto" w:val="clear"/>
            <w:vAlign w:val="bottom"/>
          </w:tcPr>
          <w:p>
            <w:pPr>
              <w:pStyle w:val="TableContents"/>
              <w:spacing w:before="0" w:after="283"/>
              <w:rPr/>
            </w:pPr>
            <w:r>
              <w:rPr/>
              <w:t>  </w:t>
            </w:r>
          </w:p>
        </w:tc>
        <w:tc>
          <w:tcPr>
            <w:tcW w:w="8438" w:type="dxa"/>
            <w:tcBorders/>
            <w:shd w:fill="auto" w:val="clear"/>
          </w:tcPr>
          <w:p>
            <w:pPr>
              <w:pStyle w:val="TableContents"/>
              <w:spacing w:before="0" w:after="283"/>
              <w:rPr/>
            </w:pPr>
            <w:r>
              <w:rPr/>
              <w:t>Existing Restrictions</w:t>
            </w:r>
          </w:p>
        </w:tc>
      </w:tr>
      <w:tr>
        <w:trPr/>
        <w:tc>
          <w:tcPr>
            <w:tcW w:w="1645" w:type="dxa"/>
            <w:tcBorders/>
            <w:shd w:fill="auto" w:val="clear"/>
          </w:tcPr>
          <w:p>
            <w:pPr>
              <w:pStyle w:val="TableContents"/>
              <w:spacing w:before="0" w:after="283"/>
              <w:rPr/>
            </w:pPr>
            <w:r>
              <w:rPr/>
              <w:t>Schedule 10.1</w:t>
            </w:r>
          </w:p>
        </w:tc>
        <w:tc>
          <w:tcPr>
            <w:tcW w:w="122" w:type="dxa"/>
            <w:tcBorders/>
            <w:shd w:fill="auto" w:val="clear"/>
            <w:vAlign w:val="bottom"/>
          </w:tcPr>
          <w:p>
            <w:pPr>
              <w:pStyle w:val="TableContents"/>
              <w:spacing w:before="0" w:after="283"/>
              <w:rPr/>
            </w:pPr>
            <w:r>
              <w:rPr/>
              <w:t>  </w:t>
            </w:r>
          </w:p>
        </w:tc>
        <w:tc>
          <w:tcPr>
            <w:tcW w:w="8438" w:type="dxa"/>
            <w:tcBorders/>
            <w:shd w:fill="auto" w:val="clear"/>
          </w:tcPr>
          <w:p>
            <w:pPr>
              <w:pStyle w:val="TableContents"/>
              <w:spacing w:before="0" w:after="283"/>
              <w:rPr/>
            </w:pPr>
            <w:r>
              <w:rPr/>
              <w:t>Notice Information</w:t>
            </w:r>
          </w:p>
        </w:tc>
      </w:tr>
    </w:tbl>
    <w:p>
      <w:pPr>
        <w:pStyle w:val="TextBody"/>
        <w:spacing w:before="240" w:after="0"/>
        <w:jc w:val="left"/>
        <w:rPr>
          <w:rFonts w:ascii="Times New Roman" w:hAnsi="Times New Roman"/>
          <w:sz w:val="20"/>
        </w:rPr>
      </w:pPr>
      <w:r>
        <w:rPr>
          <w:rFonts w:ascii="Times New Roman" w:hAnsi="Times New Roman"/>
          <w:sz w:val="20"/>
          <w:u w:val="single"/>
        </w:rPr>
        <w:t>EXHIBITS</w:t>
      </w:r>
      <w:r>
        <w:rPr>
          <w:rFonts w:ascii="Times New Roman" w:hAnsi="Times New Roman"/>
          <w:sz w:val="20"/>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619"/>
        <w:gridCol w:w="123"/>
        <w:gridCol w:w="8463"/>
      </w:tblGrid>
      <w:tr>
        <w:trPr/>
        <w:tc>
          <w:tcPr>
            <w:tcW w:w="161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8463" w:type="dxa"/>
            <w:tcBorders/>
            <w:shd w:fill="auto" w:val="clear"/>
            <w:vAlign w:val="center"/>
          </w:tcPr>
          <w:p>
            <w:pPr>
              <w:pStyle w:val="TableContents"/>
              <w:spacing w:before="0" w:after="283"/>
              <w:rPr>
                <w:sz w:val="4"/>
                <w:szCs w:val="4"/>
              </w:rPr>
            </w:pPr>
            <w:r>
              <w:rPr>
                <w:sz w:val="4"/>
                <w:szCs w:val="4"/>
              </w:rPr>
            </w:r>
          </w:p>
        </w:tc>
      </w:tr>
      <w:tr>
        <w:trPr/>
        <w:tc>
          <w:tcPr>
            <w:tcW w:w="1619" w:type="dxa"/>
            <w:tcBorders/>
            <w:shd w:fill="auto" w:val="clear"/>
          </w:tcPr>
          <w:p>
            <w:pPr>
              <w:pStyle w:val="TableContents"/>
              <w:spacing w:before="0" w:after="283"/>
              <w:rPr/>
            </w:pPr>
            <w:r>
              <w:rPr/>
              <w:t>Exhibit A</w:t>
            </w:r>
          </w:p>
        </w:tc>
        <w:tc>
          <w:tcPr>
            <w:tcW w:w="123" w:type="dxa"/>
            <w:tcBorders/>
            <w:shd w:fill="auto" w:val="clear"/>
            <w:vAlign w:val="bottom"/>
          </w:tcPr>
          <w:p>
            <w:pPr>
              <w:pStyle w:val="TableContents"/>
              <w:spacing w:before="0" w:after="283"/>
              <w:rPr/>
            </w:pPr>
            <w:r>
              <w:rPr/>
              <w:t>  </w:t>
            </w:r>
          </w:p>
        </w:tc>
        <w:tc>
          <w:tcPr>
            <w:tcW w:w="8463" w:type="dxa"/>
            <w:tcBorders/>
            <w:shd w:fill="auto" w:val="clear"/>
          </w:tcPr>
          <w:p>
            <w:pPr>
              <w:pStyle w:val="TableContents"/>
              <w:spacing w:before="0" w:after="283"/>
              <w:rPr/>
            </w:pPr>
            <w:r>
              <w:rPr/>
              <w:t>Form of Assignment and Assumption</w:t>
            </w:r>
          </w:p>
        </w:tc>
      </w:tr>
      <w:tr>
        <w:trPr/>
        <w:tc>
          <w:tcPr>
            <w:tcW w:w="1619" w:type="dxa"/>
            <w:tcBorders/>
            <w:shd w:fill="auto" w:val="clear"/>
          </w:tcPr>
          <w:p>
            <w:pPr>
              <w:pStyle w:val="TableContents"/>
              <w:spacing w:before="0" w:after="283"/>
              <w:rPr/>
            </w:pPr>
            <w:r>
              <w:rPr/>
              <w:t>Exhibit B</w:t>
            </w:r>
          </w:p>
        </w:tc>
        <w:tc>
          <w:tcPr>
            <w:tcW w:w="123" w:type="dxa"/>
            <w:tcBorders/>
            <w:shd w:fill="auto" w:val="clear"/>
            <w:vAlign w:val="bottom"/>
          </w:tcPr>
          <w:p>
            <w:pPr>
              <w:pStyle w:val="TableContents"/>
              <w:spacing w:before="0" w:after="283"/>
              <w:rPr/>
            </w:pPr>
            <w:r>
              <w:rPr/>
              <w:t>  </w:t>
            </w:r>
          </w:p>
        </w:tc>
        <w:tc>
          <w:tcPr>
            <w:tcW w:w="8463" w:type="dxa"/>
            <w:tcBorders/>
            <w:shd w:fill="auto" w:val="clear"/>
          </w:tcPr>
          <w:p>
            <w:pPr>
              <w:pStyle w:val="TableContents"/>
              <w:spacing w:before="0" w:after="283"/>
              <w:rPr/>
            </w:pPr>
            <w:r>
              <w:rPr/>
              <w:t>Form of Term Loan Note</w:t>
            </w:r>
          </w:p>
        </w:tc>
      </w:tr>
      <w:tr>
        <w:trPr/>
        <w:tc>
          <w:tcPr>
            <w:tcW w:w="1619" w:type="dxa"/>
            <w:tcBorders/>
            <w:shd w:fill="auto" w:val="clear"/>
          </w:tcPr>
          <w:p>
            <w:pPr>
              <w:pStyle w:val="TableContents"/>
              <w:spacing w:before="0" w:after="283"/>
              <w:rPr/>
            </w:pPr>
            <w:r>
              <w:rPr/>
              <w:t>Exhibit C</w:t>
            </w:r>
          </w:p>
        </w:tc>
        <w:tc>
          <w:tcPr>
            <w:tcW w:w="123" w:type="dxa"/>
            <w:tcBorders/>
            <w:shd w:fill="auto" w:val="clear"/>
            <w:vAlign w:val="bottom"/>
          </w:tcPr>
          <w:p>
            <w:pPr>
              <w:pStyle w:val="TableContents"/>
              <w:spacing w:before="0" w:after="283"/>
              <w:rPr/>
            </w:pPr>
            <w:r>
              <w:rPr/>
              <w:t>  </w:t>
            </w:r>
          </w:p>
        </w:tc>
        <w:tc>
          <w:tcPr>
            <w:tcW w:w="8463" w:type="dxa"/>
            <w:tcBorders/>
            <w:shd w:fill="auto" w:val="clear"/>
          </w:tcPr>
          <w:p>
            <w:pPr>
              <w:pStyle w:val="TableContents"/>
              <w:spacing w:before="0" w:after="283"/>
              <w:rPr/>
            </w:pPr>
            <w:r>
              <w:rPr/>
              <w:t>Form of Compliance Certificate</w:t>
            </w:r>
          </w:p>
        </w:tc>
      </w:tr>
      <w:tr>
        <w:trPr/>
        <w:tc>
          <w:tcPr>
            <w:tcW w:w="1619" w:type="dxa"/>
            <w:tcBorders/>
            <w:shd w:fill="auto" w:val="clear"/>
          </w:tcPr>
          <w:p>
            <w:pPr>
              <w:pStyle w:val="TableContents"/>
              <w:spacing w:before="0" w:after="283"/>
              <w:rPr/>
            </w:pPr>
            <w:r>
              <w:rPr/>
              <w:t>Exhibit D</w:t>
            </w:r>
          </w:p>
        </w:tc>
        <w:tc>
          <w:tcPr>
            <w:tcW w:w="123" w:type="dxa"/>
            <w:tcBorders/>
            <w:shd w:fill="auto" w:val="clear"/>
            <w:vAlign w:val="bottom"/>
          </w:tcPr>
          <w:p>
            <w:pPr>
              <w:pStyle w:val="TableContents"/>
              <w:spacing w:before="0" w:after="283"/>
              <w:rPr/>
            </w:pPr>
            <w:r>
              <w:rPr/>
              <w:t>  </w:t>
            </w:r>
          </w:p>
        </w:tc>
        <w:tc>
          <w:tcPr>
            <w:tcW w:w="8463" w:type="dxa"/>
            <w:tcBorders/>
            <w:shd w:fill="auto" w:val="clear"/>
          </w:tcPr>
          <w:p>
            <w:pPr>
              <w:pStyle w:val="TableContents"/>
              <w:spacing w:before="0" w:after="283"/>
              <w:rPr/>
            </w:pPr>
            <w:r>
              <w:rPr/>
              <w:t>Form of Closing Certificate</w:t>
            </w:r>
          </w:p>
        </w:tc>
      </w:tr>
      <w:tr>
        <w:trPr/>
        <w:tc>
          <w:tcPr>
            <w:tcW w:w="1619" w:type="dxa"/>
            <w:tcBorders/>
            <w:shd w:fill="auto" w:val="clear"/>
          </w:tcPr>
          <w:p>
            <w:pPr>
              <w:pStyle w:val="TableContents"/>
              <w:spacing w:before="0" w:after="283"/>
              <w:rPr/>
            </w:pPr>
            <w:r>
              <w:rPr/>
              <w:t>Exhibit E</w:t>
            </w:r>
          </w:p>
        </w:tc>
        <w:tc>
          <w:tcPr>
            <w:tcW w:w="123" w:type="dxa"/>
            <w:tcBorders/>
            <w:shd w:fill="auto" w:val="clear"/>
            <w:vAlign w:val="bottom"/>
          </w:tcPr>
          <w:p>
            <w:pPr>
              <w:pStyle w:val="TableContents"/>
              <w:spacing w:before="0" w:after="283"/>
              <w:rPr/>
            </w:pPr>
            <w:r>
              <w:rPr/>
              <w:t>  </w:t>
            </w:r>
          </w:p>
        </w:tc>
        <w:tc>
          <w:tcPr>
            <w:tcW w:w="8463" w:type="dxa"/>
            <w:tcBorders/>
            <w:shd w:fill="auto" w:val="clear"/>
          </w:tcPr>
          <w:p>
            <w:pPr>
              <w:pStyle w:val="TableContents"/>
              <w:spacing w:before="0" w:after="283"/>
              <w:rPr/>
            </w:pPr>
            <w:r>
              <w:rPr/>
              <w:t>Form of Subsidiary Joinder Agreement</w:t>
            </w:r>
          </w:p>
        </w:tc>
      </w:tr>
      <w:tr>
        <w:trPr/>
        <w:tc>
          <w:tcPr>
            <w:tcW w:w="1619" w:type="dxa"/>
            <w:tcBorders/>
            <w:shd w:fill="auto" w:val="clear"/>
          </w:tcPr>
          <w:p>
            <w:pPr>
              <w:pStyle w:val="TableContents"/>
              <w:spacing w:before="0" w:after="283"/>
              <w:rPr/>
            </w:pPr>
            <w:r>
              <w:rPr/>
              <w:t>Exhibit F-1</w:t>
            </w:r>
          </w:p>
        </w:tc>
        <w:tc>
          <w:tcPr>
            <w:tcW w:w="123" w:type="dxa"/>
            <w:tcBorders/>
            <w:shd w:fill="auto" w:val="clear"/>
            <w:vAlign w:val="bottom"/>
          </w:tcPr>
          <w:p>
            <w:pPr>
              <w:pStyle w:val="TableContents"/>
              <w:spacing w:before="0" w:after="283"/>
              <w:rPr/>
            </w:pPr>
            <w:r>
              <w:rPr/>
              <w:t>  </w:t>
            </w:r>
          </w:p>
        </w:tc>
        <w:tc>
          <w:tcPr>
            <w:tcW w:w="8463" w:type="dxa"/>
            <w:tcBorders/>
            <w:shd w:fill="auto" w:val="clear"/>
          </w:tcPr>
          <w:p>
            <w:pPr>
              <w:pStyle w:val="TableContents"/>
              <w:spacing w:before="0" w:after="283"/>
              <w:rPr/>
            </w:pPr>
            <w:r>
              <w:rPr/>
              <w:t>Form of U.S. Tax Compliance Certificate For Foreign Lenders That Are Not Partnerships For U.S. Federal Income Tax Purposes</w:t>
            </w:r>
          </w:p>
        </w:tc>
      </w:tr>
      <w:tr>
        <w:trPr/>
        <w:tc>
          <w:tcPr>
            <w:tcW w:w="1619" w:type="dxa"/>
            <w:tcBorders/>
            <w:shd w:fill="auto" w:val="clear"/>
          </w:tcPr>
          <w:p>
            <w:pPr>
              <w:pStyle w:val="TableContents"/>
              <w:spacing w:before="0" w:after="283"/>
              <w:rPr/>
            </w:pPr>
            <w:r>
              <w:rPr/>
              <w:t>Exhibit F-2</w:t>
            </w:r>
          </w:p>
        </w:tc>
        <w:tc>
          <w:tcPr>
            <w:tcW w:w="123" w:type="dxa"/>
            <w:tcBorders/>
            <w:shd w:fill="auto" w:val="clear"/>
            <w:vAlign w:val="bottom"/>
          </w:tcPr>
          <w:p>
            <w:pPr>
              <w:pStyle w:val="TableContents"/>
              <w:spacing w:before="0" w:after="283"/>
              <w:rPr/>
            </w:pPr>
            <w:r>
              <w:rPr/>
              <w:t>  </w:t>
            </w:r>
          </w:p>
        </w:tc>
        <w:tc>
          <w:tcPr>
            <w:tcW w:w="8463" w:type="dxa"/>
            <w:tcBorders/>
            <w:shd w:fill="auto" w:val="clear"/>
          </w:tcPr>
          <w:p>
            <w:pPr>
              <w:pStyle w:val="TableContents"/>
              <w:spacing w:before="0" w:after="283"/>
              <w:rPr/>
            </w:pPr>
            <w:r>
              <w:rPr/>
              <w:t>Form of U.S. Tax Compliance Certificate For Foreign Participants That Are Not Partnerships For U.S. Federal Income Tax Purposes</w:t>
            </w:r>
          </w:p>
        </w:tc>
      </w:tr>
      <w:tr>
        <w:trPr/>
        <w:tc>
          <w:tcPr>
            <w:tcW w:w="1619" w:type="dxa"/>
            <w:tcBorders/>
            <w:shd w:fill="auto" w:val="clear"/>
          </w:tcPr>
          <w:p>
            <w:pPr>
              <w:pStyle w:val="TableContents"/>
              <w:spacing w:before="0" w:after="283"/>
              <w:rPr/>
            </w:pPr>
            <w:r>
              <w:rPr/>
              <w:t>Exhibit F-3</w:t>
            </w:r>
          </w:p>
        </w:tc>
        <w:tc>
          <w:tcPr>
            <w:tcW w:w="123" w:type="dxa"/>
            <w:tcBorders/>
            <w:shd w:fill="auto" w:val="clear"/>
            <w:vAlign w:val="bottom"/>
          </w:tcPr>
          <w:p>
            <w:pPr>
              <w:pStyle w:val="TableContents"/>
              <w:spacing w:before="0" w:after="283"/>
              <w:rPr/>
            </w:pPr>
            <w:r>
              <w:rPr/>
              <w:t>  </w:t>
            </w:r>
          </w:p>
        </w:tc>
        <w:tc>
          <w:tcPr>
            <w:tcW w:w="8463" w:type="dxa"/>
            <w:tcBorders/>
            <w:shd w:fill="auto" w:val="clear"/>
          </w:tcPr>
          <w:p>
            <w:pPr>
              <w:pStyle w:val="TableContents"/>
              <w:spacing w:before="0" w:after="283"/>
              <w:rPr/>
            </w:pPr>
            <w:r>
              <w:rPr/>
              <w:t>Form of U.S. Tax Compliance Certificate For Foreign Participants That Are Partnerships For U.S. Federal Income Tax Purposes</w:t>
            </w:r>
          </w:p>
        </w:tc>
      </w:tr>
      <w:tr>
        <w:trPr/>
        <w:tc>
          <w:tcPr>
            <w:tcW w:w="1619" w:type="dxa"/>
            <w:tcBorders/>
            <w:shd w:fill="auto" w:val="clear"/>
          </w:tcPr>
          <w:p>
            <w:pPr>
              <w:pStyle w:val="TableContents"/>
              <w:spacing w:before="0" w:after="283"/>
              <w:rPr/>
            </w:pPr>
            <w:r>
              <w:rPr/>
              <w:t>Exhibit F-4</w:t>
            </w:r>
          </w:p>
        </w:tc>
        <w:tc>
          <w:tcPr>
            <w:tcW w:w="123" w:type="dxa"/>
            <w:tcBorders/>
            <w:shd w:fill="auto" w:val="clear"/>
            <w:vAlign w:val="bottom"/>
          </w:tcPr>
          <w:p>
            <w:pPr>
              <w:pStyle w:val="TableContents"/>
              <w:spacing w:before="0" w:after="283"/>
              <w:rPr/>
            </w:pPr>
            <w:r>
              <w:rPr/>
              <w:t>  </w:t>
            </w:r>
          </w:p>
        </w:tc>
        <w:tc>
          <w:tcPr>
            <w:tcW w:w="8463" w:type="dxa"/>
            <w:tcBorders/>
            <w:shd w:fill="auto" w:val="clear"/>
          </w:tcPr>
          <w:p>
            <w:pPr>
              <w:pStyle w:val="TableContents"/>
              <w:spacing w:before="0" w:after="283"/>
              <w:rPr/>
            </w:pPr>
            <w:r>
              <w:rPr/>
              <w:t>Form of U.S. Tax Compliance Certificate For Foreign Lenders That Are Partnerships For U.S. Federal Income Tax Purposes</w:t>
            </w:r>
          </w:p>
        </w:tc>
      </w:tr>
      <w:tr>
        <w:trPr/>
        <w:tc>
          <w:tcPr>
            <w:tcW w:w="1619" w:type="dxa"/>
            <w:tcBorders/>
            <w:shd w:fill="auto" w:val="clear"/>
          </w:tcPr>
          <w:p>
            <w:pPr>
              <w:pStyle w:val="TableContents"/>
              <w:spacing w:before="0" w:after="0"/>
              <w:rPr>
                <w:rFonts w:ascii="Times New Roman" w:hAnsi="Times New Roman"/>
                <w:sz w:val="20"/>
              </w:rPr>
            </w:pPr>
            <w:r>
              <w:rPr>
                <w:rFonts w:ascii="Times New Roman" w:hAnsi="Times New Roman"/>
                <w:sz w:val="20"/>
              </w:rPr>
              <w:t>Exhibit G</w:t>
            </w:r>
          </w:p>
          <w:p>
            <w:pPr>
              <w:pStyle w:val="TableContents"/>
              <w:spacing w:before="0" w:after="20"/>
              <w:rPr>
                <w:rFonts w:ascii="Times New Roman" w:hAnsi="Times New Roman"/>
                <w:sz w:val="20"/>
              </w:rPr>
            </w:pPr>
            <w:r>
              <w:rPr>
                <w:rFonts w:ascii="Times New Roman" w:hAnsi="Times New Roman"/>
                <w:sz w:val="20"/>
              </w:rPr>
              <w:t>Exhibit H</w:t>
            </w:r>
          </w:p>
        </w:tc>
        <w:tc>
          <w:tcPr>
            <w:tcW w:w="123" w:type="dxa"/>
            <w:tcBorders/>
            <w:shd w:fill="auto" w:val="clear"/>
            <w:vAlign w:val="bottom"/>
          </w:tcPr>
          <w:p>
            <w:pPr>
              <w:pStyle w:val="TableContents"/>
              <w:spacing w:before="0" w:after="283"/>
              <w:rPr/>
            </w:pPr>
            <w:r>
              <w:rPr/>
              <w:t>  </w:t>
            </w:r>
          </w:p>
        </w:tc>
        <w:tc>
          <w:tcPr>
            <w:tcW w:w="8463" w:type="dxa"/>
            <w:tcBorders/>
            <w:shd w:fill="auto" w:val="clear"/>
          </w:tcPr>
          <w:p>
            <w:pPr>
              <w:pStyle w:val="TableContents"/>
              <w:spacing w:before="0" w:after="0"/>
              <w:rPr>
                <w:rFonts w:ascii="Times New Roman" w:hAnsi="Times New Roman"/>
                <w:sz w:val="20"/>
              </w:rPr>
            </w:pPr>
            <w:r>
              <w:rPr>
                <w:rFonts w:ascii="Times New Roman" w:hAnsi="Times New Roman"/>
                <w:sz w:val="20"/>
              </w:rPr>
              <w:t>Form of Perfection Certificate</w:t>
            </w:r>
          </w:p>
          <w:p>
            <w:pPr>
              <w:pStyle w:val="TableContents"/>
              <w:spacing w:before="0" w:after="20"/>
              <w:rPr>
                <w:rFonts w:ascii="Times New Roman" w:hAnsi="Times New Roman"/>
                <w:sz w:val="20"/>
              </w:rPr>
            </w:pPr>
            <w:r>
              <w:rPr>
                <w:rFonts w:ascii="Times New Roman" w:hAnsi="Times New Roman"/>
                <w:sz w:val="20"/>
              </w:rPr>
              <w:t>Form of Solvency Certificate</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CREDIT AGREEMENT </w:t>
      </w:r>
    </w:p>
    <w:p>
      <w:pPr>
        <w:pStyle w:val="TextBody"/>
        <w:spacing w:before="240" w:after="0"/>
        <w:jc w:val="left"/>
        <w:rPr>
          <w:rFonts w:ascii="Times New Roman" w:hAnsi="Times New Roman"/>
          <w:sz w:val="20"/>
        </w:rPr>
      </w:pPr>
      <w:r>
        <w:rPr>
          <w:rFonts w:ascii="Times New Roman" w:hAnsi="Times New Roman"/>
          <w:sz w:val="20"/>
        </w:rPr>
        <w:t xml:space="preserve">CREDIT AGREEMENT, dated as of April 25, 2023, among </w:t>
      </w:r>
      <w:r>
        <w:rPr>
          <w:rFonts w:ascii="Times New Roman" w:hAnsi="Times New Roman"/>
          <w:b/>
          <w:sz w:val="20"/>
        </w:rPr>
        <w:t>MYNARIC USA INC.</w:t>
      </w:r>
      <w:r>
        <w:rPr>
          <w:rFonts w:ascii="Times New Roman" w:hAnsi="Times New Roman"/>
          <w:sz w:val="20"/>
        </w:rPr>
        <w:t>, a Delaware corporation (the </w:t>
      </w:r>
      <w:r>
        <w:rPr>
          <w:rFonts w:ascii="Times New Roman" w:hAnsi="Times New Roman"/>
          <w:sz w:val="20"/>
          <w:u w:val="single"/>
        </w:rPr>
        <w:t>Borrower</w:t>
      </w:r>
      <w:r>
        <w:rPr>
          <w:rFonts w:ascii="Times New Roman" w:hAnsi="Times New Roman"/>
          <w:sz w:val="20"/>
        </w:rPr>
        <w:t xml:space="preserve">), </w:t>
      </w:r>
      <w:r>
        <w:rPr>
          <w:rFonts w:ascii="Times New Roman" w:hAnsi="Times New Roman"/>
          <w:b/>
          <w:sz w:val="20"/>
        </w:rPr>
        <w:t>MYNARIC AG</w:t>
      </w:r>
      <w:r>
        <w:rPr>
          <w:rFonts w:ascii="Times New Roman" w:hAnsi="Times New Roman"/>
          <w:sz w:val="20"/>
        </w:rPr>
        <w:t>, a German joint stock corporation (</w:t>
      </w:r>
      <w:r>
        <w:rPr>
          <w:rFonts w:ascii="Times New Roman" w:hAnsi="Times New Roman"/>
          <w:i/>
          <w:sz w:val="20"/>
        </w:rPr>
        <w:t>Aktiengesellschaft</w:t>
      </w:r>
      <w:r>
        <w:rPr>
          <w:rFonts w:ascii="Times New Roman" w:hAnsi="Times New Roman"/>
          <w:sz w:val="20"/>
        </w:rPr>
        <w:t>) (</w:t>
      </w:r>
      <w:r>
        <w:rPr>
          <w:rFonts w:ascii="Times New Roman" w:hAnsi="Times New Roman"/>
          <w:sz w:val="20"/>
          <w:u w:val="single"/>
        </w:rPr>
        <w:t>Holdings</w:t>
      </w:r>
      <w:r>
        <w:rPr>
          <w:rFonts w:ascii="Times New Roman" w:hAnsi="Times New Roman"/>
          <w:sz w:val="20"/>
        </w:rPr>
        <w:t xml:space="preserve">), the LENDERS party hereto and </w:t>
      </w:r>
      <w:r>
        <w:rPr>
          <w:rFonts w:ascii="Times New Roman" w:hAnsi="Times New Roman"/>
          <w:b/>
          <w:sz w:val="20"/>
        </w:rPr>
        <w:t>ALTER DOMUS</w:t>
      </w:r>
      <w:r>
        <w:rPr>
          <w:rFonts w:ascii="Times New Roman" w:hAnsi="Times New Roman"/>
          <w:sz w:val="20"/>
        </w:rPr>
        <w:t xml:space="preserve"> </w:t>
      </w:r>
      <w:r>
        <w:rPr>
          <w:rFonts w:ascii="Times New Roman" w:hAnsi="Times New Roman"/>
          <w:b/>
          <w:sz w:val="20"/>
        </w:rPr>
        <w:t>(US) LLC</w:t>
      </w:r>
      <w:r>
        <w:rPr>
          <w:rFonts w:ascii="Times New Roman" w:hAnsi="Times New Roman"/>
          <w:sz w:val="20"/>
        </w:rPr>
        <w:t>, as administrative agent for the Lenders (together with its successors and permitted assigns in such capacity, the </w:t>
      </w:r>
      <w:r>
        <w:rPr>
          <w:rFonts w:ascii="Times New Roman" w:hAnsi="Times New Roman"/>
          <w:sz w:val="20"/>
          <w:u w:val="single"/>
        </w:rPr>
        <w:t>Administrative Agent</w:t>
      </w:r>
      <w:r>
        <w:rPr>
          <w:rFonts w:ascii="Times New Roman" w:hAnsi="Times New Roman"/>
          <w:sz w:val="20"/>
        </w:rPr>
        <w:t xml:space="preserve">). </w:t>
      </w:r>
    </w:p>
    <w:p>
      <w:pPr>
        <w:pStyle w:val="TextBody"/>
        <w:spacing w:before="480" w:after="0"/>
        <w:jc w:val="center"/>
        <w:rPr>
          <w:rFonts w:ascii="Times New Roman" w:hAnsi="Times New Roman"/>
          <w:sz w:val="20"/>
          <w:u w:val="single"/>
        </w:rPr>
      </w:pPr>
      <w:r>
        <w:rPr>
          <w:rFonts w:ascii="Times New Roman" w:hAnsi="Times New Roman"/>
          <w:sz w:val="20"/>
          <w:u w:val="single"/>
        </w:rPr>
        <w:t xml:space="preserve">RECITALS </w:t>
      </w:r>
    </w:p>
    <w:p>
      <w:pPr>
        <w:pStyle w:val="TextBody"/>
        <w:spacing w:before="240" w:after="0"/>
        <w:jc w:val="left"/>
        <w:rPr>
          <w:rFonts w:ascii="Times New Roman" w:hAnsi="Times New Roman"/>
          <w:sz w:val="20"/>
        </w:rPr>
      </w:pPr>
      <w:r>
        <w:rPr>
          <w:rFonts w:ascii="Times New Roman" w:hAnsi="Times New Roman"/>
          <w:sz w:val="20"/>
        </w:rPr>
        <w:t xml:space="preserve">A. The Borrower has requested that the Lenders make loans to the Borrower as more fully set forth herein. </w:t>
      </w:r>
    </w:p>
    <w:p>
      <w:pPr>
        <w:pStyle w:val="TextBody"/>
        <w:spacing w:before="240" w:after="0"/>
        <w:jc w:val="left"/>
        <w:rPr>
          <w:rFonts w:ascii="Times New Roman" w:hAnsi="Times New Roman"/>
          <w:sz w:val="20"/>
        </w:rPr>
      </w:pPr>
      <w:r>
        <w:rPr>
          <w:rFonts w:ascii="Times New Roman" w:hAnsi="Times New Roman"/>
          <w:sz w:val="20"/>
        </w:rPr>
        <w:t xml:space="preserve">B. The Lenders have indicated their willingness to lend on the terms and subject to the conditions set forth herein. </w:t>
      </w:r>
    </w:p>
    <w:p>
      <w:pPr>
        <w:pStyle w:val="TextBody"/>
        <w:spacing w:before="240" w:after="0"/>
        <w:jc w:val="left"/>
        <w:rPr>
          <w:rFonts w:ascii="Times New Roman" w:hAnsi="Times New Roman"/>
          <w:sz w:val="20"/>
        </w:rPr>
      </w:pPr>
      <w:r>
        <w:rPr>
          <w:rFonts w:ascii="Times New Roman" w:hAnsi="Times New Roman"/>
          <w:sz w:val="20"/>
        </w:rPr>
        <w:t xml:space="preserve">In consideration of the mutual covenants and agreements herein contained, the parties hereto covenant and agree as follows: </w:t>
      </w:r>
    </w:p>
    <w:p>
      <w:pPr>
        <w:pStyle w:val="TextBody"/>
        <w:spacing w:before="480" w:after="0"/>
        <w:jc w:val="center"/>
        <w:rPr>
          <w:rFonts w:ascii="Times New Roman" w:hAnsi="Times New Roman"/>
          <w:sz w:val="20"/>
        </w:rPr>
      </w:pPr>
      <w:r>
        <w:rPr>
          <w:rFonts w:ascii="Times New Roman" w:hAnsi="Times New Roman"/>
          <w:sz w:val="20"/>
        </w:rPr>
        <w:t xml:space="preserve">ARTICLE 1 </w:t>
      </w:r>
    </w:p>
    <w:p>
      <w:pPr>
        <w:pStyle w:val="TextBody"/>
        <w:spacing w:before="120" w:after="0"/>
        <w:jc w:val="center"/>
        <w:rPr>
          <w:rFonts w:ascii="Times New Roman" w:hAnsi="Times New Roman"/>
          <w:sz w:val="20"/>
        </w:rPr>
      </w:pPr>
      <w:r>
        <w:rPr>
          <w:rFonts w:ascii="Times New Roman" w:hAnsi="Times New Roman"/>
          <w:sz w:val="20"/>
        </w:rPr>
        <w:t xml:space="preserve">DEFINITIONS AND RULES OF CONSTRUCTION </w:t>
      </w:r>
    </w:p>
    <w:p>
      <w:pPr>
        <w:pStyle w:val="TextBody"/>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As used in this Credit Agreement, the following terms have the meanings specified below: </w:t>
      </w:r>
    </w:p>
    <w:p>
      <w:pPr>
        <w:pStyle w:val="TextBody"/>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ABR Borrowing</w:t>
      </w:r>
      <w:r>
        <w:rPr>
          <w:rFonts w:ascii="Times New Roman" w:hAnsi="Times New Roman"/>
          <w:sz w:val="20"/>
        </w:rPr>
        <w:t xml:space="preserve"> means, as to any Borrowing, the ABR Loans comprising such Borrowing.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ABR Loan</w:t>
      </w:r>
      <w:r>
        <w:rPr>
          <w:rFonts w:ascii="Times New Roman" w:hAnsi="Times New Roman"/>
          <w:sz w:val="20"/>
        </w:rPr>
        <w:t xml:space="preserve"> means a Loan bearing interest based on the Alternate Base Rate.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Acquired EBITDA</w:t>
      </w:r>
      <w:r>
        <w:rPr>
          <w:rFonts w:ascii="Times New Roman" w:hAnsi="Times New Roman"/>
          <w:sz w:val="20"/>
        </w:rPr>
        <w:t xml:space="preserve"> means, with respect to any Acquired Entity or Business for any period, the historical Consolidated EBITDA of such Acquired Entity or Business for such period as certified by a Financial Officer of Holdings, which historical Consolidated EBITDA shall be calculated in a manner consistent with the definition of Consolidated EBITDA herein; </w:t>
      </w:r>
      <w:r>
        <w:rPr>
          <w:rFonts w:ascii="Times New Roman" w:hAnsi="Times New Roman"/>
          <w:sz w:val="20"/>
          <w:u w:val="single"/>
        </w:rPr>
        <w:t>provided</w:t>
      </w:r>
      <w:r>
        <w:rPr>
          <w:rFonts w:ascii="Times New Roman" w:hAnsi="Times New Roman"/>
          <w:sz w:val="20"/>
        </w:rPr>
        <w:t xml:space="preserve"> that when such Acquired EBITDA is included in Consolidated EBITDA it shall be on a Pro Forma Basis.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Acquired Entity or Business</w:t>
      </w:r>
      <w:r>
        <w:rPr>
          <w:rFonts w:ascii="Times New Roman" w:hAnsi="Times New Roman"/>
          <w:sz w:val="20"/>
        </w:rPr>
        <w:t xml:space="preserve"> means, for any period, any Person, property, business or asset acquired by Holdings or any of its Subsidiaries in a Permitted Acquisition, to the extent not subsequently sold, transferred or otherwise Disposed of during such period.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Acquisition</w:t>
      </w:r>
      <w:r>
        <w:rPr>
          <w:rFonts w:ascii="Times New Roman" w:hAnsi="Times New Roman"/>
          <w:sz w:val="20"/>
        </w:rPr>
        <w:t xml:space="preserve"> means any transaction or series of related transactions resulting, directly or indirectly, in: (a) the acquisition by any Person of (i) all or substantially all of the assets of another Person or (ii) all or substantially all of any business line, unit or division of another Person, (b) the acquisition by any Person (i) of in excess of 50% of the Equity Interests of any other Person, or (ii) of any other Person that causes such other Person to become a subsidiary of such first Person, or (c) a merger, amalgamation consolidation, or any other combination of any Person with another Person (other than a Person that is a Loan Party or a Subsidiary of a Loan Party) in which a Loan Party or any of its Subsidiaries is the surviving Person.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Administrative Agent Fee Letter</w:t>
      </w:r>
      <w:r>
        <w:rPr>
          <w:rFonts w:ascii="Times New Roman" w:hAnsi="Times New Roman"/>
          <w:sz w:val="20"/>
        </w:rPr>
        <w:t xml:space="preserve"> means that certain fee proposal letter provided by Alter Domus (US) LLC and executed by the Borrower on the Closing Date.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Administrative Agents Payment Office</w:t>
      </w:r>
      <w:r>
        <w:rPr>
          <w:rFonts w:ascii="Times New Roman" w:hAnsi="Times New Roman"/>
          <w:sz w:val="20"/>
        </w:rPr>
        <w:t xml:space="preserve"> means the Administrative Agents office located at 225 W. Washington Street, 9th Floor, Chicago, Illinois 60606, or such other office as to which the Administrative Agent may from time to time notify the Borrower and the Lenders.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Administrative Questionnaire</w:t>
      </w:r>
      <w:r>
        <w:rPr>
          <w:rFonts w:ascii="Times New Roman" w:hAnsi="Times New Roman"/>
          <w:sz w:val="20"/>
        </w:rPr>
        <w:t xml:space="preserve"> means an Administrative Questionnaire in a form supplied by the Administrative Agent (or otherwise acceptable to the Administrative Agent).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Affected Financial Institution</w:t>
      </w:r>
      <w:r>
        <w:rPr>
          <w:rFonts w:ascii="Times New Roman" w:hAnsi="Times New Roman"/>
          <w:sz w:val="20"/>
        </w:rPr>
        <w:t xml:space="preserve"> means (a) any EEA Financial Institution or (b) any UK Financial Institution.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means, with respect to a specified Person, another Person that directly, or indirectly through one or more intermediaries, Controls or is Controlled by or is under common Control with the Person specified.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Agreement Date</w:t>
      </w:r>
      <w:r>
        <w:rPr>
          <w:rFonts w:ascii="Times New Roman" w:hAnsi="Times New Roman"/>
          <w:sz w:val="20"/>
        </w:rPr>
        <w:t xml:space="preserve"> means the first date appearing in this Credit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Alternate Base Rate</w:t>
      </w:r>
      <w:r>
        <w:rPr>
          <w:rFonts w:ascii="Times New Roman" w:hAnsi="Times New Roman"/>
          <w:sz w:val="20"/>
        </w:rPr>
        <w:t xml:space="preserve"> means, for any day, a rate per annum equal to the greatest of (a) the Prime Rate in effect on such day, (b) the Federal Funds Rate in effect on such day </w:t>
      </w:r>
      <w:r>
        <w:rPr>
          <w:rFonts w:ascii="Times New Roman" w:hAnsi="Times New Roman"/>
          <w:sz w:val="20"/>
          <w:u w:val="single"/>
        </w:rPr>
        <w:t>plus</w:t>
      </w:r>
      <w:r>
        <w:rPr>
          <w:rFonts w:ascii="Times New Roman" w:hAnsi="Times New Roman"/>
          <w:sz w:val="20"/>
        </w:rPr>
        <w:t xml:space="preserve"> 0.50% per annum and (c) Term SOFR for a one-month tenor in effect on such day </w:t>
      </w:r>
      <w:r>
        <w:rPr>
          <w:rFonts w:ascii="Times New Roman" w:hAnsi="Times New Roman"/>
          <w:sz w:val="20"/>
          <w:u w:val="single"/>
        </w:rPr>
        <w:t>plus</w:t>
      </w:r>
      <w:r>
        <w:rPr>
          <w:rFonts w:ascii="Times New Roman" w:hAnsi="Times New Roman"/>
          <w:sz w:val="20"/>
        </w:rPr>
        <w:t xml:space="preserve"> 1.00% per annum; </w:t>
      </w:r>
      <w:r>
        <w:rPr>
          <w:rFonts w:ascii="Times New Roman" w:hAnsi="Times New Roman"/>
          <w:sz w:val="20"/>
          <w:u w:val="single"/>
        </w:rPr>
        <w:t>provided</w:t>
      </w:r>
      <w:r>
        <w:rPr>
          <w:rFonts w:ascii="Times New Roman" w:hAnsi="Times New Roman"/>
          <w:sz w:val="20"/>
        </w:rPr>
        <w:t xml:space="preserve"> that the Alternate Base Rate shall at no time be less than the Floor. Any change in the Alternate Base Rate due to a change in the Prime Rate, the Federal Funds Rate or Term SOFR, as applicable, shall be effective from and including the effective date of such change in the Prime Rate, the Federal Funds Rate or Term SOFR, as applicable, respectively.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Anti-Corruption Laws</w:t>
      </w:r>
      <w:r>
        <w:rPr>
          <w:rFonts w:ascii="Times New Roman" w:hAnsi="Times New Roman"/>
          <w:sz w:val="20"/>
        </w:rPr>
        <w:t xml:space="preserve"> means all laws, rules, and regulations of any jurisdiction applicable to the Loan Parties or their respective Subsidiaries from time to time concerning or relating to bribery or corruption.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Anti-Terrorism Laws</w:t>
      </w:r>
      <w:r>
        <w:rPr>
          <w:rFonts w:ascii="Times New Roman" w:hAnsi="Times New Roman"/>
          <w:sz w:val="20"/>
        </w:rPr>
        <w:t xml:space="preserve"> has the meaning assigned to such term in </w:t>
      </w:r>
      <w:r>
        <w:rPr>
          <w:rFonts w:ascii="Times New Roman" w:hAnsi="Times New Roman"/>
          <w:sz w:val="20"/>
          <w:u w:val="single"/>
        </w:rPr>
        <w:t>Section 5.18(c)</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Law</w:t>
      </w:r>
      <w:r>
        <w:rPr>
          <w:rFonts w:ascii="Times New Roman" w:hAnsi="Times New Roman"/>
          <w:sz w:val="20"/>
        </w:rPr>
        <w:t xml:space="preserve"> means, as to any Person, all applicable Laws binding upon such Person or to which such a Person is subject.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Lending Office</w:t>
      </w:r>
      <w:r>
        <w:rPr>
          <w:rFonts w:ascii="Times New Roman" w:hAnsi="Times New Roman"/>
          <w:sz w:val="20"/>
        </w:rPr>
        <w:t xml:space="preserve"> means for any Lender, such Lenders office, branch or affiliate designated for SOFR Loans or ABR Loans, as notified to the Administrative Agent, any of which offices may be changed by such Lender.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Margin</w:t>
      </w:r>
      <w:r>
        <w:rPr>
          <w:rFonts w:ascii="Times New Roman" w:hAnsi="Times New Roman"/>
          <w:sz w:val="20"/>
        </w:rPr>
        <w:t xml:space="preserve"> means: with respect to the Term Loans: in the case of any (a) ABR Loan, the percentage set forth in the following table under the heading ABR Margin, and (b) SOFR Loan, the percentage set forth in the following table under the heading SOFR Margin: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2951"/>
        <w:gridCol w:w="2215"/>
        <w:gridCol w:w="178"/>
        <w:gridCol w:w="1318"/>
        <w:gridCol w:w="277"/>
      </w:tblGrid>
      <w:tr>
        <w:trPr/>
        <w:tc>
          <w:tcPr>
            <w:tcW w:w="2951" w:type="dxa"/>
            <w:tcBorders/>
            <w:shd w:fill="auto" w:val="clear"/>
            <w:vAlign w:val="center"/>
          </w:tcPr>
          <w:p>
            <w:pPr>
              <w:pStyle w:val="TableContents"/>
              <w:spacing w:before="0" w:after="283"/>
              <w:rPr>
                <w:sz w:val="4"/>
                <w:szCs w:val="4"/>
              </w:rPr>
            </w:pPr>
            <w:r>
              <w:rPr>
                <w:sz w:val="4"/>
                <w:szCs w:val="4"/>
              </w:rPr>
            </w:r>
          </w:p>
        </w:tc>
        <w:tc>
          <w:tcPr>
            <w:tcW w:w="2215" w:type="dxa"/>
            <w:tcBorders/>
            <w:shd w:fill="auto" w:val="clear"/>
            <w:vAlign w:val="bottom"/>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r>
      <w:tr>
        <w:trPr/>
        <w:tc>
          <w:tcPr>
            <w:tcW w:w="2951"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ABR Margin</w:t>
            </w:r>
          </w:p>
        </w:tc>
        <w:tc>
          <w:tcPr>
            <w:tcW w:w="2215" w:type="dxa"/>
            <w:tcBorders/>
            <w:shd w:fill="auto" w:val="clear"/>
            <w:vAlign w:val="bottom"/>
          </w:tcPr>
          <w:p>
            <w:pPr>
              <w:pStyle w:val="TableContents"/>
              <w:spacing w:before="0" w:after="283"/>
              <w:rPr/>
            </w:pPr>
            <w:r>
              <w:rPr/>
              <w:t>  </w:t>
            </w:r>
          </w:p>
        </w:tc>
        <w:tc>
          <w:tcPr>
            <w:tcW w:w="149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SOFR Margin</w:t>
            </w:r>
          </w:p>
        </w:tc>
        <w:tc>
          <w:tcPr>
            <w:tcW w:w="277" w:type="dxa"/>
            <w:tcBorders/>
            <w:shd w:fill="auto" w:val="clear"/>
            <w:vAlign w:val="bottom"/>
          </w:tcPr>
          <w:p>
            <w:pPr>
              <w:pStyle w:val="TableContents"/>
              <w:spacing w:before="0" w:after="283"/>
              <w:rPr/>
            </w:pPr>
            <w:r>
              <w:rPr/>
              <w:t> </w:t>
            </w:r>
          </w:p>
        </w:tc>
      </w:tr>
      <w:tr>
        <w:trPr/>
        <w:tc>
          <w:tcPr>
            <w:tcW w:w="2951" w:type="dxa"/>
            <w:tcBorders/>
            <w:shd w:fill="CCEEFF" w:val="clear"/>
          </w:tcPr>
          <w:p>
            <w:pPr>
              <w:pStyle w:val="TableContents"/>
              <w:spacing w:before="0" w:after="0"/>
              <w:rPr>
                <w:rFonts w:ascii="Times New Roman" w:hAnsi="Times New Roman"/>
                <w:sz w:val="20"/>
              </w:rPr>
            </w:pPr>
            <w:r>
              <w:rPr>
                <w:rFonts w:ascii="Times New Roman" w:hAnsi="Times New Roman"/>
                <w:sz w:val="20"/>
              </w:rPr>
              <w:t>9.0%</w:t>
            </w:r>
          </w:p>
        </w:tc>
        <w:tc>
          <w:tcPr>
            <w:tcW w:w="2215"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318" w:type="dxa"/>
            <w:tcBorders/>
            <w:shd w:fill="CCEEFF" w:val="clear"/>
            <w:vAlign w:val="bottom"/>
          </w:tcPr>
          <w:p>
            <w:pPr>
              <w:pStyle w:val="TableContents"/>
              <w:spacing w:before="0" w:after="283"/>
              <w:jc w:val="right"/>
              <w:rPr/>
            </w:pPr>
            <w:r>
              <w:rPr/>
              <w:t>10.0</w:t>
            </w:r>
          </w:p>
        </w:tc>
        <w:tc>
          <w:tcPr>
            <w:tcW w:w="277"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Percentage</w:t>
      </w:r>
      <w:r>
        <w:rPr>
          <w:rFonts w:ascii="Times New Roman" w:hAnsi="Times New Roman"/>
          <w:sz w:val="20"/>
        </w:rPr>
        <w:t xml:space="preserve"> means, at any time (a) with respect to any Lender with a Commitment, the percentage equal to a fraction the numerator of which is the amount of such Lenders Commitment and the denominator of which is the aggregate amount of all Commitments of all Lenders and (b) with respect to the Loans, a percentage equal to a fraction the numerator of which is such Lenders Outstanding Amount of the Loans and the denominator of which is the aggregate Outstanding Amount of all Loans.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Approved Electronic Communications</w:t>
      </w:r>
      <w:r>
        <w:rPr>
          <w:rFonts w:ascii="Times New Roman" w:hAnsi="Times New Roman"/>
          <w:sz w:val="20"/>
        </w:rPr>
        <w:t xml:space="preserve"> means collectively, any notice, demand, communication, information, document or other material provided by or on behalf of any Loan Party pursuant to any Loan Document or the transactions contemplated therein which is distributed to the Administrative Agent or any Lender by means of electronic communications pursuant to </w:t>
      </w:r>
      <w:r>
        <w:rPr>
          <w:rFonts w:ascii="Times New Roman" w:hAnsi="Times New Roman"/>
          <w:sz w:val="20"/>
          <w:u w:val="single"/>
        </w:rPr>
        <w:t>Section 10.1(b)</w:t>
      </w:r>
      <w:r>
        <w:rPr>
          <w:rFonts w:ascii="Times New Roman" w:hAnsi="Times New Roman"/>
          <w:sz w:val="20"/>
        </w:rPr>
        <w:t xml:space="preserve"> or </w:t>
      </w:r>
      <w:r>
        <w:rPr>
          <w:rFonts w:ascii="Times New Roman" w:hAnsi="Times New Roman"/>
          <w:sz w:val="20"/>
          <w:u w:val="single"/>
        </w:rPr>
        <w:t>Section 10.1(d)</w:t>
      </w:r>
      <w:r>
        <w:rPr>
          <w:rFonts w:ascii="Times New Roman" w:hAnsi="Times New Roman"/>
          <w:sz w:val="20"/>
        </w:rPr>
        <w:t xml:space="preserve">, including through the Platform.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Approved Fund</w:t>
      </w:r>
      <w:r>
        <w:rPr>
          <w:rFonts w:ascii="Times New Roman" w:hAnsi="Times New Roman"/>
          <w:sz w:val="20"/>
        </w:rPr>
        <w:t xml:space="preserve"> means any Fund that is administered or managed by (a) a Lender, (b) an Affiliate of a Lender or (c) an entity or an Affiliate of an entity that administers or manages a Lender.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Approved Line of Business</w:t>
      </w:r>
      <w:r>
        <w:rPr>
          <w:rFonts w:ascii="Times New Roman" w:hAnsi="Times New Roman"/>
          <w:sz w:val="20"/>
        </w:rPr>
        <w:t xml:space="preserve"> means, collectively, (a) those lines of business in which Holdings and its Subsidiaries operate on the Closing Date (after giving effect to the Transactions occurring on the Closing Date) and (b) any business or activity that is the same, similar or otherwise reasonably related, ancillary, complementary or incidental thereto.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Assignment and Assumption</w:t>
      </w:r>
      <w:r>
        <w:rPr>
          <w:rFonts w:ascii="Times New Roman" w:hAnsi="Times New Roman"/>
          <w:sz w:val="20"/>
        </w:rPr>
        <w:t xml:space="preserve"> means an assignment and assumption entered into by a Lender and an Eligible Assignee (with the consent of any party whose consent is required by </w:t>
      </w:r>
      <w:r>
        <w:rPr>
          <w:rFonts w:ascii="Times New Roman" w:hAnsi="Times New Roman"/>
          <w:sz w:val="20"/>
          <w:u w:val="single"/>
        </w:rPr>
        <w:t>Section 10.4</w:t>
      </w:r>
      <w:r>
        <w:rPr>
          <w:rFonts w:ascii="Times New Roman" w:hAnsi="Times New Roman"/>
          <w:sz w:val="20"/>
        </w:rPr>
        <w:t xml:space="preserve">) and accepted by the Administrative Agent, in substantially the form of </w:t>
      </w:r>
      <w:r>
        <w:rPr>
          <w:rFonts w:ascii="Times New Roman" w:hAnsi="Times New Roman"/>
          <w:sz w:val="20"/>
          <w:u w:val="single"/>
        </w:rPr>
        <w:t>Exhibit A</w:t>
      </w:r>
      <w:r>
        <w:rPr>
          <w:rFonts w:ascii="Times New Roman" w:hAnsi="Times New Roman"/>
          <w:sz w:val="20"/>
        </w:rPr>
        <w:t xml:space="preserve"> or any other form approved by the Administrative Agent.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Attorney Costs</w:t>
      </w:r>
      <w:r>
        <w:rPr>
          <w:rFonts w:ascii="Times New Roman" w:hAnsi="Times New Roman"/>
          <w:sz w:val="20"/>
        </w:rPr>
        <w:t xml:space="preserve"> means when referring to the Attorney Costs of (a) the Administrative Agent, all reasonable and documented fees and reasonable and documented out-of-pocket expenses, charges, disbursements and other charges of one law firm (and one local counsel in each relevant jurisdiction and one special or regulatory counsel for each relevant subject matter to the extent reasonably necessary) for the Administrative Agent and (b) the other Credit Parties (other than the Administrative Agent), all reasonable and documented fees and reasonable and documented out-of-pocket expenses, charges, disbursements and other charges of one law firm (and one local counsel in each relevant jurisdiction and one special or regulatory counsel for each relevant subject matter to the extent reasonably necessary) for such Credit Parties, taken as a whole.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Attributable Indebtedness</w:t>
      </w:r>
      <w:r>
        <w:rPr>
          <w:rFonts w:ascii="Times New Roman" w:hAnsi="Times New Roman"/>
          <w:sz w:val="20"/>
        </w:rPr>
        <w:t xml:space="preserve"> means, at any date, (a) in respect of any Capitalized Lease of any Person, the capitalized amount thereof that would appear on a balance sheet of such Person prepared as of such date in accordance with GAAP, and (b) in respect of any Synthetic Lease Obligation of any Person, the capitalized or principal amount of the remaining lease payments under the relevant lease that would appear on a balance sheet of such Person prepared as of such date in accordance with GAAP if such lease or other agreement were accounted for as a Capitalized Lease.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Audited Financial Statements</w:t>
      </w:r>
      <w:r>
        <w:rPr>
          <w:rFonts w:ascii="Times New Roman" w:hAnsi="Times New Roman"/>
          <w:sz w:val="20"/>
        </w:rPr>
        <w:t xml:space="preserve"> means the audited consolidated balance sheet of Holdings and its Subsidiaries as of the last day of each of the three most recent Fiscal Years ended at least 90 days prior to the Closing Date and the related audited consolidated statements of income, comprehensive income, cash flows and shareholders equity of Holdings and its Subsidiaries for each of the three most recent Fiscal Years ended at least 90 days prior to the Closing Date.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Available Tenor</w:t>
      </w:r>
      <w:r>
        <w:rPr>
          <w:rFonts w:ascii="Times New Roman" w:hAnsi="Times New Roman"/>
          <w:sz w:val="20"/>
        </w:rPr>
        <w:t xml:space="preserve"> means, as of any date of determination and with respect to the then-current Benchmark, as applicable, (x) if such Benchmark is a term rate, any tenor for such Benchmark (or component thereof) that is or may be used for determining the length of an Interest Period pursuant to this Credit Agreement or (y) otherwise, any payment period for interest calculated with reference to such Benchmark (or component thereof), as applicable, that is or may be used for determining any frequency of making payments of interest calculated with reference to such Benchmark pursuant to this Credit Agreement, in each case, as of such date and not including, for the avoidance of doubt, any tenor for such Benchmark that is then-removed from the definition of Interest Period pursuant to </w:t>
      </w:r>
      <w:r>
        <w:rPr>
          <w:rFonts w:ascii="Times New Roman" w:hAnsi="Times New Roman"/>
          <w:sz w:val="20"/>
          <w:u w:val="single"/>
        </w:rPr>
        <w:t>Section 3.8(d)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Bail-In Legislation</w:t>
      </w:r>
      <w:r>
        <w:rPr>
          <w:rFonts w:ascii="Times New Roman" w:hAnsi="Times New Roman"/>
          <w:sz w:val="20"/>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Bankruptcy Code</w:t>
      </w:r>
      <w:r>
        <w:rPr>
          <w:rFonts w:ascii="Times New Roman" w:hAnsi="Times New Roman"/>
          <w:sz w:val="20"/>
        </w:rPr>
        <w:t xml:space="preserve"> means Title 11 of the United States Code or any similar federal or state law for the relief of debtors.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Benchmark</w:t>
      </w:r>
      <w:r>
        <w:rPr>
          <w:rFonts w:ascii="Times New Roman" w:hAnsi="Times New Roman"/>
          <w:sz w:val="20"/>
        </w:rPr>
        <w:t xml:space="preserve"> means, initially, the Term SOFR Reference Rate; </w:t>
      </w:r>
      <w:r>
        <w:rPr>
          <w:rFonts w:ascii="Times New Roman" w:hAnsi="Times New Roman"/>
          <w:sz w:val="20"/>
          <w:u w:val="single"/>
        </w:rPr>
        <w:t>provided</w:t>
      </w:r>
      <w:r>
        <w:rPr>
          <w:rFonts w:ascii="Times New Roman" w:hAnsi="Times New Roman"/>
          <w:sz w:val="20"/>
        </w:rPr>
        <w:t xml:space="preserve"> that if a Benchmark Transition Event and its related Benchmark Replacement Date have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hAnsi="Times New Roman"/>
          <w:sz w:val="20"/>
          <w:u w:val="single"/>
        </w:rPr>
        <w:t>Section 3.8(a)</w:t>
      </w:r>
      <w:r>
        <w:rPr>
          <w:rFonts w:ascii="Times New Roman" w:hAnsi="Times New Roman"/>
          <w:sz w:val="20"/>
        </w:rPr>
        <w:t xml:space="preserve">. Any reference to Benchmark shall include, as applicable, the published component used in the calculation thereof.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Benchmark Replacement</w:t>
      </w:r>
      <w:r>
        <w:rPr>
          <w:rFonts w:ascii="Times New Roman" w:hAnsi="Times New Roman"/>
          <w:sz w:val="20"/>
        </w:rPr>
        <w:t xml:space="preserve"> means, for any Available Tenor, the first alternative set forth in the order below that can be determined by the Administrative Agent for the applicable Benchmark Replacement Date: </w:t>
      </w:r>
    </w:p>
    <w:p>
      <w:pPr>
        <w:pStyle w:val="TextBody"/>
        <w:spacing w:before="120" w:after="0"/>
        <w:jc w:val="left"/>
        <w:rPr>
          <w:rFonts w:ascii="Times New Roman" w:hAnsi="Times New Roman"/>
          <w:sz w:val="20"/>
        </w:rPr>
      </w:pPr>
      <w:r>
        <w:rPr>
          <w:rFonts w:ascii="Times New Roman" w:hAnsi="Times New Roman"/>
          <w:sz w:val="20"/>
        </w:rPr>
        <w:t xml:space="preserve">(a) Daily Simple SOFR; or </w:t>
      </w:r>
    </w:p>
    <w:p>
      <w:pPr>
        <w:pStyle w:val="TextBody"/>
        <w:spacing w:before="240" w:after="0"/>
        <w:jc w:val="left"/>
        <w:rPr>
          <w:rFonts w:ascii="Times New Roman" w:hAnsi="Times New Roman"/>
          <w:sz w:val="20"/>
        </w:rPr>
      </w:pPr>
      <w:r>
        <w:rPr>
          <w:rFonts w:ascii="Times New Roman" w:hAnsi="Times New Roman"/>
          <w:sz w:val="20"/>
        </w:rPr>
        <w:t xml:space="preserve">(b) the sum of: (i) the alternate benchmark rate that has been selected by the Required Lenders and the Borrower (in consultation with the Administrative Agent) giving due consideration to (A) any selection or recommendation of a replacement benchmark rate or the mechanism for determining such a rate by the Relevant Governmental Body or (B) any evolving or then-prevailing market convention for determining a benchmark rate and an adjustment as a replacement to the then-current Benchmark for Dollar-denominated syndicated credit facilities at such time and (ii) the related Benchmark Replacement Adjustment; </w:t>
      </w:r>
    </w:p>
    <w:p>
      <w:pPr>
        <w:pStyle w:val="TextBody"/>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any such Benchmark Replacement shall be administratively feasible as determined by the Administrative Agent in its sole discretion. </w:t>
      </w:r>
    </w:p>
    <w:p>
      <w:pPr>
        <w:pStyle w:val="TextBody"/>
        <w:spacing w:before="240" w:after="0"/>
        <w:jc w:val="left"/>
        <w:rPr>
          <w:rFonts w:ascii="Times New Roman" w:hAnsi="Times New Roman"/>
          <w:sz w:val="20"/>
        </w:rPr>
      </w:pPr>
      <w:r>
        <w:rPr>
          <w:rFonts w:ascii="Times New Roman" w:hAnsi="Times New Roman"/>
          <w:sz w:val="20"/>
        </w:rPr>
        <w:t xml:space="preserve">If the Benchmark Replacement as determined pursuant to clause (a) or (b) above would be less than the Floor, such Benchmark Replacement will be deemed to be the Floor for the purposes of this Credit Agreement and the other Loan Documents.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Benchmark Replacement Adjustment</w:t>
      </w:r>
      <w:r>
        <w:rPr>
          <w:rFonts w:ascii="Times New Roman" w:hAnsi="Times New Roman"/>
          <w:sz w:val="20"/>
        </w:rPr>
        <w:t xml:space="preserve">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in the United States; </w:t>
      </w:r>
      <w:r>
        <w:rPr>
          <w:rFonts w:ascii="Times New Roman" w:hAnsi="Times New Roman"/>
          <w:sz w:val="20"/>
          <w:u w:val="single"/>
        </w:rPr>
        <w:t>provided</w:t>
      </w:r>
      <w:r>
        <w:rPr>
          <w:rFonts w:ascii="Times New Roman" w:hAnsi="Times New Roman"/>
          <w:sz w:val="20"/>
        </w:rPr>
        <w:t xml:space="preserve"> that such Benchmark Replacement Adjustment shall be administratively feasible for the Administrative Agent.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Benchmark Replacement Date</w:t>
      </w:r>
      <w:r>
        <w:rPr>
          <w:rFonts w:ascii="Times New Roman" w:hAnsi="Times New Roman"/>
          <w:sz w:val="20"/>
        </w:rPr>
        <w:t xml:space="preserve"> means a date and time determined by the Required Lenders, which date shall be no later than the earliest to occur of the following events with respect to the then-current Benchmark: </w:t>
      </w:r>
    </w:p>
    <w:p>
      <w:pPr>
        <w:pStyle w:val="TextBody"/>
        <w:spacing w:before="120" w:after="0"/>
        <w:jc w:val="left"/>
        <w:rPr>
          <w:rFonts w:ascii="Times New Roman" w:hAnsi="Times New Roman"/>
          <w:sz w:val="20"/>
        </w:rPr>
      </w:pPr>
      <w:r>
        <w:rPr>
          <w:rFonts w:ascii="Times New Roman" w:hAnsi="Times New Roman"/>
          <w:sz w:val="20"/>
        </w:rPr>
        <w:t xml:space="preserve">(a)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 </w:t>
      </w:r>
    </w:p>
    <w:p>
      <w:pPr>
        <w:pStyle w:val="TextBody"/>
        <w:spacing w:before="240" w:after="0"/>
        <w:jc w:val="left"/>
        <w:rPr>
          <w:rFonts w:ascii="Times New Roman" w:hAnsi="Times New Roman"/>
          <w:sz w:val="20"/>
        </w:rPr>
      </w:pPr>
      <w:r>
        <w:rPr>
          <w:rFonts w:ascii="Times New Roman" w:hAnsi="Times New Roman"/>
          <w:sz w:val="20"/>
        </w:rPr>
        <w:t xml:space="preserve">(b) 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w:t>
      </w:r>
      <w:r>
        <w:rPr>
          <w:rFonts w:ascii="Times New Roman" w:hAnsi="Times New Roman"/>
          <w:sz w:val="20"/>
          <w:u w:val="single"/>
        </w:rPr>
        <w:t>provided</w:t>
      </w:r>
      <w:r>
        <w:rPr>
          <w:rFonts w:ascii="Times New Roman" w:hAnsi="Times New Roman"/>
          <w:sz w:val="20"/>
        </w:rPr>
        <w:t xml:space="preserve"> that such non-representativeness will be determined by reference to the most recent statement or publication referenced in such clause (c) and even if any Available Tenor of such Benchmark (or such component thereof) continues to be provided on such date. </w:t>
      </w:r>
    </w:p>
    <w:p>
      <w:pPr>
        <w:pStyle w:val="TextBody"/>
        <w:spacing w:before="240" w:after="0"/>
        <w:jc w:val="left"/>
        <w:rPr>
          <w:rFonts w:ascii="Times New Roman" w:hAnsi="Times New Roman"/>
          <w:sz w:val="20"/>
        </w:rPr>
      </w:pPr>
      <w:r>
        <w:rPr>
          <w:rFonts w:ascii="Times New Roman" w:hAnsi="Times New Roman"/>
          <w:sz w:val="20"/>
        </w:rPr>
        <w:t xml:space="preserve">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Benchmark Transition Event</w:t>
      </w:r>
      <w:r>
        <w:rPr>
          <w:rFonts w:ascii="Times New Roman" w:hAnsi="Times New Roman"/>
          <w:sz w:val="20"/>
        </w:rPr>
        <w:t xml:space="preserve"> means the occurrence of one or more of the following events with respect to the then-current Benchmark: </w:t>
      </w:r>
    </w:p>
    <w:p>
      <w:pPr>
        <w:pStyle w:val="TextBody"/>
        <w:spacing w:before="120" w:after="0"/>
        <w:jc w:val="left"/>
        <w:rPr>
          <w:rFonts w:ascii="Times New Roman" w:hAnsi="Times New Roman"/>
          <w:sz w:val="20"/>
        </w:rPr>
      </w:pPr>
      <w:r>
        <w:rPr>
          <w:rFonts w:ascii="Times New Roman" w:hAnsi="Times New Roman"/>
          <w:sz w:val="20"/>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sz w:val="20"/>
          <w:u w:val="single"/>
        </w:rPr>
        <w:t>provided</w:t>
      </w:r>
      <w:r>
        <w:rPr>
          <w:rFonts w:ascii="Times New Roman" w:hAnsi="Times New Roman"/>
          <w:sz w:val="20"/>
        </w:rPr>
        <w:t xml:space="preserve"> that, at the time of such statement or publication, there is no successor administrator that will continue to provide any Available Tenor of such Benchmark (or such component thereof); </w:t>
      </w:r>
    </w:p>
    <w:p>
      <w:pPr>
        <w:pStyle w:val="TextBody"/>
        <w:spacing w:before="240" w:after="0"/>
        <w:jc w:val="left"/>
        <w:rPr>
          <w:rFonts w:ascii="Times New Roman" w:hAnsi="Times New Roman"/>
          <w:sz w:val="20"/>
        </w:rPr>
      </w:pPr>
      <w:r>
        <w:rPr>
          <w:rFonts w:ascii="Times New Roman" w:hAnsi="Times New Roman"/>
          <w:sz w:val="20"/>
        </w:rPr>
        <w:t xml:space="preserve">(b)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hAnsi="Times New Roman"/>
          <w:sz w:val="20"/>
          <w:u w:val="single"/>
        </w:rPr>
        <w:t>provided</w:t>
      </w:r>
      <w:r>
        <w:rPr>
          <w:rFonts w:ascii="Times New Roman" w:hAnsi="Times New Roman"/>
          <w:sz w:val="20"/>
        </w:rPr>
        <w:t xml:space="preserve"> that, at the time of such statement or publication, there is no successor administrator that will continue to provide any Available Tenor of such Benchmark (or such component thereof); or </w:t>
      </w:r>
    </w:p>
    <w:p>
      <w:pPr>
        <w:pStyle w:val="TextBody"/>
        <w:spacing w:before="240" w:after="0"/>
        <w:jc w:val="left"/>
        <w:rPr>
          <w:rFonts w:ascii="Times New Roman" w:hAnsi="Times New Roman"/>
          <w:sz w:val="20"/>
        </w:rPr>
      </w:pPr>
      <w:r>
        <w:rPr>
          <w:rFonts w:ascii="Times New Roman" w:hAnsi="Times New Roman"/>
          <w:sz w:val="20"/>
        </w:rPr>
        <w:t xml:space="preserve">(c) 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w:t>
      </w:r>
    </w:p>
    <w:p>
      <w:pPr>
        <w:pStyle w:val="TextBody"/>
        <w:spacing w:before="240" w:after="0"/>
        <w:jc w:val="left"/>
        <w:rPr>
          <w:rFonts w:ascii="Times New Roman" w:hAnsi="Times New Roman"/>
          <w:sz w:val="20"/>
        </w:rPr>
      </w:pPr>
      <w:r>
        <w:rPr>
          <w:rFonts w:ascii="Times New Roman" w:hAnsi="Times New Roman"/>
          <w:sz w:val="20"/>
        </w:rPr>
        <w:t xml:space="preserve">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Benchmark Unavailability Period</w:t>
      </w:r>
      <w:r>
        <w:rPr>
          <w:rFonts w:ascii="Times New Roman" w:hAnsi="Times New Roman"/>
          <w:sz w:val="20"/>
        </w:rPr>
        <w:t xml:space="preserve"> 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hAnsi="Times New Roman"/>
          <w:sz w:val="20"/>
          <w:u w:val="single"/>
        </w:rPr>
        <w:t>Section 3.8</w:t>
      </w:r>
      <w:r>
        <w:rPr>
          <w:rFonts w:ascii="Times New Roman" w:hAnsi="Times New Roman"/>
          <w:sz w:val="20"/>
        </w:rPr>
        <w:t xml:space="preserve"> and (b) ending at the time that a Benchmark Replacement has replaced the then-current Benchmark for all purposes hereunder and under any Loan Document in accordance with </w:t>
      </w:r>
      <w:r>
        <w:rPr>
          <w:rFonts w:ascii="Times New Roman" w:hAnsi="Times New Roman"/>
          <w:sz w:val="20"/>
          <w:u w:val="single"/>
        </w:rPr>
        <w:t>Section 3.8</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Beneficial Ownership Certification</w:t>
      </w:r>
      <w:r>
        <w:rPr>
          <w:rFonts w:ascii="Times New Roman" w:hAnsi="Times New Roman"/>
          <w:sz w:val="20"/>
        </w:rPr>
        <w:t xml:space="preserve"> means a certification regarding beneficial ownership as required by the Beneficial Ownership Regulation.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Beneficial Ownership Regulation</w:t>
      </w:r>
      <w:r>
        <w:rPr>
          <w:rFonts w:ascii="Times New Roman" w:hAnsi="Times New Roman"/>
          <w:sz w:val="20"/>
        </w:rPr>
        <w:t xml:space="preserve"> means 31 C.F.R. § 1010.230.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Benefit Plan</w:t>
      </w:r>
      <w:r>
        <w:rPr>
          <w:rFonts w:ascii="Times New Roman" w:hAnsi="Times New Roman"/>
          <w:sz w:val="20"/>
        </w:rPr>
        <w:t xml:space="preserve">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Borrower</w:t>
      </w:r>
      <w:r>
        <w:rPr>
          <w:rFonts w:ascii="Times New Roman" w:hAnsi="Times New Roman"/>
          <w:sz w:val="20"/>
        </w:rPr>
        <w:t xml:space="preserve"> has the meaning assigned to such term in the Preamble.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Borrowing</w:t>
      </w:r>
      <w:r>
        <w:rPr>
          <w:rFonts w:ascii="Times New Roman" w:hAnsi="Times New Roman"/>
          <w:sz w:val="20"/>
        </w:rPr>
        <w:t xml:space="preserve"> means a borrowing consisting of simultaneous Loans of the same Type and, in the case of a SOFR Borrowing, having the same Interest Period, made by the Lenders.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means any day other than a Saturday, Sunday or day on which banks in New York City, New York are authorized or required by law to close; </w:t>
      </w:r>
      <w:r>
        <w:rPr>
          <w:rFonts w:ascii="Times New Roman" w:hAnsi="Times New Roman"/>
          <w:sz w:val="20"/>
          <w:u w:val="single"/>
        </w:rPr>
        <w:t>provided</w:t>
      </w:r>
      <w:r>
        <w:rPr>
          <w:rFonts w:ascii="Times New Roman" w:hAnsi="Times New Roman"/>
          <w:sz w:val="20"/>
        </w:rPr>
        <w:t xml:space="preserve"> that, in relation to SOFR Loans and any interest rate settings, fundings, disbursements, settlements or payments of any SOFR Loan, or any other dealings with respect to such SOFR Loan, such day shall also be a Government Securities Business Day.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Capitalized Leases</w:t>
      </w:r>
      <w:r>
        <w:rPr>
          <w:rFonts w:ascii="Times New Roman" w:hAnsi="Times New Roman"/>
          <w:sz w:val="20"/>
        </w:rPr>
        <w:t xml:space="preserve"> means all leases that are required to be capitalized in accordance with GAAP; </w:t>
      </w:r>
      <w:r>
        <w:rPr>
          <w:rFonts w:ascii="Times New Roman" w:hAnsi="Times New Roman"/>
          <w:sz w:val="20"/>
          <w:u w:val="single"/>
        </w:rPr>
        <w:t>provided</w:t>
      </w:r>
      <w:r>
        <w:rPr>
          <w:rFonts w:ascii="Times New Roman" w:hAnsi="Times New Roman"/>
          <w:sz w:val="20"/>
        </w:rPr>
        <w:t xml:space="preserve"> that, for purposes of any calculation or determination hereunder, Holdings and the Borrower may elect that only the amount of those leases that would have been required to be capitalized in accordance with GAAP as it existed on December 31, 2017 be included in Capitalized Leases.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Cash Equivalents</w:t>
      </w:r>
      <w:r>
        <w:rPr>
          <w:rFonts w:ascii="Times New Roman" w:hAnsi="Times New Roman"/>
          <w:sz w:val="20"/>
        </w:rPr>
        <w:t xml:space="preserve"> means each of the following to the extent, except with respect to items described in </w:t>
      </w:r>
      <w:r>
        <w:rPr>
          <w:rFonts w:ascii="Times New Roman" w:hAnsi="Times New Roman"/>
          <w:sz w:val="20"/>
          <w:u w:val="single"/>
        </w:rPr>
        <w:t>clause (f)</w:t>
      </w:r>
      <w:r>
        <w:rPr>
          <w:rFonts w:ascii="Times New Roman" w:hAnsi="Times New Roman"/>
          <w:sz w:val="20"/>
        </w:rPr>
        <w:t xml:space="preserve"> below, denominated in Dollars: </w:t>
      </w:r>
    </w:p>
    <w:p>
      <w:pPr>
        <w:pStyle w:val="TextBody"/>
        <w:spacing w:before="120" w:after="0"/>
        <w:jc w:val="left"/>
        <w:rPr>
          <w:rFonts w:ascii="Times New Roman" w:hAnsi="Times New Roman"/>
          <w:sz w:val="20"/>
        </w:rPr>
      </w:pPr>
      <w:r>
        <w:rPr>
          <w:rFonts w:ascii="Times New Roman" w:hAnsi="Times New Roman"/>
          <w:sz w:val="20"/>
        </w:rPr>
        <w:t xml:space="preserve">(a) debt obligations maturing within one year from the date of acquisition thereof to the extent the principal thereof and interest thereon is backed by the full faith and credit of the United States; </w:t>
      </w:r>
    </w:p>
    <w:p>
      <w:pPr>
        <w:pStyle w:val="TextBody"/>
        <w:spacing w:before="240" w:after="0"/>
        <w:jc w:val="left"/>
        <w:rPr>
          <w:rFonts w:ascii="Times New Roman" w:hAnsi="Times New Roman"/>
          <w:sz w:val="20"/>
        </w:rPr>
      </w:pPr>
      <w:r>
        <w:rPr>
          <w:rFonts w:ascii="Times New Roman" w:hAnsi="Times New Roman"/>
          <w:sz w:val="20"/>
        </w:rPr>
        <w:t xml:space="preserve">(b) commercial paper maturing within 270 days from the date of acquisition thereof and having, at such date of acquisition, the highest credit rating obtainable from S&amp;P or Moodys; </w:t>
      </w:r>
    </w:p>
    <w:p>
      <w:pPr>
        <w:pStyle w:val="TextBody"/>
        <w:spacing w:before="240" w:after="0"/>
        <w:jc w:val="left"/>
        <w:rPr>
          <w:rFonts w:ascii="Times New Roman" w:hAnsi="Times New Roman"/>
          <w:sz w:val="20"/>
        </w:rPr>
      </w:pPr>
      <w:r>
        <w:rPr>
          <w:rFonts w:ascii="Times New Roman" w:hAnsi="Times New Roman"/>
          <w:sz w:val="20"/>
        </w:rPr>
        <w:t xml:space="preserve">(c) certificates of deposit, bankers acceptances and time deposits maturing within 270 days from the date of acquisition thereof issued or guaranteed by or placed with, and money market deposit accounts issued or offered by, any domestic office of any commercial bank organized under the laws of the United States or any state, commonwealth or other political subdivision thereof that has a combined capital and surplus and undivided profits of not less than $500,000,000 or, to the extent not otherwise included, any Lender, and which is rated at least A-2 by S&amp;P and P-2 by Moodys in the note or commercial paper rating category;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(d) repurchase agreements with a term of not more than 30 days for securities described in clause (a) of this definition and entered into with a financial institution satisfying the criteria described in clause (c) of this definition; </w:t>
      </w:r>
    </w:p>
    <w:p>
      <w:pPr>
        <w:pStyle w:val="TextBody"/>
        <w:spacing w:before="240" w:after="0"/>
        <w:jc w:val="left"/>
        <w:rPr>
          <w:rFonts w:ascii="Times New Roman" w:hAnsi="Times New Roman"/>
          <w:sz w:val="20"/>
        </w:rPr>
      </w:pPr>
      <w:r>
        <w:rPr>
          <w:rFonts w:ascii="Times New Roman" w:hAnsi="Times New Roman"/>
          <w:sz w:val="20"/>
        </w:rPr>
        <w:t xml:space="preserve">(e) money market mutual funds, substantially all of the investments of which are in cash or investments contemplated by clauses (a), (b) and (c) of this definition; and </w:t>
      </w:r>
    </w:p>
    <w:p>
      <w:pPr>
        <w:pStyle w:val="TextBody"/>
        <w:spacing w:before="240" w:after="0"/>
        <w:jc w:val="left"/>
        <w:rPr>
          <w:rFonts w:ascii="Times New Roman" w:hAnsi="Times New Roman"/>
          <w:sz w:val="20"/>
        </w:rPr>
      </w:pPr>
      <w:r>
        <w:rPr>
          <w:rFonts w:ascii="Times New Roman" w:hAnsi="Times New Roman"/>
          <w:sz w:val="20"/>
        </w:rPr>
        <w:t xml:space="preserve">(f) with respect to Holdings or any Foreign Subsidiary, (i) obligations of the national government of the country in which Holdings or such Foreign Subsidiary maintains its chief executive office and principal place of business; </w:t>
      </w:r>
      <w:r>
        <w:rPr>
          <w:rFonts w:ascii="Times New Roman" w:hAnsi="Times New Roman"/>
          <w:sz w:val="20"/>
          <w:u w:val="single"/>
        </w:rPr>
        <w:t>provided</w:t>
      </w:r>
      <w:r>
        <w:rPr>
          <w:rFonts w:ascii="Times New Roman" w:hAnsi="Times New Roman"/>
          <w:sz w:val="20"/>
        </w:rPr>
        <w:t xml:space="preserve"> that Holdings or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Holdings or such Foreign Subsidiary maintains its chief executive office and principal place of business; </w:t>
      </w:r>
      <w:r>
        <w:rPr>
          <w:rFonts w:ascii="Times New Roman" w:hAnsi="Times New Roman"/>
          <w:sz w:val="20"/>
          <w:u w:val="single"/>
        </w:rPr>
        <w:t>provided</w:t>
      </w:r>
      <w:r>
        <w:rPr>
          <w:rFonts w:ascii="Times New Roman" w:hAnsi="Times New Roman"/>
          <w:sz w:val="20"/>
        </w:rPr>
        <w:t xml:space="preserve"> such country is a member of the Organization for Economic Cooperation and Development, and whose short term commercial paper rating from S&amp;P is at least A-1 or the equivalent thereof or from Moodys is at least P-1 or the equivalent thereof (any such bank being an </w:t>
      </w:r>
      <w:r>
        <w:rPr>
          <w:rFonts w:ascii="Times New Roman" w:hAnsi="Times New Roman"/>
          <w:sz w:val="20"/>
          <w:u w:val="single"/>
        </w:rPr>
        <w:t>Approved Foreign Bank</w:t>
      </w:r>
      <w:r>
        <w:rPr>
          <w:rFonts w:ascii="Times New Roman" w:hAnsi="Times New Roman"/>
          <w:sz w:val="20"/>
        </w:rPr>
        <w:t xml:space="preserve">), and in each case with maturities of not more than 270 days from the date of acquisition and (iii) the equivalent of demand deposit accounts which are maintained with an Approved Foreign Bank.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Casualty Event</w:t>
      </w:r>
      <w:r>
        <w:rPr>
          <w:rFonts w:ascii="Times New Roman" w:hAnsi="Times New Roman"/>
          <w:sz w:val="20"/>
        </w:rPr>
        <w:t xml:space="preserve"> means any event occurring after the Closing Date that gives rise to the receipt by any Loan Party or any of its Subsidiaries of any property or casualty insurance proceeds (other than the proceeds of business interruption insurance) or condemnation awards, in each case, arising from any damage to, destruction of, or other casualty or loss involving, or any seizure, condemnation, confiscation or taking under power of eminent domain of, or requisition of title or use of or relating to or in respect of, any equipment, fixed assets or Real Property (including any improvements thereon) of such Loan Party or any of its Subsidiaries.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Change in Law</w:t>
      </w:r>
      <w:r>
        <w:rPr>
          <w:rFonts w:ascii="Times New Roman" w:hAnsi="Times New Roman"/>
          <w:sz w:val="20"/>
        </w:rPr>
        <w:t xml:space="preserve"> means the occurrence, after the Agreement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hAnsi="Times New Roman"/>
          <w:sz w:val="20"/>
          <w:u w:val="single"/>
        </w:rPr>
        <w:t>provided</w:t>
      </w:r>
      <w:r>
        <w:rPr>
          <w:rFonts w:ascii="Times New Roman" w:hAnsi="Times New Roman"/>
          <w:sz w:val="20"/>
        </w:rPr>
        <w:t xml:space="preserve"> that, notwithstanding anything herein to the contrary, (i) the Dodd-Frank Wall Street Reform and Consumer Protection Act and all requests, rules, guidelines and directives thereunder or issued in connection therewith or in the implementation thereof and (ii) all requests, rules, guidelines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Change of Control</w:t>
      </w:r>
      <w:r>
        <w:rPr>
          <w:rFonts w:ascii="Times New Roman" w:hAnsi="Times New Roman"/>
          <w:sz w:val="20"/>
        </w:rPr>
        <w:t xml:space="preserve"> means an event or series of events by which (a) any Person or group (within the meaning of Rule 13d-5 of the Securities Exchange Act of 1934 as in effect on the Agreement Date) shall own directly or indirectly, beneficially or of record, shares representing more than 35% of the aggregate ordinary voting power represented by the issued and outstanding Equity Interests of Holdings on a fully diluted basis, (b) Holdings shall fail to own directly, free and clear of all Liens or other encumbrances (other than Liens created pursuant to any Loan Document and non-consensual Liens permitted under </w:t>
      </w:r>
      <w:r>
        <w:rPr>
          <w:rFonts w:ascii="Times New Roman" w:hAnsi="Times New Roman"/>
          <w:sz w:val="20"/>
          <w:u w:val="single"/>
        </w:rPr>
        <w:t>Section 7.2</w:t>
      </w:r>
      <w:r>
        <w:rPr>
          <w:rFonts w:ascii="Times New Roman" w:hAnsi="Times New Roman"/>
          <w:sz w:val="20"/>
        </w:rPr>
        <w:t xml:space="preserve">), 100% of the aggregate ordinary voting power and economic interests represented by the issued and outstanding Equity Interests of the Borrower on a fully diluted basis, (c) Holdings shall fail to own, directly or indirectly, free and clear of all Liens or other encumbrances (other than Liens created pursuant to any Loan Document and non-consensual Liens permitted under </w:t>
      </w:r>
      <w:r>
        <w:rPr>
          <w:rFonts w:ascii="Times New Roman" w:hAnsi="Times New Roman"/>
          <w:sz w:val="20"/>
          <w:u w:val="single"/>
        </w:rPr>
        <w:t>Section 7.2</w:t>
      </w:r>
      <w:r>
        <w:rPr>
          <w:rFonts w:ascii="Times New Roman" w:hAnsi="Times New Roman"/>
          <w:sz w:val="20"/>
        </w:rPr>
        <w:t xml:space="preserve">), 100% of the aggregate ordinary voting power and economic interests represented by the issued and outstanding Equity Interests of each of the other Loan Parties on a fully diluted basis, except where such failure is as a result of 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transaction permitted by the Loan Documents or (d) any change in control (or similar event, however denominated) with respect to any Loan Party or any of its Subsidiaries shall occur under and as defined in any indenture or agreement in respect of Indebtedness in an outstanding principal amount in excess of the Threshold Amount to which any Loan Party or any of its Subsidiaries is a party.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Closing Date</w:t>
      </w:r>
      <w:r>
        <w:rPr>
          <w:rFonts w:ascii="Times New Roman" w:hAnsi="Times New Roman"/>
          <w:sz w:val="20"/>
        </w:rPr>
        <w:t xml:space="preserve"> means April 25, 2023.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Closing Date Transactions</w:t>
      </w:r>
      <w:r>
        <w:rPr>
          <w:rFonts w:ascii="Times New Roman" w:hAnsi="Times New Roman"/>
          <w:sz w:val="20"/>
        </w:rPr>
        <w:t xml:space="preserve"> means the equity investment by the Lenders (or certain of their Affiliates) in Holdings on the Closing Date as set forth in the Subscription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Code</w:t>
      </w:r>
      <w:r>
        <w:rPr>
          <w:rFonts w:ascii="Times New Roman" w:hAnsi="Times New Roman"/>
          <w:sz w:val="20"/>
        </w:rPr>
        <w:t xml:space="preserve"> means the Internal Revenue Code of 1986, as amended from time to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w:t>
      </w:r>
      <w:r>
        <w:rPr>
          <w:rFonts w:ascii="Times New Roman" w:hAnsi="Times New Roman"/>
          <w:sz w:val="20"/>
        </w:rPr>
        <w:t xml:space="preserve"> means all the Collateral as defined in the Collateral Documents and all other property of whatever kind and nature pledged or charged, or purported to be pledged or charged, as collateral under any Collateral Document.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 and Guarantee Requirement</w:t>
      </w:r>
      <w:r>
        <w:rPr>
          <w:rFonts w:ascii="Times New Roman" w:hAnsi="Times New Roman"/>
          <w:sz w:val="20"/>
        </w:rPr>
        <w:t xml:space="preserve"> means, at any time, the requirement that: </w:t>
      </w:r>
    </w:p>
    <w:p>
      <w:pPr>
        <w:pStyle w:val="TextBody"/>
        <w:spacing w:before="120" w:after="0"/>
        <w:jc w:val="left"/>
        <w:rPr>
          <w:rFonts w:ascii="Times New Roman" w:hAnsi="Times New Roman"/>
          <w:sz w:val="20"/>
        </w:rPr>
      </w:pPr>
      <w:r>
        <w:rPr>
          <w:rFonts w:ascii="Times New Roman" w:hAnsi="Times New Roman"/>
          <w:sz w:val="20"/>
        </w:rPr>
        <w:t xml:space="preserve">(a) the Administrative Agent shall have received each Collateral Document required at such time to have been delivered on the Closing Date pursuant to </w:t>
      </w:r>
      <w:r>
        <w:rPr>
          <w:rFonts w:ascii="Times New Roman" w:hAnsi="Times New Roman"/>
          <w:sz w:val="20"/>
          <w:u w:val="single"/>
        </w:rPr>
        <w:t>Section 4.1</w:t>
      </w:r>
      <w:r>
        <w:rPr>
          <w:rFonts w:ascii="Times New Roman" w:hAnsi="Times New Roman"/>
          <w:sz w:val="20"/>
        </w:rPr>
        <w:t xml:space="preserve">, or, following the Closing Date, pursuant to </w:t>
      </w:r>
      <w:r>
        <w:rPr>
          <w:rFonts w:ascii="Times New Roman" w:hAnsi="Times New Roman"/>
          <w:sz w:val="20"/>
          <w:u w:val="single"/>
        </w:rPr>
        <w:t>Section 6.15</w:t>
      </w:r>
      <w:r>
        <w:rPr>
          <w:rFonts w:ascii="Times New Roman" w:hAnsi="Times New Roman"/>
          <w:sz w:val="20"/>
        </w:rPr>
        <w:t xml:space="preserve"> (to the extent not delivered on the Closing Date) or </w:t>
      </w:r>
      <w:r>
        <w:rPr>
          <w:rFonts w:ascii="Times New Roman" w:hAnsi="Times New Roman"/>
          <w:sz w:val="20"/>
          <w:u w:val="single"/>
        </w:rPr>
        <w:t>Section 6.12</w:t>
      </w:r>
      <w:r>
        <w:rPr>
          <w:rFonts w:ascii="Times New Roman" w:hAnsi="Times New Roman"/>
          <w:sz w:val="20"/>
        </w:rPr>
        <w:t xml:space="preserve">, duly executed by each Loan Party that is a party thereto; </w:t>
      </w:r>
    </w:p>
    <w:p>
      <w:pPr>
        <w:pStyle w:val="TextBody"/>
        <w:spacing w:before="240" w:after="0"/>
        <w:jc w:val="left"/>
        <w:rPr>
          <w:rFonts w:ascii="Times New Roman" w:hAnsi="Times New Roman"/>
          <w:sz w:val="20"/>
        </w:rPr>
      </w:pPr>
      <w:r>
        <w:rPr>
          <w:rFonts w:ascii="Times New Roman" w:hAnsi="Times New Roman"/>
          <w:sz w:val="20"/>
        </w:rPr>
        <w:t xml:space="preserve">(b) all Secured Obligations shall have been unconditionally guaranteed jointly and severally on a senior basis by each Person that is a Guarantor at such time; </w:t>
      </w:r>
    </w:p>
    <w:p>
      <w:pPr>
        <w:pStyle w:val="TextBody"/>
        <w:spacing w:before="240" w:after="0"/>
        <w:jc w:val="left"/>
        <w:rPr>
          <w:rFonts w:ascii="Times New Roman" w:hAnsi="Times New Roman"/>
          <w:sz w:val="20"/>
        </w:rPr>
      </w:pPr>
      <w:r>
        <w:rPr>
          <w:rFonts w:ascii="Times New Roman" w:hAnsi="Times New Roman"/>
          <w:sz w:val="20"/>
        </w:rPr>
        <w:t xml:space="preserve">(c) except to the extent otherwise provided hereunder or under any Collateral Document, the Secured Obligations shall have been secured by a perfected first priority (subject to Liens expressly permitted pursuant to </w:t>
      </w:r>
      <w:r>
        <w:rPr>
          <w:rFonts w:ascii="Times New Roman" w:hAnsi="Times New Roman"/>
          <w:sz w:val="20"/>
          <w:u w:val="single"/>
        </w:rPr>
        <w:t>Section 7.2</w:t>
      </w:r>
      <w:r>
        <w:rPr>
          <w:rFonts w:ascii="Times New Roman" w:hAnsi="Times New Roman"/>
          <w:sz w:val="20"/>
        </w:rPr>
        <w:t>) security interest in substantially all tangible and intangible assets of each Person that is a Loan Party at such time (including (i) accounts receivable, (ii) deposit accounts, commodity accounts and security accounts, which, if located in the United States, shall be Controlled Accounts to the extent provided in the Collateral Documents, and, if located outside the United States, shall be subject to a perfected Lien subject to such other customary Collateral Documents as Required Lenders shall request, except that no Excluded Account (as such term is defined in the Security Agreement) shall be required to be a Controlled Account, (iii) inventory, (iv) machinery and equipment, (v) investment property, (vi) cash, (vii) Intellectual Property, (viii) other general intangibles, (ix) Material Owned Real Property, (x) all Equity Interests of each Loan Party (other than Holdings), including Pledged Debt, Pledged Debt Securities and Pledged Equity Interests (as such terms are defined in the Security Agreement), (xi) motor vehicles (</w:t>
      </w:r>
      <w:r>
        <w:rPr>
          <w:rFonts w:ascii="Times New Roman" w:hAnsi="Times New Roman"/>
          <w:sz w:val="20"/>
          <w:u w:val="single"/>
        </w:rPr>
        <w:t>provided</w:t>
      </w:r>
      <w:r>
        <w:rPr>
          <w:rFonts w:ascii="Times New Roman" w:hAnsi="Times New Roman"/>
          <w:sz w:val="20"/>
        </w:rPr>
        <w:t xml:space="preserve"> that no action shall be required to be taken to perfect the security interest therein other than the filing of a UCC financing statement) and (xii) the proceeds of the foregoing), it being understood that in the case of the pledge of Equity Interests, the Administrative Agent shall receive all stock certificates or other instruments (if any) representing such Equity Interests, together with stock powers or other instruments of transfer with respect thereto endorsed in blank, in each case, to the extent provided in the Collateral Documents; </w:t>
      </w:r>
      <w:r>
        <w:rPr>
          <w:rFonts w:ascii="Times New Roman" w:hAnsi="Times New Roman"/>
          <w:sz w:val="20"/>
          <w:u w:val="single"/>
        </w:rPr>
        <w:t>provided</w:t>
      </w:r>
      <w:r>
        <w:rPr>
          <w:rFonts w:ascii="Times New Roman" w:hAnsi="Times New Roman"/>
          <w:sz w:val="20"/>
        </w:rPr>
        <w:t xml:space="preserve"> that the pledge of any Equity Interests in respect of any Subsidiaries that are not Wholly-Owned Subsidiaries shall be limited to the Equity Interests actually owned by the applicable pledgor and the pledge of any Equity Interests in any Foreign Subsidiary that is a Controlled Foreign Corporation or in any FSHC shall be limited to 65% of the outstanding voting stock and 100% of the outstanding non-voting stock thereof;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(d) except to the extent otherwise provided hereunder or under any Collateral Document, the Secured Obligations shall have been secured by a first priority security interest (subject to Liens expressly permitted under </w:t>
      </w:r>
      <w:r>
        <w:rPr>
          <w:rFonts w:ascii="Times New Roman" w:hAnsi="Times New Roman"/>
          <w:sz w:val="20"/>
          <w:u w:val="single"/>
        </w:rPr>
        <w:t>Section 7.2</w:t>
      </w:r>
      <w:r>
        <w:rPr>
          <w:rFonts w:ascii="Times New Roman" w:hAnsi="Times New Roman"/>
          <w:sz w:val="20"/>
        </w:rPr>
        <w:t xml:space="preserve">) in (i) all Indebtedness of Holdings, the Borrower and each of their respective Subsidiaries that is owing to any Loan Party and (ii) all other Indebtedness owed to a Loan Party, which if evidenced by a promissory note or other instrument, shall have been pledged to the Administrative Agent, and in each case under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the Administrative Agent shall have received such promissory notes and other instruments together with note powers or other instruments of transfer with respect thereto endorsed in blank, in each case, to the extent provided in the Collateral Documents; </w:t>
      </w:r>
    </w:p>
    <w:p>
      <w:pPr>
        <w:pStyle w:val="TextBody"/>
        <w:spacing w:before="240" w:after="0"/>
        <w:jc w:val="left"/>
        <w:rPr>
          <w:rFonts w:ascii="Times New Roman" w:hAnsi="Times New Roman"/>
          <w:sz w:val="20"/>
        </w:rPr>
      </w:pPr>
      <w:r>
        <w:rPr>
          <w:rFonts w:ascii="Times New Roman" w:hAnsi="Times New Roman"/>
          <w:sz w:val="20"/>
        </w:rPr>
        <w:t xml:space="preserve">(e) none of the Collateral shall be subject to any Lien other than Liens expressly permitted by </w:t>
      </w:r>
      <w:r>
        <w:rPr>
          <w:rFonts w:ascii="Times New Roman" w:hAnsi="Times New Roman"/>
          <w:sz w:val="20"/>
          <w:u w:val="single"/>
        </w:rPr>
        <w:t>Section 7.2</w:t>
      </w:r>
      <w:r>
        <w:rPr>
          <w:rFonts w:ascii="Times New Roman" w:hAnsi="Times New Roman"/>
          <w:sz w:val="20"/>
        </w:rPr>
        <w:t xml:space="preserve">; and </w:t>
      </w:r>
    </w:p>
    <w:p>
      <w:pPr>
        <w:pStyle w:val="TextBody"/>
        <w:spacing w:before="240" w:after="0"/>
        <w:jc w:val="left"/>
        <w:rPr>
          <w:rFonts w:ascii="Times New Roman" w:hAnsi="Times New Roman"/>
          <w:sz w:val="20"/>
        </w:rPr>
      </w:pPr>
      <w:r>
        <w:rPr>
          <w:rFonts w:ascii="Times New Roman" w:hAnsi="Times New Roman"/>
          <w:sz w:val="20"/>
        </w:rPr>
        <w:t xml:space="preserve">(f) the Administrative Agent shall have received a Perfection Certificate with respect to each Person that is a Loan Party at such time. </w:t>
      </w:r>
    </w:p>
    <w:p>
      <w:pPr>
        <w:pStyle w:val="TextBody"/>
        <w:spacing w:before="240" w:after="0"/>
        <w:jc w:val="left"/>
        <w:rPr>
          <w:rFonts w:ascii="Times New Roman" w:hAnsi="Times New Roman"/>
          <w:sz w:val="20"/>
        </w:rPr>
      </w:pPr>
      <w:r>
        <w:rPr>
          <w:rFonts w:ascii="Times New Roman" w:hAnsi="Times New Roman"/>
          <w:sz w:val="20"/>
        </w:rPr>
        <w:t xml:space="preserve">The foregoing definition shall not require the provision of guarantees or the creation or perfection of pledges of or security interests in particular assets if and for so long as the Required Lenders agree in writing that the cost, burden, difficulty or consequence of providing such guarantees or creating or perfecting such pledges or security interests in such assets shall be excessive in view of the benefits to be obtained by the Lenders therefrom (taking into account any adverse tax consequences to Holdings and its Subsidiaries, including the imposition of withholding or other Taxes). Notwithstanding anything to the contrary herein, in no event will any of the outstanding voting stock of a Subsidiary that is a Controlled Foreign Corporation or an FSHC, in excess of 65% of the voting power of all classes of capital stock of such Controlled Foreign Corporation or FSHC entitled to vote, be pledged, or will any obligation under any Loan Document be directly or indirectly guaranteed by any such Subsidiary, or secured by a pledge of or security interest in any asset owned by such Subsidiary. </w:t>
      </w:r>
    </w:p>
    <w:p>
      <w:pPr>
        <w:pStyle w:val="TextBody"/>
        <w:spacing w:before="240" w:after="0"/>
        <w:jc w:val="left"/>
        <w:rPr>
          <w:rFonts w:ascii="Times New Roman" w:hAnsi="Times New Roman"/>
          <w:sz w:val="20"/>
        </w:rPr>
      </w:pPr>
      <w:r>
        <w:rPr>
          <w:rFonts w:ascii="Times New Roman" w:hAnsi="Times New Roman"/>
          <w:sz w:val="20"/>
        </w:rPr>
        <w:t xml:space="preserve">The Administrative Agent (at the direction of the Required Lenders) may grant extensions of time for the perfection of security interests in and the other requirements pursuant to this definition with respect to particular assets (including extensions beyond the Closing Date for the perfection of security interests in the assets of the Loan Parties on such date) where the Required Lenders reasonably determine (and without the consent of any other Secured Party), that, except as may be required by law, perfection or other requirements cannot be accomplished without undue effort or expense by the time or times at which it would otherwise be required by this Credit Agreement or the Collateral Documents. </w:t>
      </w:r>
    </w:p>
    <w:p>
      <w:pPr>
        <w:pStyle w:val="TextBody"/>
        <w:spacing w:before="240" w:after="0"/>
        <w:jc w:val="left"/>
        <w:rPr>
          <w:rFonts w:ascii="Times New Roman" w:hAnsi="Times New Roman"/>
          <w:sz w:val="20"/>
        </w:rPr>
      </w:pPr>
      <w:r>
        <w:rPr>
          <w:rFonts w:ascii="Times New Roman" w:hAnsi="Times New Roman"/>
          <w:sz w:val="20"/>
        </w:rPr>
        <w:t xml:space="preserve">Notwithstanding the foregoing provisions of this definition or anything in this Credit Agreement or any other Loan Document to the contrary, (a) Liens required to be granted from time to time pursuant to the Collateral and Guarantee Requirement shall be subject to exceptions and limitations set forth herein and in the Collateral Documents and, to the extent appropriate in the applicable jurisdiction, as agreed between the Administrative Agent (at the direction of the Required Lenders) and the Borrower, and (b) in no event shall the Collateral include any Excluded Assets (as such term is defined in the Security Agreement), except to the extent subject to a Foreign Security Document (as such term is defined in the Security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 Documents</w:t>
      </w:r>
      <w:r>
        <w:rPr>
          <w:rFonts w:ascii="Times New Roman" w:hAnsi="Times New Roman"/>
          <w:sz w:val="20"/>
        </w:rPr>
        <w:t xml:space="preserve"> means, collectively, the Security Agreement, each account control agreement, each Mortgage, each Copyright Security Agreement, each Patent Security Agreement, each Trademark Security Agreement, and each other security agreement, instrument or other document executed or delivered pursuant to the Collateral and Guarantee Requirement, </w:t>
      </w:r>
      <w:r>
        <w:rPr>
          <w:rFonts w:ascii="Times New Roman" w:hAnsi="Times New Roman"/>
          <w:sz w:val="20"/>
          <w:u w:val="single"/>
        </w:rPr>
        <w:t>Schedule 4.1(f)</w:t>
      </w:r>
      <w:r>
        <w:rPr>
          <w:rFonts w:ascii="Times New Roman" w:hAnsi="Times New Roman"/>
          <w:sz w:val="20"/>
        </w:rPr>
        <w:t xml:space="preserve">, </w:t>
      </w:r>
      <w:r>
        <w:rPr>
          <w:rFonts w:ascii="Times New Roman" w:hAnsi="Times New Roman"/>
          <w:sz w:val="20"/>
          <w:u w:val="single"/>
        </w:rPr>
        <w:t>Section 6.12</w:t>
      </w:r>
      <w:r>
        <w:rPr>
          <w:rFonts w:ascii="Times New Roman" w:hAnsi="Times New Roman"/>
          <w:sz w:val="20"/>
        </w:rPr>
        <w:t xml:space="preserve">, </w:t>
      </w:r>
      <w:r>
        <w:rPr>
          <w:rFonts w:ascii="Times New Roman" w:hAnsi="Times New Roman"/>
          <w:sz w:val="20"/>
          <w:u w:val="single"/>
        </w:rPr>
        <w:t>Section 6.15</w:t>
      </w:r>
      <w:r>
        <w:rPr>
          <w:rFonts w:ascii="Times New Roman" w:hAnsi="Times New Roman"/>
          <w:sz w:val="20"/>
        </w:rPr>
        <w:t xml:space="preserve"> or the Security Agreement in order to secure any of the Secured Obligations.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Commitment</w:t>
      </w:r>
      <w:r>
        <w:rPr>
          <w:rFonts w:ascii="Times New Roman" w:hAnsi="Times New Roman"/>
          <w:sz w:val="20"/>
        </w:rPr>
        <w:t xml:space="preserve"> means with respect to any Lender, such Lenders Term Loan Commitment.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Commodity Exchange Act</w:t>
      </w:r>
      <w:r>
        <w:rPr>
          <w:rFonts w:ascii="Times New Roman" w:hAnsi="Times New Roman"/>
          <w:sz w:val="20"/>
        </w:rPr>
        <w:t xml:space="preserve"> means the Commodity Exchange Act of 1936 (7 U.S.C. § 1 et seq.) and any successor statute.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Communications</w:t>
      </w:r>
      <w:r>
        <w:rPr>
          <w:rFonts w:ascii="Times New Roman" w:hAnsi="Times New Roman"/>
          <w:sz w:val="20"/>
        </w:rPr>
        <w:t xml:space="preserve"> means, collectively, any notice, demand, communication, information, document or other material provided by or on behalf of any Loan Party pursuant to any Loan Document or the transactions contemplated therein which is distributed to the Administrative Agent or any Lender by means of electronic communications pursuant to </w:t>
      </w:r>
      <w:r>
        <w:rPr>
          <w:rFonts w:ascii="Times New Roman" w:hAnsi="Times New Roman"/>
          <w:sz w:val="20"/>
          <w:u w:val="single"/>
        </w:rPr>
        <w:t>Section 10.1</w:t>
      </w:r>
      <w:r>
        <w:rPr>
          <w:rFonts w:ascii="Times New Roman" w:hAnsi="Times New Roman"/>
          <w:sz w:val="20"/>
        </w:rPr>
        <w:t xml:space="preserve">, including through the Platform.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Compliance Certificate</w:t>
      </w:r>
      <w:r>
        <w:rPr>
          <w:rFonts w:ascii="Times New Roman" w:hAnsi="Times New Roman"/>
          <w:sz w:val="20"/>
        </w:rPr>
        <w:t xml:space="preserve"> means a certificate, substantially in the form of </w:t>
      </w:r>
      <w:r>
        <w:rPr>
          <w:rFonts w:ascii="Times New Roman" w:hAnsi="Times New Roman"/>
          <w:sz w:val="20"/>
          <w:u w:val="single"/>
        </w:rPr>
        <w:t>Exhibit C</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Conforming Changes</w:t>
      </w:r>
      <w:r>
        <w:rPr>
          <w:rFonts w:ascii="Times New Roman" w:hAnsi="Times New Roman"/>
          <w:sz w:val="20"/>
        </w:rPr>
        <w:t xml:space="preserve"> means, with respect to either the use or administration of the Benchmark, or the use, administration, adoption or implementation of any Benchmark Replacement, any technical, administrative or operational changes (including, for example and not by way of limitation or prescription, changes to the definition of Alternate Base Rate, the definition of Business Day, the definition of Interest Period or any similar or analogous definition, the definition of Government Securities Business Day, timing and frequency of determining rates and making payments of interest, timing of borrowing requests or prepayment, conversion or continuation notices, the applicability and length of lookback periods, the applicability of </w:t>
      </w:r>
      <w:r>
        <w:rPr>
          <w:rFonts w:ascii="Times New Roman" w:hAnsi="Times New Roman"/>
          <w:sz w:val="20"/>
          <w:u w:val="single"/>
        </w:rPr>
        <w:t>Section 3.5</w:t>
      </w:r>
      <w:r>
        <w:rPr>
          <w:rFonts w:ascii="Times New Roman" w:hAnsi="Times New Roman"/>
          <w:sz w:val="20"/>
        </w:rPr>
        <w:t xml:space="preserve">, and other technical, administrative or operational matters) that the Required Lenders decide (after consultation with the Administrative Agent) may be appropriate in connection with the use or administration of the Benchmark or to reflect the adoption and implementation of any Benchmark Replacement or to permit the use and administration thereof by the Administrative Agent in a manner substantially consistent with market practice (or, if the Administrative Agent determines that adoption of any portion of such market practice suggested to be adopted by the Required Lenders is not administratively feasible or if the Required Lenders determine that no market practice for the administration of any such rate exists, in such other manner of administration as the Required Lenders decide is reasonably necessary in connection with the administration of this Credit Agreement and the other Loan Documents); </w:t>
      </w:r>
      <w:r>
        <w:rPr>
          <w:rFonts w:ascii="Times New Roman" w:hAnsi="Times New Roman"/>
          <w:sz w:val="20"/>
          <w:u w:val="single"/>
        </w:rPr>
        <w:t>provided</w:t>
      </w:r>
      <w:r>
        <w:rPr>
          <w:rFonts w:ascii="Times New Roman" w:hAnsi="Times New Roman"/>
          <w:sz w:val="20"/>
        </w:rPr>
        <w:t xml:space="preserve"> that any such changes shall be administratively feasible for the Administrative Agent.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Connection Income Taxes</w:t>
      </w:r>
      <w:r>
        <w:rPr>
          <w:rFonts w:ascii="Times New Roman" w:hAnsi="Times New Roman"/>
          <w:sz w:val="20"/>
        </w:rPr>
        <w:t xml:space="preserve"> means Other Connection Taxes that are imposed on or measured by net income (however denominated) or that are franchise Taxes or branch profits Taxes.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Depreciation and Amortization Expense</w:t>
      </w:r>
      <w:r>
        <w:rPr>
          <w:rFonts w:ascii="Times New Roman" w:hAnsi="Times New Roman"/>
          <w:sz w:val="20"/>
        </w:rPr>
        <w:t xml:space="preserve"> means, with respect to any Person for any period, the total amount of depreciation and amortization expense, including the amortization of deferred financing fees or costs, capitalized expenditures, customer acquisition costs and incentive payments, conversion costs and contract acquisition costs, the amortization of original issue discount and amortization of favorable or unfavorable lease assets or liabilities, of such Person and its Subsidiaries for such period on a consolidated basis and otherwise determined in accordance with GAAP.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EBITDA</w:t>
      </w:r>
      <w:r>
        <w:rPr>
          <w:rFonts w:ascii="Times New Roman" w:hAnsi="Times New Roman"/>
          <w:sz w:val="20"/>
        </w:rPr>
        <w:t xml:space="preserve"> means, with respect to any Person for any period, the Consolidated Net Income of such Person and its Subsidiaries for such period: </w:t>
      </w:r>
    </w:p>
    <w:p>
      <w:pPr>
        <w:pStyle w:val="TextBody"/>
        <w:spacing w:before="120" w:after="0"/>
        <w:jc w:val="left"/>
        <w:rPr>
          <w:rFonts w:ascii="Times New Roman" w:hAnsi="Times New Roman"/>
          <w:sz w:val="20"/>
        </w:rPr>
      </w:pPr>
      <w:r>
        <w:rPr>
          <w:rFonts w:ascii="Times New Roman" w:hAnsi="Times New Roman"/>
          <w:sz w:val="20"/>
        </w:rPr>
        <w:t xml:space="preserve">(a) increased (without duplication) by the following, in each case, to the extent deducted (and not added back) in computing Consolidated Net Income for such Person for such period: </w:t>
      </w:r>
    </w:p>
    <w:p>
      <w:pPr>
        <w:pStyle w:val="TextBody"/>
        <w:spacing w:before="120" w:after="0"/>
        <w:jc w:val="left"/>
        <w:rPr>
          <w:rFonts w:ascii="Times New Roman" w:hAnsi="Times New Roman"/>
          <w:sz w:val="20"/>
        </w:rPr>
      </w:pPr>
      <w:r>
        <w:rPr>
          <w:rFonts w:ascii="Times New Roman" w:hAnsi="Times New Roman"/>
          <w:sz w:val="20"/>
        </w:rPr>
        <w:t xml:space="preserve">(i) provision for Taxes based on income or profits or capital, including federal, state, local and foreign income, franchise, excise and similar taxes of such Person and its Subsidiaries paid or payable in cash during such period, including any penalties and interest; </w:t>
      </w:r>
      <w:r>
        <w:rPr>
          <w:rFonts w:ascii="Times New Roman" w:hAnsi="Times New Roman"/>
          <w:sz w:val="20"/>
          <w:u w:val="single"/>
        </w:rPr>
        <w:t>plus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(ii) Consolidated Interest Expense of such Person and its Subsidiaries to the extent paid or payable in cash or otherwise; </w:t>
      </w:r>
      <w:r>
        <w:rPr>
          <w:rFonts w:ascii="Times New Roman" w:hAnsi="Times New Roman"/>
          <w:sz w:val="20"/>
          <w:u w:val="single"/>
        </w:rPr>
        <w:t>plus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(iii) Consolidated Depreciation and Amortization Expense of such Person and its Subsidiaries; </w:t>
      </w:r>
      <w:r>
        <w:rPr>
          <w:rFonts w:ascii="Times New Roman" w:hAnsi="Times New Roman"/>
          <w:sz w:val="20"/>
          <w:u w:val="single"/>
        </w:rPr>
        <w:t>plus</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(iv) non-cash compensation charges and expenses, including any such non-cash charges and expenses arising from grants of stock appreciation or similar rights, phantom equity, stock options, restricted stock or other rights or equity incentive programs and non-cash deemed finance charges in respect of any pension liabilities or other provisions; </w:t>
      </w:r>
      <w:r>
        <w:rPr>
          <w:rFonts w:ascii="Times New Roman" w:hAnsi="Times New Roman"/>
          <w:sz w:val="20"/>
          <w:u w:val="single"/>
        </w:rPr>
        <w:t>plus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(v) any other non-cash losses, charges and expenses, including write-offs and write-downs (excluding any non-cash charges that constitute an accrual of or a reserve for future cash charges or are reasonably likely to result in a cash outlay in a future period); </w:t>
      </w:r>
      <w:r>
        <w:rPr>
          <w:rFonts w:ascii="Times New Roman" w:hAnsi="Times New Roman"/>
          <w:sz w:val="20"/>
          <w:u w:val="single"/>
        </w:rPr>
        <w:t>plus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(vi) extraordinary, non-recurring, unusual or exceptional losses, charges and expenses; </w:t>
      </w:r>
      <w:r>
        <w:rPr>
          <w:rFonts w:ascii="Times New Roman" w:hAnsi="Times New Roman"/>
          <w:sz w:val="20"/>
          <w:u w:val="single"/>
        </w:rPr>
        <w:t>plus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(vii) losses, charges and expenses relating to the Transactions regardless of when paid (including the write-off of deferred financing fees capitalized on the balance sheet corresponding to the Existing Debt Facility, any financial advisory fees, filing fees, accounting fees, legal fees and other similar advisory and consulting fees and related out-of-pocket expenses and other fees, discounts and commissions, including with regard to arranging or syndication); </w:t>
      </w:r>
      <w:r>
        <w:rPr>
          <w:rFonts w:ascii="Times New Roman" w:hAnsi="Times New Roman"/>
          <w:sz w:val="20"/>
          <w:u w:val="single"/>
        </w:rPr>
        <w:t>plus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(viii) losses, charges and expenses related to closing or relocation of facilities and severance and terminations; </w:t>
      </w:r>
      <w:r>
        <w:rPr>
          <w:rFonts w:ascii="Times New Roman" w:hAnsi="Times New Roman"/>
          <w:sz w:val="20"/>
          <w:u w:val="single"/>
        </w:rPr>
        <w:t>plus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(ix) losses, charges and expenses in connection with the sale or Disposition of assets (including Dispositions pursuant to Sale and Leaseback transactions) other than in the ordinary course of business or the Disposition of any securities; </w:t>
      </w:r>
      <w:r>
        <w:rPr>
          <w:rFonts w:ascii="Times New Roman" w:hAnsi="Times New Roman"/>
          <w:sz w:val="20"/>
          <w:u w:val="single"/>
        </w:rPr>
        <w:t>plus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(x) losses, charges and expenses attributable to abandoned, closed, disposed or discontinued operations and losses, charges and expenses related to the disposal of disposed, abandoned, closed or discontinued operations; </w:t>
      </w:r>
      <w:r>
        <w:rPr>
          <w:rFonts w:ascii="Times New Roman" w:hAnsi="Times New Roman"/>
          <w:sz w:val="20"/>
          <w:u w:val="single"/>
        </w:rPr>
        <w:t>plus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(xi) losses, charges and expenses attributable to the early extinguishment or conversion of Indebtedness, Swap Agreements or other derivative instruments (including deferred financing expenses written off and premiums paid); </w:t>
      </w:r>
      <w:r>
        <w:rPr>
          <w:rFonts w:ascii="Times New Roman" w:hAnsi="Times New Roman"/>
          <w:sz w:val="20"/>
          <w:u w:val="single"/>
        </w:rPr>
        <w:t>plus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(xii) the amount of any minority interest expense deducted from subsidiary income attributable to minority equity interests of third parties in any non-Wholly Owned subsidiary; </w:t>
      </w:r>
      <w:r>
        <w:rPr>
          <w:rFonts w:ascii="Times New Roman" w:hAnsi="Times New Roman"/>
          <w:sz w:val="20"/>
          <w:u w:val="single"/>
        </w:rPr>
        <w:t xml:space="preserve">plus </w:t>
      </w:r>
    </w:p>
    <w:p>
      <w:pPr>
        <w:pStyle w:val="TextBody"/>
        <w:spacing w:before="120" w:after="0"/>
        <w:jc w:val="left"/>
        <w:rPr>
          <w:rFonts w:ascii="Times New Roman" w:hAnsi="Times New Roman"/>
          <w:sz w:val="20"/>
        </w:rPr>
      </w:pPr>
      <w:r>
        <w:rPr>
          <w:rFonts w:ascii="Times New Roman" w:hAnsi="Times New Roman"/>
          <w:sz w:val="20"/>
        </w:rPr>
        <w:t xml:space="preserve">(xiii) losses, charges and expenses related to mergers and acquisitions to the extent permitted hereunder, and the amount of any cost savings or synergies certified by a Financial Officer of Holdings as being projected by Holdings in good faith to be realized as a result of specified actions taken or expected to be taken in respect of any such permitted merger or acquisition prior to or during such period (which cost savings or synergies shall be calculated on a Pro Forma Basis as though such cost savings or synergies had been realized on the first day of the relevant period), net of the amount of actual benefits realized during such period from such actions; </w:t>
      </w:r>
      <w:r>
        <w:rPr>
          <w:rFonts w:ascii="Times New Roman" w:hAnsi="Times New Roman"/>
          <w:sz w:val="20"/>
          <w:u w:val="single"/>
        </w:rPr>
        <w:t>provided</w:t>
      </w:r>
      <w:r>
        <w:rPr>
          <w:rFonts w:ascii="Times New Roman" w:hAnsi="Times New Roman"/>
          <w:sz w:val="20"/>
        </w:rPr>
        <w:t xml:space="preserve"> that (A) such cost savings or synergies are reasonably identifiable and factually supportable, (B) such actions have been taken or are to be taken within twelve (12) months after the date of consummation of such merger or acquisition and (C) to the extent the consideration for any related merger or acquisition exceeds $10,000,000, Holdings shall have provided to the Administrative Agent and Lenders a quality of earnings report from an independent accounting firm supporting such cost savings and synergies;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(xiv) losses, charges and expenses related to payments made to option holders of Holdings in connection with, or as a result of, any distribution being made to holders of Equity Interests of Holdings, which payments are being made to compensate such option holders as though they were holders of Equity Interests at the time of, and entitled to share in, such distribution; </w:t>
      </w:r>
      <w:r>
        <w:rPr>
          <w:rFonts w:ascii="Times New Roman" w:hAnsi="Times New Roman"/>
          <w:sz w:val="20"/>
          <w:u w:val="single"/>
        </w:rPr>
        <w:t>plus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(xv) business interruption insurance in an amount representing the earnings for the applicable period that such proceeds are intended to replace (whether or not received, so long as Holdings or any Subsidiary receive the same within the next four fiscal quarters (it being understood that to the extent not actually received within such four fiscal quarter period, such proceeds shall be deducted in calculating Consolidated EBITDA for the next four fiscal period)); </w:t>
      </w:r>
      <w:r>
        <w:rPr>
          <w:rFonts w:ascii="Times New Roman" w:hAnsi="Times New Roman"/>
          <w:sz w:val="20"/>
          <w:u w:val="single"/>
        </w:rPr>
        <w:t>plus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(xvi) cash receipts (or any netting arrangements resulting in reduced cash expenditures) not included in Consolidated EBITDA or Consolidated Net Income in any period to the extent non-cash gains relating to such cash receipts or netting arrangement were deducted in the calculation of Consolidated EBITDA pursuant to </w:t>
      </w:r>
      <w:r>
        <w:rPr>
          <w:rFonts w:ascii="Times New Roman" w:hAnsi="Times New Roman"/>
          <w:sz w:val="20"/>
          <w:u w:val="single"/>
        </w:rPr>
        <w:t>clause (b)</w:t>
      </w:r>
      <w:r>
        <w:rPr>
          <w:rFonts w:ascii="Times New Roman" w:hAnsi="Times New Roman"/>
          <w:sz w:val="20"/>
        </w:rPr>
        <w:t xml:space="preserve"> below for any prior period and not added back; and </w:t>
      </w:r>
    </w:p>
    <w:p>
      <w:pPr>
        <w:pStyle w:val="TextBody"/>
        <w:spacing w:before="240" w:after="0"/>
        <w:jc w:val="left"/>
        <w:rPr>
          <w:rFonts w:ascii="Times New Roman" w:hAnsi="Times New Roman"/>
          <w:sz w:val="20"/>
        </w:rPr>
      </w:pPr>
      <w:r>
        <w:rPr>
          <w:rFonts w:ascii="Times New Roman" w:hAnsi="Times New Roman"/>
          <w:sz w:val="20"/>
        </w:rPr>
        <w:t xml:space="preserve">(b) decreased (without duplication) by the following, in each case, to the extent taken into account (or added back) in computing Consolidated Net Income for such Person for such period: </w:t>
      </w:r>
    </w:p>
    <w:p>
      <w:pPr>
        <w:pStyle w:val="TextBody"/>
        <w:spacing w:before="120" w:after="0"/>
        <w:jc w:val="left"/>
        <w:rPr>
          <w:rFonts w:ascii="Times New Roman" w:hAnsi="Times New Roman"/>
          <w:sz w:val="20"/>
        </w:rPr>
      </w:pPr>
      <w:r>
        <w:rPr>
          <w:rFonts w:ascii="Times New Roman" w:hAnsi="Times New Roman"/>
          <w:sz w:val="20"/>
        </w:rPr>
        <w:t xml:space="preserve">(i) interest income to the extent received in cash or otherwise during such period; </w:t>
      </w:r>
      <w:r>
        <w:rPr>
          <w:rFonts w:ascii="Times New Roman" w:hAnsi="Times New Roman"/>
          <w:sz w:val="20"/>
          <w:u w:val="single"/>
        </w:rPr>
        <w:t>plus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(ii) any gain realized in connection with the sale or Disposition of assets (including Dispositions pursuant to Sale and Leaseback transactions) other than in the ordinary course of business or the Disposition of any securities or the extinguishment of any Indebtedness; </w:t>
      </w:r>
      <w:r>
        <w:rPr>
          <w:rFonts w:ascii="Times New Roman" w:hAnsi="Times New Roman"/>
          <w:sz w:val="20"/>
          <w:u w:val="single"/>
        </w:rPr>
        <w:t>plus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(iii) extraordinary, non-recurring, unusual or exceptional gains. </w:t>
      </w:r>
    </w:p>
    <w:p>
      <w:pPr>
        <w:pStyle w:val="TextBody"/>
        <w:spacing w:before="240" w:after="0"/>
        <w:jc w:val="left"/>
        <w:rPr>
          <w:rFonts w:ascii="Times New Roman" w:hAnsi="Times New Roman"/>
          <w:sz w:val="20"/>
        </w:rPr>
      </w:pPr>
      <w:r>
        <w:rPr>
          <w:rFonts w:ascii="Times New Roman" w:hAnsi="Times New Roman"/>
          <w:sz w:val="20"/>
        </w:rPr>
        <w:t xml:space="preserve">For purposes of determining the Consolidated Leverage Ratio, (a) there shall be included in determining Consolidated EBITDA of Holdings and its Subsidiaries for any period, without duplication, (i) the Acquired EBITDA of any Acquired Entity or Business on a Pro Forma Basis and (b) there shall be excluded in determining Consolidated EBITDA of the Borrower and its Subsidiaries for any period, the Disposed EBITDA of any Sold Entity or Business on a Pro Forma Basis.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Interest Expense</w:t>
      </w:r>
      <w:r>
        <w:rPr>
          <w:rFonts w:ascii="Times New Roman" w:hAnsi="Times New Roman"/>
          <w:sz w:val="20"/>
        </w:rPr>
        <w:t xml:space="preserve"> means, with respect to any Person and its Subsidiaries for any period, the sum of (a) consolidated total interest expense of such Person and its Subsidiaries for such period, whether paid or accrued and whether or not capitalized (including (without duplication), amortization of debt issuance costs and original issue discount, premiums paid to obtain payment, financial assurance, surety or similar bonds, interest capitalized during construction, non-cash interest payments, the interest component of any deferred payment obligations, the interest component of all payments under Capitalized Leases and the implied interest component of Synthetic Lease Obligations (regardless of whether accounted for as interest expense under GAAP), all commissions, discounts and other fees and charges owed with respect to letters of credit and bankers acceptances and net costs in respect of any obligations under any Swap Agreements constituting interest rate swaps, collars, caps or other arrangements requiring payments contingent upon interest rates of such Person and its Subsidiaries), </w:t>
      </w:r>
      <w:r>
        <w:rPr>
          <w:rFonts w:ascii="Times New Roman" w:hAnsi="Times New Roman"/>
          <w:sz w:val="20"/>
          <w:u w:val="single"/>
        </w:rPr>
        <w:t>plus</w:t>
      </w:r>
      <w:r>
        <w:rPr>
          <w:rFonts w:ascii="Times New Roman" w:hAnsi="Times New Roman"/>
          <w:sz w:val="20"/>
        </w:rPr>
        <w:t xml:space="preserve"> (b) all cash dividends paid or payable on preferred stock during such period other than to such Person or a Loan Party, plus or minus, as applicable, to the extent they would otherwise be included in interest expense under GAAP, unrealized gains and losses arising from derivative financial instruments issued by such Person for the benefit of such Person or its Subsidiaries, in each case determined on a consolidated basis for such period.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Leverage Ratio</w:t>
      </w:r>
      <w:r>
        <w:rPr>
          <w:rFonts w:ascii="Times New Roman" w:hAnsi="Times New Roman"/>
          <w:sz w:val="20"/>
        </w:rPr>
        <w:t xml:space="preserve"> means, with respect to any Measurement Period, the ratio of (a) Consolidated Total Debt of Holdings and its Subsidiaries as of the last day of such Measurement Period (net of that portion of the consolidated unrestricted cash and Cash Equivalents of Holdings and its Subsidiaries as of the last day of such Measurement Period that is subject to a first priority (other than non-consensual Liens permitted under </w:t>
      </w:r>
      <w:r>
        <w:rPr>
          <w:rFonts w:ascii="Times New Roman" w:hAnsi="Times New Roman"/>
          <w:sz w:val="20"/>
          <w:u w:val="single"/>
        </w:rPr>
        <w:t>Section 7.2</w:t>
      </w:r>
      <w:r>
        <w:rPr>
          <w:rFonts w:ascii="Times New Roman" w:hAnsi="Times New Roman"/>
          <w:sz w:val="20"/>
        </w:rPr>
        <w:t xml:space="preserve"> and Liens permitted under </w:t>
      </w:r>
      <w:r>
        <w:rPr>
          <w:rFonts w:ascii="Times New Roman" w:hAnsi="Times New Roman"/>
          <w:sz w:val="20"/>
          <w:u w:val="single"/>
        </w:rPr>
        <w:t>Section 7.2(f)</w:t>
      </w:r>
      <w:r>
        <w:rPr>
          <w:rFonts w:ascii="Times New Roman" w:hAnsi="Times New Roman"/>
          <w:sz w:val="20"/>
        </w:rPr>
        <w:t xml:space="preserve"> and </w:t>
      </w:r>
      <w:r>
        <w:rPr>
          <w:rFonts w:ascii="Times New Roman" w:hAnsi="Times New Roman"/>
          <w:sz w:val="20"/>
          <w:u w:val="single"/>
        </w:rPr>
        <w:t>clause (k)</w:t>
      </w:r>
      <w:r>
        <w:rPr>
          <w:rFonts w:ascii="Times New Roman" w:hAnsi="Times New Roman"/>
          <w:sz w:val="20"/>
        </w:rPr>
        <w:t xml:space="preserve"> of the definition of Permitted Encumbrances) perfected Lien for the benefit of the Secured Parties) to (b) Consolidated EBITDA of Holdings and its Subsidiaries for such Measurement Period; </w:t>
      </w:r>
      <w:r>
        <w:rPr>
          <w:rFonts w:ascii="Times New Roman" w:hAnsi="Times New Roman"/>
          <w:sz w:val="20"/>
          <w:u w:val="single"/>
        </w:rPr>
        <w:t>provided</w:t>
      </w:r>
      <w:r>
        <w:rPr>
          <w:rFonts w:ascii="Times New Roman" w:hAnsi="Times New Roman"/>
          <w:sz w:val="20"/>
        </w:rPr>
        <w:t xml:space="preserve"> that, for purposes of determining compliance with </w:t>
      </w:r>
      <w:r>
        <w:rPr>
          <w:rFonts w:ascii="Times New Roman" w:hAnsi="Times New Roman"/>
          <w:sz w:val="20"/>
          <w:u w:val="single"/>
        </w:rPr>
        <w:t>Section 7.12(a)</w:t>
      </w:r>
      <w:r>
        <w:rPr>
          <w:rFonts w:ascii="Times New Roman" w:hAnsi="Times New Roman"/>
          <w:sz w:val="20"/>
        </w:rPr>
        <w:t xml:space="preserve"> for the Measurement Period ending March 31, 2025, </w:t>
      </w:r>
      <w:r>
        <w:rPr>
          <w:rFonts w:ascii="Times New Roman" w:hAnsi="Times New Roman"/>
          <w:sz w:val="20"/>
          <w:u w:val="single"/>
        </w:rPr>
        <w:t>clause (b)</w:t>
      </w:r>
      <w:r>
        <w:rPr>
          <w:rFonts w:ascii="Times New Roman" w:hAnsi="Times New Roman"/>
          <w:sz w:val="20"/>
        </w:rPr>
        <w:t xml:space="preserve"> shall be the greater of (i) Consolidated EBITDA of Holdings and its Subsidiaries for such Measurement Period ending March 31, 2025 or (ii) Consolidated EBITDA of Holdings and its Subsidiaries for the fiscal quarter ending March 31, 2025 </w:t>
      </w:r>
      <w:r>
        <w:rPr>
          <w:rFonts w:ascii="Times New Roman" w:hAnsi="Times New Roman"/>
          <w:i/>
          <w:sz w:val="20"/>
        </w:rPr>
        <w:t>multiplied by</w:t>
      </w:r>
      <w:r>
        <w:rPr>
          <w:rFonts w:ascii="Times New Roman" w:hAnsi="Times New Roman"/>
          <w:sz w:val="20"/>
        </w:rPr>
        <w:t xml:space="preserve"> four.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Net Income</w:t>
      </w:r>
      <w:r>
        <w:rPr>
          <w:rFonts w:ascii="Times New Roman" w:hAnsi="Times New Roman"/>
          <w:sz w:val="20"/>
        </w:rPr>
        <w:t> means, for any Person (the </w:t>
      </w:r>
      <w:r>
        <w:rPr>
          <w:rFonts w:ascii="Times New Roman" w:hAnsi="Times New Roman"/>
          <w:sz w:val="20"/>
          <w:u w:val="single"/>
        </w:rPr>
        <w:t>first Person</w:t>
      </w:r>
      <w:r>
        <w:rPr>
          <w:rFonts w:ascii="Times New Roman" w:hAnsi="Times New Roman"/>
          <w:sz w:val="20"/>
        </w:rPr>
        <w:t>) for any period, the sum of net income (or loss) for such period of such first Person and its subsidiaries determined on a consolidated basis in accordance with GAAP, excluding, without duplication, to the extent included in determining such net income (or loss) for such period: (a) any income (or loss) of any other Person (the </w:t>
      </w:r>
      <w:r>
        <w:rPr>
          <w:rFonts w:ascii="Times New Roman" w:hAnsi="Times New Roman"/>
          <w:sz w:val="20"/>
          <w:u w:val="single"/>
        </w:rPr>
        <w:t>second Person</w:t>
      </w:r>
      <w:r>
        <w:rPr>
          <w:rFonts w:ascii="Times New Roman" w:hAnsi="Times New Roman"/>
          <w:sz w:val="20"/>
        </w:rPr>
        <w:t xml:space="preserve">) if such second Person is not a subsidiary of such first Person, except that such first Persons equity in the net income of any second Person for such period shall be included in the determination of Consolidated Net Income up to the aggregate amount of cash actually distributed by such second Person during such period to such first Person or any of its subsidiaries as a dividend or other distribution, (b) the income (or loss) of any second Person accrued prior to the date it became a subsidiary of such first Person or is merged into or consolidated with such first person or any of its subsidiaries or such second Persons assets are acquired by such first person or any of its subsidiaries, and (c) the income of any subsidiary of such first Person to the extent that the declaration or payment of dividends or similar distributions by such subsidiary of that income is prohibited by operation of the terms of its charter or any agreement, instrument, judgment, decree, statute, rule or governmental regulation applicable to such subsidiary.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Total Assets</w:t>
      </w:r>
      <w:r>
        <w:rPr>
          <w:rFonts w:ascii="Times New Roman" w:hAnsi="Times New Roman"/>
          <w:sz w:val="20"/>
        </w:rPr>
        <w:t xml:space="preserve"> means, at any time, an amount equal to the total amount of all assets of Holdings and its Subsidiaries as determined on a consolidated basis and as set forth in the financial statements most recently delivered pursuant to </w:t>
      </w:r>
      <w:r>
        <w:rPr>
          <w:rFonts w:ascii="Times New Roman" w:hAnsi="Times New Roman"/>
          <w:sz w:val="20"/>
          <w:u w:val="single"/>
        </w:rPr>
        <w:t>Section 6.1</w:t>
      </w:r>
      <w:r>
        <w:rPr>
          <w:rFonts w:ascii="Times New Roman" w:hAnsi="Times New Roman"/>
          <w:sz w:val="20"/>
        </w:rPr>
        <w:t xml:space="preserve"> at or prior to such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Total Debt</w:t>
      </w:r>
      <w:r>
        <w:rPr>
          <w:rFonts w:ascii="Times New Roman" w:hAnsi="Times New Roman"/>
          <w:sz w:val="20"/>
        </w:rPr>
        <w:t xml:space="preserve"> means, with respect to any Person and its Subsidiaries at any time and as determined on a consolidated basis and without duplication, an amount equal to the sum of Indebtedness of the type set forth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(g)</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and </w:t>
      </w:r>
      <w:r>
        <w:rPr>
          <w:rFonts w:ascii="Times New Roman" w:hAnsi="Times New Roman"/>
          <w:sz w:val="20"/>
          <w:u w:val="single"/>
        </w:rPr>
        <w:t>(k)</w:t>
      </w:r>
      <w:r>
        <w:rPr>
          <w:rFonts w:ascii="Times New Roman" w:hAnsi="Times New Roman"/>
          <w:sz w:val="20"/>
        </w:rPr>
        <w:t xml:space="preserve"> of the definition thereof.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Contested in Good Faith</w:t>
      </w:r>
      <w:r>
        <w:rPr>
          <w:rFonts w:ascii="Times New Roman" w:hAnsi="Times New Roman"/>
          <w:sz w:val="20"/>
        </w:rPr>
        <w:t xml:space="preserve"> means, with respect to any matter, that such matter is being contested in good faith by appropriate proceedings diligently conducted and for which adequate reserves have been provided in accordance with GAAP.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Contractual Obligation</w:t>
      </w:r>
      <w:r>
        <w:rPr>
          <w:rFonts w:ascii="Times New Roman" w:hAnsi="Times New Roman"/>
          <w:sz w:val="20"/>
        </w:rPr>
        <w:t xml:space="preserve"> means, as to any Person, any provision of any security issued by such Person or of any agreement, instrument or other undertaking to which such Person is a party or by which it or any of its property is bound.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Control</w:t>
      </w:r>
      <w:r>
        <w:rPr>
          <w:rFonts w:ascii="Times New Roman" w:hAnsi="Times New Roman"/>
          <w:sz w:val="20"/>
        </w:rPr>
        <w:t> means the possession, directly or indirectly, of the power to direct or cause the direction of the management or policies of a Person, whether through the ability to exercise voting power, by contract or otherwise. </w:t>
      </w:r>
      <w:r>
        <w:rPr>
          <w:rFonts w:ascii="Times New Roman" w:hAnsi="Times New Roman"/>
          <w:sz w:val="20"/>
          <w:u w:val="single"/>
        </w:rPr>
        <w:t>Controlling</w:t>
      </w:r>
      <w:r>
        <w:rPr>
          <w:rFonts w:ascii="Times New Roman" w:hAnsi="Times New Roman"/>
          <w:sz w:val="20"/>
        </w:rPr>
        <w:t> and </w:t>
      </w:r>
      <w:r>
        <w:rPr>
          <w:rFonts w:ascii="Times New Roman" w:hAnsi="Times New Roman"/>
          <w:sz w:val="20"/>
          <w:u w:val="single"/>
        </w:rPr>
        <w:t>Controlled</w:t>
      </w:r>
      <w:r>
        <w:rPr>
          <w:rFonts w:ascii="Times New Roman" w:hAnsi="Times New Roman"/>
          <w:sz w:val="20"/>
        </w:rPr>
        <w:t xml:space="preserve"> have meanings analogous thereto.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Controlled Account</w:t>
      </w:r>
      <w:r>
        <w:rPr>
          <w:rFonts w:ascii="Times New Roman" w:hAnsi="Times New Roman"/>
          <w:sz w:val="20"/>
        </w:rPr>
        <w:t xml:space="preserve"> means, as the context may require, a commodities account, deposit account and/or securities account that is subject to a Control Agreement (as defined in the Security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- 13 -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Controlled Foreign Corporation</w:t>
      </w:r>
      <w:r>
        <w:rPr>
          <w:rFonts w:ascii="Times New Roman" w:hAnsi="Times New Roman"/>
          <w:sz w:val="20"/>
        </w:rPr>
        <w:t xml:space="preserve"> means a controlled foreign corporation as defined in Section 957 of the Code that is owned, directly or indirectly, by a Subsidiary that is a U.S. Person. No Loan Party existing as of the Closing Date is a Controlled Foreign Corporation.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Copyright Security Agreement</w:t>
      </w:r>
      <w:r>
        <w:rPr>
          <w:rFonts w:ascii="Times New Roman" w:hAnsi="Times New Roman"/>
          <w:sz w:val="20"/>
        </w:rPr>
        <w:t xml:space="preserve"> has the meaning assigned to such term in the Security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Credit Agreement</w:t>
      </w:r>
      <w:r>
        <w:rPr>
          <w:rFonts w:ascii="Times New Roman" w:hAnsi="Times New Roman"/>
          <w:sz w:val="20"/>
        </w:rPr>
        <w:t xml:space="preserve"> means this Credit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Credit Extension</w:t>
      </w:r>
      <w:r>
        <w:rPr>
          <w:rFonts w:ascii="Times New Roman" w:hAnsi="Times New Roman"/>
          <w:sz w:val="20"/>
        </w:rPr>
        <w:t xml:space="preserve"> means the making of a Loan.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Credit Parties</w:t>
      </w:r>
      <w:r>
        <w:rPr>
          <w:rFonts w:ascii="Times New Roman" w:hAnsi="Times New Roman"/>
          <w:sz w:val="20"/>
        </w:rPr>
        <w:t xml:space="preserve"> means the Administrative Agent and the Lenders.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Daily Simple SOFR</w:t>
      </w:r>
      <w:r>
        <w:rPr>
          <w:rFonts w:ascii="Times New Roman" w:hAnsi="Times New Roman"/>
          <w:sz w:val="20"/>
        </w:rPr>
        <w:t xml:space="preserve"> means, for any day, a rate per annum equal to the greater of (a)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Times New Roman" w:hAnsi="Times New Roman"/>
          <w:sz w:val="20"/>
          <w:u w:val="single"/>
        </w:rPr>
        <w:t>provided</w:t>
      </w:r>
      <w:r>
        <w:rPr>
          <w:rFonts w:ascii="Times New Roman" w:hAnsi="Times New Roman"/>
          <w:sz w:val="20"/>
        </w:rPr>
        <w:t xml:space="preserve"> that if the Administrative Agent decides that any such convention is not administratively feasible for the Administrative Agent, then the Required Lenders may establish another convention in their reasonable discretion that is administratively feasible for the Administrative Agent, and (b) the Floor.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Debt Incurrence</w:t>
      </w:r>
      <w:r>
        <w:rPr>
          <w:rFonts w:ascii="Times New Roman" w:hAnsi="Times New Roman"/>
          <w:sz w:val="20"/>
        </w:rPr>
        <w:t xml:space="preserve"> means the incurrence after the Closing Date of any Indebtedness by any Loan Party or any of its Subsidiaries (other than Indebtedness permitted by </w:t>
      </w:r>
      <w:r>
        <w:rPr>
          <w:rFonts w:ascii="Times New Roman" w:hAnsi="Times New Roman"/>
          <w:sz w:val="20"/>
          <w:u w:val="single"/>
        </w:rPr>
        <w:t>Section 7.1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Debtor Relief Laws</w:t>
      </w:r>
      <w:r>
        <w:rPr>
          <w:rFonts w:ascii="Times New Roman" w:hAnsi="Times New Roman"/>
          <w:sz w:val="20"/>
        </w:rPr>
        <w:t xml:space="preserve"> means the Bankruptcy Code, and all other liquidation, conservatorship, bankruptcy, assignment for the benefit of creditors, moratorium, rearrangement, receivership, insolvency, reorganization, or similar debtor relief laws of the United States, Germany or other applicable jurisdictions from time to time in effect.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Default</w:t>
      </w:r>
      <w:r>
        <w:rPr>
          <w:rFonts w:ascii="Times New Roman" w:hAnsi="Times New Roman"/>
          <w:sz w:val="20"/>
        </w:rPr>
        <w:t xml:space="preserve"> means any event or condition which constitutes an Event of Default or that upon notice, lapse of time or both would, unless cured or waived, become an Event of Default.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Default Rate</w:t>
      </w:r>
      <w:r>
        <w:rPr>
          <w:rFonts w:ascii="Times New Roman" w:hAnsi="Times New Roman"/>
          <w:sz w:val="20"/>
        </w:rPr>
        <w:t xml:space="preserve"> means (a) when used with respect to the outstanding principal balance of any Loan, the sum of (i) the rate of interest otherwise applicable thereto </w:t>
      </w:r>
      <w:r>
        <w:rPr>
          <w:rFonts w:ascii="Times New Roman" w:hAnsi="Times New Roman"/>
          <w:sz w:val="20"/>
          <w:u w:val="single"/>
        </w:rPr>
        <w:t>plus</w:t>
      </w:r>
      <w:r>
        <w:rPr>
          <w:rFonts w:ascii="Times New Roman" w:hAnsi="Times New Roman"/>
          <w:sz w:val="20"/>
        </w:rPr>
        <w:t xml:space="preserve"> (ii) 2.00% per annum, and (b) when used with respect to any interest, fee or other amount payable under the Loan Documents which shall not have been paid when due, the sum of (i) the Alternate Base Rate </w:t>
      </w:r>
      <w:r>
        <w:rPr>
          <w:rFonts w:ascii="Times New Roman" w:hAnsi="Times New Roman"/>
          <w:sz w:val="20"/>
          <w:u w:val="single"/>
        </w:rPr>
        <w:t>plus</w:t>
      </w:r>
      <w:r>
        <w:rPr>
          <w:rFonts w:ascii="Times New Roman" w:hAnsi="Times New Roman"/>
          <w:sz w:val="20"/>
        </w:rPr>
        <w:t xml:space="preserve"> (ii) the Applicable Margin applicable to ABR Loans </w:t>
      </w:r>
      <w:r>
        <w:rPr>
          <w:rFonts w:ascii="Times New Roman" w:hAnsi="Times New Roman"/>
          <w:sz w:val="20"/>
          <w:u w:val="single"/>
        </w:rPr>
        <w:t>plus</w:t>
      </w:r>
      <w:r>
        <w:rPr>
          <w:rFonts w:ascii="Times New Roman" w:hAnsi="Times New Roman"/>
          <w:sz w:val="20"/>
        </w:rPr>
        <w:t xml:space="preserve"> (iii) 2.00% per annum.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Disclosed Matters</w:t>
      </w:r>
      <w:r>
        <w:rPr>
          <w:rFonts w:ascii="Times New Roman" w:hAnsi="Times New Roman"/>
          <w:sz w:val="20"/>
        </w:rPr>
        <w:t xml:space="preserve"> means the actions, suits, proceedings, environmental matters and finders, brokers, investment banking or other similar fees disclosed in </w:t>
      </w:r>
      <w:r>
        <w:rPr>
          <w:rFonts w:ascii="Times New Roman" w:hAnsi="Times New Roman"/>
          <w:sz w:val="20"/>
          <w:u w:val="single"/>
        </w:rPr>
        <w:t>Schedule 5.6</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Disposed EBITDA</w:t>
      </w:r>
      <w:r>
        <w:rPr>
          <w:rFonts w:ascii="Times New Roman" w:hAnsi="Times New Roman"/>
          <w:sz w:val="20"/>
        </w:rPr>
        <w:t xml:space="preserve"> means, with respect to any Sold Entity or Business for any period, the historical Consolidated EBITDA of such Sold Entity or Business for such period as certified by a Financial Officer of Holdings, which historical Consolidated EBITDA shall be calculated in a manner consistent with the definition of Consolidated EBITDA herein; </w:t>
      </w:r>
      <w:r>
        <w:rPr>
          <w:rFonts w:ascii="Times New Roman" w:hAnsi="Times New Roman"/>
          <w:sz w:val="20"/>
          <w:u w:val="single"/>
        </w:rPr>
        <w:t>provided</w:t>
      </w:r>
      <w:r>
        <w:rPr>
          <w:rFonts w:ascii="Times New Roman" w:hAnsi="Times New Roman"/>
          <w:sz w:val="20"/>
        </w:rPr>
        <w:t xml:space="preserve"> that when such Disposed EBITDA is excluded from Consolidated EBITDA it shall be on a Pro Forma Basis).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Disposition</w:t>
      </w:r>
      <w:r>
        <w:rPr>
          <w:rFonts w:ascii="Times New Roman" w:hAnsi="Times New Roman"/>
          <w:sz w:val="20"/>
        </w:rPr>
        <w:t> means, with respect to any Person, the sale, transfer, license, lease or other disposition (including by way of Division or Sale and Leaseback) by such Person to any other Person, with or without recourse, of (a) any notes or accounts receivable or any rights and claims associated therewith, (b) any Equity Interests of any Subsidiary (other than directors qualifying shares), or (c) any other assets. Each of the terms </w:t>
      </w:r>
      <w:r>
        <w:rPr>
          <w:rFonts w:ascii="Times New Roman" w:hAnsi="Times New Roman"/>
          <w:sz w:val="20"/>
          <w:u w:val="single"/>
        </w:rPr>
        <w:t>Dispose</w:t>
      </w:r>
      <w:r>
        <w:rPr>
          <w:rFonts w:ascii="Times New Roman" w:hAnsi="Times New Roman"/>
          <w:sz w:val="20"/>
        </w:rPr>
        <w:t> and </w:t>
      </w:r>
      <w:r>
        <w:rPr>
          <w:rFonts w:ascii="Times New Roman" w:hAnsi="Times New Roman"/>
          <w:sz w:val="20"/>
          <w:u w:val="single"/>
        </w:rPr>
        <w:t>Disposed</w:t>
      </w:r>
      <w:r>
        <w:rPr>
          <w:rFonts w:ascii="Times New Roman" w:hAnsi="Times New Roman"/>
          <w:sz w:val="20"/>
        </w:rPr>
        <w:t xml:space="preserve"> when used as a verb shall have an analogous meaning.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- 14 -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Disqualified Equity Interest</w:t>
      </w:r>
      <w:r>
        <w:rPr>
          <w:rFonts w:ascii="Times New Roman" w:hAnsi="Times New Roman"/>
          <w:sz w:val="20"/>
        </w:rPr>
        <w:t xml:space="preserve"> means, with respect to any Person, any Equity Interest of such Person which, by its terms, or by the terms of any security or other Equity Interests into which it is convertible or for which it is exchangeable, or upon the happening of any event or condition, (a) matures or is mandatorily redeemable (other than solely for Qualified Equity Interests and cash in lieu of fractional shares of such Equity Interests) pursuant to a sinking fund obligation or otherwise (except as a result of a change in control or asset sale so long as any rights of the holders thereof upon the occurrence of a change in control or asset sale event shall be subject to the prior occurrence of the Termination Date), (b) is redeemable at the option of the holder thereof (other than solely for Qualified Equity Interests), in whole or in part, (c) provides for the scheduled payments of dividends in cash, or (d) is or becomes convertible into or exchangeable for Indebtedness or any other Equity Interests that would constitute Disqualified Equity Interests, in each case, prior to the date that is 91 days after the Latest Maturity Date at the time such Equity Interests are issued; </w:t>
      </w:r>
      <w:r>
        <w:rPr>
          <w:rFonts w:ascii="Times New Roman" w:hAnsi="Times New Roman"/>
          <w:sz w:val="20"/>
          <w:u w:val="single"/>
        </w:rPr>
        <w:t>provided</w:t>
      </w:r>
      <w:r>
        <w:rPr>
          <w:rFonts w:ascii="Times New Roman" w:hAnsi="Times New Roman"/>
          <w:sz w:val="20"/>
        </w:rPr>
        <w:t xml:space="preserve"> that if such Equity Interests are issued pursuant to a plan for the benefit of employees of Holdings or any of its Subsidiaries or by any such plan to such employees, such Equity Interests shall not constitute Disqualified Equity Interests solely because they may be required to be repurchased by a Person in order to satisfy applicable statutory or regulatory obligations or as a result of such employees termination, death or disability.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Disqualified Institution</w:t>
      </w:r>
      <w:r>
        <w:rPr>
          <w:rFonts w:ascii="Times New Roman" w:hAnsi="Times New Roman"/>
          <w:sz w:val="20"/>
        </w:rPr>
        <w:t xml:space="preserve"> means, on any date, (a) any Person designated by the Borrower as a Disqualified Institution by written notice delivered to the Administrative Agent and the Lenders prior to the date hereof (which has been approved by the Lenders as of the Closing Date), (b) any other Person that is a competitor of Holdings or any of its Subsidiaries, which Person has been designated by the Borrower as a Disqualified Institution by written notice to the Administrative Agent and the Lenders (including by posting such notice to the Platform) not less than two (2) Business Days prior to such date, and (c) any Affiliate of any Person specified in clause (a) or (b) to the extent that such Affiliate is designated by written notice to the Administrative Agent and the Lenders (including by posting such notice to the Platform) or is clearly identifiable solely on the basis of the similarity of its name; </w:t>
      </w:r>
      <w:r>
        <w:rPr>
          <w:rFonts w:ascii="Times New Roman" w:hAnsi="Times New Roman"/>
          <w:sz w:val="20"/>
          <w:u w:val="single"/>
        </w:rPr>
        <w:t>provided</w:t>
      </w:r>
      <w:r>
        <w:rPr>
          <w:rFonts w:ascii="Times New Roman" w:hAnsi="Times New Roman"/>
          <w:sz w:val="20"/>
        </w:rPr>
        <w:t xml:space="preserve"> that Disqualified Institutions shall exclude (as of the date of such notice) any Person that the Borrower has designated as no longer being a Disqualified Institution by written notice delivered to the Administrative Agent and the Lenders from time to time. It is understood and agreed that the identification of any Person as a Disqualified Institution after the Closing Date shall not be effective until two (2) Business Days after notice to the Administrative Agent and the Lenders and shall not apply to retroactively disqualify any Person that has previously acquired an assignment or participation interest in any Loan, until such time such Person no longer constitutes a Lender. The identity of Disqualified Institutions shall be made available to any Lenders and prospective assignees upon such Lenders or prospective assignees written request. Notwithstanding anything to the contrary, the Administrative Agent shall not be responsible or have any liability for, or have any duty to ascertain, inquire into, monitor or enforce, compliance with the provisions of the Loan Documents relating to Disqualified Institutions.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Division</w:t>
      </w:r>
      <w:r>
        <w:rPr>
          <w:rFonts w:ascii="Times New Roman" w:hAnsi="Times New Roman"/>
          <w:sz w:val="20"/>
        </w:rPr>
        <w:t> means the division of the assets, liabilities and/or obligations of a Person (the </w:t>
      </w:r>
      <w:r>
        <w:rPr>
          <w:rFonts w:ascii="Times New Roman" w:hAnsi="Times New Roman"/>
          <w:sz w:val="20"/>
          <w:u w:val="single"/>
        </w:rPr>
        <w:t>Dividing Person</w:t>
      </w:r>
      <w:r>
        <w:rPr>
          <w:rFonts w:ascii="Times New Roman" w:hAnsi="Times New Roman"/>
          <w:sz w:val="20"/>
        </w:rPr>
        <w:t xml:space="preserve">) among two or more Persons, whether pursuant to a plan of division or similar arrangement pursuant to Section 18-217 of the Delaware Limited Liability Company Act or any similar provision under the laws of any other applicable jurisdiction and pursuant to which the Dividing Person may or may not survive.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Dollars</w:t>
      </w:r>
      <w:r>
        <w:rPr>
          <w:rFonts w:ascii="Times New Roman" w:hAnsi="Times New Roman"/>
          <w:sz w:val="20"/>
        </w:rPr>
        <w:t> or </w:t>
      </w:r>
      <w:r>
        <w:rPr>
          <w:rFonts w:ascii="Times New Roman" w:hAnsi="Times New Roman"/>
          <w:sz w:val="20"/>
          <w:u w:val="single"/>
        </w:rPr>
        <w:t>$</w:t>
      </w:r>
      <w:r>
        <w:rPr>
          <w:rFonts w:ascii="Times New Roman" w:hAnsi="Times New Roman"/>
          <w:sz w:val="20"/>
        </w:rPr>
        <w:t xml:space="preserve"> refers to the lawful money of the United States.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Domestic Subsidiary</w:t>
      </w:r>
      <w:r>
        <w:rPr>
          <w:rFonts w:ascii="Times New Roman" w:hAnsi="Times New Roman"/>
          <w:sz w:val="20"/>
        </w:rPr>
        <w:t xml:space="preserve"> means a Subsidiary incorporated or organized under the laws of the United States, or any state, commonwealth or other political subdivision thereof (including, for the avoidance of doubt, the District of Columbia).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- 15 -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Earn-Out Obligations</w:t>
      </w:r>
      <w:r>
        <w:rPr>
          <w:rFonts w:ascii="Times New Roman" w:hAnsi="Times New Roman"/>
          <w:sz w:val="20"/>
        </w:rPr>
        <w:t xml:space="preserve"> means, with respect to any Person, obligations of such Person that are recognized under GAAP as a liability of such Person, payable in cash or which may be payable in cash at the sellers or obligees option arising from the acquisition of a business or a line of business (whether pursuant to an acquisition of Equity Interests or assets, the consummation of a merger or consolidation or otherwise) and payable to the seller or sellers thereof.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EEA Financial Institution</w:t>
      </w:r>
      <w:r>
        <w:rPr>
          <w:rFonts w:ascii="Times New Roman" w:hAnsi="Times New Roman"/>
          <w:sz w:val="20"/>
        </w:rPr>
        <w:t xml:space="preserve"> 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clauses (a) or (b) of this definition and is subject to consolidated supervision with its parent.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EEA Member Country</w:t>
      </w:r>
      <w:r>
        <w:rPr>
          <w:rFonts w:ascii="Times New Roman" w:hAnsi="Times New Roman"/>
          <w:sz w:val="20"/>
        </w:rPr>
        <w:t xml:space="preserve"> means any of the member states of the European Union, Iceland, Liechtenstein, and Norway.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Eligible Assignee</w:t>
      </w:r>
      <w:r>
        <w:rPr>
          <w:rFonts w:ascii="Times New Roman" w:hAnsi="Times New Roman"/>
          <w:sz w:val="20"/>
        </w:rPr>
        <w:t xml:space="preserve"> means any Person that meets the requirements to be an assignee under </w:t>
      </w:r>
      <w:r>
        <w:rPr>
          <w:rFonts w:ascii="Times New Roman" w:hAnsi="Times New Roman"/>
          <w:sz w:val="20"/>
          <w:u w:val="single"/>
        </w:rPr>
        <w:t>Sections 10.4(b)(iii)</w:t>
      </w:r>
      <w:r>
        <w:rPr>
          <w:rFonts w:ascii="Times New Roman" w:hAnsi="Times New Roman"/>
          <w:sz w:val="20"/>
        </w:rPr>
        <w:t xml:space="preserve">, </w:t>
      </w:r>
      <w:r>
        <w:rPr>
          <w:rFonts w:ascii="Times New Roman" w:hAnsi="Times New Roman"/>
          <w:sz w:val="20"/>
          <w:u w:val="single"/>
        </w:rPr>
        <w:t>(v)</w:t>
      </w:r>
      <w:r>
        <w:rPr>
          <w:rFonts w:ascii="Times New Roman" w:hAnsi="Times New Roman"/>
          <w:sz w:val="20"/>
        </w:rPr>
        <w:t xml:space="preserve"> and </w:t>
      </w:r>
      <w:r>
        <w:rPr>
          <w:rFonts w:ascii="Times New Roman" w:hAnsi="Times New Roman"/>
          <w:sz w:val="20"/>
          <w:u w:val="single"/>
        </w:rPr>
        <w:t>(vi)</w:t>
      </w:r>
      <w:r>
        <w:rPr>
          <w:rFonts w:ascii="Times New Roman" w:hAnsi="Times New Roman"/>
          <w:sz w:val="20"/>
        </w:rPr>
        <w:t xml:space="preserve"> (subject to such consents, if any, as may be required under </w:t>
      </w:r>
      <w:r>
        <w:rPr>
          <w:rFonts w:ascii="Times New Roman" w:hAnsi="Times New Roman"/>
          <w:sz w:val="20"/>
          <w:u w:val="single"/>
        </w:rPr>
        <w:t>Section 10.4(b)(iii)</w:t>
      </w:r>
      <w:r>
        <w:rPr>
          <w:rFonts w:ascii="Times New Roman" w:hAnsi="Times New Roman"/>
          <w:sz w:val="20"/>
        </w:rPr>
        <w:t xml:space="preserve">). For the avoidance of doubt, any Disqualified Institution is subject to </w:t>
      </w:r>
      <w:r>
        <w:rPr>
          <w:rFonts w:ascii="Times New Roman" w:hAnsi="Times New Roman"/>
          <w:sz w:val="20"/>
          <w:u w:val="single"/>
        </w:rPr>
        <w:t>Section 10.4(f)</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Environmental Claims</w:t>
      </w:r>
      <w:r>
        <w:rPr>
          <w:rFonts w:ascii="Times New Roman" w:hAnsi="Times New Roman"/>
          <w:sz w:val="20"/>
        </w:rPr>
        <w:t xml:space="preserve"> means any and all administrative, regulatory or judicial actions, suits, demands, demand letters, claims, liens, notices of liability, non-compliance or violation, investigations, proceedings, settlements, consent decrees, consent orders, consent agreements and all costs and liabilities relating to or arising from or under any Environmental Law, including (a) any and all claims by Governmental Authorities for enforcement, investigation, corrective action, cleanup, removal, response, remedial or other actions, cost recovery, damages, natural resource damages or penalties pursuant to or arising under any Environmental Law, (b) any and all claims by any one or more Persons seeking damages, contribution, restitution, indemnification, cost recovery, compensation or injunctive relief directly or indirectly resulting from, based upon or arising under Environmental Law, pertaining to Hazardous Materials or an alleged injury or threat of injury to human health and safety pertaining to Hazardous Materials, natural resources, or the indoor or outdoor environment, and (c) all liabilities contingent or otherwise, expenses, obligations, losses, damages, fines and penalties arising under any Environmental Law.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Environmental Law</w:t>
      </w:r>
      <w:r>
        <w:rPr>
          <w:rFonts w:ascii="Times New Roman" w:hAnsi="Times New Roman"/>
          <w:sz w:val="20"/>
        </w:rPr>
        <w:t xml:space="preserve"> means, collectively and individually any and all federal, state, local, or foreign statute, rule, regulation, code, guidance, ordinance, order, judgment, directive, decree, injunction or common law as now or previously in effect and regulating, relating to or imposing liability or standards of conduct concerning: the environment; protection of the environment and natural resources; air emissions; water discharges; noise emissions; the Release, threatened Release or discharge into the environment and physical hazards of any Hazardous Material; the generation, handling, management, treatment, storage, transport or disposal of any Hazardous Material or otherwise concerning pollution or the protection of the outdoor or indoor environment, preservation or restoration of natural resources, employee and human health or safety pertaining to Hazardous Materials, and potential or actual exposure to or injury from Hazardous Materials.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Environmental Liability</w:t>
      </w:r>
      <w:r>
        <w:rPr>
          <w:rFonts w:ascii="Times New Roman" w:hAnsi="Times New Roman"/>
          <w:sz w:val="20"/>
        </w:rPr>
        <w:t xml:space="preserve"> means, in respect of any Person, any statutory, common law or equitable liability, contingent or otherwise of such Person directly or indirectly resulting from, arising out of or based upon (a) the violation of any Environmental Law or Environmental Permit, or (b) an Environmental Claim.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- 16 -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Environmental Permit</w:t>
      </w:r>
      <w:r>
        <w:rPr>
          <w:rFonts w:ascii="Times New Roman" w:hAnsi="Times New Roman"/>
          <w:sz w:val="20"/>
        </w:rPr>
        <w:t xml:space="preserve"> means any permit, approval, authorization, certificate, license, variance, filing or permission required by or from any Governmental Authority pursuant to any Environmental Law.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Equity Interests</w:t>
      </w:r>
      <w:r>
        <w:rPr>
          <w:rFonts w:ascii="Times New Roman" w:hAnsi="Times New Roman"/>
          <w:sz w:val="20"/>
        </w:rPr>
        <w:t xml:space="preserve"> means, with respect to any Person, (a) shares of capital stock of (or other ownership or profit interests in) such Person, (b) warrants, options or other rights for the purchase or acquisition from such Person of shares of capital stock of (or other ownership or profit interests in) such Person, (c) securities (other than Indebtedness) convertible into or exchangeable for shares of capital stock of (or other ownership or profit interests in) such Person or warrants, rights or options for the purchase or acquisition from such Person of such shares (or such other interests), (d) all other ownership or profit interests in such Person (including partnership, member or trust interests therein), whether voting or non-voting, and whether or not such shares, warrants, options, rights or other interests are outstanding on any date of determination (e) any Security Entitlement (as defined in the Security Agreement) in respect of any Equity Interest described in this definition.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Equity Issuance</w:t>
      </w:r>
      <w:r>
        <w:rPr>
          <w:rFonts w:ascii="Times New Roman" w:hAnsi="Times New Roman"/>
          <w:sz w:val="20"/>
        </w:rPr>
        <w:t xml:space="preserve"> means the issuance after the Closing Date of any Equity Interest by any Loan Party or any of its Subsidiaries, or the receipt after the Closing Date by any Loan Party or any of its Subsidiaries of any capital contribution, other than (a) any such issuance to directors, officers or employees under any equity incentive program, (b) any such issuance to, or any such receipt from, the Borrower, any Subsidiary Guarantor or any Subsidiary or (c) any such issuance of Equity Interests from any Subsidiary of Holdings to Holdings, or any such contribution of capital from Holdings to any Subsidiary of Holdings.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ERISA</w:t>
      </w:r>
      <w:r>
        <w:rPr>
          <w:rFonts w:ascii="Times New Roman" w:hAnsi="Times New Roman"/>
          <w:sz w:val="20"/>
        </w:rPr>
        <w:t xml:space="preserve"> means the Employee Retirement Income Security Act of 1974, and the rules and regulations issued thereunder.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ERISA Affiliate</w:t>
      </w:r>
      <w:r>
        <w:rPr>
          <w:rFonts w:ascii="Times New Roman" w:hAnsi="Times New Roman"/>
          <w:sz w:val="20"/>
        </w:rPr>
        <w:t xml:space="preserve"> means any trade or business (whether or not incorporated) that, together with any Loan Party, is treated as a single employer under Section 414(b) or 414(c) of the Code or, solely for purposes of Sections 302 and 303 of ERISA and Sections 412 and 430 of the Code, is treated as a single employer under subsection (b), (c), (m) or (o) of Section 414 of the Code.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ERISA Event</w:t>
      </w:r>
      <w:r>
        <w:rPr>
          <w:rFonts w:ascii="Times New Roman" w:hAnsi="Times New Roman"/>
          <w:sz w:val="20"/>
        </w:rPr>
        <w:t xml:space="preserve"> means (a) any reportable event, as defined in Section 4043(c) of ERISA with respect to a Pension Plan (other than an event for which the 30-day notice period referred to in Section 4043 of ERISA is waived); (b) the existence with respect to any Pension Plan of a non-exempt prohibited transaction, as defined in Section 406 of ERISA or Section 4975(c)(1) of the Code; (c) any failure of any Pension Plan to satisfy the minimum funding standard applicable to such Pension Plan under Section 412 or Section 430 of the Code or Section 302 or Section 303 of ERISA, whether or not waived; (d) the filing pursuant to Section 412(c) of the Code or Section 302(c) of ERISA of an application for a waiver of the minimum funding standard with respect to any Pension Plan, the failure to make by its due date a required installment under Section 430(j)(3) of the Code with respect to any Pension Plan or the failure of any Loan Party or ERISA Affiliate to make any required contribution to any Multiemployer Plan; (e) a determination that any Pension Plan is, or is expected to be, in at-risk status (as defined in Section 430(i)(4) of the Code or Section 303(i)(4) of ERISA; (f) the incurrence by any Loan Party or any ERISA Affiliate of any liability under Title IV of ERISA with respect to the termination of any Pension Plan including the imposition of any Lien in favor of the PBGC or any Pension Plan(other than for PBGC premiums due but not delinquent under Section 4007 of ERISA); (g) the filing of a notice of intent to terminate, the treatment of a Pension Plan amendment as a termination under Section 4041 or Section 4041A or ERISA, the receipt by any Loan Party or any ERISA Affiliate from the PBGC or a Pension Plan administrator of any notice relating to an intention to terminate any Pension Plan or Pension Plans or to appoint a trustee to administer any Pension Plan under Section 4042 of ERISA or the occurrence of an event or condition which constitutes grounds under Section 4042 of ERISA or the termination of, or the appointment of a trustee to administrator, any Pension Plan; (h) any limitations under Section 436 of the Code become applicable; (i) the incurrence by any Loan Party or any of its ERISA Affiliates of any liability with respect to the withdrawal or partial withdrawal from any Pension Plan or Multiemployer Plan; (j) a withdrawal by any Loan Party or 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- 17 -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ERISA Affiliate from a Pension Plan subject to Section 4063 of ERISA during a plan year in which it was a substantial employer (as defined in Section 4001(a)(2) of ERISA) or a cessation of operations that is treated as such a withdrawal under Section 4062(e) of ERISA; (k) the receipt by any Loan Party or any ERISA Affiliate of any notice, or the receipt by any Multiemployer Plan from any Loan Party or any ERISA Affiliate of any notice, concerning the imposition of Withdrawal Liability or a determination that a Multiemployer Plan is, or is expected to be, insolvent or in reorganization, within the meaning of Title IV of ERISA or in endangered or critical status within the meaning of Section 432 of the Code or Section 305 or Title IV of ERISA; or (l) the imposition on any Loan Party or any ERISA Affiliate of any tax under Chapter 43 of Subtitle D of the Code, or the assessment of a civil penalty on any Loan Party or any ERISA Affiliate under Section 502(c) of ERISA.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Erroneous Payment</w:t>
      </w:r>
      <w:r>
        <w:rPr>
          <w:rFonts w:ascii="Times New Roman" w:hAnsi="Times New Roman"/>
          <w:sz w:val="20"/>
        </w:rPr>
        <w:t xml:space="preserve"> shall have the meaning assigned to such term in </w:t>
      </w:r>
      <w:r>
        <w:rPr>
          <w:rFonts w:ascii="Times New Roman" w:hAnsi="Times New Roman"/>
          <w:sz w:val="20"/>
          <w:u w:val="single"/>
        </w:rPr>
        <w:t>Section 9.11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Event of Default</w:t>
      </w:r>
      <w:r>
        <w:rPr>
          <w:rFonts w:ascii="Times New Roman" w:hAnsi="Times New Roman"/>
          <w:sz w:val="20"/>
        </w:rPr>
        <w:t xml:space="preserve"> has the meaning assigned to such term in </w:t>
      </w:r>
      <w:r>
        <w:rPr>
          <w:rFonts w:ascii="Times New Roman" w:hAnsi="Times New Roman"/>
          <w:sz w:val="20"/>
          <w:u w:val="single"/>
        </w:rPr>
        <w:t>Section 8.1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Excluded Amounts</w:t>
      </w:r>
      <w:r>
        <w:rPr>
          <w:rFonts w:ascii="Times New Roman" w:hAnsi="Times New Roman"/>
          <w:sz w:val="20"/>
        </w:rPr>
        <w:t xml:space="preserve"> has the meaning assigned to such term in </w:t>
      </w:r>
      <w:r>
        <w:rPr>
          <w:rFonts w:ascii="Times New Roman" w:hAnsi="Times New Roman"/>
          <w:sz w:val="20"/>
          <w:u w:val="single"/>
        </w:rPr>
        <w:t>Section 2.7(b)(iii)</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Excluded Taxes</w:t>
      </w:r>
      <w:r>
        <w:rPr>
          <w:rFonts w:ascii="Times New Roman" w:hAnsi="Times New Roman"/>
          <w:sz w:val="20"/>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or (ii) such Lender changes its Applicable Lending Office, except in each case to the extent that, pursuant to </w:t>
      </w:r>
      <w:r>
        <w:rPr>
          <w:rFonts w:ascii="Times New Roman" w:hAnsi="Times New Roman"/>
          <w:sz w:val="20"/>
          <w:u w:val="single"/>
        </w:rPr>
        <w:t>Section 3.6</w:t>
      </w:r>
      <w:r>
        <w:rPr>
          <w:rFonts w:ascii="Times New Roman" w:hAnsi="Times New Roman"/>
          <w:sz w:val="20"/>
        </w:rPr>
        <w:t xml:space="preserve">, amounts with respect to such Taxes were payable either to such Lenders assignor immediately before such Lender became a party hereto or to such Lender immediately before it changed its Applicable Lending Office, (c) Taxes attributable to such Recipients failure to comply with </w:t>
      </w:r>
      <w:r>
        <w:rPr>
          <w:rFonts w:ascii="Times New Roman" w:hAnsi="Times New Roman"/>
          <w:sz w:val="20"/>
          <w:u w:val="single"/>
        </w:rPr>
        <w:t>Section 3.6(g)</w:t>
      </w:r>
      <w:r>
        <w:rPr>
          <w:rFonts w:ascii="Times New Roman" w:hAnsi="Times New Roman"/>
          <w:sz w:val="20"/>
        </w:rPr>
        <w:t xml:space="preserve"> and (d) any U.S. federal withholding Taxes imposed under FATCA.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Existing Debt Facility</w:t>
      </w:r>
      <w:r>
        <w:rPr>
          <w:rFonts w:ascii="Times New Roman" w:hAnsi="Times New Roman"/>
          <w:sz w:val="20"/>
        </w:rPr>
        <w:t xml:space="preserve"> means the unsecured Indebtedness funded under that certain Loan Agreement, dated as of May 1, 2022, by and among Formue Nord Fokus A/S, Buntel AB (as successor-in-interest to Modelio Equity AB (publ)) and Munkekullen 5 förvaltning AB, as lenders, and Mynaric AG, as the company.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Extraordinary Receipt</w:t>
      </w:r>
      <w:r>
        <w:rPr>
          <w:rFonts w:ascii="Times New Roman" w:hAnsi="Times New Roman"/>
          <w:sz w:val="20"/>
        </w:rPr>
        <w:t xml:space="preserve"> means any cash in an aggregate amount in excess of $750,000 in respect of any single event or series of related events occurring after the Closing Date and received by or paid to or for the account of any Loan Party or any Subsidiary thereof not in the ordinary course of business, excluding (a) VAT tax refunds, (b) indemnity payments, escrow releases and the proceeds of any representation and warranty insurance policy used to pay or reimburse a Loan Party or any of its Subsidiaries for cash damages incurred or payments made, (c) proceeds of insurance resulting from business interruption insurance or property or casualty insurance, including in respect of a Casualty Event, and (d) any purchase price adjustments.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FATCA</w:t>
      </w:r>
      <w:r>
        <w:rPr>
          <w:rFonts w:ascii="Times New Roman" w:hAnsi="Times New Roman"/>
          <w:sz w:val="20"/>
        </w:rPr>
        <w:t xml:space="preserve"> means Sections 1471 through 1474 of the Code, as of the date of this Credit Agreement (or any amended or successor version that is substantively comparable and not materially more onerous to comply with) and any current or future regulations or official interpretations thereof and any agreement entered into pursuant to Section 1471(b)(1) of the Code and any fiscal or regulatory legislation, rules or practices adopted pursuant to any intergovernmental agreement, treaty or convention among Governmental Authorities and implementing such Sections of the Code.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- 18 -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Federal Funds Rate</w:t>
      </w:r>
      <w:r>
        <w:rPr>
          <w:rFonts w:ascii="Times New Roman" w:hAnsi="Times New Roman"/>
          <w:sz w:val="20"/>
        </w:rPr>
        <w:t xml:space="preserve"> means, for any day, the greater of (a)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0%.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Federal Reserve Board</w:t>
      </w:r>
      <w:r>
        <w:rPr>
          <w:rFonts w:ascii="Times New Roman" w:hAnsi="Times New Roman"/>
          <w:sz w:val="20"/>
        </w:rPr>
        <w:t xml:space="preserve"> means the Board of Governors of the Federal Reserve System of the United States.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Final Exit Date</w:t>
      </w:r>
      <w:r>
        <w:rPr>
          <w:rFonts w:ascii="Times New Roman" w:hAnsi="Times New Roman"/>
          <w:sz w:val="20"/>
        </w:rPr>
        <w:t xml:space="preserve"> means the date that is the earliest of (a) the Maturity Date, (b) the Termination Date, (c) the date of acceleration of the Loans, and (d) to the extent earlier than the Termination Date, the date the entire aggregate principal amount of all the Term Loans is paid in full.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Financial Covenants</w:t>
      </w:r>
      <w:r>
        <w:rPr>
          <w:rFonts w:ascii="Times New Roman" w:hAnsi="Times New Roman"/>
          <w:sz w:val="20"/>
        </w:rPr>
        <w:t xml:space="preserve"> means the covenants set forth in </w:t>
      </w:r>
      <w:r>
        <w:rPr>
          <w:rFonts w:ascii="Times New Roman" w:hAnsi="Times New Roman"/>
          <w:sz w:val="20"/>
          <w:u w:val="single"/>
        </w:rPr>
        <w:t>Sections 7.12(a)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Financial Officer</w:t>
      </w:r>
      <w:r>
        <w:rPr>
          <w:rFonts w:ascii="Times New Roman" w:hAnsi="Times New Roman"/>
          <w:sz w:val="20"/>
        </w:rPr>
        <w:t xml:space="preserve"> means, with respect to any Person, the chief financial officer, principal accounting officer, treasurer or comptroller of such Person (or such other financial officer as is acceptable to the Administrative Agent (at the direction of the Required Lenders)) .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Fiscal Year</w:t>
      </w:r>
      <w:r>
        <w:rPr>
          <w:rFonts w:ascii="Times New Roman" w:hAnsi="Times New Roman"/>
          <w:sz w:val="20"/>
        </w:rPr>
        <w:t xml:space="preserve"> means the four fiscal quarter period of Holdings and its Subsidiaries ending on December 31 of each calendar year.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Flood Insurance Laws</w:t>
      </w:r>
      <w:r>
        <w:rPr>
          <w:rFonts w:ascii="Times New Roman" w:hAnsi="Times New Roman"/>
          <w:sz w:val="20"/>
        </w:rPr>
        <w:t xml:space="preserve"> means, collectively, (a) the National Flood Insurance Reform Act of 1994 (which comprehensively revised the National Flood Insurance Act of 1968 and the Flood Disaster Protection Act of 1973) as now or hereafter in effect or any successor statute thereto, (b) the Flood Insurance Reform Act of 2004 as now or hereafter in effect or any successor statute thereto and (c) the Biggert-Waters Flood Insurance Reform Act of 2012 as now or hereafter in effect or any successor statute thereto.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Flood Program</w:t>
      </w:r>
      <w:r>
        <w:rPr>
          <w:rFonts w:ascii="Times New Roman" w:hAnsi="Times New Roman"/>
          <w:sz w:val="20"/>
        </w:rPr>
        <w:t xml:space="preserve"> means the National Flood Insurance Program created by the U.S. Congress pursuant to the National Flood Insurance Act of 1968, the Flood Disaster Protection Act of 1973, the National Flood Insurance Reform Act of 1994 and the Flood Insurance Reform Act of 2004, in each case as amended from time to time, and any successor statutes.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Flood Zone</w:t>
      </w:r>
      <w:r>
        <w:rPr>
          <w:rFonts w:ascii="Times New Roman" w:hAnsi="Times New Roman"/>
          <w:sz w:val="20"/>
        </w:rPr>
        <w:t xml:space="preserve"> means an area identified by the Federal Emergency Management Agency (or any successor agency) as a Special Flood Hazard Area with respect to which flood insurance has been made available under Flood Insurance Laws.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Floor</w:t>
      </w:r>
      <w:r>
        <w:rPr>
          <w:rFonts w:ascii="Times New Roman" w:hAnsi="Times New Roman"/>
          <w:sz w:val="20"/>
        </w:rPr>
        <w:t xml:space="preserve"> means 2.00% per annum.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Foreign Lender</w:t>
      </w:r>
      <w:r>
        <w:rPr>
          <w:rFonts w:ascii="Times New Roman" w:hAnsi="Times New Roman"/>
          <w:sz w:val="20"/>
        </w:rPr>
        <w:t xml:space="preserve"> means a Lender that is not a U.S. Person.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Foreign Plan</w:t>
      </w:r>
      <w:r>
        <w:rPr>
          <w:rFonts w:ascii="Times New Roman" w:hAnsi="Times New Roman"/>
          <w:sz w:val="20"/>
        </w:rPr>
        <w:t xml:space="preserve"> means any employee pension benefit plan or arrangement (a) maintained, or contributed to by any Loan Party or Subsidiary that is not subject to the laws of the United States, or (b) mandated by a government other than the United States for employees of any Loan Party or Subsidiary.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Foreign Subsidiary</w:t>
      </w:r>
      <w:r>
        <w:rPr>
          <w:rFonts w:ascii="Times New Roman" w:hAnsi="Times New Roman"/>
          <w:sz w:val="20"/>
        </w:rPr>
        <w:t xml:space="preserve"> means any Subsidiary that is not a Domestic Subsidiary.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- 19 -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FSHC</w:t>
      </w:r>
      <w:r>
        <w:rPr>
          <w:rFonts w:ascii="Times New Roman" w:hAnsi="Times New Roman"/>
          <w:sz w:val="20"/>
        </w:rPr>
        <w:t xml:space="preserve"> means any Domestic Subsidiary substantially all the assets of which consist of the Equity Interests or the Equity Interests and Indebtedness, of one or more Controlled Foreign Corporations. No Loan Party existing as of the Closing Date is a FSHC.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Fund</w:t>
      </w:r>
      <w:r>
        <w:rPr>
          <w:rFonts w:ascii="Times New Roman" w:hAnsi="Times New Roman"/>
          <w:sz w:val="20"/>
        </w:rPr>
        <w:t xml:space="preserve"> means any Person (other than a natural Person) that is (or will be) engaged in making, purchasing, holding or otherwise investing in commercial loans, bonds and similar extensions of credit in the ordinary course of its activities.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GAAP</w:t>
      </w:r>
      <w:r>
        <w:rPr>
          <w:rFonts w:ascii="Times New Roman" w:hAnsi="Times New Roman"/>
          <w:sz w:val="20"/>
        </w:rPr>
        <w:t xml:space="preserve"> means (a) in the case of Holdings and its Subsidiaries on a consolidated basis and in any other case unless otherwise specified, International Financial Reporting Standards (IFRS) as issued by the International Accounting Standards Board, taking into account the recommendations of the International Financial Reporting Standards Interpretations Committee; </w:t>
      </w:r>
      <w:r>
        <w:rPr>
          <w:rFonts w:ascii="Times New Roman" w:hAnsi="Times New Roman"/>
          <w:sz w:val="20"/>
          <w:u w:val="single"/>
        </w:rPr>
        <w:t>provided</w:t>
      </w:r>
      <w:r>
        <w:rPr>
          <w:rFonts w:ascii="Times New Roman" w:hAnsi="Times New Roman"/>
          <w:sz w:val="20"/>
        </w:rPr>
        <w:t xml:space="preserve"> that if Holdings elects to adopt U.S. generally accepted accounting principles for purposes of its consolidated public reporting, it shall mean generally accepted accounting principles in effect from time to time in the United States, (b) in the case of any Subsidiary of Holdings organized under the laws of any state or territory of the United States that has adopted U.S. generally accepted accounting principles, when referring to such Subsidiary on a non-consolidated basis, generally accepted accounting principles in effect from time to time in the United States, (c) in the case of any Subsidiary of Holdings organized under the laws of Germany that has adopted German generally accepted accounting principles, when referring to such Subsidiary on a non-consolidated basis, generally accepted accounting principles in effect from time to time in Germany, and (d) when referring to any other Subsidiary of Holdings on a non-consolidated basis, the accounting principles adopted by such Subsidiary.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German Legal Reservations</w:t>
      </w:r>
      <w:r>
        <w:rPr>
          <w:rFonts w:ascii="Times New Roman" w:hAnsi="Times New Roman"/>
          <w:sz w:val="20"/>
        </w:rPr>
        <w:t xml:space="preserve"> means, with respect Holdings and any Subsidiary of Holdings that is incorporated or organized under the laws of Germany: </w:t>
      </w:r>
    </w:p>
    <w:p>
      <w:pPr>
        <w:pStyle w:val="TextBody"/>
        <w:spacing w:before="120" w:after="0"/>
        <w:jc w:val="left"/>
        <w:rPr>
          <w:rFonts w:ascii="Times New Roman" w:hAnsi="Times New Roman"/>
          <w:sz w:val="20"/>
        </w:rPr>
      </w:pPr>
      <w:r>
        <w:rPr>
          <w:rFonts w:ascii="Times New Roman" w:hAnsi="Times New Roman"/>
          <w:sz w:val="20"/>
        </w:rPr>
        <w:t xml:space="preserve">(a) the application of the German StaRUG or the Relevant EU Directive; </w:t>
      </w:r>
    </w:p>
    <w:p>
      <w:pPr>
        <w:pStyle w:val="TextBody"/>
        <w:spacing w:before="240" w:after="0"/>
        <w:jc w:val="left"/>
        <w:rPr>
          <w:rFonts w:ascii="Times New Roman" w:hAnsi="Times New Roman"/>
          <w:sz w:val="20"/>
        </w:rPr>
      </w:pPr>
      <w:r>
        <w:rPr>
          <w:rFonts w:ascii="Times New Roman" w:hAnsi="Times New Roman"/>
          <w:sz w:val="20"/>
        </w:rPr>
        <w:t xml:space="preserve">(b) the time barring of claims under applicable limitation laws and defenses of acquiescence, set-off or counterclaim and similar principles or limitations under the laws of any applicable jurisdiction; </w:t>
      </w:r>
    </w:p>
    <w:p>
      <w:pPr>
        <w:pStyle w:val="TextBody"/>
        <w:spacing w:before="240" w:after="0"/>
        <w:jc w:val="left"/>
        <w:rPr>
          <w:rFonts w:ascii="Times New Roman" w:hAnsi="Times New Roman"/>
          <w:sz w:val="20"/>
        </w:rPr>
      </w:pPr>
      <w:r>
        <w:rPr>
          <w:rFonts w:ascii="Times New Roman" w:hAnsi="Times New Roman"/>
          <w:sz w:val="20"/>
        </w:rPr>
        <w:t xml:space="preserve">(c) the principle that interest on interest, additional interest or default interest imposed pursuant to any relevant agreement may be held to be unenforceable on the grounds that it is a penalty and thus void; </w:t>
      </w:r>
    </w:p>
    <w:p>
      <w:pPr>
        <w:pStyle w:val="TextBody"/>
        <w:spacing w:before="240" w:after="0"/>
        <w:jc w:val="left"/>
        <w:rPr>
          <w:rFonts w:ascii="Times New Roman" w:hAnsi="Times New Roman"/>
          <w:sz w:val="20"/>
        </w:rPr>
      </w:pPr>
      <w:r>
        <w:rPr>
          <w:rFonts w:ascii="Times New Roman" w:hAnsi="Times New Roman"/>
          <w:sz w:val="20"/>
        </w:rPr>
        <w:t xml:space="preserve">(d) the principle that a court may not give effect to an indemnity for legal costs incurred by an unsuccessful litigant; </w:t>
      </w:r>
    </w:p>
    <w:p>
      <w:pPr>
        <w:pStyle w:val="TextBody"/>
        <w:spacing w:before="240" w:after="0"/>
        <w:jc w:val="left"/>
        <w:rPr>
          <w:rFonts w:ascii="Times New Roman" w:hAnsi="Times New Roman"/>
          <w:sz w:val="20"/>
        </w:rPr>
      </w:pPr>
      <w:r>
        <w:rPr>
          <w:rFonts w:ascii="Times New Roman" w:hAnsi="Times New Roman"/>
          <w:sz w:val="20"/>
        </w:rPr>
        <w:t xml:space="preserve">(e) the principle that the creation or purported creation of a Lien over (i) any asset not beneficially owned by the relevant charging company at the date of the relevant security document or (ii) any contract or agreement which is subject to a prohibition on transfer, assignment or charging, may be void, ineffective or invalid and may give rise to a breach of the contract or agreement over which a Lien has purportedly been created; </w:t>
      </w:r>
    </w:p>
    <w:p>
      <w:pPr>
        <w:pStyle w:val="TextBody"/>
        <w:spacing w:before="240" w:after="0"/>
        <w:jc w:val="left"/>
        <w:rPr>
          <w:rFonts w:ascii="Times New Roman" w:hAnsi="Times New Roman"/>
          <w:sz w:val="20"/>
        </w:rPr>
      </w:pPr>
      <w:r>
        <w:rPr>
          <w:rFonts w:ascii="Times New Roman" w:hAnsi="Times New Roman"/>
          <w:sz w:val="20"/>
        </w:rPr>
        <w:t xml:space="preserve">(f) the accessory nature of certain Liens governed by German law; </w:t>
      </w:r>
    </w:p>
    <w:p>
      <w:pPr>
        <w:pStyle w:val="TextBody"/>
        <w:spacing w:before="240" w:after="0"/>
        <w:jc w:val="left"/>
        <w:rPr>
          <w:rFonts w:ascii="Times New Roman" w:hAnsi="Times New Roman"/>
          <w:sz w:val="20"/>
        </w:rPr>
      </w:pPr>
      <w:r>
        <w:rPr>
          <w:rFonts w:ascii="Times New Roman" w:hAnsi="Times New Roman"/>
          <w:sz w:val="20"/>
        </w:rPr>
        <w:t xml:space="preserve">(g) the principle that a court may not give effect to any parallel debt provisions, covenants to pay any collateral agent or other similar provisions; </w:t>
      </w:r>
    </w:p>
    <w:p>
      <w:pPr>
        <w:pStyle w:val="TextBody"/>
        <w:spacing w:before="240" w:after="0"/>
        <w:jc w:val="left"/>
        <w:rPr>
          <w:rFonts w:ascii="Times New Roman" w:hAnsi="Times New Roman"/>
          <w:sz w:val="20"/>
        </w:rPr>
      </w:pPr>
      <w:r>
        <w:rPr>
          <w:rFonts w:ascii="Times New Roman" w:hAnsi="Times New Roman"/>
          <w:sz w:val="20"/>
        </w:rPr>
        <w:t xml:space="preserve">(h) the fact that a court may limit the concept of irrevocability by applying restrictions based on cogent reasons for the respective concerned party to withdraw from the right irrevocably granted;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- 20 -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 the principles of private and procedural laws of any relevant jurisdiction which affect the enforcement of a foreign court judgment; and </w:t>
      </w:r>
    </w:p>
    <w:p>
      <w:pPr>
        <w:pStyle w:val="TextBody"/>
        <w:spacing w:before="240" w:after="0"/>
        <w:jc w:val="left"/>
        <w:rPr>
          <w:rFonts w:ascii="Times New Roman" w:hAnsi="Times New Roman"/>
          <w:sz w:val="20"/>
        </w:rPr>
      </w:pPr>
      <w:r>
        <w:rPr>
          <w:rFonts w:ascii="Times New Roman" w:hAnsi="Times New Roman"/>
          <w:sz w:val="20"/>
        </w:rPr>
        <w:t xml:space="preserve">(j) the principle that in certain circumstances pre-existing Liens purporting to secure an additional facility, further advances or any facility following a structural adjustment may be void, ineffective, invalid or unenforceable.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German StaRUG</w:t>
      </w:r>
      <w:r>
        <w:rPr>
          <w:rFonts w:ascii="Times New Roman" w:hAnsi="Times New Roman"/>
          <w:sz w:val="20"/>
        </w:rPr>
        <w:t> means the German Act on the stabilization and restructuring framework for businesses (</w:t>
      </w:r>
      <w:r>
        <w:rPr>
          <w:rFonts w:ascii="Times New Roman" w:hAnsi="Times New Roman"/>
          <w:i/>
          <w:sz w:val="20"/>
        </w:rPr>
        <w:t>Gesetz über den Stabilisierungs- und Restrukturierungsrahmen für Unternehmen (Unternehmensstabilisierungs- und -restrukturierungsgesetz  StaRUG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Government Securities Business Day</w:t>
      </w:r>
      <w:r>
        <w:rPr>
          <w:rFonts w:ascii="Times New Roman" w:hAnsi="Times New Roman"/>
          <w:sz w:val="20"/>
        </w:rPr>
        <w:t xml:space="preserve"> means any day except for (a) a Saturday, (b) a Sunday or (c) a day on which the Securities Industry and Financial Markets Association (or any successor thereto) recommends that the fixed income departments of its members be closed for the entire day for purposes of trading in United States government securities.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Governmental Authority</w:t>
      </w:r>
      <w:r>
        <w:rPr>
          <w:rFonts w:ascii="Times New Roman" w:hAnsi="Times New Roman"/>
          <w:sz w:val="20"/>
        </w:rPr>
        <w:t xml:space="preserve"> means the government of the United States or any other nation, or of any political subdivision thereof, whether state or local, and any department, commission, board, bureau,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Guarantee Agreement</w:t>
      </w:r>
      <w:r>
        <w:rPr>
          <w:rFonts w:ascii="Times New Roman" w:hAnsi="Times New Roman"/>
          <w:sz w:val="20"/>
        </w:rPr>
        <w:t xml:space="preserve"> means the Guarantee Agreement, dated as of the date Closing Date, among the Loan Parties and the Administrative Agent.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Guarantees</w:t>
      </w:r>
      <w:r>
        <w:rPr>
          <w:rFonts w:ascii="Times New Roman" w:hAnsi="Times New Roman"/>
          <w:sz w:val="20"/>
        </w:rPr>
        <w:t> of or by any Person (the </w:t>
      </w:r>
      <w:r>
        <w:rPr>
          <w:rFonts w:ascii="Times New Roman" w:hAnsi="Times New Roman"/>
          <w:sz w:val="20"/>
          <w:u w:val="single"/>
        </w:rPr>
        <w:t>guarantor</w:t>
      </w:r>
      <w:r>
        <w:rPr>
          <w:rFonts w:ascii="Times New Roman" w:hAnsi="Times New Roman"/>
          <w:sz w:val="20"/>
        </w:rPr>
        <w:t>) means any obligation, contingent or otherwise, of the guarantor guaranteeing or having the economic effect of guaranteeing any Indebtedness or other obligation of any other Person (the </w:t>
      </w:r>
      <w:r>
        <w:rPr>
          <w:rFonts w:ascii="Times New Roman" w:hAnsi="Times New Roman"/>
          <w:sz w:val="20"/>
          <w:u w:val="single"/>
        </w:rPr>
        <w:t>primary obligor</w:t>
      </w:r>
      <w:r>
        <w:rPr>
          <w:rFonts w:ascii="Times New Roman" w:hAnsi="Times New Roman"/>
          <w:sz w:val="20"/>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hAnsi="Times New Roman"/>
          <w:sz w:val="20"/>
          <w:u w:val="single"/>
        </w:rPr>
        <w:t>provided</w:t>
      </w:r>
      <w:r>
        <w:rPr>
          <w:rFonts w:ascii="Times New Roman" w:hAnsi="Times New Roman"/>
          <w:sz w:val="20"/>
        </w:rPr>
        <w:t xml:space="preserve"> that the term Guarantee shall not include endorsements for collection or deposit in the ordinary course of business. The term Guaranteed has a meaning analogous thereto. The amount of any Guarantee at any time shall be deemed to be an amount equal to the lesser at such time of (i) the stated or determinable amount of the primary obligation in respect of which such Guarantee is made (or, if not stated or determinable, the maximum reasonably anticipated amount of the obligations in respect of which such Guarantee is made) and (ii) the maximum amount for which the guarantor may be liable pursuant to the terms of the instrument embodying such Guarantee.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Guarantors</w:t>
      </w:r>
      <w:r>
        <w:rPr>
          <w:rFonts w:ascii="Times New Roman" w:hAnsi="Times New Roman"/>
          <w:sz w:val="20"/>
        </w:rPr>
        <w:t xml:space="preserve"> means (a) Holdings, (b) each Subsidiary Guarantor, and (c) each other Person that becomes a party to the Guarantee Agreement as a Guarantor.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Hazardous Materials</w:t>
      </w:r>
      <w:r>
        <w:rPr>
          <w:rFonts w:ascii="Times New Roman" w:hAnsi="Times New Roman"/>
          <w:sz w:val="20"/>
        </w:rPr>
        <w:t xml:space="preserve"> means all substances, wastes, chemicals, pollutants, or other contaminants, including petroleum or petroleum distillates, asbestos or asbestos containing materials, polychlorinated biphenyls, radon gas, mold, infectious, pharmaceutical or medical wastes and all other substances of any nature that are now or hereafter regulated under any Environmental Law or are now or hereafter defined, listed, classified, considered or described as hazardous, dangerous or toxic by any Governmental Authority or under any Environmental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- 21 -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Holdings</w:t>
      </w:r>
      <w:r>
        <w:rPr>
          <w:rFonts w:ascii="Times New Roman" w:hAnsi="Times New Roman"/>
          <w:sz w:val="20"/>
        </w:rPr>
        <w:t xml:space="preserve"> has the meaning assigned to such term in the Preamble.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Indebtedness</w:t>
      </w:r>
      <w:r>
        <w:rPr>
          <w:rFonts w:ascii="Times New Roman" w:hAnsi="Times New Roman"/>
          <w:sz w:val="20"/>
        </w:rPr>
        <w:t xml:space="preserve"> of any Person means, without duplication: </w:t>
      </w:r>
    </w:p>
    <w:p>
      <w:pPr>
        <w:pStyle w:val="TextBody"/>
        <w:spacing w:before="120" w:after="0"/>
        <w:jc w:val="left"/>
        <w:rPr>
          <w:rFonts w:ascii="Times New Roman" w:hAnsi="Times New Roman"/>
          <w:sz w:val="20"/>
        </w:rPr>
      </w:pPr>
      <w:r>
        <w:rPr>
          <w:rFonts w:ascii="Times New Roman" w:hAnsi="Times New Roman"/>
          <w:sz w:val="20"/>
        </w:rPr>
        <w:t xml:space="preserve">(a) all obligations of such Person for borrowed money; </w:t>
      </w:r>
    </w:p>
    <w:p>
      <w:pPr>
        <w:pStyle w:val="TextBody"/>
        <w:spacing w:before="240" w:after="0"/>
        <w:jc w:val="left"/>
        <w:rPr>
          <w:rFonts w:ascii="Times New Roman" w:hAnsi="Times New Roman"/>
          <w:sz w:val="20"/>
        </w:rPr>
      </w:pPr>
      <w:r>
        <w:rPr>
          <w:rFonts w:ascii="Times New Roman" w:hAnsi="Times New Roman"/>
          <w:sz w:val="20"/>
        </w:rPr>
        <w:t xml:space="preserve">(b) all obligations of such Person evidenced by bonds, debentures, notes, loan agreements or other similar instruments, including seller paper; </w:t>
      </w:r>
    </w:p>
    <w:p>
      <w:pPr>
        <w:pStyle w:val="TextBody"/>
        <w:spacing w:before="240" w:after="0"/>
        <w:jc w:val="left"/>
        <w:rPr>
          <w:rFonts w:ascii="Times New Roman" w:hAnsi="Times New Roman"/>
          <w:sz w:val="20"/>
        </w:rPr>
      </w:pPr>
      <w:r>
        <w:rPr>
          <w:rFonts w:ascii="Times New Roman" w:hAnsi="Times New Roman"/>
          <w:sz w:val="20"/>
        </w:rPr>
        <w:t xml:space="preserve">(c) the maximum amount (after giving effect to any prior drawings or reductions which have been reimbursed and deducting the amount of any cash collateral or other cash deposits securing such amounts) of all letters of credit (including standby and commercial), bankers acceptances, bank guaranties, surety bonds, and similar instruments issued or created by or for the account of such Person; </w:t>
      </w:r>
    </w:p>
    <w:p>
      <w:pPr>
        <w:pStyle w:val="TextBody"/>
        <w:spacing w:before="240" w:after="0"/>
        <w:jc w:val="left"/>
        <w:rPr>
          <w:rFonts w:ascii="Times New Roman" w:hAnsi="Times New Roman"/>
          <w:sz w:val="20"/>
        </w:rPr>
      </w:pPr>
      <w:r>
        <w:rPr>
          <w:rFonts w:ascii="Times New Roman" w:hAnsi="Times New Roman"/>
          <w:sz w:val="20"/>
        </w:rPr>
        <w:t xml:space="preserve">(d) the Swap Termination Value of each Swap Agreement (to the extent reflecting an amount owed by such Person or an amount that would be owing were such Swap Agreement terminated); </w:t>
      </w:r>
    </w:p>
    <w:p>
      <w:pPr>
        <w:pStyle w:val="TextBody"/>
        <w:spacing w:before="240" w:after="0"/>
        <w:jc w:val="left"/>
        <w:rPr>
          <w:rFonts w:ascii="Times New Roman" w:hAnsi="Times New Roman"/>
          <w:sz w:val="20"/>
        </w:rPr>
      </w:pPr>
      <w:r>
        <w:rPr>
          <w:rFonts w:ascii="Times New Roman" w:hAnsi="Times New Roman"/>
          <w:sz w:val="20"/>
        </w:rPr>
        <w:t xml:space="preserve">(e) the Attributable Indebtedness of such Person in respect of Capitalized Leases and Synthetic Lease Obligations of such Person (regardless of whether accounted for as indebtedness under GAAP); </w:t>
      </w:r>
    </w:p>
    <w:p>
      <w:pPr>
        <w:pStyle w:val="TextBody"/>
        <w:spacing w:before="240" w:after="0"/>
        <w:jc w:val="left"/>
        <w:rPr>
          <w:rFonts w:ascii="Times New Roman" w:hAnsi="Times New Roman"/>
          <w:sz w:val="20"/>
        </w:rPr>
      </w:pPr>
      <w:r>
        <w:rPr>
          <w:rFonts w:ascii="Times New Roman" w:hAnsi="Times New Roman"/>
          <w:sz w:val="20"/>
        </w:rPr>
        <w:t xml:space="preserve">(f) all obligations of such Person to pay the deferred purchase price of property or services (other than (i) trade accounts payable in the ordinary course of business which are paid within 90 days of their respective due dates, (ii) customer advances, (iii) deferred compensation and (iv) any purchase price adjustments, earn out or similar obligation until such obligation becomes a liability on the balance sheet of such Person in accordance with GAAP and if not paid after becoming due and payable); </w:t>
      </w:r>
    </w:p>
    <w:p>
      <w:pPr>
        <w:pStyle w:val="TextBody"/>
        <w:spacing w:before="240" w:after="0"/>
        <w:jc w:val="left"/>
        <w:rPr>
          <w:rFonts w:ascii="Times New Roman" w:hAnsi="Times New Roman"/>
          <w:sz w:val="20"/>
        </w:rPr>
      </w:pPr>
      <w:r>
        <w:rPr>
          <w:rFonts w:ascii="Times New Roman" w:hAnsi="Times New Roman"/>
          <w:sz w:val="20"/>
        </w:rPr>
        <w:t xml:space="preserve">(g) indebtedness (excluding prepaid interest thereon)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 </w:t>
      </w:r>
    </w:p>
    <w:p>
      <w:pPr>
        <w:pStyle w:val="TextBody"/>
        <w:spacing w:before="240" w:after="0"/>
        <w:jc w:val="left"/>
        <w:rPr>
          <w:rFonts w:ascii="Times New Roman" w:hAnsi="Times New Roman"/>
          <w:sz w:val="20"/>
        </w:rPr>
      </w:pPr>
      <w:r>
        <w:rPr>
          <w:rFonts w:ascii="Times New Roman" w:hAnsi="Times New Roman"/>
          <w:sz w:val="20"/>
        </w:rPr>
        <w:t xml:space="preserve">(h) all Earn-Out Obligations due and owing of such Person; </w:t>
      </w:r>
    </w:p>
    <w:p>
      <w:pPr>
        <w:pStyle w:val="TextBody"/>
        <w:spacing w:before="240" w:after="0"/>
        <w:jc w:val="left"/>
        <w:rPr>
          <w:rFonts w:ascii="Times New Roman" w:hAnsi="Times New Roman"/>
          <w:sz w:val="20"/>
        </w:rPr>
      </w:pPr>
      <w:r>
        <w:rPr>
          <w:rFonts w:ascii="Times New Roman" w:hAnsi="Times New Roman"/>
          <w:sz w:val="20"/>
        </w:rPr>
        <w:t xml:space="preserve">(i) all obligations of such Person in respect of Disqualified Equity Interests; </w:t>
      </w:r>
    </w:p>
    <w:p>
      <w:pPr>
        <w:pStyle w:val="TextBody"/>
        <w:spacing w:before="240" w:after="0"/>
        <w:jc w:val="left"/>
        <w:rPr>
          <w:rFonts w:ascii="Times New Roman" w:hAnsi="Times New Roman"/>
          <w:sz w:val="20"/>
        </w:rPr>
      </w:pPr>
      <w:r>
        <w:rPr>
          <w:rFonts w:ascii="Times New Roman" w:hAnsi="Times New Roman"/>
          <w:sz w:val="20"/>
        </w:rPr>
        <w:t>(j) all obligations of such Person to pay a specified purchase price for goods or services whether or not delivered or accepted (</w:t>
      </w:r>
      <w:r>
        <w:rPr>
          <w:rFonts w:ascii="Times New Roman" w:hAnsi="Times New Roman"/>
          <w:sz w:val="20"/>
          <w:u w:val="single"/>
        </w:rPr>
        <w:t>e.g.</w:t>
      </w:r>
      <w:r>
        <w:rPr>
          <w:rFonts w:ascii="Times New Roman" w:hAnsi="Times New Roman"/>
          <w:sz w:val="20"/>
        </w:rPr>
        <w:t xml:space="preserve">, take or pay obligations) or similar obligations and, without duplication, all obligations of such Person under conditional sale or other title retention agreements relating to property or assets purchased by such Person; and </w:t>
      </w:r>
    </w:p>
    <w:p>
      <w:pPr>
        <w:pStyle w:val="TextBody"/>
        <w:spacing w:before="240" w:after="0"/>
        <w:jc w:val="left"/>
        <w:rPr>
          <w:rFonts w:ascii="Times New Roman" w:hAnsi="Times New Roman"/>
          <w:sz w:val="20"/>
        </w:rPr>
      </w:pPr>
      <w:r>
        <w:rPr>
          <w:rFonts w:ascii="Times New Roman" w:hAnsi="Times New Roman"/>
          <w:sz w:val="20"/>
        </w:rPr>
        <w:t xml:space="preserve">(k) all Guarantees by such Person of any of the foregoing; </w:t>
      </w:r>
    </w:p>
    <w:p>
      <w:pPr>
        <w:pStyle w:val="TextBody"/>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anything to the contrary contained herein, for purposes of this definition, Indebtedness shall not include (1) any obligations that have been defeased and/or discharged if funds in an amount equal to all such obligations (including interest and any other amounts required to be paid to the holders thereof in order to give effect to such defeasance) have been irrevocably deposited with a trustee, paying agent or other similar Person for the benefit of the relevant holders of such obligations or (2) interest, fees, make-whole amounts, premium, charges or expenses, if any, relating to the principal amount of Indebtedness, including any fee contemplated by </w:t>
      </w:r>
      <w:r>
        <w:rPr>
          <w:rFonts w:ascii="Times New Roman" w:hAnsi="Times New Roman"/>
          <w:sz w:val="20"/>
          <w:u w:val="single"/>
        </w:rPr>
        <w:t>Section 3.2</w:t>
      </w:r>
      <w:r>
        <w:rPr>
          <w:rFonts w:ascii="Times New Roman" w:hAnsi="Times New Roman"/>
          <w:sz w:val="20"/>
        </w:rPr>
        <w:t xml:space="preserve"> hereof (in each case, unless capitalized and added to such principal amount).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- 22 -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Indebtedness of any Person shall include the Indebtedness of any partnership or joint venture (other than a joint venture that is itself a corporation, company, or limited liability company) in which such Person is a general partner or a joint venturer, unless such Indebtedness is expressly made non-recourse to such Person. Unless the Indebtedness in question is recourse to such Person, the amount of Indebtedness of any Person for purposes of </w:t>
      </w:r>
      <w:r>
        <w:rPr>
          <w:rFonts w:ascii="Times New Roman" w:hAnsi="Times New Roman"/>
          <w:sz w:val="20"/>
          <w:u w:val="single"/>
        </w:rPr>
        <w:t>clause (g)</w:t>
      </w:r>
      <w:r>
        <w:rPr>
          <w:rFonts w:ascii="Times New Roman" w:hAnsi="Times New Roman"/>
          <w:sz w:val="20"/>
        </w:rPr>
        <w:t xml:space="preserve"> shall be deemed to be equal to the lesser of (i) the aggregate unpaid amount of such Indebtedness and (ii) the fair market value of the property encumbered thereby as determined by such Person in good faith.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Indemnified Taxes</w:t>
      </w:r>
      <w:r>
        <w:rPr>
          <w:rFonts w:ascii="Times New Roman" w:hAnsi="Times New Roman"/>
          <w:sz w:val="20"/>
        </w:rPr>
        <w:t xml:space="preserve"> means (a) Taxes, other than Excluded Taxes, imposed on or with respect to any payment made by or on account of any obligation of any Loan Party under any Loan Document and (b) to the extent not otherwise described in clause (a), Other Taxes.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Indemnitee</w:t>
      </w:r>
      <w:r>
        <w:rPr>
          <w:rFonts w:ascii="Times New Roman" w:hAnsi="Times New Roman"/>
          <w:sz w:val="20"/>
        </w:rPr>
        <w:t xml:space="preserve"> has the meaning assigned to such term in </w:t>
      </w:r>
      <w:r>
        <w:rPr>
          <w:rFonts w:ascii="Times New Roman" w:hAnsi="Times New Roman"/>
          <w:sz w:val="20"/>
          <w:u w:val="single"/>
        </w:rPr>
        <w:t>Section 10.3(b)</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Information</w:t>
      </w:r>
      <w:r>
        <w:rPr>
          <w:rFonts w:ascii="Times New Roman" w:hAnsi="Times New Roman"/>
          <w:sz w:val="20"/>
        </w:rPr>
        <w:t xml:space="preserve"> has the meaning assigned to such term in </w:t>
      </w:r>
      <w:r>
        <w:rPr>
          <w:rFonts w:ascii="Times New Roman" w:hAnsi="Times New Roman"/>
          <w:sz w:val="20"/>
          <w:u w:val="single"/>
        </w:rPr>
        <w:t>Section 10.15(b)</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Intellectual Property</w:t>
      </w:r>
      <w:r>
        <w:rPr>
          <w:rFonts w:ascii="Times New Roman" w:hAnsi="Times New Roman"/>
          <w:sz w:val="20"/>
        </w:rPr>
        <w:t xml:space="preserve"> means, collectively, with respect to any Person, all of such Persons rights, priorities and privileges relating to all intellectual and similar property of every kind and nature, whether arising under United States, multinational or foreign laws or otherwise, now existing or hereafter adopted or acquired, including inventions, designs, Patents, Copyrights, Trademarks, Licenses, domain names, Trade Secrets (as each such term is defined in any Security Agreement), confidential or proprietary technical and business information, know how, show how or other data or information, software and databases and all embodiments or fixations thereof and related documentation and registrations, and all additions, improvements and accessions to any of the foregoing, and all rights to sue at law or in equity for any infringement or other impairment thereof, including the right to receive all proceeds and damages therefrom.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Interest Payment Date</w:t>
      </w:r>
      <w:r>
        <w:rPr>
          <w:rFonts w:ascii="Times New Roman" w:hAnsi="Times New Roman"/>
          <w:sz w:val="20"/>
        </w:rPr>
        <w:t xml:space="preserve"> means (a) with respect to any ABR Loan, the last Business Day of each calendar quarter and the Maturity Date and (b) with respect to any SOFR Loan, the last Business Day of each calendar quarter and the Maturity Date.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Interest Period</w:t>
      </w:r>
      <w:r>
        <w:rPr>
          <w:rFonts w:ascii="Times New Roman" w:hAnsi="Times New Roman"/>
          <w:sz w:val="20"/>
        </w:rPr>
        <w:t xml:space="preserve"> means, with respect to any applicable Loan, the period commencing on the date of such Loan and ending on the numerically corresponding day in the calendar month that is three months thereafter (in each case, subject to the availability thereof); </w:t>
      </w:r>
      <w:r>
        <w:rPr>
          <w:rFonts w:ascii="Times New Roman" w:hAnsi="Times New Roman"/>
          <w:sz w:val="20"/>
          <w:u w:val="single"/>
        </w:rPr>
        <w:t>provided</w:t>
      </w:r>
      <w:r>
        <w:rPr>
          <w:rFonts w:ascii="Times New Roman" w:hAnsi="Times New Roman"/>
          <w:sz w:val="20"/>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Interest Period shall extend beyond the Maturity Date. For purposes hereof, the date of a Loan initially shall be the date on which such Loan is made and thereafter shall be the effective date of the most recent conversion or continuation of such Loan. Interest shall accrue from and including the first day of an Interest Period to but excluding the last day of such Interest Period.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- 23 -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Investment</w:t>
      </w:r>
      <w:r>
        <w:rPr>
          <w:rFonts w:ascii="Times New Roman" w:hAnsi="Times New Roman"/>
          <w:sz w:val="20"/>
        </w:rPr>
        <w:t xml:space="preserve"> means, as to any Person, (a) any Acquisition by such Person, (b) any direct or indirect acquisition or investment by such Person in another Person, whether by means of the purchase or other acquisition of Equity Interests or debt or other securities of another Person (including any partnership or joint venture interest), or (c) any direct or indirect loan, advance or capital contribution to, Guarantee with respect to any Indebtedness or other obligation of, such other Person. For purposes of covenant compliance, the amount of any Investment on any date of determination shall be, in the case of any Investment in the form of (i) a loan or an advance, the principal amount thereof outstanding on such date, (ii) a Guarantee, the amount of such Guarantee as determined in accordance with the last sentence of the definition of such term, (iii) a transfer of Equity Interests or other property by the investor to the investee, including any such transfer in the form of a capital contribution, or the issuance of Equity Interests to such investor, the fair market value (as determined reasonably and in good faith by a Financial Officer of Holdings) of such Equity Interests or other property as of the time of the transfer or issuance, without any adjustment for increases or decreases in value of, or write-ups, write-downs or write-offs with respect to, such Investment, and (iv) any Investment (other than any Investment referred to in clauses (i), (ii) or (iii) above) in the form of an Acquisition or a purchase or other acquisition for value of any evidences of Indebtedness or other securities of any other Person, the original cost of such Investment (including any Indebtedness assumed in connection therewith), </w:t>
      </w:r>
      <w:r>
        <w:rPr>
          <w:rFonts w:ascii="Times New Roman" w:hAnsi="Times New Roman"/>
          <w:sz w:val="20"/>
          <w:u w:val="single"/>
        </w:rPr>
        <w:t>plus</w:t>
      </w:r>
      <w:r>
        <w:rPr>
          <w:rFonts w:ascii="Times New Roman" w:hAnsi="Times New Roman"/>
          <w:sz w:val="20"/>
        </w:rPr>
        <w:t xml:space="preserve"> the cost of all additions, as of such date, thereto, and </w:t>
      </w:r>
      <w:r>
        <w:rPr>
          <w:rFonts w:ascii="Times New Roman" w:hAnsi="Times New Roman"/>
          <w:sz w:val="20"/>
          <w:u w:val="single"/>
        </w:rPr>
        <w:t>minus</w:t>
      </w:r>
      <w:r>
        <w:rPr>
          <w:rFonts w:ascii="Times New Roman" w:hAnsi="Times New Roman"/>
          <w:sz w:val="20"/>
        </w:rPr>
        <w:t xml:space="preserve"> the amount, as of such date, of any portion of such Investment repaid to the investor in cash as a repayment of principal or a return of capital, as the case may be, but without any other adjustment for increases or decreases in value of, or write-ups, write-downs or write-offs with respect to, such Investment.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IRS</w:t>
      </w:r>
      <w:r>
        <w:rPr>
          <w:rFonts w:ascii="Times New Roman" w:hAnsi="Times New Roman"/>
          <w:sz w:val="20"/>
        </w:rPr>
        <w:t xml:space="preserve"> means the United States Internal Revenue Service.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Latest Maturity Date</w:t>
      </w:r>
      <w:r>
        <w:rPr>
          <w:rFonts w:ascii="Times New Roman" w:hAnsi="Times New Roman"/>
          <w:sz w:val="20"/>
        </w:rPr>
        <w:t xml:space="preserve"> means, at any date of determination, the latest Maturity Date applicable to any Loan or Commitment hereunder at such time, in each case as extended in accordance with this Credit Agreement or pursuant to any other Loan Document from time to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Laws</w:t>
      </w:r>
      <w:r>
        <w:rPr>
          <w:rFonts w:ascii="Times New Roman" w:hAnsi="Times New Roman"/>
          <w:sz w:val="20"/>
        </w:rPr>
        <w:t xml:space="preserve">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Legal Reservations</w:t>
      </w:r>
      <w:r>
        <w:rPr>
          <w:rFonts w:ascii="Times New Roman" w:hAnsi="Times New Roman"/>
          <w:sz w:val="20"/>
        </w:rPr>
        <w:t xml:space="preserve"> means (a) the principle that equitable remedies may be granted or refused at the discretion of a court and the limitation of enforcement by Laws relating to insolvency, reorganization, receivership, moratorium and other Laws generally affecting the right of creditors and general principles of equity; (b) similar principles, rights and defenses under the laws of any relevant jurisdiction of organization of any Loan Party; (c) the German Legal Reservations; and (d) any other matters which are set out as qualifications or reservations (however described) as to matters of law in the legal opinions rendered in connection with the Loan Documents.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Lenders</w:t>
      </w:r>
      <w:r>
        <w:rPr>
          <w:rFonts w:ascii="Times New Roman" w:hAnsi="Times New Roman"/>
          <w:sz w:val="20"/>
        </w:rPr>
        <w:t xml:space="preserve"> means (a) the financial institutions listed on </w:t>
      </w:r>
      <w:r>
        <w:rPr>
          <w:rFonts w:ascii="Times New Roman" w:hAnsi="Times New Roman"/>
          <w:sz w:val="20"/>
          <w:u w:val="single"/>
        </w:rPr>
        <w:t>Schedule 2.1</w:t>
      </w:r>
      <w:r>
        <w:rPr>
          <w:rFonts w:ascii="Times New Roman" w:hAnsi="Times New Roman"/>
          <w:sz w:val="20"/>
        </w:rPr>
        <w:t xml:space="preserve"> (other than any such financial institution that has ceased to be a party hereto pursuant to an Assignment and Acceptance) and (b) any financial institution that has become a party hereto pursuant to an Assignment and Assumption.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Lien</w:t>
      </w:r>
      <w:r>
        <w:rPr>
          <w:rFonts w:ascii="Times New Roman" w:hAnsi="Times New Roman"/>
          <w:sz w:val="20"/>
        </w:rPr>
        <w:t xml:space="preserve"> means, with respect to any asset, (a) any mortgage, deed of trust, lien, pledge, hypothecation, encumbrance, charge or security interest in, on or of such asset, (b) the interest of a vendor or a lessor under any conditional sale agreement, Capitalized Lease or title retention agreement relating to such asset, and (c) in the case of securities, any purchase option, call or similar right of a third party with respect to such securities.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Liquidity</w:t>
      </w:r>
      <w:r>
        <w:rPr>
          <w:rFonts w:ascii="Times New Roman" w:hAnsi="Times New Roman"/>
          <w:sz w:val="20"/>
        </w:rPr>
        <w:t xml:space="preserve"> means, as of any date of determination, (a) the aggregate amount of unrestricted cash and Cash Equivalents of the Loan Parties held at such time in Controlled Accounts or accounts otherwise subject to a perfected Lien for the benefit of the Secured Parties and solely to the extent that such amounts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- 24 -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are not subject to a Lien (other than Liens created pursuant to any Loan Document, non-consensual Liens permitted under </w:t>
      </w:r>
      <w:r>
        <w:rPr>
          <w:rFonts w:ascii="Times New Roman" w:hAnsi="Times New Roman"/>
          <w:sz w:val="20"/>
          <w:u w:val="single"/>
        </w:rPr>
        <w:t>Section 7.2</w:t>
      </w:r>
      <w:r>
        <w:rPr>
          <w:rFonts w:ascii="Times New Roman" w:hAnsi="Times New Roman"/>
          <w:sz w:val="20"/>
        </w:rPr>
        <w:t xml:space="preserve"> and Liens permitted under </w:t>
      </w:r>
      <w:r>
        <w:rPr>
          <w:rFonts w:ascii="Times New Roman" w:hAnsi="Times New Roman"/>
          <w:sz w:val="20"/>
          <w:u w:val="single"/>
        </w:rPr>
        <w:t>Section 7.2(f)</w:t>
      </w:r>
      <w:r>
        <w:rPr>
          <w:rFonts w:ascii="Times New Roman" w:hAnsi="Times New Roman"/>
          <w:sz w:val="20"/>
        </w:rPr>
        <w:t xml:space="preserve"> and </w:t>
      </w:r>
      <w:r>
        <w:rPr>
          <w:rFonts w:ascii="Times New Roman" w:hAnsi="Times New Roman"/>
          <w:sz w:val="20"/>
          <w:u w:val="single"/>
        </w:rPr>
        <w:t>clause (k)</w:t>
      </w:r>
      <w:r>
        <w:rPr>
          <w:rFonts w:ascii="Times New Roman" w:hAnsi="Times New Roman"/>
          <w:sz w:val="20"/>
        </w:rPr>
        <w:t xml:space="preserve"> of the definition of Permitted Encumbrances), reserved, held back or otherwise subject to a claim that has been made for the return or application of such cash and Cash Equivalents </w:t>
      </w:r>
      <w:r>
        <w:rPr>
          <w:rFonts w:ascii="Times New Roman" w:hAnsi="Times New Roman"/>
          <w:sz w:val="20"/>
          <w:u w:val="single"/>
        </w:rPr>
        <w:t>less</w:t>
      </w:r>
      <w:r>
        <w:rPr>
          <w:rFonts w:ascii="Times New Roman" w:hAnsi="Times New Roman"/>
          <w:sz w:val="20"/>
        </w:rPr>
        <w:t xml:space="preserve"> (b) accounts payable of the Loan Parties that are more than 60 days past due as of such date. Solely for purposes of this definition, cash and Cash Equivalents contained in any account that is the subject of an obligation set forth in </w:t>
      </w:r>
      <w:r>
        <w:rPr>
          <w:rFonts w:ascii="Times New Roman" w:hAnsi="Times New Roman"/>
          <w:sz w:val="20"/>
          <w:u w:val="single"/>
        </w:rPr>
        <w:t>Section 6.15</w:t>
      </w:r>
      <w:r>
        <w:rPr>
          <w:rFonts w:ascii="Times New Roman" w:hAnsi="Times New Roman"/>
          <w:sz w:val="20"/>
        </w:rPr>
        <w:t xml:space="preserve"> shall be deemed to be held in a Controlled Account for so long as the Borrower is not in violation of its obligations under </w:t>
      </w:r>
      <w:r>
        <w:rPr>
          <w:rFonts w:ascii="Times New Roman" w:hAnsi="Times New Roman"/>
          <w:sz w:val="20"/>
          <w:u w:val="single"/>
        </w:rPr>
        <w:t>Section 6.15</w:t>
      </w:r>
      <w:r>
        <w:rPr>
          <w:rFonts w:ascii="Times New Roman" w:hAnsi="Times New Roman"/>
          <w:sz w:val="20"/>
        </w:rPr>
        <w:t xml:space="preserve"> in respect of such account.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Loan</w:t>
      </w:r>
      <w:r>
        <w:rPr>
          <w:rFonts w:ascii="Times New Roman" w:hAnsi="Times New Roman"/>
          <w:sz w:val="20"/>
        </w:rPr>
        <w:t xml:space="preserve"> means an extension of credit by a Lender to the Borrower under </w:t>
      </w:r>
      <w:r>
        <w:rPr>
          <w:rFonts w:ascii="Times New Roman" w:hAnsi="Times New Roman"/>
          <w:sz w:val="20"/>
          <w:u w:val="single"/>
        </w:rPr>
        <w:t>Article 2</w:t>
      </w:r>
      <w:r>
        <w:rPr>
          <w:rFonts w:ascii="Times New Roman" w:hAnsi="Times New Roman"/>
          <w:sz w:val="20"/>
        </w:rPr>
        <w:t xml:space="preserve"> in the form of a Term Loan.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Loan Document Obligations</w:t>
      </w:r>
      <w:r>
        <w:rPr>
          <w:rFonts w:ascii="Times New Roman" w:hAnsi="Times New Roman"/>
          <w:sz w:val="20"/>
        </w:rPr>
        <w:t xml:space="preserve"> means all advances to, and debts, liabilities, obligations, covenants and duties of, any Loan Party arising under any of the Loan Documents or otherwise with respect to any Loan and all costs and expenses incurred in connection with enforcement and collection of the foregoing that are payable by the Loan Parties under the Loan Documents, including, to the extent so payable, the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of any proceeding under any Debtor Relief Laws naming such Person as the debtor in such proceeding, regardless of whether such interest, expenses and fees are allowed claims in such proceeding.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Loan Documents</w:t>
      </w:r>
      <w:r>
        <w:rPr>
          <w:rFonts w:ascii="Times New Roman" w:hAnsi="Times New Roman"/>
          <w:sz w:val="20"/>
        </w:rPr>
        <w:t xml:space="preserve"> means, collectively, this Credit Agreement, the Notes, the Guarantee Agreement, the Collateral Documents, the Administrative Agent Fee Letter and each other document entered into in connection herewith.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Loan Parties</w:t>
      </w:r>
      <w:r>
        <w:rPr>
          <w:rFonts w:ascii="Times New Roman" w:hAnsi="Times New Roman"/>
          <w:sz w:val="20"/>
        </w:rPr>
        <w:t xml:space="preserve"> means, collectively, (a) the Borrower and (b) the Guarantors.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Mandatory Prepayment Exit Date</w:t>
      </w:r>
      <w:r>
        <w:rPr>
          <w:rFonts w:ascii="Times New Roman" w:hAnsi="Times New Roman"/>
          <w:sz w:val="20"/>
        </w:rPr>
        <w:t xml:space="preserve"> means any date on which a partial prepayment of the Term Loans is made pursuant to </w:t>
      </w:r>
      <w:r>
        <w:rPr>
          <w:rFonts w:ascii="Times New Roman" w:hAnsi="Times New Roman"/>
          <w:sz w:val="20"/>
          <w:u w:val="single"/>
        </w:rPr>
        <w:t>Sections 2.7(b)(i)(A)</w:t>
      </w:r>
      <w:r>
        <w:rPr>
          <w:rFonts w:ascii="Times New Roman" w:hAnsi="Times New Roman"/>
          <w:sz w:val="20"/>
        </w:rPr>
        <w:t xml:space="preserve"> or </w:t>
      </w:r>
      <w:r>
        <w:rPr>
          <w:rFonts w:ascii="Times New Roman" w:hAnsi="Times New Roman"/>
          <w:sz w:val="20"/>
          <w:u w:val="single"/>
        </w:rPr>
        <w:t>(B)(2)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Margin Stock</w:t>
      </w:r>
      <w:r>
        <w:rPr>
          <w:rFonts w:ascii="Times New Roman" w:hAnsi="Times New Roman"/>
          <w:sz w:val="20"/>
        </w:rPr>
        <w:t xml:space="preserve"> has the meaning assigned to such term in Regulation U.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Material Adverse Effect</w:t>
      </w:r>
      <w:r>
        <w:rPr>
          <w:rFonts w:ascii="Times New Roman" w:hAnsi="Times New Roman"/>
          <w:sz w:val="20"/>
        </w:rPr>
        <w:t xml:space="preserve"> means (a) a material adverse effect on the business, assets, operations, liabilities or condition, financial or otherwise, of the Loan Parties and their respective Subsidiaries, taken as a whole, (b) the condition that results when the legality, validity or enforceability of any Loan Document is affected in a manner that is material and adverse to the Lenders, (c) the condition that results when the ability of any Loan Party to perform any of its obligations under any Loan Document is affected in a manner that is material and adverse to the Lenders, or (d) the condition that results when the rights of or benefits available to the Credit Parties under any Loan Document are affected in a manner that is material and adverse to the Lenders. In determining whether any individual event would result in a Material Adverse Effect, notwithstanding that such event in and of itself does not have such effect, a Material Adverse Effect shall be deemed to have occurred if the cumulative effect of such event and all other then-existing events would result in a Material Adverse Effect.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Material Indebtedness</w:t>
      </w:r>
      <w:r>
        <w:rPr>
          <w:rFonts w:ascii="Times New Roman" w:hAnsi="Times New Roman"/>
          <w:sz w:val="20"/>
        </w:rPr>
        <w:t xml:space="preserve"> means, as of any date, Indebtedness (other than Indebtedness under the Loan Documents), or obligations in respect of one or more Swap Agreements, of any one or more of the Loan Parties or any of their Subsidiaries, in each case, in an aggregate principal amount exceeding the Threshold Amount. For purposes of determining Material Indebtedness, the principal amount of the obligations in respect of any Swap Agreement at any time shall be its Swap Termination Value.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- 25 -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Material Owned Real Property</w:t>
      </w:r>
      <w:r>
        <w:rPr>
          <w:rFonts w:ascii="Times New Roman" w:hAnsi="Times New Roman"/>
          <w:sz w:val="20"/>
        </w:rPr>
        <w:t xml:space="preserve"> means, collectively, (a) the Real Property listed on </w:t>
      </w:r>
      <w:r>
        <w:rPr>
          <w:rFonts w:ascii="Times New Roman" w:hAnsi="Times New Roman"/>
          <w:sz w:val="20"/>
          <w:u w:val="single"/>
        </w:rPr>
        <w:t>Schedule 5.19</w:t>
      </w:r>
      <w:r>
        <w:rPr>
          <w:rFonts w:ascii="Times New Roman" w:hAnsi="Times New Roman"/>
          <w:sz w:val="20"/>
        </w:rPr>
        <w:t xml:space="preserve"> and (b) each other parcel of Real Property located in the United States which is owned by a Loan Party with a fair market value in excess of the greater of (i) $2,000,000 and (ii) 2% of Consolidated Total Assets.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Maturity Date</w:t>
      </w:r>
      <w:r>
        <w:rPr>
          <w:rFonts w:ascii="Times New Roman" w:hAnsi="Times New Roman"/>
          <w:sz w:val="20"/>
        </w:rPr>
        <w:t xml:space="preserve"> means April 25, 2028; </w:t>
      </w:r>
      <w:r>
        <w:rPr>
          <w:rFonts w:ascii="Times New Roman" w:hAnsi="Times New Roman"/>
          <w:sz w:val="20"/>
          <w:u w:val="single"/>
        </w:rPr>
        <w:t>provided</w:t>
      </w:r>
      <w:r>
        <w:rPr>
          <w:rFonts w:ascii="Times New Roman" w:hAnsi="Times New Roman"/>
          <w:sz w:val="20"/>
        </w:rPr>
        <w:t xml:space="preserve"> that if such day is not a Business Day, the Maturity Date shall be the Business Day immediately preceding such day.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Measurement Period</w:t>
      </w:r>
      <w:r>
        <w:rPr>
          <w:rFonts w:ascii="Times New Roman" w:hAnsi="Times New Roman"/>
          <w:sz w:val="20"/>
        </w:rPr>
        <w:t xml:space="preserve"> means, at any date of determination, the most recently completed four consecutive fiscal quarters of the Borrower ending on or prior to such date for which financial statements are required to be delivered under </w:t>
      </w:r>
      <w:r>
        <w:rPr>
          <w:rFonts w:ascii="Times New Roman" w:hAnsi="Times New Roman"/>
          <w:sz w:val="20"/>
          <w:u w:val="single"/>
        </w:rPr>
        <w:t>Section 6.1(a)</w:t>
      </w:r>
      <w:r>
        <w:rPr>
          <w:rFonts w:ascii="Times New Roman" w:hAnsi="Times New Roman"/>
          <w:sz w:val="20"/>
        </w:rPr>
        <w:t xml:space="preserve"> or </w:t>
      </w:r>
      <w:r>
        <w:rPr>
          <w:rFonts w:ascii="Times New Roman" w:hAnsi="Times New Roman"/>
          <w:sz w:val="20"/>
          <w:u w:val="single"/>
        </w:rPr>
        <w:t>6.1(b)</w:t>
      </w:r>
      <w:r>
        <w:rPr>
          <w:rFonts w:ascii="Times New Roman" w:hAnsi="Times New Roman"/>
          <w:sz w:val="20"/>
        </w:rPr>
        <w:t>, as applicable. A Measurement Period may be designated by reference to the last day thereof (</w:t>
      </w:r>
      <w:r>
        <w:rPr>
          <w:rFonts w:ascii="Times New Roman" w:hAnsi="Times New Roman"/>
          <w:sz w:val="20"/>
          <w:u w:val="single"/>
        </w:rPr>
        <w:t>e.g.</w:t>
      </w:r>
      <w:r>
        <w:rPr>
          <w:rFonts w:ascii="Times New Roman" w:hAnsi="Times New Roman"/>
          <w:sz w:val="20"/>
        </w:rPr>
        <w:t xml:space="preserve">, the June 30, 2023 Measurement Period refers to the period of four consecutive fiscal quarters of the Borrower ended June 30, 2023), and a Measurement Period shall be deemed to end on the last day thereof.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Moodys</w:t>
      </w:r>
      <w:r>
        <w:rPr>
          <w:rFonts w:ascii="Times New Roman" w:hAnsi="Times New Roman"/>
          <w:sz w:val="20"/>
        </w:rPr>
        <w:t xml:space="preserve"> means Moodys Investors Service, Inc. and any successor to its rating agency business.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Mortgaged Property</w:t>
      </w:r>
      <w:r>
        <w:rPr>
          <w:rFonts w:ascii="Times New Roman" w:hAnsi="Times New Roman"/>
          <w:sz w:val="20"/>
        </w:rPr>
        <w:t xml:space="preserve"> means each parcel of Material Owned Real Property, if any, which shall be subject to a Mortgage delivered pursuant to </w:t>
      </w:r>
      <w:r>
        <w:rPr>
          <w:rFonts w:ascii="Times New Roman" w:hAnsi="Times New Roman"/>
          <w:sz w:val="20"/>
          <w:u w:val="single"/>
        </w:rPr>
        <w:t>Section 5.1(f)</w:t>
      </w:r>
      <w:r>
        <w:rPr>
          <w:rFonts w:ascii="Times New Roman" w:hAnsi="Times New Roman"/>
          <w:sz w:val="20"/>
        </w:rPr>
        <w:t xml:space="preserve">, </w:t>
      </w:r>
      <w:r>
        <w:rPr>
          <w:rFonts w:ascii="Times New Roman" w:hAnsi="Times New Roman"/>
          <w:sz w:val="20"/>
          <w:u w:val="single"/>
        </w:rPr>
        <w:t>Section 6.12</w:t>
      </w:r>
      <w:r>
        <w:rPr>
          <w:rFonts w:ascii="Times New Roman" w:hAnsi="Times New Roman"/>
          <w:sz w:val="20"/>
        </w:rPr>
        <w:t xml:space="preserve"> or </w:t>
      </w:r>
      <w:r>
        <w:rPr>
          <w:rFonts w:ascii="Times New Roman" w:hAnsi="Times New Roman"/>
          <w:sz w:val="20"/>
          <w:u w:val="single"/>
        </w:rPr>
        <w:t>Section 6.15</w:t>
      </w:r>
      <w:r>
        <w:rPr>
          <w:rFonts w:ascii="Times New Roman" w:hAnsi="Times New Roman"/>
          <w:sz w:val="20"/>
        </w:rPr>
        <w:t xml:space="preserve">, as applicable.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Mortgages</w:t>
      </w:r>
      <w:r>
        <w:rPr>
          <w:rFonts w:ascii="Times New Roman" w:hAnsi="Times New Roman"/>
          <w:sz w:val="20"/>
        </w:rPr>
        <w:t xml:space="preserve"> means mortgages, deeds of trust, assignments of leases and rents, modifications and other collateral documents delivered pursuant to </w:t>
      </w:r>
      <w:r>
        <w:rPr>
          <w:rFonts w:ascii="Times New Roman" w:hAnsi="Times New Roman"/>
          <w:sz w:val="20"/>
          <w:u w:val="single"/>
        </w:rPr>
        <w:t>Section 5.1(f)</w:t>
      </w:r>
      <w:r>
        <w:rPr>
          <w:rFonts w:ascii="Times New Roman" w:hAnsi="Times New Roman"/>
          <w:sz w:val="20"/>
        </w:rPr>
        <w:t xml:space="preserve">, </w:t>
      </w:r>
      <w:r>
        <w:rPr>
          <w:rFonts w:ascii="Times New Roman" w:hAnsi="Times New Roman"/>
          <w:sz w:val="20"/>
          <w:u w:val="single"/>
        </w:rPr>
        <w:t>Section 6.12</w:t>
      </w:r>
      <w:r>
        <w:rPr>
          <w:rFonts w:ascii="Times New Roman" w:hAnsi="Times New Roman"/>
          <w:sz w:val="20"/>
        </w:rPr>
        <w:t xml:space="preserve"> or </w:t>
      </w:r>
      <w:r>
        <w:rPr>
          <w:rFonts w:ascii="Times New Roman" w:hAnsi="Times New Roman"/>
          <w:sz w:val="20"/>
          <w:u w:val="single"/>
        </w:rPr>
        <w:t>Section 6.15</w:t>
      </w:r>
      <w:r>
        <w:rPr>
          <w:rFonts w:ascii="Times New Roman" w:hAnsi="Times New Roman"/>
          <w:sz w:val="20"/>
        </w:rPr>
        <w:t xml:space="preserve">, each in form and substance reasonably satisfactory to the Administrative Agent.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Multiemployer Plan</w:t>
      </w:r>
      <w:r>
        <w:rPr>
          <w:rFonts w:ascii="Times New Roman" w:hAnsi="Times New Roman"/>
          <w:sz w:val="20"/>
        </w:rPr>
        <w:t xml:space="preserve"> means a multiemployer plan as defined in Section 4001(a)(3) of ERISA.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Net Cash Proceeds</w:t>
      </w:r>
      <w:r>
        <w:rPr>
          <w:rFonts w:ascii="Times New Roman" w:hAnsi="Times New Roman"/>
          <w:sz w:val="20"/>
        </w:rPr>
        <w:t> means, with respect to any (a) Disposition, Casualty Event or Extraordinary Receipt, the cash proceeds (including cash proceeds subsequently received (as and when received) in respect of non-cash consideration initially received and including all insurance settlements and condemnation awards from any single event or series of related events) actually received by a Loan Party or any of its Subsidiaries in respect of such Disposition, Casualty Event or Extraordinary Receipt, net of the sum, without duplication, of (i) the costs and expenses incurred (or reasonably expected to be incurred) in connection therewith (including reasonable brokers fees or commissions, legal fees, accounting fees, auditing fees, investment banking fees, consulting fees, advisory fees, underwriting fees and other professional fees, sales commissions, search and recording charges, any costs in connection with the adjustment, settlement or collection of claims, Taxes paid and the Borrowers good faith estimate of Taxes to be paid in connection with such Disposition, Casualty Event or Extraordinary Receipt), (ii) amounts set aside as a reserve, in accordance with GAAP against any liabilities under any indemnification or other obligations associated with such Disposition (</w:t>
      </w:r>
      <w:r>
        <w:rPr>
          <w:rFonts w:ascii="Times New Roman" w:hAnsi="Times New Roman"/>
          <w:sz w:val="20"/>
          <w:u w:val="single"/>
        </w:rPr>
        <w:t>provided</w:t>
      </w:r>
      <w:r>
        <w:rPr>
          <w:rFonts w:ascii="Times New Roman" w:hAnsi="Times New Roman"/>
          <w:sz w:val="20"/>
        </w:rPr>
        <w:t xml:space="preserve"> that, to the extent and at the time any such amounts are released from such reserve, such amounts shall constitute Net Cash Proceeds), and amounts contained in any cash escrow (until released from escrow), and (iii) the principal amount, premium or penalty, if any, interest and other amounts on any Indebtedness which is secured by a Lien on the applicable assets (which is senior in priority to the Liens securing the Secured Obligations) and is required to be repaid with such proceeds (other than any such Indebtedness assumed by the purchaser of such asset);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Dispositions and Casualty Events, (A) if the Borrower shall deliver a certificate of a Financial Officer of Holdings to the Administrative Agent within fifteen (15) Business Days following the receipt thereof setting forth the Borrowers intent to reinvest such proceeds in assets of a kind then used or usable in the business of the Loan Parties and their Subsidiaries (or to repair any property damaged in a Casualty Event) within 180 days of receipt of such proceeds and (B) no Default or Event of Default shall have occurred and be continuing at the time such certificate is delivered, such proceeds shall not constitute Net Cash Proceeds except to the extent not so used at the end of such 180-day period (or, to the extent a binding commitment in respect thereof has been entered into within such 180-day period, are not then so used within 180 days after the end of such 180-day period), at which time such proceeds shall be deemed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- 26 -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to be Net Cash Proceeds, and (b) with respect to any Debt Incurrence or Equity Issuance, the cash proceeds thereof upon incurrence or issuance, net of the costs and expenses incurred (or reasonably expected to be incurred) in connection therewith (including reasonable brokers fees or commissions, legal fees, accounting fees, auditing fees, investment banking fees, consulting fees, advisory fees, underwriting fees and other professional fees, sales commissions, search and recording charges, any costs in connection with the adjustment, settlement or collection of claims, Taxes paid and the Borrowers good faith estimate of Taxes to be paid in connection therewith).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Non-Loan Party Subsidiary</w:t>
      </w:r>
      <w:r>
        <w:rPr>
          <w:rFonts w:ascii="Times New Roman" w:hAnsi="Times New Roman"/>
          <w:sz w:val="20"/>
        </w:rPr>
        <w:t xml:space="preserve"> means any Subsidiary of Holdings that is not a Loan Party.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Non-Public Information</w:t>
      </w:r>
      <w:r>
        <w:rPr>
          <w:rFonts w:ascii="Times New Roman" w:hAnsi="Times New Roman"/>
          <w:sz w:val="20"/>
        </w:rPr>
        <w:t xml:space="preserve"> means information which has not been disseminated in a manner making it available to investors generally, within the meaning of Regulation FD promulgated by the SEC under the Securities Act and the Exchange Act.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Notes</w:t>
      </w:r>
      <w:r>
        <w:rPr>
          <w:rFonts w:ascii="Times New Roman" w:hAnsi="Times New Roman"/>
          <w:sz w:val="20"/>
        </w:rPr>
        <w:t xml:space="preserve"> means the Term Loan Notes.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OFAC</w:t>
      </w:r>
      <w:r>
        <w:rPr>
          <w:rFonts w:ascii="Times New Roman" w:hAnsi="Times New Roman"/>
          <w:sz w:val="20"/>
        </w:rPr>
        <w:t xml:space="preserve"> means the U.S. Department of the Treasurys Office of Foreign Assets Control, and any successor thereto.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Organizational Documents</w:t>
      </w:r>
      <w:r>
        <w:rPr>
          <w:rFonts w:ascii="Times New Roman" w:hAnsi="Times New Roman"/>
          <w:sz w:val="20"/>
        </w:rPr>
        <w:t xml:space="preserve"> means, (a) with respect to any corporation, the certificate or articles of incorporation and the bylaws (or equivalent or comparable constitutive documents with respect to any non-United States jurisdiction), (b) with respect to any limited liability company, the certificate or articles of formation or organization and operating or limited liability company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Other Connection Taxes</w:t>
      </w:r>
      <w:r>
        <w:rPr>
          <w:rFonts w:ascii="Times New Roman" w:hAnsi="Times New Roman"/>
          <w:sz w:val="20"/>
        </w:rPr>
        <w:t xml:space="preserve">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Other Taxes</w:t>
      </w:r>
      <w:r>
        <w:rPr>
          <w:rFonts w:ascii="Times New Roman" w:hAnsi="Times New Roman"/>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hAnsi="Times New Roman"/>
          <w:sz w:val="20"/>
          <w:u w:val="single"/>
        </w:rPr>
        <w:t>Section 3.7(b)</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Outstanding Amount</w:t>
      </w:r>
      <w:r>
        <w:rPr>
          <w:rFonts w:ascii="Times New Roman" w:hAnsi="Times New Roman"/>
          <w:sz w:val="20"/>
        </w:rPr>
        <w:t xml:space="preserve"> means with respect to any Loan on any date, the outstanding principal amount thereof after giving effect to any borrowings and prepayments or repayments thereof.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Participant</w:t>
      </w:r>
      <w:r>
        <w:rPr>
          <w:rFonts w:ascii="Times New Roman" w:hAnsi="Times New Roman"/>
          <w:sz w:val="20"/>
        </w:rPr>
        <w:t xml:space="preserve"> has the meaning assigned to such term in </w:t>
      </w:r>
      <w:r>
        <w:rPr>
          <w:rFonts w:ascii="Times New Roman" w:hAnsi="Times New Roman"/>
          <w:sz w:val="20"/>
          <w:u w:val="single"/>
        </w:rPr>
        <w:t>Section 10.4(d)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Participant Register</w:t>
      </w:r>
      <w:r>
        <w:rPr>
          <w:rFonts w:ascii="Times New Roman" w:hAnsi="Times New Roman"/>
          <w:sz w:val="20"/>
        </w:rPr>
        <w:t xml:space="preserve"> has the meaning assigned to such term in </w:t>
      </w:r>
      <w:r>
        <w:rPr>
          <w:rFonts w:ascii="Times New Roman" w:hAnsi="Times New Roman"/>
          <w:sz w:val="20"/>
          <w:u w:val="single"/>
        </w:rPr>
        <w:t>Section 10.4(d)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Patent Security Agreement</w:t>
      </w:r>
      <w:r>
        <w:rPr>
          <w:rFonts w:ascii="Times New Roman" w:hAnsi="Times New Roman"/>
          <w:sz w:val="20"/>
        </w:rPr>
        <w:t xml:space="preserve"> has the meaning assigned to such term in the Security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PBGC</w:t>
      </w:r>
      <w:r>
        <w:rPr>
          <w:rFonts w:ascii="Times New Roman" w:hAnsi="Times New Roman"/>
          <w:sz w:val="20"/>
        </w:rPr>
        <w:t xml:space="preserve"> means the Pension Benefit Guaranty Corporation referred to and defined in ERISA.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- 27 -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Pension Plan</w:t>
      </w:r>
      <w:r>
        <w:rPr>
          <w:rFonts w:ascii="Times New Roman" w:hAnsi="Times New Roman"/>
          <w:sz w:val="20"/>
        </w:rPr>
        <w:t xml:space="preserve"> means any employee pension benefit plan (other than a Multiemployer Plan) subject to the provisions of Title IV of ERISA or Section 412 or Section 430 of the Code or Section 302 or Section 303 of ERISA, and in respect of which any Loan Party or any ERISA Affiliate is (or, if such plan were terminated, would under Section 4069 of ERISA be deemed to be) an employer as defined in Section 3(5) of ERISA.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Perfection Certificate</w:t>
      </w:r>
      <w:r>
        <w:rPr>
          <w:rFonts w:ascii="Times New Roman" w:hAnsi="Times New Roman"/>
          <w:sz w:val="20"/>
        </w:rPr>
        <w:t xml:space="preserve"> means a perfection certificate substantially in the form set forth in </w:t>
      </w:r>
      <w:r>
        <w:rPr>
          <w:rFonts w:ascii="Times New Roman" w:hAnsi="Times New Roman"/>
          <w:sz w:val="20"/>
          <w:u w:val="single"/>
        </w:rPr>
        <w:t>Exhibit 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Acquisitions</w:t>
      </w:r>
      <w:r>
        <w:rPr>
          <w:rFonts w:ascii="Times New Roman" w:hAnsi="Times New Roman"/>
          <w:sz w:val="20"/>
        </w:rPr>
        <w:t xml:space="preserve"> means, collectively, each Acquisition which satisfies each of the following conditions: </w:t>
      </w:r>
    </w:p>
    <w:p>
      <w:pPr>
        <w:pStyle w:val="TextBody"/>
        <w:spacing w:before="120" w:after="0"/>
        <w:jc w:val="left"/>
        <w:rPr>
          <w:rFonts w:ascii="Times New Roman" w:hAnsi="Times New Roman"/>
          <w:sz w:val="20"/>
        </w:rPr>
      </w:pPr>
      <w:r>
        <w:rPr>
          <w:rFonts w:ascii="Times New Roman" w:hAnsi="Times New Roman"/>
          <w:sz w:val="20"/>
        </w:rPr>
        <w:t xml:space="preserve">(a) at the time of and immediately before and after giving Pro Forma Effect thereto, no Default shall have occurred and be continuing; </w:t>
      </w:r>
    </w:p>
    <w:p>
      <w:pPr>
        <w:pStyle w:val="TextBody"/>
        <w:spacing w:before="240" w:after="0"/>
        <w:jc w:val="left"/>
        <w:rPr>
          <w:rFonts w:ascii="Times New Roman" w:hAnsi="Times New Roman"/>
          <w:sz w:val="20"/>
        </w:rPr>
      </w:pPr>
      <w:r>
        <w:rPr>
          <w:rFonts w:ascii="Times New Roman" w:hAnsi="Times New Roman"/>
          <w:sz w:val="20"/>
        </w:rPr>
        <w:t xml:space="preserve">(b) such Acquisition shall be consensual and, if applicable, has been approved by the Acquisition targets board of directors (or comparable governing body); </w:t>
      </w:r>
    </w:p>
    <w:p>
      <w:pPr>
        <w:pStyle w:val="TextBody"/>
        <w:spacing w:before="240" w:after="0"/>
        <w:jc w:val="left"/>
        <w:rPr>
          <w:rFonts w:ascii="Times New Roman" w:hAnsi="Times New Roman"/>
          <w:sz w:val="20"/>
        </w:rPr>
      </w:pPr>
      <w:r>
        <w:rPr>
          <w:rFonts w:ascii="Times New Roman" w:hAnsi="Times New Roman"/>
          <w:sz w:val="20"/>
        </w:rPr>
        <w:t xml:space="preserve">(c) the Person, assets or business unit acquired in the Acquisition shall be engaged in an Approved Line of Business; </w:t>
      </w:r>
    </w:p>
    <w:p>
      <w:pPr>
        <w:pStyle w:val="TextBody"/>
        <w:spacing w:before="240" w:after="0"/>
        <w:jc w:val="left"/>
        <w:rPr>
          <w:rFonts w:ascii="Times New Roman" w:hAnsi="Times New Roman"/>
          <w:sz w:val="20"/>
        </w:rPr>
      </w:pPr>
      <w:r>
        <w:rPr>
          <w:rFonts w:ascii="Times New Roman" w:hAnsi="Times New Roman"/>
          <w:sz w:val="20"/>
        </w:rPr>
        <w:t xml:space="preserve">(d) such Acquisition and all transactions related thereto shall be consummated in accordance with material laws, ordinances, rules, regulations and requirements of all Governmental Authorities; </w:t>
      </w:r>
    </w:p>
    <w:p>
      <w:pPr>
        <w:pStyle w:val="TextBody"/>
        <w:spacing w:before="240" w:after="0"/>
        <w:jc w:val="left"/>
        <w:rPr>
          <w:rFonts w:ascii="Times New Roman" w:hAnsi="Times New Roman"/>
          <w:sz w:val="20"/>
        </w:rPr>
      </w:pPr>
      <w:r>
        <w:rPr>
          <w:rFonts w:ascii="Times New Roman" w:hAnsi="Times New Roman"/>
          <w:sz w:val="20"/>
        </w:rPr>
        <w:t xml:space="preserve">(e) to the extent required by the Collateral and Guarantee Requirement, (i) the property, assets, businesses and Equity Interests acquired in such Acquisition shall become Collateral and (ii) any newly created or acquired Subsidiary shall become a Subsidiary Guarantor, in each case in accordance with </w:t>
      </w:r>
      <w:r>
        <w:rPr>
          <w:rFonts w:ascii="Times New Roman" w:hAnsi="Times New Roman"/>
          <w:sz w:val="20"/>
          <w:u w:val="single"/>
        </w:rPr>
        <w:t>Section 6.12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(f) the aggregate consideration for such Acquisition shall be paid exclusively with proceeds from equity contributions from any direct or indirect equity holder of Holdings and the Acquired Entity or Business shall be consolidated with Holdings and its Subsidiaries; </w:t>
      </w:r>
    </w:p>
    <w:p>
      <w:pPr>
        <w:pStyle w:val="TextBody"/>
        <w:spacing w:before="240" w:after="0"/>
        <w:jc w:val="left"/>
        <w:rPr>
          <w:rFonts w:ascii="Times New Roman" w:hAnsi="Times New Roman"/>
          <w:sz w:val="20"/>
        </w:rPr>
      </w:pPr>
      <w:r>
        <w:rPr>
          <w:rFonts w:ascii="Times New Roman" w:hAnsi="Times New Roman"/>
          <w:sz w:val="20"/>
        </w:rPr>
        <w:t xml:space="preserve">(g) not later than ten (10) Business Days (or such shorter period as may be reasonably practicable, if approved by the Administrative Agent) prior to the consummation of any such Acquisition, the Borrower shall have delivered to the Administrative Agent (i) a description of the proposed Acquisition, (ii) to the extent obtained and available, a quality of earnings report and (iii) financial statements for the Borrower including the Acquisition target on a Pro Forma Basis; </w:t>
      </w:r>
    </w:p>
    <w:p>
      <w:pPr>
        <w:pStyle w:val="TextBody"/>
        <w:spacing w:before="240" w:after="0"/>
        <w:jc w:val="left"/>
        <w:rPr>
          <w:rFonts w:ascii="Times New Roman" w:hAnsi="Times New Roman"/>
          <w:sz w:val="20"/>
        </w:rPr>
      </w:pPr>
      <w:r>
        <w:rPr>
          <w:rFonts w:ascii="Times New Roman" w:hAnsi="Times New Roman"/>
          <w:sz w:val="20"/>
        </w:rPr>
        <w:t xml:space="preserve">(h) the Borrower shall have delivered to the Administrative Agent within five (5) Business Days after the Acquisition, fully executed copies of the acquisition agreements for such Acquisition together with all schedules thereto, and, to the extent required to be obtained under the terms of the acquisition agreements for such Acquisition, the applicable party under such acquisition agreements shall have received all required regulatory and third party approvals; and </w:t>
      </w:r>
    </w:p>
    <w:p>
      <w:pPr>
        <w:pStyle w:val="TextBody"/>
        <w:spacing w:before="240" w:after="0"/>
        <w:jc w:val="left"/>
        <w:rPr>
          <w:rFonts w:ascii="Times New Roman" w:hAnsi="Times New Roman"/>
          <w:sz w:val="20"/>
        </w:rPr>
      </w:pPr>
      <w:r>
        <w:rPr>
          <w:rFonts w:ascii="Times New Roman" w:hAnsi="Times New Roman"/>
          <w:sz w:val="20"/>
        </w:rPr>
        <w:t xml:space="preserve">(i) the Acquired Entity or Business shall have had Consolidated EBITDA of at least $1 for its trailing twelve month period ending most recently prior to consummation of such Acquisition.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- 28 -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Encumbrances</w:t>
      </w:r>
      <w:r>
        <w:rPr>
          <w:rFonts w:ascii="Times New Roman" w:hAnsi="Times New Roman"/>
          <w:sz w:val="20"/>
        </w:rPr>
        <w:t xml:space="preserve"> means: </w:t>
      </w:r>
    </w:p>
    <w:p>
      <w:pPr>
        <w:pStyle w:val="TextBody"/>
        <w:spacing w:before="120" w:after="0"/>
        <w:jc w:val="left"/>
        <w:rPr>
          <w:rFonts w:ascii="Times New Roman" w:hAnsi="Times New Roman"/>
          <w:sz w:val="20"/>
        </w:rPr>
      </w:pPr>
      <w:r>
        <w:rPr>
          <w:rFonts w:ascii="Times New Roman" w:hAnsi="Times New Roman"/>
          <w:sz w:val="20"/>
        </w:rPr>
        <w:t xml:space="preserve">(a) Liens imposed by law for taxes, assessments or other governmental charges that are not overdue by more than 60 days or are being Contested in Good Faith; </w:t>
      </w:r>
      <w:r>
        <w:rPr>
          <w:rFonts w:ascii="Times New Roman" w:hAnsi="Times New Roman"/>
          <w:sz w:val="20"/>
          <w:u w:val="single"/>
        </w:rPr>
        <w:t>provided</w:t>
      </w:r>
      <w:r>
        <w:rPr>
          <w:rFonts w:ascii="Times New Roman" w:hAnsi="Times New Roman"/>
          <w:sz w:val="20"/>
        </w:rPr>
        <w:t xml:space="preserve"> that enforcement of such Liens is stayed pending such contest; </w:t>
      </w:r>
    </w:p>
    <w:p>
      <w:pPr>
        <w:pStyle w:val="TextBody"/>
        <w:spacing w:before="240" w:after="0"/>
        <w:jc w:val="left"/>
        <w:rPr>
          <w:rFonts w:ascii="Times New Roman" w:hAnsi="Times New Roman"/>
          <w:sz w:val="20"/>
        </w:rPr>
      </w:pPr>
      <w:r>
        <w:rPr>
          <w:rFonts w:ascii="Times New Roman" w:hAnsi="Times New Roman"/>
          <w:sz w:val="20"/>
        </w:rPr>
        <w:t xml:space="preserve">(b) landlords, vendors, carriers, warehousemens, mechanics, materialmens, repairmens, workmens and other like Liens imposed by law or arising in the ordinary course of business, to the extent obligations secured thereby are not overdue by more than 60 days or are being Contested in Good Faith; </w:t>
      </w:r>
      <w:r>
        <w:rPr>
          <w:rFonts w:ascii="Times New Roman" w:hAnsi="Times New Roman"/>
          <w:sz w:val="20"/>
          <w:u w:val="single"/>
        </w:rPr>
        <w:t>provided</w:t>
      </w:r>
      <w:r>
        <w:rPr>
          <w:rFonts w:ascii="Times New Roman" w:hAnsi="Times New Roman"/>
          <w:sz w:val="20"/>
        </w:rPr>
        <w:t xml:space="preserve"> that enforcement of such Liens is stayed pending such contest; </w:t>
      </w:r>
    </w:p>
    <w:p>
      <w:pPr>
        <w:pStyle w:val="TextBody"/>
        <w:spacing w:before="240" w:after="0"/>
        <w:jc w:val="left"/>
        <w:rPr>
          <w:rFonts w:ascii="Times New Roman" w:hAnsi="Times New Roman"/>
          <w:sz w:val="20"/>
        </w:rPr>
      </w:pPr>
      <w:r>
        <w:rPr>
          <w:rFonts w:ascii="Times New Roman" w:hAnsi="Times New Roman"/>
          <w:sz w:val="20"/>
        </w:rPr>
        <w:t>(c) Liens made in the ordinary course of business in compliance with workers compensation, unemployment insurance and other social security laws or regulations (including Liens granted in order to comply with the requirements of section 8a of the German Partial Retirement Act (</w:t>
      </w:r>
      <w:r>
        <w:rPr>
          <w:rFonts w:ascii="Times New Roman" w:hAnsi="Times New Roman"/>
          <w:i/>
          <w:sz w:val="20"/>
        </w:rPr>
        <w:t>Altersteilzeitgesetz</w:t>
      </w:r>
      <w:r>
        <w:rPr>
          <w:rFonts w:ascii="Times New Roman" w:hAnsi="Times New Roman"/>
          <w:sz w:val="20"/>
        </w:rPr>
        <w:t>) or of section 7e of the German Social Code IV (</w:t>
      </w:r>
      <w:r>
        <w:rPr>
          <w:rFonts w:ascii="Times New Roman" w:hAnsi="Times New Roman"/>
          <w:i/>
          <w:sz w:val="20"/>
        </w:rPr>
        <w:t>SGB IV</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(d) Liens required to be granted under mandatory law in favor of creditors as a consequence of a merger or conversion permitted under this Agreement due to sections 22, 204 German Transformation Act (</w:t>
      </w:r>
      <w:r>
        <w:rPr>
          <w:rFonts w:ascii="Times New Roman" w:hAnsi="Times New Roman"/>
          <w:i/>
          <w:sz w:val="20"/>
        </w:rPr>
        <w:t>Umwandlungsgesetz  UmwG</w:t>
      </w:r>
      <w:r>
        <w:rPr>
          <w:rFonts w:ascii="Times New Roman" w:hAnsi="Times New Roman"/>
          <w:sz w:val="20"/>
        </w:rPr>
        <w:t>) or a termination of a profit and loss pooling agreement (</w:t>
      </w:r>
      <w:r>
        <w:rPr>
          <w:rFonts w:ascii="Times New Roman" w:hAnsi="Times New Roman"/>
          <w:i/>
          <w:sz w:val="20"/>
        </w:rPr>
        <w:t>Beherrschungs- und Gewinnabführungsvertrag</w:t>
      </w:r>
      <w:r>
        <w:rPr>
          <w:rFonts w:ascii="Times New Roman" w:hAnsi="Times New Roman"/>
          <w:sz w:val="20"/>
        </w:rPr>
        <w:t>) pursuant to section 303 German Stock Corporation Act (</w:t>
      </w:r>
      <w:r>
        <w:rPr>
          <w:rFonts w:ascii="Times New Roman" w:hAnsi="Times New Roman"/>
          <w:i/>
          <w:sz w:val="20"/>
        </w:rPr>
        <w:t>Aktiengesetz  AktG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(e) Liens to secure the performance of bids, tenders, contracts (other than contracts for the payment of money), purchase orders, leases (other than Capitalized Leases), government contracts, statutory obligations, indemnity, surety and appeal bonds, performance bonds and other obligations of a like nature, including any Indebtedness permitted under </w:t>
      </w:r>
      <w:r>
        <w:rPr>
          <w:rFonts w:ascii="Times New Roman" w:hAnsi="Times New Roman"/>
          <w:sz w:val="20"/>
          <w:u w:val="single"/>
        </w:rPr>
        <w:t>Section 7.1(a)(x)</w:t>
      </w:r>
      <w:r>
        <w:rPr>
          <w:rFonts w:ascii="Times New Roman" w:hAnsi="Times New Roman"/>
          <w:sz w:val="20"/>
        </w:rPr>
        <w:t xml:space="preserve">, in each case incurred in the ordinary course of business; </w:t>
      </w:r>
    </w:p>
    <w:p>
      <w:pPr>
        <w:pStyle w:val="TextBody"/>
        <w:spacing w:before="240" w:after="0"/>
        <w:jc w:val="left"/>
        <w:rPr>
          <w:rFonts w:ascii="Times New Roman" w:hAnsi="Times New Roman"/>
          <w:sz w:val="20"/>
        </w:rPr>
      </w:pPr>
      <w:r>
        <w:rPr>
          <w:rFonts w:ascii="Times New Roman" w:hAnsi="Times New Roman"/>
          <w:sz w:val="20"/>
        </w:rPr>
        <w:t xml:space="preserve">(f) judgment liens in respect of judgments that do not constitute an Event of Default under </w:t>
      </w:r>
      <w:r>
        <w:rPr>
          <w:rFonts w:ascii="Times New Roman" w:hAnsi="Times New Roman"/>
          <w:sz w:val="20"/>
          <w:u w:val="single"/>
        </w:rPr>
        <w:t>Section 8.1(k)</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(g) minor defects, irregularities and deficiencies in title or any survey exceptions, easements, zoning restrictions, rights of way and similar encumbrances on real property imposed by law or arising in the ordinary course of business that do not secure any monetary obligation and do not materially interfere with the ordinary conduct of business of the Loan Parties and their respective Subsidiaries; </w:t>
      </w:r>
    </w:p>
    <w:p>
      <w:pPr>
        <w:pStyle w:val="TextBody"/>
        <w:spacing w:before="240" w:after="0"/>
        <w:jc w:val="left"/>
        <w:rPr>
          <w:rFonts w:ascii="Times New Roman" w:hAnsi="Times New Roman"/>
          <w:sz w:val="20"/>
        </w:rPr>
      </w:pPr>
      <w:r>
        <w:rPr>
          <w:rFonts w:ascii="Times New Roman" w:hAnsi="Times New Roman"/>
          <w:sz w:val="20"/>
        </w:rPr>
        <w:t xml:space="preserve">(h) any interest or title of a licensor, sublicensor, lessor or sublessor with respect to any assets under any license or lease agreement entered into in the ordinary course of business; </w:t>
      </w:r>
      <w:r>
        <w:rPr>
          <w:rFonts w:ascii="Times New Roman" w:hAnsi="Times New Roman"/>
          <w:sz w:val="20"/>
          <w:u w:val="single"/>
        </w:rPr>
        <w:t>provided</w:t>
      </w:r>
      <w:r>
        <w:rPr>
          <w:rFonts w:ascii="Times New Roman" w:hAnsi="Times New Roman"/>
          <w:sz w:val="20"/>
        </w:rPr>
        <w:t xml:space="preserve"> that the same do not in any material respect interfere with the business of the Loan Parties or their Subsidiaries; </w:t>
      </w:r>
    </w:p>
    <w:p>
      <w:pPr>
        <w:pStyle w:val="TextBody"/>
        <w:spacing w:before="240" w:after="0"/>
        <w:jc w:val="left"/>
        <w:rPr>
          <w:rFonts w:ascii="Times New Roman" w:hAnsi="Times New Roman"/>
          <w:sz w:val="20"/>
        </w:rPr>
      </w:pPr>
      <w:r>
        <w:rPr>
          <w:rFonts w:ascii="Times New Roman" w:hAnsi="Times New Roman"/>
          <w:sz w:val="20"/>
        </w:rPr>
        <w:t xml:space="preserve">(i) licenses, sublicenses, leases or subleases with respect to any assets granted to third Persons in the ordinary course of business; </w:t>
      </w:r>
      <w:r>
        <w:rPr>
          <w:rFonts w:ascii="Times New Roman" w:hAnsi="Times New Roman"/>
          <w:sz w:val="20"/>
          <w:u w:val="single"/>
        </w:rPr>
        <w:t>provided</w:t>
      </w:r>
      <w:r>
        <w:rPr>
          <w:rFonts w:ascii="Times New Roman" w:hAnsi="Times New Roman"/>
          <w:sz w:val="20"/>
        </w:rPr>
        <w:t xml:space="preserve"> that the same do not in any material respect interfere with the business of the Loan Parties or their Subsidiaries; </w:t>
      </w:r>
    </w:p>
    <w:p>
      <w:pPr>
        <w:pStyle w:val="TextBody"/>
        <w:spacing w:before="240" w:after="0"/>
        <w:jc w:val="left"/>
        <w:rPr>
          <w:rFonts w:ascii="Times New Roman" w:hAnsi="Times New Roman"/>
          <w:sz w:val="20"/>
        </w:rPr>
      </w:pPr>
      <w:r>
        <w:rPr>
          <w:rFonts w:ascii="Times New Roman" w:hAnsi="Times New Roman"/>
          <w:sz w:val="20"/>
        </w:rPr>
        <w:t xml:space="preserve">(j) licenses, sublicenses, covenants not to sue, releases or similar rights or immunities with respect to Intellectual Property granted to third Persons in the ordinary course of business; </w:t>
      </w:r>
      <w:r>
        <w:rPr>
          <w:rFonts w:ascii="Times New Roman" w:hAnsi="Times New Roman"/>
          <w:sz w:val="20"/>
          <w:u w:val="single"/>
        </w:rPr>
        <w:t>provided</w:t>
      </w:r>
      <w:r>
        <w:rPr>
          <w:rFonts w:ascii="Times New Roman" w:hAnsi="Times New Roman"/>
          <w:sz w:val="20"/>
        </w:rPr>
        <w:t xml:space="preserve"> that the same do not in any material respect interfere with the business of the Loan Parties or their Subsidiaries;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- 29 -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(k) customary rights of set off, bankers liens, refunds or charge backs, under deposit agreements, the Uniform Commercial Code or any other Law, including common law, of banks or other financial institutions where any Loan Party or any of such Loan Partys Subsidiaries maintains deposits in the ordinary course of business (including Liens under the German general terms and conditions of banks and saving banks (</w:t>
      </w:r>
      <w:r>
        <w:rPr>
          <w:rFonts w:ascii="Times New Roman" w:hAnsi="Times New Roman"/>
          <w:i/>
          <w:sz w:val="20"/>
        </w:rPr>
        <w:t>Allgemeine Geschäftsbedingungen der Banken und Sparkassen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(l) reservations, limitations, provisos and conditions, if any, expressed in any grants, permits, licenses or approvals from any Governmental Authority or any similar authority; </w:t>
      </w:r>
    </w:p>
    <w:p>
      <w:pPr>
        <w:pStyle w:val="TextBody"/>
        <w:spacing w:before="240" w:after="0"/>
        <w:jc w:val="left"/>
        <w:rPr>
          <w:rFonts w:ascii="Times New Roman" w:hAnsi="Times New Roman"/>
          <w:sz w:val="20"/>
        </w:rPr>
      </w:pPr>
      <w:r>
        <w:rPr>
          <w:rFonts w:ascii="Times New Roman" w:hAnsi="Times New Roman"/>
          <w:sz w:val="20"/>
        </w:rPr>
        <w:t xml:space="preserve">(m) Liens in favor of customs and revenue authorities arising in the ordinary course of business as a matter of law to secure payment of customs duties in connection with the importation of goods; </w:t>
      </w:r>
    </w:p>
    <w:p>
      <w:pPr>
        <w:pStyle w:val="TextBody"/>
        <w:spacing w:before="240" w:after="0"/>
        <w:jc w:val="left"/>
        <w:rPr>
          <w:rFonts w:ascii="Times New Roman" w:hAnsi="Times New Roman"/>
          <w:sz w:val="20"/>
        </w:rPr>
      </w:pPr>
      <w:r>
        <w:rPr>
          <w:rFonts w:ascii="Times New Roman" w:hAnsi="Times New Roman"/>
          <w:sz w:val="20"/>
        </w:rPr>
        <w:t xml:space="preserve">(n) Liens resulting from the filing of precautionary UCC-1 financing statements (or equivalent) with respect to operating leases; </w:t>
      </w:r>
    </w:p>
    <w:p>
      <w:pPr>
        <w:pStyle w:val="TextBody"/>
        <w:spacing w:before="240" w:after="0"/>
        <w:jc w:val="left"/>
        <w:rPr>
          <w:rFonts w:ascii="Times New Roman" w:hAnsi="Times New Roman"/>
          <w:sz w:val="20"/>
        </w:rPr>
      </w:pPr>
      <w:r>
        <w:rPr>
          <w:rFonts w:ascii="Times New Roman" w:hAnsi="Times New Roman"/>
          <w:sz w:val="20"/>
        </w:rPr>
        <w:t xml:space="preserve">(o) Liens arising out of conditional sale, title retention, consignment or similar arrangements for the sale of goods entered into by any Loan Party or any of its Subsidiaries in the ordinary course of business; and </w:t>
      </w:r>
    </w:p>
    <w:p>
      <w:pPr>
        <w:pStyle w:val="TextBody"/>
        <w:spacing w:before="240" w:after="0"/>
        <w:jc w:val="left"/>
        <w:rPr>
          <w:rFonts w:ascii="Times New Roman" w:hAnsi="Times New Roman"/>
          <w:sz w:val="20"/>
        </w:rPr>
      </w:pPr>
      <w:r>
        <w:rPr>
          <w:rFonts w:ascii="Times New Roman" w:hAnsi="Times New Roman"/>
          <w:sz w:val="20"/>
        </w:rPr>
        <w:t xml:space="preserve">(p) Liens incurred in the ordinary course of business imposed by law in connection with the purchase or shipping of goods or assets (or the related assets and proceeds thereof), which Liens are in favor of the seller or shipper of such goods or assets and only attach to such goods or assets; </w:t>
      </w:r>
    </w:p>
    <w:p>
      <w:pPr>
        <w:pStyle w:val="TextBody"/>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the term Permitted Encumbrance shall not include any Lien securing Indebtedness.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any natural person, corporation, limited liability company, trust, joint venture, association, company, partnership, Governmental Authority or other entity.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PIK Period</w:t>
      </w:r>
      <w:r>
        <w:rPr>
          <w:rFonts w:ascii="Times New Roman" w:hAnsi="Times New Roman"/>
          <w:sz w:val="20"/>
        </w:rPr>
        <w:t xml:space="preserve"> means the period from and after the Closing Date to and including the first Interest Payment Date that occurs on or after the second anniversary of the Closing Date.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Platform</w:t>
      </w:r>
      <w:r>
        <w:rPr>
          <w:rFonts w:ascii="Times New Roman" w:hAnsi="Times New Roman"/>
          <w:sz w:val="20"/>
        </w:rPr>
        <w:t xml:space="preserve"> means any electronic transmission system used by the Administrative Agent and requested by the Required Lenders.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Prime Rate</w:t>
      </w:r>
      <w:r>
        <w:rPr>
          <w:rFonts w:ascii="Times New Roman" w:hAnsi="Times New Roman"/>
          <w:sz w:val="20"/>
        </w:rPr>
        <w:t xml:space="preserve"> means a rate per annum equal to the rate of interest last quoted by the Wall Street Journal as the Prime Rate in the United States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Required Lenders) or any similar release as reasonably determined by the Required Lenders. The Prime Rate does not necessarily represent the lowest or best rate charged to any customer. Any change in the Prime Rate shall take effect at the opening of business on the date of such determination.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 Forma Balance Sheet</w:t>
      </w:r>
      <w:r>
        <w:rPr>
          <w:rFonts w:ascii="Times New Roman" w:hAnsi="Times New Roman"/>
          <w:sz w:val="20"/>
        </w:rPr>
        <w:t xml:space="preserve"> has the meaning assigned to such term in </w:t>
      </w:r>
      <w:r>
        <w:rPr>
          <w:rFonts w:ascii="Times New Roman" w:hAnsi="Times New Roman"/>
          <w:sz w:val="20"/>
          <w:u w:val="single"/>
        </w:rPr>
        <w:t>Section 5.5(b)</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 Forma Basis</w:t>
      </w:r>
      <w:r>
        <w:rPr>
          <w:rFonts w:ascii="Times New Roman" w:hAnsi="Times New Roman"/>
          <w:sz w:val="20"/>
        </w:rPr>
        <w:t> means, with respect to any transaction, that such transaction shall be deemed to have occurred as of the first day of the Measurement Period most recently ended prior to the date of such transaction. Each of the terms </w:t>
      </w:r>
      <w:r>
        <w:rPr>
          <w:rFonts w:ascii="Times New Roman" w:hAnsi="Times New Roman"/>
          <w:sz w:val="20"/>
          <w:u w:val="single"/>
        </w:rPr>
        <w:t>Pro Forma Compliance</w:t>
      </w:r>
      <w:r>
        <w:rPr>
          <w:rFonts w:ascii="Times New Roman" w:hAnsi="Times New Roman"/>
          <w:sz w:val="20"/>
        </w:rPr>
        <w:t> and </w:t>
      </w:r>
      <w:r>
        <w:rPr>
          <w:rFonts w:ascii="Times New Roman" w:hAnsi="Times New Roman"/>
          <w:sz w:val="20"/>
          <w:u w:val="single"/>
        </w:rPr>
        <w:t>Pro Forma Effect</w:t>
      </w:r>
      <w:r>
        <w:rPr>
          <w:rFonts w:ascii="Times New Roman" w:hAnsi="Times New Roman"/>
          <w:sz w:val="20"/>
        </w:rPr>
        <w:t xml:space="preserve"> shall have an analogous meaning.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 Forma Financial Statements</w:t>
      </w:r>
      <w:r>
        <w:rPr>
          <w:rFonts w:ascii="Times New Roman" w:hAnsi="Times New Roman"/>
          <w:sz w:val="20"/>
        </w:rPr>
        <w:t xml:space="preserve"> has the meaning assigned to such term in </w:t>
      </w:r>
      <w:r>
        <w:rPr>
          <w:rFonts w:ascii="Times New Roman" w:hAnsi="Times New Roman"/>
          <w:sz w:val="20"/>
          <w:u w:val="single"/>
        </w:rPr>
        <w:t>Section 5.5(b)</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Protected Person</w:t>
      </w:r>
      <w:r>
        <w:rPr>
          <w:rFonts w:ascii="Times New Roman" w:hAnsi="Times New Roman"/>
          <w:sz w:val="20"/>
        </w:rPr>
        <w:t xml:space="preserve"> has the meaning assigned to such term in </w:t>
      </w:r>
      <w:r>
        <w:rPr>
          <w:rFonts w:ascii="Times New Roman" w:hAnsi="Times New Roman"/>
          <w:sz w:val="20"/>
          <w:u w:val="single"/>
        </w:rPr>
        <w:t>Section 10.3(d)</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- 30 -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PTE</w:t>
      </w:r>
      <w:r>
        <w:rPr>
          <w:rFonts w:ascii="Times New Roman" w:hAnsi="Times New Roman"/>
          <w:sz w:val="20"/>
        </w:rPr>
        <w:t xml:space="preserve"> means a prohibited transaction class exemption issued by the U.S. Department of Labor, as any such exemption may be amended from time to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Public Lender</w:t>
      </w:r>
      <w:r>
        <w:rPr>
          <w:rFonts w:ascii="Times New Roman" w:hAnsi="Times New Roman"/>
          <w:sz w:val="20"/>
        </w:rPr>
        <w:t xml:space="preserve"> means any Lender that does not wish to receive Non-Public Information with respect to Holdings, the Borrower or its Subsidiaries or their respective securities.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Qualified Equity Interests</w:t>
      </w:r>
      <w:r>
        <w:rPr>
          <w:rFonts w:ascii="Times New Roman" w:hAnsi="Times New Roman"/>
          <w:sz w:val="20"/>
        </w:rPr>
        <w:t xml:space="preserve"> means, with respect to the Equity Interests of any Person, any Equity Interests other than Disqualified Equity Interests of such Person.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Real Property</w:t>
      </w:r>
      <w:r>
        <w:rPr>
          <w:rFonts w:ascii="Times New Roman" w:hAnsi="Times New Roman"/>
          <w:sz w:val="20"/>
        </w:rPr>
        <w:t xml:space="preserve"> means, collectively, all right, title and interest in and to any and all parcels of or interests in real property owned or leased by any Person, together with, in each case, all easements, hereditaments and appurtenances relating thereto, all improvements and appurtenant fixtures and equipment, all general intangibles and contract rights and other property and rights incidental to the ownership thereof.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Recipient</w:t>
      </w:r>
      <w:r>
        <w:rPr>
          <w:rFonts w:ascii="Times New Roman" w:hAnsi="Times New Roman"/>
          <w:sz w:val="20"/>
        </w:rPr>
        <w:t xml:space="preserve"> means the Administrative Agent or any Lender, as applicable.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Refinancing Indebtedness</w:t>
      </w:r>
      <w:r>
        <w:rPr>
          <w:rFonts w:ascii="Times New Roman" w:hAnsi="Times New Roman"/>
          <w:sz w:val="20"/>
        </w:rPr>
        <w:t> means Indebtedness of any Loan Party or its Subsidiaries arising after the Closing Date issued in exchange for, or the proceeds of which are used to extend, refinance, refund, replace, renew, continue or substitute for other Indebtedness (such extended, refinanced, refunded, replaced, renewed, continued or substituted Indebtedness, the </w:t>
      </w:r>
      <w:r>
        <w:rPr>
          <w:rFonts w:ascii="Times New Roman" w:hAnsi="Times New Roman"/>
          <w:sz w:val="20"/>
          <w:u w:val="single"/>
        </w:rPr>
        <w:t>Refinanced Obligations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 the principal amount of such Refinancing Indebtedness shall not exceed the principal amount of the Refinanced Obligations (</w:t>
      </w:r>
      <w:r>
        <w:rPr>
          <w:rFonts w:ascii="Times New Roman" w:hAnsi="Times New Roman"/>
          <w:sz w:val="20"/>
          <w:u w:val="single"/>
        </w:rPr>
        <w:t>plus</w:t>
      </w:r>
      <w:r>
        <w:rPr>
          <w:rFonts w:ascii="Times New Roman" w:hAnsi="Times New Roman"/>
          <w:sz w:val="20"/>
        </w:rPr>
        <w:t xml:space="preserve"> any interest capitalized in connection with such Refinanced Obligations, the amount of prepayment premium, if any, original issue discount, if any, and reasonable fees, costs, and expenses incurred in connection therewith), (b) such Refinancing Indebtedness shall have a final maturity that is no earlier than the final maturity date of such Refinanced Obligations, (c) such Refinancing Indebtedness shall have a Weighted Average Life to Maturity not less than the weighted average life to maturity of the Refinanced Obligations, (d) such Refinancing Indebtedness shall rank in right of payment no more senior than, and be subordinated (if the Refinanced Obligations were subordinated) to the Secured Obligations on terms, taken as a whole, not materially less favorable to the Secured Parties than the Refinanced Obligations, (e) if the Refinanced Obligations or any Guarantees thereof are unsecured, such Refinancing Indebtedness and any Guarantees thereof shall be unsecured, (f) if the Refinanced Obligations or any Guarantees thereof are secured, (1) such Refinancing Indebtedness and any Guarantees thereof shall be secured by substantially the same or less collateral, taken as a whole, as secured such Refinanced Obligations or any Guarantees thereof, on terms, taken as a whole, not materially less favorable to the Secured Parties and (2) the Liens to secure such Refinancing Indebtedness shall not have a priority, taken as a whole, more senior than the Liens securing the Refinanced Obligations and if subordinated to any other Liens on such property, shall be subordinated, taken as a whole, to the Administrative Agents Liens on terms and conditions, taken as a whole, not materially less favorable to the Secured Parties, (g) the obligors in respect of the Refinanced Obligations immediately prior to such refinancing, refunding, extending, renewing, continuing, substituting or replacing thereof shall be the only obligors on such Refinancing Indebtedness; </w:t>
      </w:r>
      <w:r>
        <w:rPr>
          <w:rFonts w:ascii="Times New Roman" w:hAnsi="Times New Roman"/>
          <w:sz w:val="20"/>
          <w:u w:val="single"/>
        </w:rPr>
        <w:t>provided</w:t>
      </w:r>
      <w:r>
        <w:rPr>
          <w:rFonts w:ascii="Times New Roman" w:hAnsi="Times New Roman"/>
          <w:sz w:val="20"/>
        </w:rPr>
        <w:t xml:space="preserve"> that, to the extent the Refinanced Obligations required other Persons to become obligors, such Refinancing Indebtedness may also require such other Persons to become obligors and (h) the terms and conditions (excluding as to pricing, premiums and optional prepayment or redemption provisions) of any such Refinancing Indebtedness, taken as a whole, are not materially less favorable to the Loan Parties than the terms and conditions of the Refinanced Obligations.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Register</w:t>
      </w:r>
      <w:r>
        <w:rPr>
          <w:rFonts w:ascii="Times New Roman" w:hAnsi="Times New Roman"/>
          <w:sz w:val="20"/>
        </w:rPr>
        <w:t xml:space="preserve"> has the meaning assigned to such term in </w:t>
      </w:r>
      <w:r>
        <w:rPr>
          <w:rFonts w:ascii="Times New Roman" w:hAnsi="Times New Roman"/>
          <w:sz w:val="20"/>
          <w:u w:val="single"/>
        </w:rPr>
        <w:t>Section 10.4(c)</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Regulation T, U or X</w:t>
      </w:r>
      <w:r>
        <w:rPr>
          <w:rFonts w:ascii="Times New Roman" w:hAnsi="Times New Roman"/>
          <w:sz w:val="20"/>
        </w:rPr>
        <w:t xml:space="preserve"> means Regulation T, U or X, respectively, of the Federal Reserve Board.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- 31 -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Related Parties</w:t>
      </w:r>
      <w:r>
        <w:rPr>
          <w:rFonts w:ascii="Times New Roman" w:hAnsi="Times New Roman"/>
          <w:sz w:val="20"/>
        </w:rPr>
        <w:t xml:space="preserve"> means, with respect to any Person, such Persons Affiliates and the partners, members, directors, officers, employees, agents, brokers, trustees, administrators, managers, advisors, attorneys-in-fact and representatives, including accountants, auditors and legal counsel, of such Person and of such Persons Affiliates.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Release</w:t>
      </w:r>
      <w:r>
        <w:rPr>
          <w:rFonts w:ascii="Times New Roman" w:hAnsi="Times New Roman"/>
          <w:sz w:val="20"/>
        </w:rPr>
        <w:t xml:space="preserve"> means any actual or threatened releasing, spilling, leaking, pumping, pouring, leaching, seeping, emitting, migration, emptying, discharging, injecting, escaping, depositing, disposing, or dumping of Hazardous Materials into the indoor or outdoor environment, including the movement of any Hazardous Material through the air, soil, surface water, groundwater or property and any other conditions resulting in potential or actual human exposure to Hazardous Materials within a structure.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Relevant EU Directive</w:t>
      </w:r>
      <w:r>
        <w:rPr>
          <w:rFonts w:ascii="Times New Roman" w:hAnsi="Times New Roman"/>
          <w:sz w:val="20"/>
        </w:rPr>
        <w:t xml:space="preserve"> means Directive (EU) 2019/1023 of the European Parliament and of the Council of the European Union of 20 June 2019 on preventive restructuring frameworks, on discharge of debt and disqualifications, and on measures to increase the efficiency of procedures concerning restructuring insolvency and discharge of debt, and amending Directive (EU) 2017/1132 (Directive on restructuring and insolvency).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Relevant Governmental Body</w:t>
      </w:r>
      <w:r>
        <w:rPr>
          <w:rFonts w:ascii="Times New Roman" w:hAnsi="Times New Roman"/>
          <w:sz w:val="20"/>
        </w:rPr>
        <w:t xml:space="preserve"> means the Federal Reserve Board or the Federal Reserve Bank of New York, or a committee officially endorsed or convened by the Federal Reserve Board and/or the Federal Reserve Bank of New York.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Removal Effective Date</w:t>
      </w:r>
      <w:r>
        <w:rPr>
          <w:rFonts w:ascii="Times New Roman" w:hAnsi="Times New Roman"/>
          <w:sz w:val="20"/>
        </w:rPr>
        <w:t xml:space="preserve"> has the meaning assigned to such term in </w:t>
      </w:r>
      <w:r>
        <w:rPr>
          <w:rFonts w:ascii="Times New Roman" w:hAnsi="Times New Roman"/>
          <w:sz w:val="20"/>
          <w:u w:val="single"/>
        </w:rPr>
        <w:t>Section 9.6(b)</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Repatriation Limitation</w:t>
      </w:r>
      <w:r>
        <w:rPr>
          <w:rFonts w:ascii="Times New Roman" w:hAnsi="Times New Roman"/>
          <w:sz w:val="20"/>
        </w:rPr>
        <w:t xml:space="preserve"> has the meaning assigned to such term in </w:t>
      </w:r>
      <w:r>
        <w:rPr>
          <w:rFonts w:ascii="Times New Roman" w:hAnsi="Times New Roman"/>
          <w:sz w:val="20"/>
          <w:u w:val="single"/>
        </w:rPr>
        <w:t>Section 2.7(b)(iii)</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Required Lenders</w:t>
      </w:r>
      <w:r>
        <w:rPr>
          <w:rFonts w:ascii="Times New Roman" w:hAnsi="Times New Roman"/>
          <w:sz w:val="20"/>
        </w:rPr>
        <w:t xml:space="preserve"> means, at any time, Lenders having Total Credit Exposures representing more than 50% of the Total Credit Exposures of all Lenders.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Resignation Effective Date</w:t>
      </w:r>
      <w:r>
        <w:rPr>
          <w:rFonts w:ascii="Times New Roman" w:hAnsi="Times New Roman"/>
          <w:sz w:val="20"/>
        </w:rPr>
        <w:t xml:space="preserve"> has the meaning assigned to such term in </w:t>
      </w:r>
      <w:r>
        <w:rPr>
          <w:rFonts w:ascii="Times New Roman" w:hAnsi="Times New Roman"/>
          <w:sz w:val="20"/>
          <w:u w:val="single"/>
        </w:rPr>
        <w:t>Section 9.6(a)</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Resolution Authority</w:t>
      </w:r>
      <w:r>
        <w:rPr>
          <w:rFonts w:ascii="Times New Roman" w:hAnsi="Times New Roman"/>
          <w:sz w:val="20"/>
        </w:rPr>
        <w:t xml:space="preserve"> means an EEA Resolution Authority or, with respect to any UK Financial Institution, a UK Resolution Authority.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Responsible Officer</w:t>
      </w:r>
      <w:r>
        <w:rPr>
          <w:rFonts w:ascii="Times New Roman" w:hAnsi="Times New Roman"/>
          <w:sz w:val="20"/>
        </w:rPr>
        <w:t> means any chief executive officer, president, vice president, chief financial officer, treasurer, assistant treasurer, secretary, assistant secretary, managing director (</w:t>
      </w:r>
      <w:r>
        <w:rPr>
          <w:rFonts w:ascii="Times New Roman" w:hAnsi="Times New Roman"/>
          <w:i/>
          <w:sz w:val="20"/>
        </w:rPr>
        <w:t>Geschäftsführer</w:t>
      </w:r>
      <w:r>
        <w:rPr>
          <w:rFonts w:ascii="Times New Roman" w:hAnsi="Times New Roman"/>
          <w:sz w:val="20"/>
        </w:rPr>
        <w:t>), member of the board (</w:t>
      </w:r>
      <w:r>
        <w:rPr>
          <w:rFonts w:ascii="Times New Roman" w:hAnsi="Times New Roman"/>
          <w:i/>
          <w:sz w:val="20"/>
        </w:rPr>
        <w:t>Vorstand</w:t>
      </w:r>
      <w:r>
        <w:rPr>
          <w:rFonts w:ascii="Times New Roman" w:hAnsi="Times New Roman"/>
          <w:sz w:val="20"/>
        </w:rPr>
        <w:t>), proxy (</w:t>
      </w:r>
      <w:r>
        <w:rPr>
          <w:rFonts w:ascii="Times New Roman" w:hAnsi="Times New Roman"/>
          <w:i/>
          <w:sz w:val="20"/>
        </w:rPr>
        <w:t>Prokurist</w:t>
      </w:r>
      <w:r>
        <w:rPr>
          <w:rFonts w:ascii="Times New Roman" w:hAnsi="Times New Roman"/>
          <w:sz w:val="20"/>
        </w:rPr>
        <w:t xml:space="preserve">), or other similar officer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Restricted Payment</w:t>
      </w:r>
      <w:r>
        <w:rPr>
          <w:rFonts w:ascii="Times New Roman" w:hAnsi="Times New Roman"/>
          <w:sz w:val="20"/>
        </w:rPr>
        <w:t xml:space="preserve"> means, as to any Person, (a) any dividend or other distribution by such Person (whether in cash, securities or other property) with respect to any Equity Interests of such Person, (b) any payment (whether in cash, securities or other property), including any sinking fund or similar deposit, on account of the purchase, redemption, retirement, defeasance, acquisition, cancellation or termination of any such Equity Interest, or on account of any return of capital to the holders of Equity Interests of such Person, (c) the acquisition for value by such Person of any Equity Interests issued by such Person or any other Person that Controls such Person, and (d) with respect to clauses (a) through (c) any transaction that has a substantially similar effect.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w:t>
      </w:r>
      <w:r>
        <w:rPr>
          <w:rFonts w:ascii="Times New Roman" w:hAnsi="Times New Roman"/>
          <w:sz w:val="20"/>
        </w:rPr>
        <w:t xml:space="preserve"> means Standard &amp; Poors Financial Services LLC, a subsidiary of S&amp;P Global Inc.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- 32 -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Sale and Leaseback</w:t>
      </w:r>
      <w:r>
        <w:rPr>
          <w:rFonts w:ascii="Times New Roman" w:hAnsi="Times New Roman"/>
          <w:sz w:val="20"/>
        </w:rPr>
        <w:t xml:space="preserve"> means any transaction or series of related transactions pursuant to which any Loan Party or any of its Subsidiaries (a) sells, transfers or otherwise disposes of any property, real or personal, whether now owned or hereafter acquired, and (b) as part of such transaction, thereafter rents or leases such property or other property that it intends to use for substantially the same purpose or purposes as the property being sold, transferred or disposed.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Sanctioned Country</w:t>
      </w:r>
      <w:r>
        <w:rPr>
          <w:rFonts w:ascii="Times New Roman" w:hAnsi="Times New Roman"/>
          <w:sz w:val="20"/>
        </w:rPr>
        <w:t xml:space="preserve"> means any country, territory or region which is itself the subject or target of any comprehensive Sanctions (including, as of the date of this Credit Agreement, Cuba, Iran, North Korea, Syria, and the so-called Donetsk Peoples Republic, so-called Luhansk Peoples Republic, and Crimea regions of Ukraine).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Sanctioned Person</w:t>
      </w:r>
      <w:r>
        <w:rPr>
          <w:rFonts w:ascii="Times New Roman" w:hAnsi="Times New Roman"/>
          <w:sz w:val="20"/>
        </w:rPr>
        <w:t xml:space="preserve"> means (a) any Person or group listed in any Sanctions related list of designated Persons maintained by OFAC, including the List of Specially Designated Nationals and Blocked Persons, or the U.S. Department of State, the United Nations Security Council, the European Union, any EU member state or His Majestys Treasury of the United Kingdom, (b) any legal entity organized or domiciled in a Sanctioned Country, (d) any agency, political subdivision or instrumentality of the government of a Sanctioned Country, (e) any natural person ordinarily resident in a Sanctioned Country, or (f) any Person 50% or more owned, directly or indirectly, individually or in the aggregate by any of the above.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Sanctions</w:t>
      </w:r>
      <w:r>
        <w:rPr>
          <w:rFonts w:ascii="Times New Roman" w:hAnsi="Times New Roman"/>
          <w:sz w:val="20"/>
        </w:rPr>
        <w:t xml:space="preserve"> means economic or financial sanctions or trade embargoes imposed, administered or enforced from time to time by (a) the U.S. government, including those administered by OFAC or the U.S. Department of State or (b) the United Nations Security Council, the European Union or any European Union member state, His Majestys Treasury of the United Kingdom or other relevant sanctions authority.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Secured Obligations</w:t>
      </w:r>
      <w:r>
        <w:rPr>
          <w:rFonts w:ascii="Times New Roman" w:hAnsi="Times New Roman"/>
          <w:sz w:val="20"/>
        </w:rPr>
        <w:t xml:space="preserve"> means, collectively, the Loan Document Obligations.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Secured Parties</w:t>
      </w:r>
      <w:r>
        <w:rPr>
          <w:rFonts w:ascii="Times New Roman" w:hAnsi="Times New Roman"/>
          <w:sz w:val="20"/>
        </w:rPr>
        <w:t xml:space="preserve"> means, collectively, (a) the Administrative Agent, (b) each Lender, (c) the beneficiaries of each indemnification obligation undertaken by any Loan Party under any Loan Document and (d) the permitted successors and assigns of each of the foregoing.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Security Agreement</w:t>
      </w:r>
      <w:r>
        <w:rPr>
          <w:rFonts w:ascii="Times New Roman" w:hAnsi="Times New Roman"/>
          <w:sz w:val="20"/>
        </w:rPr>
        <w:t xml:space="preserve"> the Pledge and Security Agreement, dated as of the Closing Date, among the Loan Parties and the Administrative Agent.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SOFR</w:t>
      </w:r>
      <w:r>
        <w:rPr>
          <w:rFonts w:ascii="Times New Roman" w:hAnsi="Times New Roman"/>
          <w:sz w:val="20"/>
        </w:rPr>
        <w:t xml:space="preserve"> means a rate equal to the secured overnight financing rate as published by the SOFR Administrator on the website of the SOFR Administrator, currently at http//www.newyorkfed.org (or any successor source for the secured overnight financing rate identified as such by the SOFR Administrator from time to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SOFR Administrator</w:t>
      </w:r>
      <w:r>
        <w:rPr>
          <w:rFonts w:ascii="Times New Roman" w:hAnsi="Times New Roman"/>
          <w:sz w:val="20"/>
        </w:rPr>
        <w:t xml:space="preserve"> means the Federal Reserve Bank of New York (or a successor administrator of the secured overnight financing rate).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SOFR Borrowing</w:t>
      </w:r>
      <w:r>
        <w:rPr>
          <w:rFonts w:ascii="Times New Roman" w:hAnsi="Times New Roman"/>
          <w:sz w:val="20"/>
        </w:rPr>
        <w:t xml:space="preserve"> means, as to any Borrowing, the SOFR Loans comprising such Borrowing.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SOFR Loan</w:t>
      </w:r>
      <w:r>
        <w:rPr>
          <w:rFonts w:ascii="Times New Roman" w:hAnsi="Times New Roman"/>
          <w:sz w:val="20"/>
        </w:rPr>
        <w:t xml:space="preserve"> means a Loan that bears interest at a rate based on Term SOFR, other than pursuant to clause (c) of the definition of Alternate Base Rate.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Solvency Certificate</w:t>
      </w:r>
      <w:r>
        <w:rPr>
          <w:rFonts w:ascii="Times New Roman" w:hAnsi="Times New Roman"/>
          <w:sz w:val="20"/>
        </w:rPr>
        <w:t xml:space="preserve"> means a certificate substantially in the form of </w:t>
      </w:r>
      <w:r>
        <w:rPr>
          <w:rFonts w:ascii="Times New Roman" w:hAnsi="Times New Roman"/>
          <w:sz w:val="20"/>
          <w:u w:val="single"/>
        </w:rPr>
        <w:t>Exhibit H</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Solvent</w:t>
      </w:r>
      <w:r>
        <w:rPr>
          <w:rFonts w:ascii="Times New Roman" w:hAnsi="Times New Roman"/>
          <w:sz w:val="20"/>
        </w:rPr>
        <w:t> and </w:t>
      </w:r>
      <w:r>
        <w:rPr>
          <w:rFonts w:ascii="Times New Roman" w:hAnsi="Times New Roman"/>
          <w:sz w:val="20"/>
          <w:u w:val="single"/>
        </w:rPr>
        <w:t>Solvency</w:t>
      </w:r>
      <w:r>
        <w:rPr>
          <w:rFonts w:ascii="Times New Roman" w:hAnsi="Times New Roman"/>
          <w:sz w:val="20"/>
        </w:rPr>
        <w:t xml:space="preserve"> mean, with respect to any Person on any date of determination, that on such date (a) the fair value of the present assets of such Person and its Subsidiaries, taken as a whole, is not less than the sum of the debt (including contingent liabilities) of such Person and its Subsidiaries, taken as a whole, (b) the present fair salable value of the assets of such Person and its Subsidiaries, taken as a whole,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- 33 -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is not less than the amount that will be required to pay the probable liabilities (including contingent liabilities) of such Person and its Subsidiaries, taken as a whole, on their debts as they become absolute and matured, (c) the capital of such Person and its Subsidiaries, taken as a whole, is not unreasonably small in relation to the business of such Person or its Subsidiaries, taken as a whole, contemplated as of such date and (d) such Person and its Subsidiaries, taken as a whole, do not intend to incur, or believe that they will incur, debts (including current obligations and contingent liabilities) beyond their ability to pay such debts as they mature in the ordinary course of business; </w:t>
      </w:r>
      <w:r>
        <w:rPr>
          <w:rFonts w:ascii="Times New Roman" w:hAnsi="Times New Roman"/>
          <w:sz w:val="20"/>
          <w:u w:val="single"/>
        </w:rPr>
        <w:t>provided</w:t>
      </w:r>
      <w:r>
        <w:rPr>
          <w:rFonts w:ascii="Times New Roman" w:hAnsi="Times New Roman"/>
          <w:sz w:val="20"/>
        </w:rPr>
        <w:t xml:space="preserve"> that the amount of contingent liabilities at any time shall be computed as the amount that, in light of all the facts and circumstances existing at such time, represents the amount that can reasonably be expected to become an actual or matured liability.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Sold Entity or Business</w:t>
      </w:r>
      <w:r>
        <w:rPr>
          <w:rFonts w:ascii="Times New Roman" w:hAnsi="Times New Roman"/>
          <w:sz w:val="20"/>
        </w:rPr>
        <w:t xml:space="preserve"> means any Person or any property or assets constituting a line of business or a division of a Person Disposed of in a transaction permitted hereunder by the Borrower or any of its Subsidiaries.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Specified Event of Default</w:t>
      </w:r>
      <w:r>
        <w:rPr>
          <w:rFonts w:ascii="Times New Roman" w:hAnsi="Times New Roman"/>
          <w:sz w:val="20"/>
        </w:rPr>
        <w:t xml:space="preserve"> means any Event of Default arising under </w:t>
      </w:r>
      <w:r>
        <w:rPr>
          <w:rFonts w:ascii="Times New Roman" w:hAnsi="Times New Roman"/>
          <w:sz w:val="20"/>
          <w:u w:val="single"/>
        </w:rPr>
        <w:t>Sections 8.1(a)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(in respect of </w:t>
      </w:r>
      <w:r>
        <w:rPr>
          <w:rFonts w:ascii="Times New Roman" w:hAnsi="Times New Roman"/>
          <w:sz w:val="20"/>
          <w:u w:val="single"/>
        </w:rPr>
        <w:t>Article 7</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w:t>
      </w:r>
      <w:r>
        <w:rPr>
          <w:rFonts w:ascii="Times New Roman" w:hAnsi="Times New Roman"/>
          <w:sz w:val="20"/>
          <w:u w:val="single"/>
        </w:rPr>
        <w:t>(g)</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(j)</w:t>
      </w:r>
      <w:r>
        <w:rPr>
          <w:rFonts w:ascii="Times New Roman" w:hAnsi="Times New Roman"/>
          <w:sz w:val="20"/>
        </w:rPr>
        <w:t xml:space="preserve">, </w:t>
      </w:r>
      <w:r>
        <w:rPr>
          <w:rFonts w:ascii="Times New Roman" w:hAnsi="Times New Roman"/>
          <w:sz w:val="20"/>
          <w:u w:val="single"/>
        </w:rPr>
        <w:t>(m)</w:t>
      </w:r>
      <w:r>
        <w:rPr>
          <w:rFonts w:ascii="Times New Roman" w:hAnsi="Times New Roman"/>
          <w:sz w:val="20"/>
        </w:rPr>
        <w:t xml:space="preserve">, </w:t>
      </w:r>
      <w:r>
        <w:rPr>
          <w:rFonts w:ascii="Times New Roman" w:hAnsi="Times New Roman"/>
          <w:sz w:val="20"/>
          <w:u w:val="single"/>
        </w:rPr>
        <w:t>(n)</w:t>
      </w:r>
      <w:r>
        <w:rPr>
          <w:rFonts w:ascii="Times New Roman" w:hAnsi="Times New Roman"/>
          <w:sz w:val="20"/>
        </w:rPr>
        <w:t xml:space="preserve"> and </w:t>
      </w:r>
      <w:r>
        <w:rPr>
          <w:rFonts w:ascii="Times New Roman" w:hAnsi="Times New Roman"/>
          <w:sz w:val="20"/>
          <w:u w:val="single"/>
        </w:rPr>
        <w:t>(o)</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Specified Transaction</w:t>
      </w:r>
      <w:r>
        <w:rPr>
          <w:rFonts w:ascii="Times New Roman" w:hAnsi="Times New Roman"/>
          <w:sz w:val="20"/>
        </w:rPr>
        <w:t xml:space="preserve"> means any Investment, Disposition, incurrence or repayment of Indebtedness or Restricted Payment that by the terms of this Credit Agreement requires a test to be calculated on a Pro Forma Basis, be given in Pro Forma Compliance with, or after giving Pro Forma Effect.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Subordinated Debt</w:t>
      </w:r>
      <w:r>
        <w:rPr>
          <w:rFonts w:ascii="Times New Roman" w:hAnsi="Times New Roman"/>
          <w:sz w:val="20"/>
        </w:rPr>
        <w:t xml:space="preserve"> means Indebtedness incurred by a Loan Party that is subordinated in right of payment to the prior payment of the Loan Document Obligations of such Loan Party and contains subordination and other terms reasonably acceptable to the Required Lenders.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Subordinated Debt Documents</w:t>
      </w:r>
      <w:r>
        <w:rPr>
          <w:rFonts w:ascii="Times New Roman" w:hAnsi="Times New Roman"/>
          <w:sz w:val="20"/>
        </w:rPr>
        <w:t xml:space="preserve"> means any agreement, indenture or instrument pursuant to which any Subordinated Debt is issued, in each case as amended to the extent permitted under the Loan Documents.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Subscription Agreement</w:t>
      </w:r>
      <w:r>
        <w:rPr>
          <w:rFonts w:ascii="Times New Roman" w:hAnsi="Times New Roman"/>
          <w:sz w:val="20"/>
        </w:rPr>
        <w:t xml:space="preserve"> means that certain Subscription Agreement dated as of the Closing Date among Holdings and the Investors (as defined therein).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w:t>
      </w:r>
      <w:r>
        <w:rPr>
          <w:rFonts w:ascii="Times New Roman" w:hAnsi="Times New Roman"/>
          <w:sz w:val="20"/>
        </w:rPr>
        <w:t> means, with respect to any Person (</w:t>
      </w:r>
      <w:r>
        <w:rPr>
          <w:rFonts w:ascii="Times New Roman" w:hAnsi="Times New Roman"/>
          <w:sz w:val="20"/>
          <w:u w:val="single"/>
        </w:rPr>
        <w:t>Topco</w:t>
      </w:r>
      <w:r>
        <w:rPr>
          <w:rFonts w:ascii="Times New Roman" w:hAnsi="Times New Roman"/>
          <w:sz w:val="20"/>
        </w:rPr>
        <w:t xml:space="preserve">), as of any date, any corporation, limited liability company, partnership, association or other entity the accounts of which would be consolidated with those of Topco in Topcos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50% of the equity or more than 50% of the ordinary voting power is or, in the case of a partnership, more than 50% of the general partnership interests are, as of such date, owned, controlled or held by Topco or one or more subsidiaries of Topco.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w:t>
      </w:r>
      <w:r>
        <w:rPr>
          <w:rFonts w:ascii="Times New Roman" w:hAnsi="Times New Roman"/>
          <w:sz w:val="20"/>
        </w:rPr>
        <w:t xml:space="preserve"> means any direct or indirect subsidiary of Holdings, the Borrower or a Loan Party, as the context may require.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 Guarantors</w:t>
      </w:r>
      <w:r>
        <w:rPr>
          <w:rFonts w:ascii="Times New Roman" w:hAnsi="Times New Roman"/>
          <w:sz w:val="20"/>
        </w:rPr>
        <w:t xml:space="preserve"> means Mynaric Government Solutions, Inc., Mynaric Lasercom GmbH, Mynaric Systems GmbH and each other Subsidiary of Holdings that becomes party to the Guarantee Agreement by the execution and delivery of a Subsidiary Joinder Agreement, and the permitted successors and assigns of each such Person.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- 34 -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 Joinder Agreement</w:t>
      </w:r>
      <w:r>
        <w:rPr>
          <w:rFonts w:ascii="Times New Roman" w:hAnsi="Times New Roman"/>
          <w:sz w:val="20"/>
        </w:rPr>
        <w:t xml:space="preserve"> means a Subsidiary Joinder Agreement, substantially in the form of </w:t>
      </w:r>
      <w:r>
        <w:rPr>
          <w:rFonts w:ascii="Times New Roman" w:hAnsi="Times New Roman"/>
          <w:sz w:val="20"/>
          <w:u w:val="single"/>
        </w:rPr>
        <w:t>Exhibit E</w:t>
      </w:r>
      <w:r>
        <w:rPr>
          <w:rFonts w:ascii="Times New Roman" w:hAnsi="Times New Roman"/>
          <w:sz w:val="20"/>
        </w:rPr>
        <w:t xml:space="preserve">, pursuant to which a Subsidiary becomes a party to the Guarantee Agreement, to the Security Agreement and to each other applicable Loan Document.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Swap Agreement</w:t>
      </w:r>
      <w:r>
        <w:rPr>
          <w:rFonts w:ascii="Times New Roman" w:hAnsi="Times New Roman"/>
          <w:sz w:val="20"/>
        </w:rPr>
        <w:t xml:space="preserve">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Swap Termination Value</w:t>
      </w:r>
      <w:r>
        <w:rPr>
          <w:rFonts w:ascii="Times New Roman" w:hAnsi="Times New Roman"/>
          <w:sz w:val="20"/>
        </w:rPr>
        <w:t xml:space="preserve"> means, in respect of any one or more Swap Agreements, after taking into account the effect of any legally enforceable netting agreement relating to such Swap Agreements, (a) for any date on or after the date such Swap Agreements have been closed out and termination value(s) determined in accordance therewith, such termination value(s), and (b) for any date prior to the date referenced in clause (a), the amount(s) determined as the mark-to-market value(s) for such Swap Agreements, as determined based upon one or more mid-market or other readily available quotations provided by any recognized dealer in such Swap Agreements (which may include a Lender or any Affiliate of a Lender).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Synthetic Lease Obligation</w:t>
      </w:r>
      <w:r>
        <w:rPr>
          <w:rFonts w:ascii="Times New Roman" w:hAnsi="Times New Roman"/>
          <w:sz w:val="20"/>
        </w:rPr>
        <w:t xml:space="preserve"> means the monetary obligation of a Person at any time of determination under (a) a so called synthetic, off balance sheet or tax retention lease, or (b) an agreement for the use or possession of property, in each case, creating obligations that do not appear on the balance sheet of such Person but which could be characterized as the indebtedness of such Person (without regard to accounting treatment) (other than operating leases arising as a result of Sale and Leaseback transactions).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Taxes</w:t>
      </w:r>
      <w:r>
        <w:rPr>
          <w:rFonts w:ascii="Times New Roman" w:hAnsi="Times New Roman"/>
          <w:sz w:val="20"/>
        </w:rPr>
        <w:t xml:space="preserve"> means all present or future taxes, levies, imposts, duties, deductions, withholdings (including backup withholding), assessments, fees or other charges imposed by any Governmental Authority, including any interest, additions to tax or penalties applicable thereto.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Facility</w:t>
      </w:r>
      <w:r>
        <w:rPr>
          <w:rFonts w:ascii="Times New Roman" w:hAnsi="Times New Roman"/>
          <w:sz w:val="20"/>
        </w:rPr>
        <w:t xml:space="preserve"> means, the credit facility evidenced by the Term Loan Commitment.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Lender</w:t>
      </w:r>
      <w:r>
        <w:rPr>
          <w:rFonts w:ascii="Times New Roman" w:hAnsi="Times New Roman"/>
          <w:sz w:val="20"/>
        </w:rPr>
        <w:t xml:space="preserve"> means a Lender with a Term Loan Commitment or, if the Term Loan Commitments have expired or terminated, outstanding Term Loans.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Loan</w:t>
      </w:r>
      <w:r>
        <w:rPr>
          <w:rFonts w:ascii="Times New Roman" w:hAnsi="Times New Roman"/>
          <w:sz w:val="20"/>
        </w:rPr>
        <w:t xml:space="preserve"> means a loan referred to in </w:t>
      </w:r>
      <w:r>
        <w:rPr>
          <w:rFonts w:ascii="Times New Roman" w:hAnsi="Times New Roman"/>
          <w:sz w:val="20"/>
          <w:u w:val="single"/>
        </w:rPr>
        <w:t>Section 2.1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Loan Borrowing</w:t>
      </w:r>
      <w:r>
        <w:rPr>
          <w:rFonts w:ascii="Times New Roman" w:hAnsi="Times New Roman"/>
          <w:sz w:val="20"/>
        </w:rPr>
        <w:t xml:space="preserve"> means a Borrowing consisting of Term Loans of the same Type made, converted or continued on the same date and, in the case of SOFR Loans, having the same Interest Period.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Loan Commitment</w:t>
      </w:r>
      <w:r>
        <w:rPr>
          <w:rFonts w:ascii="Times New Roman" w:hAnsi="Times New Roman"/>
          <w:sz w:val="20"/>
        </w:rPr>
        <w:t xml:space="preserve"> means, with respect to each Term Lender, the commitment of such Term Lender to make a single Term Loan on the Closing Date pursuant to </w:t>
      </w:r>
      <w:r>
        <w:rPr>
          <w:rFonts w:ascii="Times New Roman" w:hAnsi="Times New Roman"/>
          <w:sz w:val="20"/>
          <w:u w:val="single"/>
        </w:rPr>
        <w:t>Section 2.1</w:t>
      </w:r>
      <w:r>
        <w:rPr>
          <w:rFonts w:ascii="Times New Roman" w:hAnsi="Times New Roman"/>
          <w:sz w:val="20"/>
        </w:rPr>
        <w:t xml:space="preserve"> in an amount not exceeding the amount of such Term Lenders Term Loan Commitment as set forth on </w:t>
      </w:r>
      <w:r>
        <w:rPr>
          <w:rFonts w:ascii="Times New Roman" w:hAnsi="Times New Roman"/>
          <w:sz w:val="20"/>
          <w:u w:val="single"/>
        </w:rPr>
        <w:t>Schedule 2.1</w:t>
      </w:r>
      <w:r>
        <w:rPr>
          <w:rFonts w:ascii="Times New Roman" w:hAnsi="Times New Roman"/>
          <w:sz w:val="20"/>
        </w:rPr>
        <w:t xml:space="preserve">. The aggregate amount of the Term Loan Commitments on the Closing Date is $75,000,000.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- 35 -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Loan Note</w:t>
      </w:r>
      <w:r>
        <w:rPr>
          <w:rFonts w:ascii="Times New Roman" w:hAnsi="Times New Roman"/>
          <w:sz w:val="20"/>
        </w:rPr>
        <w:t xml:space="preserve"> means with respect to a Term Lender, a promissory note evidencing the Term Loans of such Lender payable to the order of such Lender (or, if required by such Lender, to such Lender and its registered assigns) substantially in the form of </w:t>
      </w:r>
      <w:r>
        <w:rPr>
          <w:rFonts w:ascii="Times New Roman" w:hAnsi="Times New Roman"/>
          <w:sz w:val="20"/>
          <w:u w:val="single"/>
        </w:rPr>
        <w:t>Exhibit B.</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SOFR</w:t>
      </w:r>
      <w:r>
        <w:rPr>
          <w:rFonts w:ascii="Times New Roman" w:hAnsi="Times New Roman"/>
          <w:sz w:val="20"/>
        </w:rPr>
        <w:t xml:space="preserve"> means a rate per annum equal to the greater of (a) Term SOFR Reference Rate for a tenor comparable to the applicable Interest Period (or, where the Term SOFR Reference Rate is being calculated for purposes of </w:t>
      </w:r>
      <w:r>
        <w:rPr>
          <w:rFonts w:ascii="Times New Roman" w:hAnsi="Times New Roman"/>
          <w:sz w:val="20"/>
          <w:u w:val="single"/>
        </w:rPr>
        <w:t>clause (c)</w:t>
      </w:r>
      <w:r>
        <w:rPr>
          <w:rFonts w:ascii="Times New Roman" w:hAnsi="Times New Roman"/>
          <w:sz w:val="20"/>
        </w:rPr>
        <w:t xml:space="preserve"> of the definition of Alternate Base Rate, a tenor of one month) on the day (such day, the </w:t>
      </w:r>
      <w:r>
        <w:rPr>
          <w:rFonts w:ascii="Times New Roman" w:hAnsi="Times New Roman"/>
          <w:sz w:val="20"/>
          <w:u w:val="single"/>
        </w:rPr>
        <w:t>Term SOFR Determination Day</w:t>
      </w:r>
      <w:r>
        <w:rPr>
          <w:rFonts w:ascii="Times New Roman" w:hAnsi="Times New Roman"/>
          <w:sz w:val="20"/>
        </w:rPr>
        <w:t xml:space="preserve">) that is two (2) Government Securities Business Days prior to the first day of such Interest Period; </w:t>
      </w:r>
      <w:r>
        <w:rPr>
          <w:rFonts w:ascii="Times New Roman" w:hAnsi="Times New Roman"/>
          <w:sz w:val="20"/>
          <w:u w:val="single"/>
        </w:rPr>
        <w:t>provided</w:t>
      </w:r>
      <w:r>
        <w:rPr>
          <w:rFonts w:ascii="Times New Roman" w:hAnsi="Times New Roman"/>
          <w:sz w:val="20"/>
        </w:rPr>
        <w:t xml:space="preserve">, however, that if as of 5:00 p.m. (New York City time) on any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Government Securities Business Day for which such Term SOFR Reference Rate for such tenor was published by the Term SOFR Administrator so long as such first preceding Government Securities Business Day is not more than three (3) Government Securities Business Days prior to such Term SOFR Determination Day, and (b) the Floor.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SOFR Administrator</w:t>
      </w:r>
      <w:r>
        <w:rPr>
          <w:rFonts w:ascii="Times New Roman" w:hAnsi="Times New Roman"/>
          <w:sz w:val="20"/>
        </w:rPr>
        <w:t xml:space="preserve"> means CME Group Benchmark Administration Limited (CBA) (or a successor administrator of the Term SOFR Reference Rate selected by the Required Lenders in their reasonable discretion).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SOFR Determination Day</w:t>
      </w:r>
      <w:r>
        <w:rPr>
          <w:rFonts w:ascii="Times New Roman" w:hAnsi="Times New Roman"/>
          <w:sz w:val="20"/>
        </w:rPr>
        <w:t xml:space="preserve"> has the meaning specified in the definition of Term SOFR.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SOFR Reference Rate</w:t>
      </w:r>
      <w:r>
        <w:rPr>
          <w:rFonts w:ascii="Times New Roman" w:hAnsi="Times New Roman"/>
          <w:sz w:val="20"/>
        </w:rPr>
        <w:t xml:space="preserve"> means the forward-looking term rate based on SOFR published by the Term SOFR Administrator and displayed on CMEs Market Data Platform (or other commercially available source providing such quotations as may be selected by the Administrative Agent from time to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Termination Date</w:t>
      </w:r>
      <w:r>
        <w:rPr>
          <w:rFonts w:ascii="Times New Roman" w:hAnsi="Times New Roman"/>
          <w:sz w:val="20"/>
        </w:rPr>
        <w:t xml:space="preserve"> means the date upon which all Commitments have terminated and any Loans, together with all interest and fees related thereto and other Loan Document Obligations (other than unasserted contingent, indemnification or expense reimbursement obligations in each case not yet due and payable), have been indefeasibly paid in full in cash.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Threshold Amount</w:t>
      </w:r>
      <w:r>
        <w:rPr>
          <w:rFonts w:ascii="Times New Roman" w:hAnsi="Times New Roman"/>
          <w:sz w:val="20"/>
        </w:rPr>
        <w:t xml:space="preserve"> means the greater of (a) $3,000,000 and (b) 3% of Consolidated Total Assets.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Total Credit Exposure</w:t>
      </w:r>
      <w:r>
        <w:rPr>
          <w:rFonts w:ascii="Times New Roman" w:hAnsi="Times New Roman"/>
          <w:sz w:val="20"/>
        </w:rPr>
        <w:t xml:space="preserve"> means, as to any Lender at any time, the outstanding Term Loans of such Lender at such time (which, for the avoidance of doubt, shall include all interest paid in kind).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Trademark Security Agreement</w:t>
      </w:r>
      <w:r>
        <w:rPr>
          <w:rFonts w:ascii="Times New Roman" w:hAnsi="Times New Roman"/>
          <w:sz w:val="20"/>
        </w:rPr>
        <w:t xml:space="preserve"> has the meaning assigned to such term in the Security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 Expenses</w:t>
      </w:r>
      <w:r>
        <w:rPr>
          <w:rFonts w:ascii="Times New Roman" w:hAnsi="Times New Roman"/>
          <w:sz w:val="20"/>
        </w:rPr>
        <w:t xml:space="preserve"> means any fees or expenses incurred or paid by Holdings, the Borrower, or any Subsidiary in connection with the Transactions, this Credit Agreement and the other Loan Documents and the transactions contemplated hereby and thereby in connection therewith.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Transactions</w:t>
      </w:r>
      <w:r>
        <w:rPr>
          <w:rFonts w:ascii="Times New Roman" w:hAnsi="Times New Roman"/>
          <w:sz w:val="20"/>
        </w:rPr>
        <w:t xml:space="preserve"> means (a) the execution, delivery and performance by each Loan Party of each Loan Document to which it is a party, (b) the borrowing of the Loans, (c) the use of the proceeds of the Loans, (d) the satisfaction of the Collateral and Guarantee Requirement, (e) the Closing Date Transactions and (f) the payment of Transaction Expenses.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- 36 -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Type</w:t>
      </w:r>
      <w:r>
        <w:rPr>
          <w:rFonts w:ascii="Times New Roman" w:hAnsi="Times New Roman"/>
          <w:sz w:val="20"/>
        </w:rPr>
        <w:t xml:space="preserve">, when used in reference to any Loan or Borrowing, refers to whether the rate of interest on such Loan, or on the Loans comprising such Borrowing, is determined by reference to (i) Term SOFR or (ii) the Alternate Base Rate.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UK Financial Institution</w:t>
      </w:r>
      <w:r>
        <w:rPr>
          <w:rFonts w:ascii="Times New Roman" w:hAnsi="Times New Roman"/>
          <w:sz w:val="20"/>
        </w:rPr>
        <w:t xml:space="preserve">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Unadjusted Benchmark Replacement</w:t>
      </w:r>
      <w:r>
        <w:rPr>
          <w:rFonts w:ascii="Times New Roman" w:hAnsi="Times New Roman"/>
          <w:sz w:val="20"/>
        </w:rPr>
        <w:t xml:space="preserve"> means the applicable Benchmark Replacement excluding the related Benchmark Replacement Adjustment.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Uniform Commercial Code</w:t>
      </w:r>
      <w:r>
        <w:rPr>
          <w:rFonts w:ascii="Times New Roman" w:hAnsi="Times New Roman"/>
          <w:sz w:val="20"/>
        </w:rPr>
        <w:t> or </w:t>
      </w:r>
      <w:r>
        <w:rPr>
          <w:rFonts w:ascii="Times New Roman" w:hAnsi="Times New Roman"/>
          <w:sz w:val="20"/>
          <w:u w:val="single"/>
        </w:rPr>
        <w:t>UCC</w:t>
      </w:r>
      <w:r>
        <w:rPr>
          <w:rFonts w:ascii="Times New Roman" w:hAnsi="Times New Roman"/>
          <w:sz w:val="20"/>
        </w:rPr>
        <w:t xml:space="preserve"> means the Uniform Commercial Code as the same may from time to time be in effect in the State of New York; </w:t>
      </w:r>
      <w:r>
        <w:rPr>
          <w:rFonts w:ascii="Times New Roman" w:hAnsi="Times New Roman"/>
          <w:sz w:val="20"/>
          <w:u w:val="single"/>
        </w:rPr>
        <w:t>provided</w:t>
      </w:r>
      <w:r>
        <w:rPr>
          <w:rFonts w:ascii="Times New Roman" w:hAnsi="Times New Roman"/>
          <w:sz w:val="20"/>
        </w:rPr>
        <w:t xml:space="preserve"> that, if perfection or the effect of perfection or non-perfection or the priority of any security interest in any Collateral is governed by the Uniform Commercial Code as in effect in a jurisdiction other than the State of New York, Uniform Commercial Code or UCC means the Uniform Commercial Code as in effect from time to time in such other jurisdiction for purposes of the provisions hereof relating to such perfection, effect of perfection or non-perfection or priority.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United States</w:t>
      </w:r>
      <w:r>
        <w:rPr>
          <w:rFonts w:ascii="Times New Roman" w:hAnsi="Times New Roman"/>
          <w:sz w:val="20"/>
        </w:rPr>
        <w:t> and </w:t>
      </w:r>
      <w:r>
        <w:rPr>
          <w:rFonts w:ascii="Times New Roman" w:hAnsi="Times New Roman"/>
          <w:sz w:val="20"/>
          <w:u w:val="single"/>
        </w:rPr>
        <w:t>U.S.</w:t>
      </w:r>
      <w:r>
        <w:rPr>
          <w:rFonts w:ascii="Times New Roman" w:hAnsi="Times New Roman"/>
          <w:sz w:val="20"/>
        </w:rPr>
        <w:t xml:space="preserve"> mean the United States of America.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USA PATRIOT Act</w:t>
      </w:r>
      <w:r>
        <w:rPr>
          <w:rFonts w:ascii="Times New Roman" w:hAnsi="Times New Roman"/>
          <w:sz w:val="20"/>
        </w:rPr>
        <w:t xml:space="preserve"> means The Uniting and Strengthening America by Providing Appropriate Tools Required to Intercept and Obstruct Terrorism Act of 2001 (Title III of Pub. L. No. 107-56 (signed into law October 26, 2001)).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U.S. Person</w:t>
      </w:r>
      <w:r>
        <w:rPr>
          <w:rFonts w:ascii="Times New Roman" w:hAnsi="Times New Roman"/>
          <w:sz w:val="20"/>
        </w:rPr>
        <w:t xml:space="preserve"> means any Person that is a United States Person as defined in Section 7701(a)(30) of the Code.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U.S. Tax Compliance Certificate</w:t>
      </w:r>
      <w:r>
        <w:rPr>
          <w:rFonts w:ascii="Times New Roman" w:hAnsi="Times New Roman"/>
          <w:sz w:val="20"/>
        </w:rPr>
        <w:t xml:space="preserve"> has the meaning assigned to such term in </w:t>
      </w:r>
      <w:r>
        <w:rPr>
          <w:rFonts w:ascii="Times New Roman" w:hAnsi="Times New Roman"/>
          <w:sz w:val="20"/>
          <w:u w:val="single"/>
        </w:rPr>
        <w:t>Section 3.6(g)(ii)(B)(3)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Weighted Average Life to Maturity</w:t>
      </w:r>
      <w:r>
        <w:rPr>
          <w:rFonts w:ascii="Times New Roman" w:hAnsi="Times New Roman"/>
          <w:sz w:val="20"/>
        </w:rPr>
        <w:t xml:space="preserve">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Wholly-Owned</w:t>
      </w:r>
      <w:r>
        <w:rPr>
          <w:rFonts w:ascii="Times New Roman" w:hAnsi="Times New Roman"/>
          <w:sz w:val="20"/>
        </w:rPr>
        <w:t xml:space="preserve"> means,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 owned Subsidiaries of such Person.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Withdrawal Liability</w:t>
      </w:r>
      <w:r>
        <w:rPr>
          <w:rFonts w:ascii="Times New Roman" w:hAnsi="Times New Roman"/>
          <w:sz w:val="20"/>
        </w:rPr>
        <w:t xml:space="preserve"> means a liability to a Multiemployer Plan as a result of a complete or partial withdrawal from such Multiemployer Plan, as such terms are defined in Part I of Subtitle E of Title IV of ERISA.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- 37 -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Withholding Agent</w:t>
      </w:r>
      <w:r>
        <w:rPr>
          <w:rFonts w:ascii="Times New Roman" w:hAnsi="Times New Roman"/>
          <w:sz w:val="20"/>
        </w:rPr>
        <w:t xml:space="preserve"> means any Loan Party and the Administrative Agent.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Classification of Loans and Borrowings</w:t>
      </w:r>
      <w:r>
        <w:rPr>
          <w:rFonts w:ascii="Times New Roman" w:hAnsi="Times New Roman"/>
          <w:sz w:val="20"/>
        </w:rPr>
        <w:t>. For purposes of this Credit Agreement, Loans may be classified and referred to by Type (</w:t>
      </w:r>
      <w:r>
        <w:rPr>
          <w:rFonts w:ascii="Times New Roman" w:hAnsi="Times New Roman"/>
          <w:sz w:val="20"/>
          <w:u w:val="single"/>
        </w:rPr>
        <w:t>e.g.</w:t>
      </w:r>
      <w:r>
        <w:rPr>
          <w:rFonts w:ascii="Times New Roman" w:hAnsi="Times New Roman"/>
          <w:sz w:val="20"/>
        </w:rPr>
        <w:t>, a </w:t>
      </w:r>
      <w:r>
        <w:rPr>
          <w:rFonts w:ascii="Times New Roman" w:hAnsi="Times New Roman"/>
          <w:sz w:val="20"/>
          <w:u w:val="single"/>
        </w:rPr>
        <w:t>SOFR Loan</w:t>
      </w:r>
      <w:r>
        <w:rPr>
          <w:rFonts w:ascii="Times New Roman" w:hAnsi="Times New Roman"/>
          <w:sz w:val="20"/>
        </w:rPr>
        <w:t>). Borrowings may also be classified and referred to by Type (</w:t>
      </w:r>
      <w:r>
        <w:rPr>
          <w:rFonts w:ascii="Times New Roman" w:hAnsi="Times New Roman"/>
          <w:sz w:val="20"/>
          <w:u w:val="single"/>
        </w:rPr>
        <w:t>e.g.</w:t>
      </w:r>
      <w:r>
        <w:rPr>
          <w:rFonts w:ascii="Times New Roman" w:hAnsi="Times New Roman"/>
          <w:sz w:val="20"/>
        </w:rPr>
        <w:t>, a </w:t>
      </w:r>
      <w:r>
        <w:rPr>
          <w:rFonts w:ascii="Times New Roman" w:hAnsi="Times New Roman"/>
          <w:sz w:val="20"/>
          <w:u w:val="single"/>
        </w:rPr>
        <w:t>SOFR Borrowing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Terms Generally</w:t>
      </w:r>
      <w:r>
        <w:rPr>
          <w:rFonts w:ascii="Times New Roman" w:hAnsi="Times New Roman"/>
          <w:sz w:val="20"/>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In the computation of periods of time from a specified date to a later specified date, the word from means from and including; the words to and until each mean to but excluding; and the word through means to and including.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reference herein to any Person shall be construed to include such Persons successors and assigns, (c) the words herein, hereof and hereunder, and words of similar import, shall be construed to refer to this Credit Agreement in its entirety and not to any particular provision hereof, (d) all references herein to Articles, Sections, Exhibits and Schedules shall be construed to refer to Articles and Sections of, and Exhibits and Schedules to, this Credit Agreement, (e) any reference to any law or regulation herein shall, unless otherwise specified, refer to such law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 Any terms used in this Credit Agreement that are defined in the UCC shall be construed and defined as set forth in the UCC unless otherwise defined herein; </w:t>
      </w:r>
      <w:r>
        <w:rPr>
          <w:rFonts w:ascii="Times New Roman" w:hAnsi="Times New Roman"/>
          <w:sz w:val="20"/>
          <w:u w:val="single"/>
        </w:rPr>
        <w:t>provided</w:t>
      </w:r>
      <w:r>
        <w:rPr>
          <w:rFonts w:ascii="Times New Roman" w:hAnsi="Times New Roman"/>
          <w:sz w:val="20"/>
        </w:rPr>
        <w:t xml:space="preserve"> that, to the extent that the UCC is used to define any term herein and such term is defined differently in different Articles of the UCC, the definition of such term contained in Article 9 of the UCC shall govern. </w:t>
      </w:r>
    </w:p>
    <w:p>
      <w:pPr>
        <w:pStyle w:val="TextBody"/>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Accounting Terms; GAAP; Currency Translation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All accounting terms not specifically or completely defined herein shall be construed in conformity with, and all financial data (including financial ratios and other financial calculations) required to be submitted pursuant to this Credit Agreement shall be prepared in conformity with, GAAP, applied in a manner consistent with that used in preparing the Audited Financial Statements, except as otherwise specifically prescribed herein. </w:t>
      </w:r>
    </w:p>
    <w:p>
      <w:pPr>
        <w:pStyle w:val="TextBody"/>
        <w:spacing w:before="240" w:after="0"/>
        <w:jc w:val="left"/>
        <w:rPr>
          <w:rFonts w:ascii="Times New Roman" w:hAnsi="Times New Roman"/>
          <w:sz w:val="20"/>
        </w:rPr>
      </w:pPr>
      <w:r>
        <w:rPr>
          <w:rFonts w:ascii="Times New Roman" w:hAnsi="Times New Roman"/>
          <w:sz w:val="20"/>
        </w:rPr>
        <w:t xml:space="preserve">(b) Notwithstanding anything to the contrary herein, for purposes of determining compliance with any test contained in this Credit Agreement with respect to any period during which any Specified Transaction occurs, Consolidated EBITDA, and the Consolidated Leverage Ratio (and all component definitions of any of the foregoing) shall be calculated with respect to such period and all Specified Transactions occurring during such period on a Pro Forma Basis.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- 38 -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 If at any time any change in GAAP (including any election by Holdings to adopt U.S. generally accepted accounting principles in place of International Financial Reporting Standards) would affect the computation of any financial ratio or requirement set forth in any Loan Document, and either the Borrower or the Required Lenders shall so request, the Lenders and the Borrower shall negotiate in good faith to amend such ratio or requirement to preserve the original intent thereof in light of such change in GAAP (subject to the approval of the Required Lenders); </w:t>
      </w:r>
      <w:r>
        <w:rPr>
          <w:rFonts w:ascii="Times New Roman" w:hAnsi="Times New Roman"/>
          <w:sz w:val="20"/>
          <w:u w:val="single"/>
        </w:rPr>
        <w:t>provided</w:t>
      </w:r>
      <w:r>
        <w:rPr>
          <w:rFonts w:ascii="Times New Roman" w:hAnsi="Times New Roman"/>
          <w:sz w:val="20"/>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Credit Agreement or as reasonably requested hereunder setting forth a reconciliation between calculations of such ratio or requirement made before and after giving effect to such change in GAAP. </w:t>
      </w:r>
    </w:p>
    <w:p>
      <w:pPr>
        <w:pStyle w:val="TextBody"/>
        <w:spacing w:before="240" w:after="0"/>
        <w:jc w:val="left"/>
        <w:rPr>
          <w:rFonts w:ascii="Times New Roman" w:hAnsi="Times New Roman"/>
          <w:sz w:val="20"/>
        </w:rPr>
      </w:pPr>
      <w:r>
        <w:rPr>
          <w:rFonts w:ascii="Times New Roman" w:hAnsi="Times New Roman"/>
          <w:sz w:val="20"/>
        </w:rPr>
        <w:t xml:space="preserve">(d) Any amounts specified in this Credit Agreement or in the other Loan Documents to be in Dollars shall also include the equivalent of such amount in any currency other than Dollars, such equivalent amount to be determined by Holdings based on the exchange rate used by Holdings and its Subsidiaries in the financial statements most recently delivered pursuant to </w:t>
      </w:r>
      <w:r>
        <w:rPr>
          <w:rFonts w:ascii="Times New Roman" w:hAnsi="Times New Roman"/>
          <w:sz w:val="20"/>
          <w:u w:val="single"/>
        </w:rPr>
        <w:t>Section 6.1</w:t>
      </w:r>
      <w:r>
        <w:rPr>
          <w:rFonts w:ascii="Times New Roman" w:hAnsi="Times New Roman"/>
          <w:sz w:val="20"/>
        </w:rPr>
        <w:t xml:space="preserve"> (or, if no such exchange rate exists, a spot rate reasonably selected by Holdings at the time of determination). No Default or Event of Default shall arise as a result of any limitation or threshold set forth in Dollars in </w:t>
      </w:r>
      <w:r>
        <w:rPr>
          <w:rFonts w:ascii="Times New Roman" w:hAnsi="Times New Roman"/>
          <w:sz w:val="20"/>
          <w:u w:val="single"/>
        </w:rPr>
        <w:t>Sections 7.1</w:t>
      </w:r>
      <w:r>
        <w:rPr>
          <w:rFonts w:ascii="Times New Roman" w:hAnsi="Times New Roman"/>
          <w:sz w:val="20"/>
        </w:rPr>
        <w:t xml:space="preserve">, </w:t>
      </w:r>
      <w:r>
        <w:rPr>
          <w:rFonts w:ascii="Times New Roman" w:hAnsi="Times New Roman"/>
          <w:sz w:val="20"/>
          <w:u w:val="single"/>
        </w:rPr>
        <w:t>7.2</w:t>
      </w:r>
      <w:r>
        <w:rPr>
          <w:rFonts w:ascii="Times New Roman" w:hAnsi="Times New Roman"/>
          <w:sz w:val="20"/>
        </w:rPr>
        <w:t xml:space="preserve">, </w:t>
      </w:r>
      <w:r>
        <w:rPr>
          <w:rFonts w:ascii="Times New Roman" w:hAnsi="Times New Roman"/>
          <w:sz w:val="20"/>
          <w:u w:val="single"/>
        </w:rPr>
        <w:t>7.4</w:t>
      </w:r>
      <w:r>
        <w:rPr>
          <w:rFonts w:ascii="Times New Roman" w:hAnsi="Times New Roman"/>
          <w:sz w:val="20"/>
        </w:rPr>
        <w:t xml:space="preserve"> and </w:t>
      </w:r>
      <w:r>
        <w:rPr>
          <w:rFonts w:ascii="Times New Roman" w:hAnsi="Times New Roman"/>
          <w:sz w:val="20"/>
          <w:u w:val="single"/>
        </w:rPr>
        <w:t>7.5</w:t>
      </w:r>
      <w:r>
        <w:rPr>
          <w:rFonts w:ascii="Times New Roman" w:hAnsi="Times New Roman"/>
          <w:sz w:val="20"/>
        </w:rPr>
        <w:t xml:space="preserve"> or the definition of Threshold Amount being exceeded as a result of changes in exchange rates. </w:t>
      </w:r>
    </w:p>
    <w:p>
      <w:pPr>
        <w:pStyle w:val="TextBody"/>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Rounding</w:t>
      </w:r>
      <w:r>
        <w:rPr>
          <w:rFonts w:ascii="Times New Roman" w:hAnsi="Times New Roman"/>
          <w:sz w:val="20"/>
        </w:rPr>
        <w:t xml:space="preserve">. Any financial ratios required to be maintained by the Borrower pursuant to this Credit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 </w:t>
      </w:r>
    </w:p>
    <w:p>
      <w:pPr>
        <w:pStyle w:val="TextBody"/>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References to Time</w:t>
      </w:r>
      <w:r>
        <w:rPr>
          <w:rFonts w:ascii="Times New Roman" w:hAnsi="Times New Roman"/>
          <w:sz w:val="20"/>
        </w:rPr>
        <w:t xml:space="preserve">. Unless the context otherwise requires, references to a time shall refer to Eastern Standard Time or Eastern Daylight Savings Time, as applicable. </w:t>
      </w:r>
    </w:p>
    <w:p>
      <w:pPr>
        <w:pStyle w:val="TextBody"/>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Resolution of Drafting Ambiguities</w:t>
      </w:r>
      <w:r>
        <w:rPr>
          <w:rFonts w:ascii="Times New Roman" w:hAnsi="Times New Roman"/>
          <w:sz w:val="20"/>
        </w:rPr>
        <w:t xml:space="preserve">. Each Loan Party acknowledges and agrees that it was represented by counsel in connection with the execution and delivery of the Loan Documents to which it is a party, that it and its counsel reviewed and participated in the preparation and negotiation hereof and thereof and that any rule of construction to the effect that ambiguities are to be resolved against the drafting party shall not be employed in the interpretation hereof or thereof. </w:t>
      </w:r>
    </w:p>
    <w:p>
      <w:pPr>
        <w:pStyle w:val="TextBody"/>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Status of Loan Document Obligations</w:t>
      </w:r>
      <w:r>
        <w:rPr>
          <w:rFonts w:ascii="Times New Roman" w:hAnsi="Times New Roman"/>
          <w:sz w:val="20"/>
        </w:rPr>
        <w:t xml:space="preserve">. In the event that any Loan Party shall at any time issue or have outstanding any Subordinated Debt, the Borrower shall take or cause each other Loan Party to take all such actions as shall be necessary to cause the Loan Document Obligations to constitute senior indebtedness (however denominated) in respect of such Subordinated Debt and to enable the Administrative Agent and the Lenders to have and exercise any payment blockage or other remedies available or potentially available to holders of senior indebtedness under the terms of such Subordinated Debt. Without limiting the foregoing, the Loan Document Obligations are hereby designated as senior indebtedness and as designated senior indebtedness and words of similar import under and in respect of the Subordinated Debt Documents under which such Subordinated Debt is issued and are further given all such other designations as shall be required under the terms of any such Subordinated Debt in order that the Administrative Agent and the Lenders may have and exercise any payment blockage or other remedies available or potentially available to holders of senior indebtedness under the terms of such Subordinated Debt.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- 39 -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Rates Generally</w:t>
      </w:r>
      <w:r>
        <w:rPr>
          <w:rFonts w:ascii="Times New Roman" w:hAnsi="Times New Roman"/>
          <w:sz w:val="20"/>
        </w:rPr>
        <w:t xml:space="preserve">. The Administrative Agent does not warrant or accept responsibility for, and shall not have any liability with respect to (a) the administration, construction, calculation, publication, continuation, discontinuation, movement, or regulation of, or any other matter related to, the Alternate Base Rate, the Benchmark, the Term SOFR Reference Rate, Term SOFR, or any alternative, successor or replacement rate thereto (including any Benchmark Replacement), any component definition thereof or rates referred to in the definition thereof, including whether any Benchmark is similar to, or will produce the same value or economic equivalence of, any other rate or whether financial instruments referencing or underlying the Benchmark will have the same volume or liquidity as those referencing or underlying any other rate, (b) the impact of any regulatory statements about, or actions taken with respect to any Benchmark (or component thereof), (c) changes made by any administrator to the methodology used to calculate any Benchmark (or component thereof) or (d) the effect, implementation or composition of any Conforming Changes (including determining whether any Conforming Changes, if any, are necessary or advisable). In furtherance of the foregoing, the Administrative Agent shall not be under any duty or obligation to (i) monitor, determine or verify the unavailability, replacement or cessation of any Benchmark or applicable benchmark index, or whether or when there has occurred, or to give notice to any other transaction party of the occurrence of, any Benchmark Transition Event, Benchmark Replacement Date or Benchmark Unavailability Period, (ii) to identify, select, determine or designate any Benchmark Replacement, or other successor or replacement benchmark index, or whether any conditions to the designation of such a rate have been satisfied, (iii) to identify, select, determine or designate any Benchmark Replacement Adjustment, or other modifier to any replacement or successor index or (iv) to determine whether or what Conforming Changes are necessary or advisable, if any, in connection with any of the foregoing. The Administrative Agent and its affiliates or other related entities may engage in transactions that affect the calculation of the Alternate Base Rate, the Benchmark, the Term SOFR Reference Rate, Term SOFR, any alternative, successor or replacement rate (including any Benchmark Replacement) or any relevant adjustments thereto, in each case, in a manner adverse to the Borrower. The Administrative Agent does not warrant or accept responsibility for, and shall not have any liability with respect to, such transactions. The Required Lenders may select information sources or services (that shall be accessible to the Administrative Agent) in their reasonable discretion to permit the Administrative Agent to ascertain the Alternate Base Rate, the Benchmark, the Term SOFR Reference Rate, Term SOFR or any alternative, successor or replacement rate (including any Benchmark Replacement), in each case pursuant to the terms of this Credit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w:t>
      </w:r>
    </w:p>
    <w:p>
      <w:pPr>
        <w:pStyle w:val="TextBody"/>
        <w:spacing w:before="240" w:after="0"/>
        <w:jc w:val="left"/>
        <w:rPr>
          <w:rFonts w:ascii="Times New Roman" w:hAnsi="Times New Roman"/>
          <w:sz w:val="20"/>
        </w:rPr>
      </w:pPr>
      <w:r>
        <w:rPr>
          <w:rFonts w:ascii="Times New Roman" w:hAnsi="Times New Roman"/>
          <w:sz w:val="20"/>
        </w:rPr>
        <w:t xml:space="preserve">Section 1.10 </w:t>
      </w:r>
      <w:r>
        <w:rPr>
          <w:rFonts w:ascii="Times New Roman" w:hAnsi="Times New Roman"/>
          <w:sz w:val="20"/>
          <w:u w:val="single"/>
        </w:rPr>
        <w:t>Divisions</w:t>
      </w:r>
      <w:r>
        <w:rPr>
          <w:rFonts w:ascii="Times New Roman" w:hAnsi="Times New Roman"/>
          <w:sz w:val="20"/>
        </w:rPr>
        <w:t xml:space="preserve">. For all purposes under the Loan Documents, in connection with a Division: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w:t>
      </w:r>
    </w:p>
    <w:p>
      <w:pPr>
        <w:pStyle w:val="TextBody"/>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German Terms</w:t>
      </w:r>
      <w:r>
        <w:rPr>
          <w:rFonts w:ascii="Times New Roman" w:hAnsi="Times New Roman"/>
          <w:sz w:val="20"/>
        </w:rPr>
        <w:t xml:space="preserve">. In this Agreement, where it relates to any entity incorporated or established under the laws of Germany or the context so requires, unless a contrary indication appears, a reference to: </w:t>
      </w:r>
    </w:p>
    <w:p>
      <w:pPr>
        <w:pStyle w:val="TextBody"/>
        <w:spacing w:before="120" w:after="0"/>
        <w:jc w:val="left"/>
        <w:rPr>
          <w:rFonts w:ascii="Times New Roman" w:hAnsi="Times New Roman"/>
          <w:sz w:val="20"/>
        </w:rPr>
      </w:pPr>
      <w:r>
        <w:rPr>
          <w:rFonts w:ascii="Times New Roman" w:hAnsi="Times New Roman"/>
          <w:sz w:val="20"/>
        </w:rPr>
        <w:t xml:space="preserve">(a) a person being unable to pay its debts includes that person being in a state of </w:t>
      </w:r>
      <w:r>
        <w:rPr>
          <w:rFonts w:ascii="Times New Roman" w:hAnsi="Times New Roman"/>
          <w:i/>
          <w:sz w:val="20"/>
        </w:rPr>
        <w:t>Zahlungsunfähigkeit</w:t>
      </w:r>
      <w:r>
        <w:rPr>
          <w:rFonts w:ascii="Times New Roman" w:hAnsi="Times New Roman"/>
          <w:sz w:val="20"/>
        </w:rPr>
        <w:t xml:space="preserve"> under Section 17 of the German Insolvency Act (</w:t>
      </w:r>
      <w:r>
        <w:rPr>
          <w:rFonts w:ascii="Times New Roman" w:hAnsi="Times New Roman"/>
          <w:i/>
          <w:sz w:val="20"/>
        </w:rPr>
        <w:t>Insolvenzordnung</w:t>
      </w:r>
      <w:r>
        <w:rPr>
          <w:rFonts w:ascii="Times New Roman" w:hAnsi="Times New Roman"/>
          <w:sz w:val="20"/>
        </w:rPr>
        <w:t>) or being over-indebted (</w:t>
      </w:r>
      <w:r>
        <w:rPr>
          <w:rFonts w:ascii="Times New Roman" w:hAnsi="Times New Roman"/>
          <w:i/>
          <w:sz w:val="20"/>
        </w:rPr>
        <w:t>überschuldet</w:t>
      </w:r>
      <w:r>
        <w:rPr>
          <w:rFonts w:ascii="Times New Roman" w:hAnsi="Times New Roman"/>
          <w:sz w:val="20"/>
        </w:rPr>
        <w:t>) under Section 19 of the German Insolvency Act (</w:t>
      </w:r>
      <w:r>
        <w:rPr>
          <w:rFonts w:ascii="Times New Roman" w:hAnsi="Times New Roman"/>
          <w:i/>
          <w:sz w:val="20"/>
        </w:rPr>
        <w:t>Insolvenzordnung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(b) a liquidator, trustee in bankruptcy, administrative receiver, receiver, administrator or compulsory manager includes an insolvency administrator (</w:t>
      </w:r>
      <w:r>
        <w:rPr>
          <w:rFonts w:ascii="Times New Roman" w:hAnsi="Times New Roman"/>
          <w:i/>
          <w:sz w:val="20"/>
        </w:rPr>
        <w:t>Insolvenzverwalter</w:t>
      </w:r>
      <w:r>
        <w:rPr>
          <w:rFonts w:ascii="Times New Roman" w:hAnsi="Times New Roman"/>
          <w:sz w:val="20"/>
        </w:rPr>
        <w:t>), interim insolvency administrator (</w:t>
      </w:r>
      <w:r>
        <w:rPr>
          <w:rFonts w:ascii="Times New Roman" w:hAnsi="Times New Roman"/>
          <w:i/>
          <w:sz w:val="20"/>
        </w:rPr>
        <w:t>vorläufiger Insolvenzverwalter</w:t>
      </w:r>
      <w:r>
        <w:rPr>
          <w:rFonts w:ascii="Times New Roman" w:hAnsi="Times New Roman"/>
          <w:sz w:val="20"/>
        </w:rPr>
        <w:t>) or custodian (</w:t>
      </w:r>
      <w:r>
        <w:rPr>
          <w:rFonts w:ascii="Times New Roman" w:hAnsi="Times New Roman"/>
          <w:i/>
          <w:sz w:val="20"/>
        </w:rPr>
        <w:t>Sachwalter</w:t>
      </w:r>
      <w:r>
        <w:rPr>
          <w:rFonts w:ascii="Times New Roman" w:hAnsi="Times New Roman"/>
          <w:sz w:val="20"/>
        </w:rPr>
        <w:t>) or interim custodian (</w:t>
      </w:r>
      <w:r>
        <w:rPr>
          <w:rFonts w:ascii="Times New Roman" w:hAnsi="Times New Roman"/>
          <w:i/>
          <w:sz w:val="20"/>
        </w:rPr>
        <w:t>vorläufiger Sachwalter</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- 40 -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(c) a corporate action, formal legal proceedings or other formal procedure or formal step taken for the winding up, administration or dissolution includes liquidation (</w:t>
      </w:r>
      <w:r>
        <w:rPr>
          <w:rFonts w:ascii="Times New Roman" w:hAnsi="Times New Roman"/>
          <w:i/>
          <w:sz w:val="20"/>
        </w:rPr>
        <w:t>Liquidation</w:t>
      </w:r>
      <w:r>
        <w:rPr>
          <w:rFonts w:ascii="Times New Roman" w:hAnsi="Times New Roman"/>
          <w:sz w:val="20"/>
        </w:rPr>
        <w:t>) and any action taken by the competent court as set out in Section 21 of the German Insolvency Act (</w:t>
      </w:r>
      <w:r>
        <w:rPr>
          <w:rFonts w:ascii="Times New Roman" w:hAnsi="Times New Roman"/>
          <w:i/>
          <w:sz w:val="20"/>
        </w:rPr>
        <w:t>Insolvenzordnung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(d) a moratorium includes protective shield proceedings (</w:t>
      </w:r>
      <w:r>
        <w:rPr>
          <w:rFonts w:ascii="Times New Roman" w:hAnsi="Times New Roman"/>
          <w:i/>
          <w:sz w:val="20"/>
        </w:rPr>
        <w:t>Schutzschirmverfahren</w:t>
      </w:r>
      <w:r>
        <w:rPr>
          <w:rFonts w:ascii="Times New Roman" w:hAnsi="Times New Roman"/>
          <w:sz w:val="20"/>
        </w:rPr>
        <w:t>) and insolvency plan proceedings (</w:t>
      </w:r>
      <w:r>
        <w:rPr>
          <w:rFonts w:ascii="Times New Roman" w:hAnsi="Times New Roman"/>
          <w:i/>
          <w:sz w:val="20"/>
        </w:rPr>
        <w:t>Insolvenzplanverfahren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(e) a director or manager of a company includes any statutory legal representative(s) (</w:t>
      </w:r>
      <w:r>
        <w:rPr>
          <w:rFonts w:ascii="Times New Roman" w:hAnsi="Times New Roman"/>
          <w:i/>
          <w:sz w:val="20"/>
        </w:rPr>
        <w:t>organschaftlicher Vertreter</w:t>
      </w:r>
      <w:r>
        <w:rPr>
          <w:rFonts w:ascii="Times New Roman" w:hAnsi="Times New Roman"/>
          <w:sz w:val="20"/>
        </w:rPr>
        <w:t>) of a person pursuant to the laws of its jurisdiction of incorporation, including with respect to a person incorporated or established in Germany, any managing director (</w:t>
      </w:r>
      <w:r>
        <w:rPr>
          <w:rFonts w:ascii="Times New Roman" w:hAnsi="Times New Roman"/>
          <w:i/>
          <w:sz w:val="20"/>
        </w:rPr>
        <w:t>Geschäftsführer</w:t>
      </w:r>
      <w:r>
        <w:rPr>
          <w:rFonts w:ascii="Times New Roman" w:hAnsi="Times New Roman"/>
          <w:sz w:val="20"/>
        </w:rPr>
        <w:t>), member of the board (</w:t>
      </w:r>
      <w:r>
        <w:rPr>
          <w:rFonts w:ascii="Times New Roman" w:hAnsi="Times New Roman"/>
          <w:i/>
          <w:sz w:val="20"/>
        </w:rPr>
        <w:t>Vorstand</w:t>
      </w:r>
      <w:r>
        <w:rPr>
          <w:rFonts w:ascii="Times New Roman" w:hAnsi="Times New Roman"/>
          <w:sz w:val="20"/>
        </w:rPr>
        <w:t>) or proxy (</w:t>
      </w:r>
      <w:r>
        <w:rPr>
          <w:rFonts w:ascii="Times New Roman" w:hAnsi="Times New Roman"/>
          <w:i/>
          <w:sz w:val="20"/>
        </w:rPr>
        <w:t>Prokurist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(f) a guarantee includes any guarantee (</w:t>
      </w:r>
      <w:r>
        <w:rPr>
          <w:rFonts w:ascii="Times New Roman" w:hAnsi="Times New Roman"/>
          <w:i/>
          <w:sz w:val="20"/>
        </w:rPr>
        <w:t>Garantie</w:t>
      </w:r>
      <w:r>
        <w:rPr>
          <w:rFonts w:ascii="Times New Roman" w:hAnsi="Times New Roman"/>
          <w:sz w:val="20"/>
        </w:rPr>
        <w:t>), any indemnity, and any joint and several (</w:t>
      </w:r>
      <w:r>
        <w:rPr>
          <w:rFonts w:ascii="Times New Roman" w:hAnsi="Times New Roman"/>
          <w:i/>
          <w:sz w:val="20"/>
        </w:rPr>
        <w:t>gesamtschuldnersich</w:t>
      </w:r>
      <w:r>
        <w:rPr>
          <w:rFonts w:ascii="Times New Roman" w:hAnsi="Times New Roman"/>
          <w:sz w:val="20"/>
        </w:rPr>
        <w:t>) or independent obligation (</w:t>
      </w:r>
      <w:r>
        <w:rPr>
          <w:rFonts w:ascii="Times New Roman" w:hAnsi="Times New Roman"/>
          <w:i/>
          <w:sz w:val="20"/>
        </w:rPr>
        <w:t>unabhängiges Schuldversprechen</w:t>
      </w:r>
      <w:r>
        <w:rPr>
          <w:rFonts w:ascii="Times New Roman" w:hAnsi="Times New Roman"/>
          <w:sz w:val="20"/>
        </w:rPr>
        <w:t xml:space="preserve">) within the meaning of German law; and </w:t>
      </w:r>
    </w:p>
    <w:p>
      <w:pPr>
        <w:pStyle w:val="TextBody"/>
        <w:spacing w:before="240" w:after="0"/>
        <w:jc w:val="left"/>
        <w:rPr>
          <w:rFonts w:ascii="Times New Roman" w:hAnsi="Times New Roman"/>
          <w:sz w:val="20"/>
        </w:rPr>
      </w:pPr>
      <w:r>
        <w:rPr>
          <w:rFonts w:ascii="Times New Roman" w:hAnsi="Times New Roman"/>
          <w:sz w:val="20"/>
        </w:rPr>
        <w:t>(g) the constitutional, incorporation and registry documents and/or excerpts include the relevant entitys articles of association (</w:t>
      </w:r>
      <w:r>
        <w:rPr>
          <w:rFonts w:ascii="Times New Roman" w:hAnsi="Times New Roman"/>
          <w:i/>
          <w:sz w:val="20"/>
        </w:rPr>
        <w:t>Satzung</w:t>
      </w:r>
      <w:r>
        <w:rPr>
          <w:rFonts w:ascii="Times New Roman" w:hAnsi="Times New Roman"/>
          <w:sz w:val="20"/>
        </w:rPr>
        <w:t>) (as filed with the competent commercial register) or partnership agreement (</w:t>
      </w:r>
      <w:r>
        <w:rPr>
          <w:rFonts w:ascii="Times New Roman" w:hAnsi="Times New Roman"/>
          <w:i/>
          <w:sz w:val="20"/>
        </w:rPr>
        <w:t>Gesellschaftsvertrag</w:t>
      </w:r>
      <w:r>
        <w:rPr>
          <w:rFonts w:ascii="Times New Roman" w:hAnsi="Times New Roman"/>
          <w:sz w:val="20"/>
        </w:rPr>
        <w:t>), a recent online excerpt from the competent commercial register (</w:t>
      </w:r>
      <w:r>
        <w:rPr>
          <w:rFonts w:ascii="Times New Roman" w:hAnsi="Times New Roman"/>
          <w:i/>
          <w:sz w:val="20"/>
        </w:rPr>
        <w:t>elektronischer Abdruck aus dem Handelsregister</w:t>
      </w:r>
      <w:r>
        <w:rPr>
          <w:rFonts w:ascii="Times New Roman" w:hAnsi="Times New Roman"/>
          <w:sz w:val="20"/>
        </w:rPr>
        <w:t>) and, as applicable, a copy of its list of shareholders (</w:t>
      </w:r>
      <w:r>
        <w:rPr>
          <w:rFonts w:ascii="Times New Roman" w:hAnsi="Times New Roman"/>
          <w:i/>
          <w:sz w:val="20"/>
        </w:rPr>
        <w:t>Gesellschafterliste</w:t>
      </w:r>
      <w:r>
        <w:rPr>
          <w:rFonts w:ascii="Times New Roman" w:hAnsi="Times New Roman"/>
          <w:sz w:val="20"/>
        </w:rPr>
        <w:t>) (as filed with the competent commercial register) and, as applicable, any by-laws (</w:t>
      </w:r>
      <w:r>
        <w:rPr>
          <w:rFonts w:ascii="Times New Roman" w:hAnsi="Times New Roman"/>
          <w:i/>
          <w:sz w:val="20"/>
        </w:rPr>
        <w:t>Geschäftsordnungen</w:t>
      </w:r>
      <w:r>
        <w:rPr>
          <w:rFonts w:ascii="Times New Roman" w:hAnsi="Times New Roman"/>
          <w:sz w:val="20"/>
        </w:rPr>
        <w:t xml:space="preserve">). </w:t>
      </w:r>
    </w:p>
    <w:p>
      <w:pPr>
        <w:pStyle w:val="TextBody"/>
        <w:spacing w:before="480" w:after="0"/>
        <w:jc w:val="center"/>
        <w:rPr>
          <w:rFonts w:ascii="Times New Roman" w:hAnsi="Times New Roman"/>
          <w:sz w:val="20"/>
        </w:rPr>
      </w:pPr>
      <w:r>
        <w:rPr>
          <w:rFonts w:ascii="Times New Roman" w:hAnsi="Times New Roman"/>
          <w:sz w:val="20"/>
        </w:rPr>
        <w:t xml:space="preserve">ARTICLE 2 </w:t>
      </w:r>
    </w:p>
    <w:p>
      <w:pPr>
        <w:pStyle w:val="TextBody"/>
        <w:spacing w:before="120" w:after="0"/>
        <w:jc w:val="center"/>
        <w:rPr>
          <w:rFonts w:ascii="Times New Roman" w:hAnsi="Times New Roman"/>
          <w:sz w:val="20"/>
        </w:rPr>
      </w:pPr>
      <w:r>
        <w:rPr>
          <w:rFonts w:ascii="Times New Roman" w:hAnsi="Times New Roman"/>
          <w:sz w:val="20"/>
        </w:rPr>
        <w:t xml:space="preserve">THE CREDITS </w:t>
      </w:r>
    </w:p>
    <w:p>
      <w:pPr>
        <w:pStyle w:val="TextBody"/>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Commitments</w:t>
      </w:r>
      <w:r>
        <w:rPr>
          <w:rFonts w:ascii="Times New Roman" w:hAnsi="Times New Roman"/>
          <w:sz w:val="20"/>
        </w:rPr>
        <w:t>.Subject to the terms and conditions hereof and relying upon the representations and warranties herein set forth, each Term Lender agrees, severally and not jointly, to make a single loan (each such loan, a </w:t>
      </w:r>
      <w:r>
        <w:rPr>
          <w:rFonts w:ascii="Times New Roman" w:hAnsi="Times New Roman"/>
          <w:sz w:val="20"/>
          <w:u w:val="single"/>
        </w:rPr>
        <w:t>Term Loan</w:t>
      </w:r>
      <w:r>
        <w:rPr>
          <w:rFonts w:ascii="Times New Roman" w:hAnsi="Times New Roman"/>
          <w:sz w:val="20"/>
        </w:rPr>
        <w:t xml:space="preserve">) to the Borrower in Dollars on the Closing Date in a principal amount not exceeding such Term Lenders Term Loan Commitment. Term Loans which are prepaid or repaid, in whole or in part, may not be reborrowed. Term Loans may be ABR Loans or SOFR Loans, as further provided herein. The Term Loans shall be issued with 1.00% original issue discount. Each Lender on the date of funding shall be entitled to such original issue discount in respect of its Term Loans on the Closing Date. Notwithstanding the foregoing, all calculations of interest and fees in respect of the Term Loans will be calculated on the basis of the full Term Loan Commitment amount of each Lender and the Total Credit Exposure outstanding on the Closing Date after the funding of the Term Loans shall be deemed to be $75,000,000. </w:t>
      </w:r>
    </w:p>
    <w:p>
      <w:pPr>
        <w:pStyle w:val="TextBody"/>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Borrowings, Conversions and Continuations of Loans</w:t>
      </w:r>
      <w:r>
        <w:rPr>
          <w:rFonts w:ascii="Times New Roman" w:hAnsi="Times New Roman"/>
          <w:sz w:val="20"/>
        </w:rPr>
        <w:t xml:space="preserve">. The Term Loans shall be advanced as a SOFR Loan with an Interest Period of three months and thereafter shall automatically continue as a SOFR Loan with three month Interest Periods continuing thereafter unless converted to ABR Loans in accordance with the terms of this Credit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- 41 -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Procedure for Borrowing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The Borrower shall deliver to the Administrative Agent a fully executed notice of borrowing (in a form satisfactory to the Administrative Agent and the Lenders) no later than 2:00 p.m. (New York City time) one (1) Business Day in advance of the Closing Date (or such shorter period as may be acceptable to the Lenders and the Administrative Agent). The Administrative Agent shall promptly advise the Lenders of any notice given pursuant to this </w:t>
      </w:r>
      <w:r>
        <w:rPr>
          <w:rFonts w:ascii="Times New Roman" w:hAnsi="Times New Roman"/>
          <w:sz w:val="20"/>
          <w:u w:val="single"/>
        </w:rPr>
        <w:t>Section 2.3</w:t>
      </w:r>
      <w:r>
        <w:rPr>
          <w:rFonts w:ascii="Times New Roman" w:hAnsi="Times New Roman"/>
          <w:sz w:val="20"/>
        </w:rPr>
        <w:t xml:space="preserve"> (and the contents thereof), and of each Lenders portion of the requested borrowing.</w:t>
      </w:r>
      <w:r>
        <w:rPr>
          <w:rFonts w:ascii="Times New Roman" w:hAnsi="Times New Roman"/>
          <w:sz w:val="20"/>
          <w:u w:val="single"/>
        </w:rPr>
        <w:t xml:space="preserve"> </w:t>
      </w:r>
    </w:p>
    <w:p>
      <w:pPr>
        <w:pStyle w:val="TextBody"/>
        <w:spacing w:before="240" w:after="0"/>
        <w:jc w:val="left"/>
        <w:rPr>
          <w:rFonts w:ascii="Times New Roman" w:hAnsi="Times New Roman"/>
          <w:sz w:val="20"/>
        </w:rPr>
      </w:pPr>
      <w:r>
        <w:rPr>
          <w:rFonts w:ascii="Times New Roman" w:hAnsi="Times New Roman"/>
          <w:sz w:val="20"/>
        </w:rPr>
        <w:t xml:space="preserve">(b) Each Lender shall make its Loan available to the Administrative Agent not later than 12:00 p.m. (New York City time) on the Closing Date by wire transfer of same day funds in Dollars, at the Administrative Agents Payment Office. Upon satisfaction or waiver of the conditions precedent specified herein and receipt of all requested funds from each Lender, the Administrative Agent shall make the proceeds of the Loans available to the Borrower on the Closing Date by causing an amount of same day funds in Dollars equal to the proceeds of all such Loans received by Administrative Agent from the Lenders to be wired to such account(s) as may be designated in writing to the Administrative Agent by the Borrower in such notice of borrowing (or any attached funds flow). </w:t>
      </w:r>
    </w:p>
    <w:p>
      <w:pPr>
        <w:pStyle w:val="TextBody"/>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[Reserved]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Termination of Commitments</w:t>
      </w:r>
      <w:r>
        <w:rPr>
          <w:rFonts w:ascii="Times New Roman" w:hAnsi="Times New Roman"/>
          <w:sz w:val="20"/>
        </w:rPr>
        <w:t xml:space="preserve">. The Term Loan Commitments shall automatically terminate upon the making of the Term Loans on the Closing Date. </w:t>
      </w:r>
    </w:p>
    <w:p>
      <w:pPr>
        <w:pStyle w:val="TextBody"/>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Repayment of Loans; Evidence of Debt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 at Maturity</w:t>
      </w:r>
      <w:r>
        <w:rPr>
          <w:rFonts w:ascii="Times New Roman" w:hAnsi="Times New Roman"/>
          <w:sz w:val="20"/>
        </w:rPr>
        <w:t xml:space="preserve">. The Borrower hereby unconditionally promises to pay to the Administrative Agent for the account of each Term Lender, the then unpaid principal amount of each Term Loan, together with all accrued interest thereon, on the earlier of the Maturity Date and, if different, the date of the acceleration of the Loans in accordance with </w:t>
      </w:r>
      <w:r>
        <w:rPr>
          <w:rFonts w:ascii="Times New Roman" w:hAnsi="Times New Roman"/>
          <w:sz w:val="20"/>
          <w:u w:val="single"/>
        </w:rPr>
        <w:t>Section 8.2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Notes</w:t>
      </w:r>
      <w:r>
        <w:rPr>
          <w:rFonts w:ascii="Times New Roman" w:hAnsi="Times New Roman"/>
          <w:sz w:val="20"/>
        </w:rPr>
        <w:t xml:space="preserve">. Any Lender may request that Loans made by it be evidenced by a promissory note. In such event, the Borrower shall execute and deliver a Term Loan Note to such Lender.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Lender Records</w:t>
      </w:r>
      <w:r>
        <w:rPr>
          <w:rFonts w:ascii="Times New Roman" w:hAnsi="Times New Roman"/>
          <w:sz w:val="20"/>
        </w:rPr>
        <w:t xml:space="preserve">. Each Lender shall maintain in accordance with its usual practice an account or accounts evidencing the indebtedness of the Borrower to such Lender resulting from each Loan owing to such Lender from time to time, including the amounts of principal and interest payable and paid to such Lender from time to time hereunder. </w:t>
      </w:r>
    </w:p>
    <w:p>
      <w:pPr>
        <w:pStyle w:val="TextBody"/>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Register</w:t>
      </w:r>
      <w:r>
        <w:rPr>
          <w:rFonts w:ascii="Times New Roman" w:hAnsi="Times New Roman"/>
          <w:sz w:val="20"/>
        </w:rPr>
        <w:t xml:space="preserve">. Entries made in good faith by the Administrative Agent in the Register pursuant to </w:t>
      </w:r>
      <w:r>
        <w:rPr>
          <w:rFonts w:ascii="Times New Roman" w:hAnsi="Times New Roman"/>
          <w:sz w:val="20"/>
          <w:u w:val="single"/>
        </w:rPr>
        <w:t>Section 10.4(c)</w:t>
      </w:r>
      <w:r>
        <w:rPr>
          <w:rFonts w:ascii="Times New Roman" w:hAnsi="Times New Roman"/>
          <w:sz w:val="20"/>
        </w:rPr>
        <w:t xml:space="preserve">, and by each Lender in its account or accounts pursuant to </w:t>
      </w:r>
      <w:r>
        <w:rPr>
          <w:rFonts w:ascii="Times New Roman" w:hAnsi="Times New Roman"/>
          <w:sz w:val="20"/>
          <w:u w:val="single"/>
        </w:rPr>
        <w:t>Section 2.6(c)</w:t>
      </w:r>
      <w:r>
        <w:rPr>
          <w:rFonts w:ascii="Times New Roman" w:hAnsi="Times New Roman"/>
          <w:sz w:val="20"/>
        </w:rPr>
        <w:t xml:space="preserve">, shall be prima facie evidence of the amount of principal and interest due and payable or to become due and payable from the Borrower to, in the case of the Register, each Lender and, in the case of such account or accounts, such Lender, under this Credit Agreement, absent manifest error;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failure of the Administrative Agent or such Lender to make an entry, or any finding that an entry is incorrect, in the Register or such account or accounts shall not limit or otherwise affect the obligations of the Borrower under this Credit Agreement. In the event of any conflict or inconsistency between the Register and any account or accounts maintained by any Lender, the Register shall control and shall be conclusive and binding absent manifest error. </w:t>
      </w:r>
    </w:p>
    <w:p>
      <w:pPr>
        <w:pStyle w:val="TextBody"/>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Prepayments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Optional Prepayments</w:t>
      </w:r>
      <w:r>
        <w:rPr>
          <w:rFonts w:ascii="Times New Roman" w:hAnsi="Times New Roman"/>
          <w:sz w:val="20"/>
        </w:rPr>
        <w:t xml:space="preserve">. The Borrower may, upon written notice to the Administrative Agent, at any time and from time to time, voluntarily prepay the Loans in whole; </w:t>
      </w:r>
      <w:r>
        <w:rPr>
          <w:rFonts w:ascii="Times New Roman" w:hAnsi="Times New Roman"/>
          <w:sz w:val="20"/>
          <w:u w:val="single"/>
        </w:rPr>
        <w:t>provided</w:t>
      </w:r>
      <w:r>
        <w:rPr>
          <w:rFonts w:ascii="Times New Roman" w:hAnsi="Times New Roman"/>
          <w:sz w:val="20"/>
        </w:rPr>
        <w:t xml:space="preserve"> that (i) such notice must be received by the Administrative Agent not later than 1:00 p.m. (New York City time) (A) three (3) Government Securities Business Days prior to any date of prepayment of a SOFR Borrowing and (B) three (3) Business Days prior to the date of prepayment of an ABR Borrowing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- 42 -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(ii) each prepayment shall be in a principal amount equal to the entire principal amount thereof then outstanding. Each such notice shall specify the date and amount of such prepayment. The Administrative Agent will promptly notify each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w:t>
      </w:r>
      <w:r>
        <w:rPr>
          <w:rFonts w:ascii="Times New Roman" w:hAnsi="Times New Roman"/>
          <w:sz w:val="20"/>
          <w:u w:val="single"/>
        </w:rPr>
        <w:t>provided</w:t>
      </w:r>
      <w:r>
        <w:rPr>
          <w:rFonts w:ascii="Times New Roman" w:hAnsi="Times New Roman"/>
          <w:sz w:val="20"/>
        </w:rPr>
        <w:t xml:space="preserve"> that such notice may state on its face that such notice of prepayment is conditioned upon the effectiveness of other credit facilities or any incurrence or issuance of Indebtedness or Equity Interests or the occurrence of any other transaction, in which case such notice may be revoked by the Borrower (by notice to the Administrative Agent on or prior to the specified effective date) if such condition is not satisfied, or such condition may be waived by the Borrower.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Mandatory Prepayments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Net Cash Proceeds; Extraordinary Receipts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Dispositions</w:t>
      </w:r>
      <w:r>
        <w:rPr>
          <w:rFonts w:ascii="Times New Roman" w:hAnsi="Times New Roman"/>
          <w:sz w:val="20"/>
        </w:rPr>
        <w:t xml:space="preserve">. If the aggregate amount of Net Cash Proceeds received by the Loan Parties and their Subsidiaries from Dispositions that occur after the Closing Date and arise under </w:t>
      </w:r>
      <w:r>
        <w:rPr>
          <w:rFonts w:ascii="Times New Roman" w:hAnsi="Times New Roman"/>
          <w:sz w:val="20"/>
          <w:u w:val="single"/>
        </w:rPr>
        <w:t>Section 7.5(h)</w:t>
      </w:r>
      <w:r>
        <w:rPr>
          <w:rFonts w:ascii="Times New Roman" w:hAnsi="Times New Roman"/>
          <w:sz w:val="20"/>
        </w:rPr>
        <w:t xml:space="preserve"> exceeds $5,000,000, then substantially simultaneously with (and in any event not later than the tenth (10th) Business Day next following) the receipt by a Loan Party or any of its Subsidiaries of any further Net Cash Proceeds from such Dispositions, the Borrower shall apply an aggregate amount equal to 100% of the amount of such excess Net Cash Proceeds to prepay the Term Loans and pay the exit fee payable under </w:t>
      </w:r>
      <w:r>
        <w:rPr>
          <w:rFonts w:ascii="Times New Roman" w:hAnsi="Times New Roman"/>
          <w:sz w:val="20"/>
          <w:u w:val="single"/>
        </w:rPr>
        <w:t>Section 3.2(b)</w:t>
      </w:r>
      <w:r>
        <w:rPr>
          <w:rFonts w:ascii="Times New Roman" w:hAnsi="Times New Roman"/>
          <w:sz w:val="20"/>
        </w:rPr>
        <w:t xml:space="preserve"> in connection with such prepayment, with such aggregate amount to be allocated as between principal amount, accrued interest and exit fee in such proportion as is necessary to ensure it is fully applied thereto and that no additional amount need be paid.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Debt Incurrences and Equity Issuances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(1) In the event that any Loan Party or any of its Subsidiaries receives Net Cash Proceeds in respect of any Debt Incurrence, then substantially simultaneously with (and in any event not later than the tenth (10th) Business Day next following) the receipt of such Net Cash Proceeds, the Borrower shall prepay the Term Loans in an aggregate principal amount equal to 100% of such Net Cash Proceeds. </w:t>
      </w:r>
    </w:p>
    <w:p>
      <w:pPr>
        <w:pStyle w:val="TextBody"/>
        <w:spacing w:before="120" w:after="0"/>
        <w:jc w:val="left"/>
        <w:rPr>
          <w:rFonts w:ascii="Times New Roman" w:hAnsi="Times New Roman"/>
          <w:sz w:val="20"/>
        </w:rPr>
      </w:pPr>
      <w:r>
        <w:rPr>
          <w:rFonts w:ascii="Times New Roman" w:hAnsi="Times New Roman"/>
          <w:sz w:val="20"/>
        </w:rPr>
        <w:t xml:space="preserve">(2) If the aggregate amount of Net Cash Proceeds received by the Loan Parties and their Subsidiaries from Equity Issuances that occur after the Closing Date exceeds $30,000,000, then substantially simultaneously with (and in any event not later than the tenth (10th) Business Day next following) the receipt by a Loan Party or any of its Subsidiaries of any further Net Cash Proceeds from Equity Issuances, the Borrower shall apply an aggregate amount equal to 50% of the amount of such excess Net Cash Proceeds to prepay the Term Loans and pay the exit fee payable under </w:t>
      </w:r>
      <w:r>
        <w:rPr>
          <w:rFonts w:ascii="Times New Roman" w:hAnsi="Times New Roman"/>
          <w:sz w:val="20"/>
          <w:u w:val="single"/>
        </w:rPr>
        <w:t>Section 3.2(b)</w:t>
      </w:r>
      <w:r>
        <w:rPr>
          <w:rFonts w:ascii="Times New Roman" w:hAnsi="Times New Roman"/>
          <w:sz w:val="20"/>
        </w:rPr>
        <w:t xml:space="preserve"> in connection with such prepayment, with such aggregate amount to be allocated as between principal amount, accrued interest and exit fee in such proportion as is necessary to ensure it is fully applied thereto and that no additional amount need be paid. </w:t>
      </w:r>
    </w:p>
    <w:p>
      <w:pPr>
        <w:pStyle w:val="TextBody"/>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Casualty Events</w:t>
      </w:r>
      <w:r>
        <w:rPr>
          <w:rFonts w:ascii="Times New Roman" w:hAnsi="Times New Roman"/>
          <w:sz w:val="20"/>
        </w:rPr>
        <w:t xml:space="preserve">. If the aggregate amount of Net Cash Proceeds received by the Loan Parties and their Subsidiaries from Casualty Events exceeds $5,000,000, then substantially simultaneously with (and in any event not later than the tenth (10th) Business Day next following) the receipt by a Loan Party or any of its Subsidiaries of any further Net Cash Proceeds from Casualty Events, the Borrower shall prepay the Term Loans in an aggregate principal amount equal to 100% of the amount of such excess Net Cash Proceeds.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- 43 -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Extraordinary Receipts</w:t>
      </w:r>
      <w:r>
        <w:rPr>
          <w:rFonts w:ascii="Times New Roman" w:hAnsi="Times New Roman"/>
          <w:sz w:val="20"/>
        </w:rPr>
        <w:t xml:space="preserve">. In the event that the Loan Parties and their Subsidiaries receive any Extraordinary Receipt, then, substantially simultaneously with (and in any event not later than the tenth (10th) Business Day next following) the receipt thereof, the Borrower shall prepay the Term Loans in an aggregate principal amount equal to 100% of the amount of such Extraordinary Receipt. </w:t>
      </w:r>
    </w:p>
    <w:p>
      <w:pPr>
        <w:pStyle w:val="TextBody"/>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Declining Lender</w:t>
      </w:r>
      <w:r>
        <w:rPr>
          <w:rFonts w:ascii="Times New Roman" w:hAnsi="Times New Roman"/>
          <w:sz w:val="20"/>
        </w:rPr>
        <w:t xml:space="preserve">. Notwithstanding anything in this </w:t>
      </w:r>
      <w:r>
        <w:rPr>
          <w:rFonts w:ascii="Times New Roman" w:hAnsi="Times New Roman"/>
          <w:sz w:val="20"/>
          <w:u w:val="single"/>
        </w:rPr>
        <w:t>Section 2.7(b)</w:t>
      </w:r>
      <w:r>
        <w:rPr>
          <w:rFonts w:ascii="Times New Roman" w:hAnsi="Times New Roman"/>
          <w:sz w:val="20"/>
        </w:rPr>
        <w:t xml:space="preserve"> to the contrary, any Lender may elect, by notice to the Administrative Agent by hand delivery, facsimile transmission or PDF attachment to an e-mail, at least one (1) Business Day prior to the required prepayment date, to decline all but not less than all of any mandatory prepayment of its Loans pursuant to this </w:t>
      </w:r>
      <w:r>
        <w:rPr>
          <w:rFonts w:ascii="Times New Roman" w:hAnsi="Times New Roman"/>
          <w:sz w:val="20"/>
          <w:u w:val="single"/>
        </w:rPr>
        <w:t>Section 2.7(b)</w:t>
      </w:r>
      <w:r>
        <w:rPr>
          <w:rFonts w:ascii="Times New Roman" w:hAnsi="Times New Roman"/>
          <w:sz w:val="20"/>
        </w:rPr>
        <w:t xml:space="preserve">, in which case the aggregate amount of the prepayment that would have been applied to prepay Loans but was so declined may be retained by Holdings and its Subsidiaries and used for any general corporate purpose not prohibited by this Credit Agreement. </w:t>
      </w:r>
    </w:p>
    <w:p>
      <w:pPr>
        <w:pStyle w:val="TextBody"/>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Foreign Entities</w:t>
      </w:r>
      <w:r>
        <w:rPr>
          <w:rFonts w:ascii="Times New Roman" w:hAnsi="Times New Roman"/>
          <w:sz w:val="20"/>
        </w:rPr>
        <w:t xml:space="preserve">. Notwithstanding the foregoing, to the extent that any Net Cash Proceeds or Extraordinary Receipt that is required to be applied to prepay the Term Loans pursuant to this </w:t>
      </w:r>
      <w:r>
        <w:rPr>
          <w:rFonts w:ascii="Times New Roman" w:hAnsi="Times New Roman"/>
          <w:sz w:val="20"/>
          <w:u w:val="single"/>
        </w:rPr>
        <w:t>Section 2.7(b)</w:t>
      </w:r>
      <w:r>
        <w:rPr>
          <w:rFonts w:ascii="Times New Roman" w:hAnsi="Times New Roman"/>
          <w:sz w:val="20"/>
        </w:rPr>
        <w:t xml:space="preserve"> is received by Holdings or any Foreign Subsidiary of Holdings and: </w:t>
      </w:r>
    </w:p>
    <w:p>
      <w:pPr>
        <w:pStyle w:val="TextBody"/>
        <w:spacing w:before="120" w:after="0"/>
        <w:jc w:val="left"/>
        <w:rPr>
          <w:rFonts w:ascii="Times New Roman" w:hAnsi="Times New Roman"/>
          <w:sz w:val="20"/>
        </w:rPr>
      </w:pPr>
      <w:r>
        <w:rPr>
          <w:rFonts w:ascii="Times New Roman" w:hAnsi="Times New Roman"/>
          <w:sz w:val="20"/>
        </w:rPr>
        <w:t xml:space="preserve">(A) Holdings or such Foreign Subsidiary would be prohibited or restricted under Applicable Law (including as a result of laws or regulations relating to financial assistance, corporate benefit, restrictions on upstreaming, downstreaming or transferring of cash intragroup or fiduciary and statutory duties of directors) or the Organizational Documents of any Subsidiary acquired after the Closing Date (including as a result of minority ownership of a Foreign Subsidiary) from transferring such Net Cash Proceeds or Extraordinary Receipts to the Borrower or any of its Subsidiaries; or </w:t>
      </w:r>
    </w:p>
    <w:p>
      <w:pPr>
        <w:pStyle w:val="TextBody"/>
        <w:spacing w:before="120" w:after="0"/>
        <w:jc w:val="left"/>
        <w:rPr>
          <w:rFonts w:ascii="Times New Roman" w:hAnsi="Times New Roman"/>
          <w:sz w:val="20"/>
        </w:rPr>
      </w:pPr>
      <w:r>
        <w:rPr>
          <w:rFonts w:ascii="Times New Roman" w:hAnsi="Times New Roman"/>
          <w:sz w:val="20"/>
        </w:rPr>
        <w:t xml:space="preserve">(B) would cause material adverse tax consequences as determined in good faith by Holdings in consultation with Required Lenders if transferred to the Borrower or any of its Subsidiaries (including as a result of any withholding of cash or the upstreaming of cash) </w:t>
      </w:r>
    </w:p>
    <w:p>
      <w:pPr>
        <w:pStyle w:val="TextBody"/>
        <w:spacing w:before="120" w:after="0"/>
        <w:jc w:val="left"/>
        <w:rPr>
          <w:rFonts w:ascii="Times New Roman" w:hAnsi="Times New Roman"/>
          <w:sz w:val="20"/>
        </w:rPr>
      </w:pPr>
      <w:r>
        <w:rPr>
          <w:rFonts w:ascii="Times New Roman" w:hAnsi="Times New Roman"/>
          <w:sz w:val="20"/>
        </w:rPr>
        <w:t>(any such limitation, a </w:t>
      </w:r>
      <w:r>
        <w:rPr>
          <w:rFonts w:ascii="Times New Roman" w:hAnsi="Times New Roman"/>
          <w:sz w:val="20"/>
          <w:u w:val="single"/>
        </w:rPr>
        <w:t>Repatriation Limitation</w:t>
      </w:r>
      <w:r>
        <w:rPr>
          <w:rFonts w:ascii="Times New Roman" w:hAnsi="Times New Roman"/>
          <w:sz w:val="20"/>
        </w:rPr>
        <w:t>), then in each case, the Borrower shall not be required to prepay such amounts (the </w:t>
      </w:r>
      <w:r>
        <w:rPr>
          <w:rFonts w:ascii="Times New Roman" w:hAnsi="Times New Roman"/>
          <w:sz w:val="20"/>
          <w:u w:val="single"/>
        </w:rPr>
        <w:t>Excluded Amounts</w:t>
      </w:r>
      <w:r>
        <w:rPr>
          <w:rFonts w:ascii="Times New Roman" w:hAnsi="Times New Roman"/>
          <w:sz w:val="20"/>
        </w:rPr>
        <w:t xml:space="preserve">) as required under this </w:t>
      </w:r>
      <w:r>
        <w:rPr>
          <w:rFonts w:ascii="Times New Roman" w:hAnsi="Times New Roman"/>
          <w:sz w:val="20"/>
          <w:u w:val="single"/>
        </w:rPr>
        <w:t>Section 2.7(b)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in the circumstances described in </w:t>
      </w:r>
      <w:r>
        <w:rPr>
          <w:rFonts w:ascii="Times New Roman" w:hAnsi="Times New Roman"/>
          <w:sz w:val="20"/>
          <w:u w:val="single"/>
        </w:rPr>
        <w:t>clause (A)</w:t>
      </w:r>
      <w:r>
        <w:rPr>
          <w:rFonts w:ascii="Times New Roman" w:hAnsi="Times New Roman"/>
          <w:sz w:val="20"/>
        </w:rPr>
        <w:t xml:space="preserve">, Holdings and its Subsidiaries will take all commercially reasonable actions available under Applicable Law to permit the applicable prepayment. The non-application of the Excluded Amounts as a consequence of any Repatriation Limitation will not constitute an Event of Default hereunder. Excluded Amounts shall be allocated among the Subsidiaries of Holdings in various jurisdictions determined by Holdings in good faith and the Excluded Amounts shall be available for working capital or other purposes of Holdings, the Foreign Subsidiary or any Subsidiary. Excluded Amounts shall not be deemed to be Net Cash Proceeds or Extraordinary Receipts, regardless of whether the Repatriation Limitation ceases to apply after such initial determination. </w:t>
      </w:r>
    </w:p>
    <w:p>
      <w:pPr>
        <w:pStyle w:val="TextBody"/>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Calculation Certificate</w:t>
      </w:r>
      <w:r>
        <w:rPr>
          <w:rFonts w:ascii="Times New Roman" w:hAnsi="Times New Roman"/>
          <w:sz w:val="20"/>
        </w:rPr>
        <w:t xml:space="preserve">. The Borrower shall deliver to the Administrative Agent, at the time of each prepayment required under this </w:t>
      </w:r>
      <w:r>
        <w:rPr>
          <w:rFonts w:ascii="Times New Roman" w:hAnsi="Times New Roman"/>
          <w:sz w:val="20"/>
          <w:u w:val="single"/>
        </w:rPr>
        <w:t>Section 2.7(b)</w:t>
      </w:r>
      <w:r>
        <w:rPr>
          <w:rFonts w:ascii="Times New Roman" w:hAnsi="Times New Roman"/>
          <w:sz w:val="20"/>
        </w:rPr>
        <w:t xml:space="preserve">, a certificate signed by a Financial Officer of Holdings setting forth in reasonable detail the calculation of the amount of such prepayment.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- 44 -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 of Mandatory Prepayment</w:t>
      </w:r>
      <w:r>
        <w:rPr>
          <w:rFonts w:ascii="Times New Roman" w:hAnsi="Times New Roman"/>
          <w:sz w:val="20"/>
        </w:rPr>
        <w:t xml:space="preserve">. The Borrower shall provide to the Administrative Agent written notice of any prepayment required pursuant to </w:t>
      </w:r>
      <w:r>
        <w:rPr>
          <w:rFonts w:ascii="Times New Roman" w:hAnsi="Times New Roman"/>
          <w:sz w:val="20"/>
          <w:u w:val="single"/>
        </w:rPr>
        <w:t>Section 2.7(b)</w:t>
      </w:r>
      <w:r>
        <w:rPr>
          <w:rFonts w:ascii="Times New Roman" w:hAnsi="Times New Roman"/>
          <w:sz w:val="20"/>
        </w:rPr>
        <w:t xml:space="preserve"> not later than 1:00 p.m. (New York City time) on the date that is three (3) Business Days prior to the date of such prepayment (providing details and date of such prepayment). </w:t>
      </w:r>
    </w:p>
    <w:p>
      <w:pPr>
        <w:pStyle w:val="TextBody"/>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General Rules</w:t>
      </w:r>
      <w:r>
        <w:rPr>
          <w:rFonts w:ascii="Times New Roman" w:hAnsi="Times New Roman"/>
          <w:sz w:val="20"/>
        </w:rPr>
        <w:t xml:space="preserve">. All prepayments shall be accompanied by accrued interest thereon and any additional amounts required pursuant to </w:t>
      </w:r>
      <w:r>
        <w:rPr>
          <w:rFonts w:ascii="Times New Roman" w:hAnsi="Times New Roman"/>
          <w:sz w:val="20"/>
          <w:u w:val="single"/>
        </w:rPr>
        <w:t>Sections 3.2</w:t>
      </w:r>
      <w:r>
        <w:rPr>
          <w:rFonts w:ascii="Times New Roman" w:hAnsi="Times New Roman"/>
          <w:sz w:val="20"/>
        </w:rPr>
        <w:t xml:space="preserve"> and </w:t>
      </w:r>
      <w:r>
        <w:rPr>
          <w:rFonts w:ascii="Times New Roman" w:hAnsi="Times New Roman"/>
          <w:sz w:val="20"/>
          <w:u w:val="single"/>
        </w:rPr>
        <w:t>3.5</w:t>
      </w:r>
      <w:r>
        <w:rPr>
          <w:rFonts w:ascii="Times New Roman" w:hAnsi="Times New Roman"/>
          <w:sz w:val="20"/>
        </w:rPr>
        <w:t xml:space="preserve">. Each prepayment shall be applied ratably to the Loans (excluding any Loans held by a Lender that declines a mandatory prepayment pursuant to </w:t>
      </w:r>
      <w:r>
        <w:rPr>
          <w:rFonts w:ascii="Times New Roman" w:hAnsi="Times New Roman"/>
          <w:sz w:val="20"/>
          <w:u w:val="single"/>
        </w:rPr>
        <w:t>Section 2.7(b)(ii)</w:t>
      </w:r>
      <w:r>
        <w:rPr>
          <w:rFonts w:ascii="Times New Roman" w:hAnsi="Times New Roman"/>
          <w:sz w:val="20"/>
        </w:rPr>
        <w:t xml:space="preserve"> above). </w:t>
      </w:r>
    </w:p>
    <w:p>
      <w:pPr>
        <w:pStyle w:val="TextBody"/>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sz w:val="20"/>
          <w:u w:val="single"/>
        </w:rPr>
        <w:t>Payments Generally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xml:space="preserve">. Subject to </w:t>
      </w:r>
      <w:r>
        <w:rPr>
          <w:rFonts w:ascii="Times New Roman" w:hAnsi="Times New Roman"/>
          <w:sz w:val="20"/>
          <w:u w:val="single"/>
        </w:rPr>
        <w:t>Section 3.6</w:t>
      </w:r>
      <w:r>
        <w:rPr>
          <w:rFonts w:ascii="Times New Roman" w:hAnsi="Times New Roman"/>
          <w:sz w:val="20"/>
        </w:rPr>
        <w:t xml:space="preserve">, all payments to be made by a Loan Party hereunder shall be made free and clear of and without condition or deduction for any counterclaim, defense, recoupment or setoff, without setoff or counterclaim. Each Loan Party shall make each payment required to be made by it hereunder or under any other Loan Document (whether of principal of Loans, interest or fees, or of amounts payable under </w:t>
      </w:r>
      <w:r>
        <w:rPr>
          <w:rFonts w:ascii="Times New Roman" w:hAnsi="Times New Roman"/>
          <w:sz w:val="20"/>
          <w:u w:val="single"/>
        </w:rPr>
        <w:t>Sections 3.4</w:t>
      </w:r>
      <w:r>
        <w:rPr>
          <w:rFonts w:ascii="Times New Roman" w:hAnsi="Times New Roman"/>
          <w:sz w:val="20"/>
        </w:rPr>
        <w:t xml:space="preserve">, </w:t>
      </w:r>
      <w:r>
        <w:rPr>
          <w:rFonts w:ascii="Times New Roman" w:hAnsi="Times New Roman"/>
          <w:sz w:val="20"/>
          <w:u w:val="single"/>
        </w:rPr>
        <w:t>3.5</w:t>
      </w:r>
      <w:r>
        <w:rPr>
          <w:rFonts w:ascii="Times New Roman" w:hAnsi="Times New Roman"/>
          <w:sz w:val="20"/>
        </w:rPr>
        <w:t xml:space="preserve">, </w:t>
      </w:r>
      <w:r>
        <w:rPr>
          <w:rFonts w:ascii="Times New Roman" w:hAnsi="Times New Roman"/>
          <w:sz w:val="20"/>
          <w:u w:val="single"/>
        </w:rPr>
        <w:t>3.6</w:t>
      </w:r>
      <w:r>
        <w:rPr>
          <w:rFonts w:ascii="Times New Roman" w:hAnsi="Times New Roman"/>
          <w:sz w:val="20"/>
        </w:rPr>
        <w:t xml:space="preserve"> or </w:t>
      </w:r>
      <w:r>
        <w:rPr>
          <w:rFonts w:ascii="Times New Roman" w:hAnsi="Times New Roman"/>
          <w:sz w:val="20"/>
          <w:u w:val="single"/>
        </w:rPr>
        <w:t>10.3</w:t>
      </w:r>
      <w:r>
        <w:rPr>
          <w:rFonts w:ascii="Times New Roman" w:hAnsi="Times New Roman"/>
          <w:sz w:val="20"/>
        </w:rPr>
        <w:t xml:space="preserve">, or otherwise) prior to 12:00 noon on the date when due, in immediately available funds. Any amounts received after such time on any date may, in the discretion of the Administrative Agent, be deemed to have been received on the next succeeding Business Day for purposes of calculating interest thereon. All such payments shall be made to the Administrative Agents Payment Office, except that payments pursuant to </w:t>
      </w:r>
      <w:r>
        <w:rPr>
          <w:rFonts w:ascii="Times New Roman" w:hAnsi="Times New Roman"/>
          <w:sz w:val="20"/>
          <w:u w:val="single"/>
        </w:rPr>
        <w:t>Sections 3.4</w:t>
      </w:r>
      <w:r>
        <w:rPr>
          <w:rFonts w:ascii="Times New Roman" w:hAnsi="Times New Roman"/>
          <w:sz w:val="20"/>
        </w:rPr>
        <w:t xml:space="preserve">, </w:t>
      </w:r>
      <w:r>
        <w:rPr>
          <w:rFonts w:ascii="Times New Roman" w:hAnsi="Times New Roman"/>
          <w:sz w:val="20"/>
          <w:u w:val="single"/>
        </w:rPr>
        <w:t>3.5</w:t>
      </w:r>
      <w:r>
        <w:rPr>
          <w:rFonts w:ascii="Times New Roman" w:hAnsi="Times New Roman"/>
          <w:sz w:val="20"/>
        </w:rPr>
        <w:t xml:space="preserve">, </w:t>
      </w:r>
      <w:r>
        <w:rPr>
          <w:rFonts w:ascii="Times New Roman" w:hAnsi="Times New Roman"/>
          <w:sz w:val="20"/>
          <w:u w:val="single"/>
        </w:rPr>
        <w:t>3.6</w:t>
      </w:r>
      <w:r>
        <w:rPr>
          <w:rFonts w:ascii="Times New Roman" w:hAnsi="Times New Roman"/>
          <w:sz w:val="20"/>
        </w:rPr>
        <w:t xml:space="preserve"> or </w:t>
      </w:r>
      <w:r>
        <w:rPr>
          <w:rFonts w:ascii="Times New Roman" w:hAnsi="Times New Roman"/>
          <w:sz w:val="20"/>
          <w:u w:val="single"/>
        </w:rPr>
        <w:t>10.3</w:t>
      </w:r>
      <w:r>
        <w:rPr>
          <w:rFonts w:ascii="Times New Roman" w:hAnsi="Times New Roman"/>
          <w:sz w:val="20"/>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Except as otherwise expressly provided herein, all payments hereunder shall be made in Dollars.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 Rata Treatment</w:t>
      </w:r>
      <w:r>
        <w:rPr>
          <w:rFonts w:ascii="Times New Roman" w:hAnsi="Times New Roman"/>
          <w:sz w:val="20"/>
        </w:rPr>
        <w:t xml:space="preserve">. Except as otherwise provided in this </w:t>
      </w:r>
      <w:r>
        <w:rPr>
          <w:rFonts w:ascii="Times New Roman" w:hAnsi="Times New Roman"/>
          <w:sz w:val="20"/>
          <w:u w:val="single"/>
        </w:rPr>
        <w:t>Section 2.8</w:t>
      </w:r>
      <w:r>
        <w:rPr>
          <w:rFonts w:ascii="Times New Roman" w:hAnsi="Times New Roman"/>
          <w:sz w:val="20"/>
        </w:rPr>
        <w:t xml:space="preserve"> and as otherwise required under </w:t>
      </w:r>
      <w:r>
        <w:rPr>
          <w:rFonts w:ascii="Times New Roman" w:hAnsi="Times New Roman"/>
          <w:sz w:val="20"/>
          <w:u w:val="single"/>
        </w:rPr>
        <w:t>Section 3.4(e)</w:t>
      </w:r>
      <w:r>
        <w:rPr>
          <w:rFonts w:ascii="Times New Roman" w:hAnsi="Times New Roman"/>
          <w:sz w:val="20"/>
        </w:rPr>
        <w:t xml:space="preserve">, each Borrowing, each payment or prepayment of principal of any Borrowing, each payment of interest on the Loans, each payment of fees, and each conversion of any Borrowing to or continuation of any Borrowing as a Borrowing of any Type shall be allocated pro rata among the Lenders in accordance with their respective applicable Commitments (or, if such Commitments shall have expired or been terminated, in accordance with the respective principal amounts of their outstanding Loans). Each Lender agrees that in computing such Lenders portion of any Borrowing to be made hereunder, the Administrative Agent may, in its discretion, round each Lenders percentage of such Borrowing to the next higher or lower whole Dollar amount.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[Reserved]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Obligations of Lenders Several</w:t>
      </w:r>
      <w:r>
        <w:rPr>
          <w:rFonts w:ascii="Times New Roman" w:hAnsi="Times New Roman"/>
          <w:sz w:val="20"/>
        </w:rPr>
        <w:t xml:space="preserve">. The obligations of the Lenders hereunder to make Loans are several and not joint. The failure of any Lender to make any Loan on any date required hereunder shall not relieve any other Lender of its corresponding obligation to do so on such date, and no Lender shall be responsible for the failure of any other Lender to so make its Loan. </w:t>
      </w:r>
    </w:p>
    <w:p>
      <w:pPr>
        <w:pStyle w:val="TextBody"/>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[Reserved]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Funding Source</w:t>
      </w:r>
      <w:r>
        <w:rPr>
          <w:rFonts w:ascii="Times New Roman" w:hAnsi="Times New Roman"/>
          <w:sz w:val="20"/>
        </w:rPr>
        <w:t xml:space="preserve">. Nothing herein shall be deemed to obligate any Lender to obtain the funds for any Loan in any particular place or manner or to constitute a representation by any Lender that it has obtained or will obtain the funds for any Loan in any particular place or manner.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- 45 -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Insufficient Payment</w:t>
      </w:r>
      <w:r>
        <w:rPr>
          <w:rFonts w:ascii="Times New Roman" w:hAnsi="Times New Roman"/>
          <w:sz w:val="20"/>
        </w:rPr>
        <w:t xml:space="preserve">. Subject to the provisions of </w:t>
      </w:r>
      <w:r>
        <w:rPr>
          <w:rFonts w:ascii="Times New Roman" w:hAnsi="Times New Roman"/>
          <w:sz w:val="20"/>
          <w:u w:val="single"/>
        </w:rPr>
        <w:t>Article 8</w:t>
      </w:r>
      <w:r>
        <w:rPr>
          <w:rFonts w:ascii="Times New Roman" w:hAnsi="Times New Roman"/>
          <w:sz w:val="20"/>
        </w:rPr>
        <w:t>, whenever any payment received by the Administrative Agent under this Credit Agreement or any of the other Loan Documents is insufficient to pay in full all amounts due and payable to the Credit Parties under or in respect of this Credit Agreement and the other Loan Documents on any date, such payment shall be distributed by the Administrative Agent and applied by the Administrative Agent (i)</w:t>
      </w:r>
      <w:r>
        <w:rPr>
          <w:rFonts w:ascii="Times New Roman" w:hAnsi="Times New Roman"/>
          <w:sz w:val="20"/>
          <w:u w:val="single"/>
        </w:rPr>
        <w:t> first</w:t>
      </w:r>
      <w:r>
        <w:rPr>
          <w:rFonts w:ascii="Times New Roman" w:hAnsi="Times New Roman"/>
          <w:sz w:val="20"/>
        </w:rPr>
        <w:t>, towards payment of all fees and expenses (including the fees and expenses of its counsel) due to the Administrative Agent under the Loan Documents, (ii)</w:t>
      </w:r>
      <w:r>
        <w:rPr>
          <w:rFonts w:ascii="Times New Roman" w:hAnsi="Times New Roman"/>
          <w:sz w:val="20"/>
          <w:u w:val="single"/>
        </w:rPr>
        <w:t> second</w:t>
      </w:r>
      <w:r>
        <w:rPr>
          <w:rFonts w:ascii="Times New Roman" w:hAnsi="Times New Roman"/>
          <w:sz w:val="20"/>
        </w:rPr>
        <w:t>, ratably towards payment of all expenses then due to any Lender hereunder, (iii)</w:t>
      </w:r>
      <w:r>
        <w:rPr>
          <w:rFonts w:ascii="Times New Roman" w:hAnsi="Times New Roman"/>
          <w:sz w:val="20"/>
          <w:u w:val="single"/>
        </w:rPr>
        <w:t> third</w:t>
      </w:r>
      <w:r>
        <w:rPr>
          <w:rFonts w:ascii="Times New Roman" w:hAnsi="Times New Roman"/>
          <w:sz w:val="20"/>
        </w:rPr>
        <w:t>, towards payment of interest, fees and commissions then due hereunder, ratably among the Lenders, and (iv)</w:t>
      </w:r>
      <w:r>
        <w:rPr>
          <w:rFonts w:ascii="Times New Roman" w:hAnsi="Times New Roman"/>
          <w:sz w:val="20"/>
          <w:u w:val="single"/>
        </w:rPr>
        <w:t> fourth</w:t>
      </w:r>
      <w:r>
        <w:rPr>
          <w:rFonts w:ascii="Times New Roman" w:hAnsi="Times New Roman"/>
          <w:sz w:val="20"/>
        </w:rPr>
        <w:t xml:space="preserve">, towards payment of principal of Loans then due hereunder, ratably among the Lenders. </w:t>
      </w:r>
    </w:p>
    <w:p>
      <w:pPr>
        <w:pStyle w:val="TextBody"/>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Sharing of Payments by Lenders</w:t>
      </w:r>
      <w:r>
        <w:rPr>
          <w:rFonts w:ascii="Times New Roman" w:hAnsi="Times New Roman"/>
          <w:sz w:val="20"/>
        </w:rPr>
        <w:t xml:space="preserve">. If any Lender shall, by exercising any right of setoff or counterclaim or otherwise, obtain payment in respect of any principal of or interest on any of its Loans or other obligations hereunder resulting in such Lender receiving payment of a proportion of the aggregate amount of its Loans and accrued interest thereon or other such obligations greater than its pro rata share thereof as provided herein, then such Lender shall (x) notify in writing the Administrative Agent of such fact, and (y)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 w:hAnsi="Times New Roman"/>
          <w:sz w:val="20"/>
          <w:u w:val="single"/>
        </w:rPr>
        <w:t>provided</w:t>
      </w:r>
      <w:r>
        <w:rPr>
          <w:rFonts w:ascii="Times New Roman" w:hAnsi="Times New Roman"/>
          <w:sz w:val="20"/>
        </w:rPr>
        <w:t xml:space="preserve"> that: </w:t>
      </w:r>
    </w:p>
    <w:p>
      <w:pPr>
        <w:pStyle w:val="TextBody"/>
        <w:spacing w:before="120" w:after="0"/>
        <w:jc w:val="left"/>
        <w:rPr>
          <w:rFonts w:ascii="Times New Roman" w:hAnsi="Times New Roman"/>
          <w:sz w:val="20"/>
        </w:rPr>
      </w:pPr>
      <w:r>
        <w:rPr>
          <w:rFonts w:ascii="Times New Roman" w:hAnsi="Times New Roman"/>
          <w:sz w:val="20"/>
        </w:rPr>
        <w:t xml:space="preserve">(i) if any such participations are purchased and all or any portion of the payment giving rise thereto is recovered, such participations shall be rescinded and the purchase price restored to the extent of such recovery, without interest; and </w:t>
      </w:r>
    </w:p>
    <w:p>
      <w:pPr>
        <w:pStyle w:val="TextBody"/>
        <w:spacing w:before="120" w:after="0"/>
        <w:jc w:val="left"/>
        <w:rPr>
          <w:rFonts w:ascii="Times New Roman" w:hAnsi="Times New Roman"/>
          <w:sz w:val="20"/>
        </w:rPr>
      </w:pPr>
      <w:r>
        <w:rPr>
          <w:rFonts w:ascii="Times New Roman" w:hAnsi="Times New Roman"/>
          <w:sz w:val="20"/>
        </w:rPr>
        <w:t xml:space="preserve">(ii) the provisions of this paragraph shall not be construed to apply to (x) any payment made by the Borrower pursuant to and in accordance with the express terms of this Credit Agreement, or (y) any payment obtained by a Lender as consideration for the assignment of or sale of a participation in any of its Loans to any assignee or participant. </w:t>
      </w:r>
    </w:p>
    <w:p>
      <w:pPr>
        <w:pStyle w:val="TextBody"/>
        <w:spacing w:before="240" w:after="0"/>
        <w:jc w:val="left"/>
        <w:rPr>
          <w:rFonts w:ascii="Times New Roman" w:hAnsi="Times New Roman"/>
          <w:sz w:val="20"/>
        </w:rPr>
      </w:pPr>
      <w:r>
        <w:rPr>
          <w:rFonts w:ascii="Times New Roman" w:hAnsi="Times New Roman"/>
          <w:sz w:val="20"/>
        </w:rPr>
        <w:t xml:space="preserve">The Borrower and Holdings each consents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 </w:t>
      </w:r>
    </w:p>
    <w:p>
      <w:pPr>
        <w:pStyle w:val="TextBody"/>
        <w:spacing w:before="480" w:after="0"/>
        <w:jc w:val="center"/>
        <w:rPr>
          <w:rFonts w:ascii="Times New Roman" w:hAnsi="Times New Roman"/>
          <w:sz w:val="20"/>
        </w:rPr>
      </w:pPr>
      <w:r>
        <w:rPr>
          <w:rFonts w:ascii="Times New Roman" w:hAnsi="Times New Roman"/>
          <w:sz w:val="20"/>
        </w:rPr>
        <w:t xml:space="preserve">ARTICLE 3 </w:t>
      </w:r>
    </w:p>
    <w:p>
      <w:pPr>
        <w:pStyle w:val="TextBody"/>
        <w:spacing w:before="120" w:after="0"/>
        <w:jc w:val="center"/>
        <w:rPr>
          <w:rFonts w:ascii="Times New Roman" w:hAnsi="Times New Roman"/>
          <w:sz w:val="20"/>
        </w:rPr>
      </w:pPr>
      <w:r>
        <w:rPr>
          <w:rFonts w:ascii="Times New Roman" w:hAnsi="Times New Roman"/>
          <w:sz w:val="20"/>
        </w:rPr>
        <w:t xml:space="preserve">INTEREST, FEES, YIELD PROTECTION, ETC. </w:t>
      </w:r>
    </w:p>
    <w:p>
      <w:pPr>
        <w:pStyle w:val="TextBody"/>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Interest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Interest Rate Generally</w:t>
      </w:r>
      <w:r>
        <w:rPr>
          <w:rFonts w:ascii="Times New Roman" w:hAnsi="Times New Roman"/>
          <w:sz w:val="20"/>
        </w:rPr>
        <w:t xml:space="preserve">. All ABR Loans shall bear interest at a rate per annum equal to the Alternate Base Rate as in effect from time to time </w:t>
      </w:r>
      <w:r>
        <w:rPr>
          <w:rFonts w:ascii="Times New Roman" w:hAnsi="Times New Roman"/>
          <w:sz w:val="20"/>
          <w:u w:val="single"/>
        </w:rPr>
        <w:t>plus</w:t>
      </w:r>
      <w:r>
        <w:rPr>
          <w:rFonts w:ascii="Times New Roman" w:hAnsi="Times New Roman"/>
          <w:sz w:val="20"/>
        </w:rPr>
        <w:t xml:space="preserve"> the Applicable Margin. All SOFR Loans shall bear interest at a rate per annum equal to Term SOFR for the Interest Period in effect for such Loans </w:t>
      </w:r>
      <w:r>
        <w:rPr>
          <w:rFonts w:ascii="Times New Roman" w:hAnsi="Times New Roman"/>
          <w:sz w:val="20"/>
          <w:u w:val="single"/>
        </w:rPr>
        <w:t>plus</w:t>
      </w:r>
      <w:r>
        <w:rPr>
          <w:rFonts w:ascii="Times New Roman" w:hAnsi="Times New Roman"/>
          <w:sz w:val="20"/>
        </w:rPr>
        <w:t xml:space="preserve"> the Applicable Margin.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Default Rate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 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the Default Rate to the fullest extent permitted by applicable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- 46 -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(ii) Notwithstanding the foregoing, if a Specified Event of Default has occurred and is continuing and the Required Lenders, or the Administrative Agent, at the direction of the Required Lenders, so notifies the Borrower (</w:t>
      </w:r>
      <w:r>
        <w:rPr>
          <w:rFonts w:ascii="Times New Roman" w:hAnsi="Times New Roman"/>
          <w:sz w:val="20"/>
          <w:u w:val="single"/>
        </w:rPr>
        <w:t>provided</w:t>
      </w:r>
      <w:r>
        <w:rPr>
          <w:rFonts w:ascii="Times New Roman" w:hAnsi="Times New Roman"/>
          <w:sz w:val="20"/>
        </w:rPr>
        <w:t xml:space="preserve"> that no such notification shall be required, and the following interest shall automatically be payable, in the case of an Event of Default under </w:t>
      </w:r>
      <w:r>
        <w:rPr>
          <w:rFonts w:ascii="Times New Roman" w:hAnsi="Times New Roman"/>
          <w:sz w:val="20"/>
          <w:u w:val="single"/>
        </w:rPr>
        <w:t>Sections 8.1(a)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 xml:space="preserve">(h) </w:t>
      </w:r>
      <w:r>
        <w:rPr>
          <w:rFonts w:ascii="Times New Roman" w:hAnsi="Times New Roman"/>
          <w:sz w:val="20"/>
        </w:rPr>
        <w:t xml:space="preserve">or </w:t>
      </w:r>
      <w:r>
        <w:rPr>
          <w:rFonts w:ascii="Times New Roman" w:hAnsi="Times New Roman"/>
          <w:sz w:val="20"/>
          <w:u w:val="single"/>
        </w:rPr>
        <w:t>(i))</w:t>
      </w:r>
      <w:r>
        <w:rPr>
          <w:rFonts w:ascii="Times New Roman" w:hAnsi="Times New Roman"/>
          <w:sz w:val="20"/>
        </w:rPr>
        <w:t xml:space="preserve">, then, so long as such Specified Event of Default is continuing, all outstanding principal of each Loan shall, without duplication of amounts payable under the preceding sentence, bear interest, after as well as before judgment, at a rate per annum equal to the Default Rate to the fullest extent permitted by applicable law.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Interest Payment Dates</w:t>
      </w:r>
      <w:r>
        <w:rPr>
          <w:rFonts w:ascii="Times New Roman" w:hAnsi="Times New Roman"/>
          <w:sz w:val="20"/>
        </w:rPr>
        <w:t xml:space="preserve">. Except as set forth in </w:t>
      </w:r>
      <w:r>
        <w:rPr>
          <w:rFonts w:ascii="Times New Roman" w:hAnsi="Times New Roman"/>
          <w:sz w:val="20"/>
          <w:u w:val="single"/>
        </w:rPr>
        <w:t>paragraph (d)</w:t>
      </w:r>
      <w:r>
        <w:rPr>
          <w:rFonts w:ascii="Times New Roman" w:hAnsi="Times New Roman"/>
          <w:sz w:val="20"/>
        </w:rPr>
        <w:t xml:space="preserve"> below, accrued interest on each Loan shall be payable in arrears on each Interest Payment Date for such Loan and at such other times as may be specified herein; </w:t>
      </w:r>
      <w:r>
        <w:rPr>
          <w:rFonts w:ascii="Times New Roman" w:hAnsi="Times New Roman"/>
          <w:sz w:val="20"/>
          <w:u w:val="single"/>
        </w:rPr>
        <w:t>provided</w:t>
      </w:r>
      <w:r>
        <w:rPr>
          <w:rFonts w:ascii="Times New Roman" w:hAnsi="Times New Roman"/>
          <w:sz w:val="20"/>
        </w:rPr>
        <w:t xml:space="preserve"> that (i) interest accrued pursuant to </w:t>
      </w:r>
      <w:r>
        <w:rPr>
          <w:rFonts w:ascii="Times New Roman" w:hAnsi="Times New Roman"/>
          <w:sz w:val="20"/>
          <w:u w:val="single"/>
        </w:rPr>
        <w:t>paragraph (b)</w:t>
      </w:r>
      <w:r>
        <w:rPr>
          <w:rFonts w:ascii="Times New Roman" w:hAnsi="Times New Roman"/>
          <w:sz w:val="20"/>
        </w:rPr>
        <w:t xml:space="preserve"> of this Section shall be payable on demand, (ii) in the event of any repayment or prepayment of any Loan, accrued interest on the principal amount repaid or prepaid shall be payable on the date of such repayment or prepayment and (iii) in the event of any conversion of any SOFR Loan prior to the end of the current Interest Period therefor, accrued interest on such Loan shall be payable on the effective date of such conversion. </w:t>
      </w:r>
    </w:p>
    <w:p>
      <w:pPr>
        <w:pStyle w:val="TextBody"/>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PIK Interest</w:t>
      </w:r>
      <w:r>
        <w:rPr>
          <w:rFonts w:ascii="Times New Roman" w:hAnsi="Times New Roman"/>
          <w:sz w:val="20"/>
        </w:rPr>
        <w:t xml:space="preserve">. In respect of any Interest Payment Date that occurs during the PIK Period, the Borrower may elect, upon written notice delivered to the Administrative Agent no later than 10:00 a.m. (New York City time) on the date that is five (5) Business Days (and no earlier than ten (10) Business Days) prior to such Interest Payment Date, to pay in kind up to three hundred basis points (3.00%) of the then applicable interest that has accrued on the Loans during the period from and including the Interest Payment Date immediately preceding such Interest Payment Date (or the Closing Date in the case of the initial Interest Payment Date) to and including such Interest Payment Date, which such amounts paid in kind shall be added to the principal amount of the Loans on such Interest Payment Date; </w:t>
      </w:r>
      <w:r>
        <w:rPr>
          <w:rFonts w:ascii="Times New Roman" w:hAnsi="Times New Roman"/>
          <w:sz w:val="20"/>
          <w:u w:val="single"/>
        </w:rPr>
        <w:t>provided</w:t>
      </w:r>
      <w:r>
        <w:rPr>
          <w:rFonts w:ascii="Times New Roman" w:hAnsi="Times New Roman"/>
          <w:sz w:val="20"/>
        </w:rPr>
        <w:t xml:space="preserve"> that, (i) to the extent the Borrower does not make such written election, 100% of the interest that has accrued on all Loans during such period shall be paid in cash on such Interest Payment Date and (ii) for the avoidance of doubt, all interest accrued for any period ending after the end of the PIK Period shall be paid in cash. </w:t>
      </w:r>
    </w:p>
    <w:p>
      <w:pPr>
        <w:pStyle w:val="TextBody"/>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Computation of Interest</w:t>
      </w:r>
      <w:r>
        <w:rPr>
          <w:rFonts w:ascii="Times New Roman" w:hAnsi="Times New Roman"/>
          <w:sz w:val="20"/>
        </w:rPr>
        <w:t xml:space="preserve">. All interest hereunder shall be computed on the basis of a year of 360 days (or in the case of interest computed by reference to the Alternate Base Rate at times when the Alternate Base Rate is based on the Prime Rate, such interest shall be computed on the basis of a year of 365 days (or 366 days in a leap year)), and in each case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Alternate Base Rate or Term SOFR shall be determined by the Administrative Agent, and such determination shall be conclusive absent clearly manifest error. The Administrative Agent shall promptly notify the Borrower and the Lenders of the interest rate applicable to any Interest Period for SOFR Loans and of any applicable Alternate Base Rate upon determination of such interest rate. </w:t>
      </w:r>
    </w:p>
    <w:p>
      <w:pPr>
        <w:pStyle w:val="TextBody"/>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Term SOFR Conforming Changes</w:t>
      </w:r>
      <w:r>
        <w:rPr>
          <w:rFonts w:ascii="Times New Roman" w:hAnsi="Times New Roman"/>
          <w:sz w:val="20"/>
        </w:rPr>
        <w:t xml:space="preserve">.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Credit Agreement or any other Loan Document. The Administrative Agent will promptly notify the Borrower and the Lenders of the effectiveness of any Conforming Changes in connection with the use or administration of Term SOFR.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- 47 -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Fees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Commitment Fee</w:t>
      </w:r>
      <w:r>
        <w:rPr>
          <w:rFonts w:ascii="Times New Roman" w:hAnsi="Times New Roman"/>
          <w:sz w:val="20"/>
        </w:rPr>
        <w:t xml:space="preserve">. The Borrower agrees to pay to the Administrative Agent on the Closing Date, for the ratable account of each Lender, a commitment fee equal to 1.0% of the amount of the Commitments.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Mandatory Prepayment Exit Fee</w:t>
      </w:r>
      <w:r>
        <w:rPr>
          <w:rFonts w:ascii="Times New Roman" w:hAnsi="Times New Roman"/>
          <w:sz w:val="20"/>
        </w:rPr>
        <w:t xml:space="preserve">. On each Mandatory Prepayment Exit Date, the Borrower shall pay to the Administrative Agent, for the ratable account of each Lender, an exit fee equal to: </w:t>
      </w:r>
    </w:p>
    <w:p>
      <w:pPr>
        <w:pStyle w:val="TextBody"/>
        <w:spacing w:before="120" w:after="0"/>
        <w:jc w:val="left"/>
        <w:rPr>
          <w:rFonts w:ascii="Times New Roman" w:hAnsi="Times New Roman"/>
          <w:sz w:val="20"/>
        </w:rPr>
      </w:pPr>
      <w:r>
        <w:rPr>
          <w:rFonts w:ascii="Times New Roman" w:hAnsi="Times New Roman"/>
          <w:sz w:val="20"/>
        </w:rPr>
        <w:t xml:space="preserve">(i) the following percentage of Invested Capital (defined below) for such Mandatory Prepayment Exit Date: </w:t>
      </w:r>
    </w:p>
    <w:p>
      <w:pPr>
        <w:pStyle w:val="TextBody"/>
        <w:spacing w:before="120" w:after="0"/>
        <w:jc w:val="left"/>
        <w:rPr>
          <w:rFonts w:ascii="Times New Roman" w:hAnsi="Times New Roman"/>
          <w:sz w:val="20"/>
        </w:rPr>
      </w:pPr>
      <w:r>
        <w:rPr>
          <w:rFonts w:ascii="Times New Roman" w:hAnsi="Times New Roman"/>
          <w:sz w:val="20"/>
        </w:rPr>
        <w:t xml:space="preserve">(A) 180% if such Mandatory Prepayment Exit Date occurs prior to the third anniversary of the Closing Date; </w:t>
      </w:r>
    </w:p>
    <w:p>
      <w:pPr>
        <w:pStyle w:val="TextBody"/>
        <w:spacing w:before="120" w:after="0"/>
        <w:jc w:val="left"/>
        <w:rPr>
          <w:rFonts w:ascii="Times New Roman" w:hAnsi="Times New Roman"/>
          <w:sz w:val="20"/>
        </w:rPr>
      </w:pPr>
      <w:r>
        <w:rPr>
          <w:rFonts w:ascii="Times New Roman" w:hAnsi="Times New Roman"/>
          <w:sz w:val="20"/>
        </w:rPr>
        <w:t xml:space="preserve">(B) 185% if such Mandatory Prepayment Exit Date occurs on or after the third anniversary of the Closing Date but prior to the fourth anniversary of the Closing Date; and </w:t>
      </w:r>
    </w:p>
    <w:p>
      <w:pPr>
        <w:pStyle w:val="TextBody"/>
        <w:spacing w:before="120" w:after="0"/>
        <w:jc w:val="left"/>
        <w:rPr>
          <w:rFonts w:ascii="Times New Roman" w:hAnsi="Times New Roman"/>
          <w:sz w:val="20"/>
        </w:rPr>
      </w:pPr>
      <w:r>
        <w:rPr>
          <w:rFonts w:ascii="Times New Roman" w:hAnsi="Times New Roman"/>
          <w:sz w:val="20"/>
        </w:rPr>
        <w:t xml:space="preserve">(C) 200% if such Mandatory Prepayment Exit Date occurs on or after the fourth anniversary of the Closing Date; </w:t>
      </w:r>
    </w:p>
    <w:p>
      <w:pPr>
        <w:pStyle w:val="TextBody"/>
        <w:spacing w:before="120" w:after="0"/>
        <w:jc w:val="left"/>
        <w:rPr>
          <w:rFonts w:ascii="Times New Roman" w:hAnsi="Times New Roman"/>
          <w:sz w:val="20"/>
        </w:rPr>
      </w:pPr>
      <w:r>
        <w:rPr>
          <w:rFonts w:ascii="Times New Roman" w:hAnsi="Times New Roman"/>
          <w:sz w:val="20"/>
          <w:u w:val="single"/>
        </w:rPr>
        <w:t>less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(ii) the principal amount of the Term Loans being prepaid on such Mandatory Prepayment Exit Date and all cash interest payments in respect of such principal amount paid or to be paid on or prior to such Mandatory Prepayment Exit Date. </w:t>
      </w:r>
    </w:p>
    <w:p>
      <w:pPr>
        <w:pStyle w:val="TextBody"/>
        <w:spacing w:before="240" w:after="0"/>
        <w:jc w:val="left"/>
        <w:rPr>
          <w:rFonts w:ascii="Times New Roman" w:hAnsi="Times New Roman"/>
          <w:sz w:val="20"/>
        </w:rPr>
      </w:pPr>
      <w:r>
        <w:rPr>
          <w:rFonts w:ascii="Times New Roman" w:hAnsi="Times New Roman"/>
          <w:sz w:val="20"/>
        </w:rPr>
        <w:t xml:space="preserve">Each such fee shall be earned in full and payable on the applicable Mandatory Prepayment Exit Date. </w:t>
      </w:r>
    </w:p>
    <w:p>
      <w:pPr>
        <w:pStyle w:val="TextBody"/>
        <w:spacing w:before="240" w:after="0"/>
        <w:jc w:val="left"/>
        <w:rPr>
          <w:rFonts w:ascii="Times New Roman" w:hAnsi="Times New Roman"/>
          <w:sz w:val="20"/>
        </w:rPr>
      </w:pPr>
      <w:r>
        <w:rPr>
          <w:rFonts w:ascii="Times New Roman" w:hAnsi="Times New Roman"/>
          <w:sz w:val="20"/>
        </w:rPr>
        <w:t xml:space="preserve">As used in this </w:t>
      </w:r>
      <w:r>
        <w:rPr>
          <w:rFonts w:ascii="Times New Roman" w:hAnsi="Times New Roman"/>
          <w:sz w:val="20"/>
          <w:u w:val="single"/>
        </w:rPr>
        <w:t>Section 3.2(b)</w:t>
      </w:r>
      <w:r>
        <w:rPr>
          <w:rFonts w:ascii="Times New Roman" w:hAnsi="Times New Roman"/>
          <w:sz w:val="20"/>
        </w:rPr>
        <w:t>, the term </w:t>
      </w:r>
      <w:r>
        <w:rPr>
          <w:rFonts w:ascii="Times New Roman" w:hAnsi="Times New Roman"/>
          <w:sz w:val="20"/>
          <w:u w:val="single"/>
        </w:rPr>
        <w:t>Invested Capital</w:t>
      </w:r>
      <w:r>
        <w:rPr>
          <w:rFonts w:ascii="Times New Roman" w:hAnsi="Times New Roman"/>
          <w:sz w:val="20"/>
        </w:rPr>
        <w:t xml:space="preserve"> means, for any Mandatory Prepayment Exit Date, the principal amount of the Term Loans being prepaid on such Mandatory Prepayment Exit Date.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Final Exit Fee</w:t>
      </w:r>
      <w:r>
        <w:rPr>
          <w:rFonts w:ascii="Times New Roman" w:hAnsi="Times New Roman"/>
          <w:sz w:val="20"/>
        </w:rPr>
        <w:t xml:space="preserve">. On the Final Exit Date, the Borrower shall pay to the Administrative Agent, for the ratable account of each Lender, an exit fee equal to: </w:t>
      </w:r>
    </w:p>
    <w:p>
      <w:pPr>
        <w:pStyle w:val="TextBody"/>
        <w:spacing w:before="120" w:after="0"/>
        <w:jc w:val="left"/>
        <w:rPr>
          <w:rFonts w:ascii="Times New Roman" w:hAnsi="Times New Roman"/>
          <w:sz w:val="20"/>
        </w:rPr>
      </w:pPr>
      <w:r>
        <w:rPr>
          <w:rFonts w:ascii="Times New Roman" w:hAnsi="Times New Roman"/>
          <w:sz w:val="20"/>
        </w:rPr>
        <w:t xml:space="preserve">(i) the following percentage of Invested Capital (defined below) for such Final Exit Date: </w:t>
      </w:r>
    </w:p>
    <w:p>
      <w:pPr>
        <w:pStyle w:val="TextBody"/>
        <w:spacing w:before="120" w:after="0"/>
        <w:jc w:val="left"/>
        <w:rPr>
          <w:rFonts w:ascii="Times New Roman" w:hAnsi="Times New Roman"/>
          <w:sz w:val="20"/>
        </w:rPr>
      </w:pPr>
      <w:r>
        <w:rPr>
          <w:rFonts w:ascii="Times New Roman" w:hAnsi="Times New Roman"/>
          <w:sz w:val="20"/>
        </w:rPr>
        <w:t xml:space="preserve">(A) 180% if such Final Exit Date occurs prior to the third anniversary of the Closing Date; </w:t>
      </w:r>
    </w:p>
    <w:p>
      <w:pPr>
        <w:pStyle w:val="TextBody"/>
        <w:spacing w:before="120" w:after="0"/>
        <w:jc w:val="left"/>
        <w:rPr>
          <w:rFonts w:ascii="Times New Roman" w:hAnsi="Times New Roman"/>
          <w:sz w:val="20"/>
        </w:rPr>
      </w:pPr>
      <w:r>
        <w:rPr>
          <w:rFonts w:ascii="Times New Roman" w:hAnsi="Times New Roman"/>
          <w:sz w:val="20"/>
        </w:rPr>
        <w:t xml:space="preserve">(B) 185% if such Final Exit Date occurs on or after the third anniversary of the Closing Date but prior to the fourth anniversary of the Closing Date; and </w:t>
      </w:r>
    </w:p>
    <w:p>
      <w:pPr>
        <w:pStyle w:val="TextBody"/>
        <w:spacing w:before="120" w:after="0"/>
        <w:jc w:val="left"/>
        <w:rPr>
          <w:rFonts w:ascii="Times New Roman" w:hAnsi="Times New Roman"/>
          <w:sz w:val="20"/>
        </w:rPr>
      </w:pPr>
      <w:r>
        <w:rPr>
          <w:rFonts w:ascii="Times New Roman" w:hAnsi="Times New Roman"/>
          <w:sz w:val="20"/>
        </w:rPr>
        <w:t xml:space="preserve">(C) 200% if such Final Exit Date occurs on or after the fourth anniversary of the Closing Date; </w:t>
      </w:r>
    </w:p>
    <w:p>
      <w:pPr>
        <w:pStyle w:val="TextBody"/>
        <w:spacing w:before="120" w:after="0"/>
        <w:jc w:val="left"/>
        <w:rPr>
          <w:rFonts w:ascii="Times New Roman" w:hAnsi="Times New Roman"/>
          <w:sz w:val="20"/>
        </w:rPr>
      </w:pPr>
      <w:r>
        <w:rPr>
          <w:rFonts w:ascii="Times New Roman" w:hAnsi="Times New Roman"/>
          <w:sz w:val="20"/>
          <w:u w:val="single"/>
        </w:rPr>
        <w:t>less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(ii) the cumulative amount of all principal repayments and cash interest payments on the Term Loans paid or to be paid on or prior to such Final Exit Date (other than any such amounts that have been deducted in the calculation of any exit fee paid prior to such Final Exit Date under </w:t>
      </w:r>
      <w:r>
        <w:rPr>
          <w:rFonts w:ascii="Times New Roman" w:hAnsi="Times New Roman"/>
          <w:sz w:val="20"/>
          <w:u w:val="single"/>
        </w:rPr>
        <w:t>paragraph (b)</w:t>
      </w:r>
      <w:r>
        <w:rPr>
          <w:rFonts w:ascii="Times New Roman" w:hAnsi="Times New Roman"/>
          <w:sz w:val="20"/>
        </w:rPr>
        <w:t xml:space="preserve"> above pursuant to </w:t>
      </w:r>
      <w:r>
        <w:rPr>
          <w:rFonts w:ascii="Times New Roman" w:hAnsi="Times New Roman"/>
          <w:sz w:val="20"/>
          <w:u w:val="single"/>
        </w:rPr>
        <w:t>clause (ii)</w:t>
      </w:r>
      <w:r>
        <w:rPr>
          <w:rFonts w:ascii="Times New Roman" w:hAnsi="Times New Roman"/>
          <w:sz w:val="20"/>
        </w:rPr>
        <w:t xml:space="preserve"> thereof).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- 48 -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Such fee shall be earned in full and payable on the Final Exit Date. </w:t>
      </w:r>
    </w:p>
    <w:p>
      <w:pPr>
        <w:pStyle w:val="TextBody"/>
        <w:spacing w:before="240" w:after="0"/>
        <w:jc w:val="left"/>
        <w:rPr>
          <w:rFonts w:ascii="Times New Roman" w:hAnsi="Times New Roman"/>
          <w:sz w:val="20"/>
        </w:rPr>
      </w:pPr>
      <w:r>
        <w:rPr>
          <w:rFonts w:ascii="Times New Roman" w:hAnsi="Times New Roman"/>
          <w:sz w:val="20"/>
        </w:rPr>
        <w:t xml:space="preserve">As used in this </w:t>
      </w:r>
      <w:r>
        <w:rPr>
          <w:rFonts w:ascii="Times New Roman" w:hAnsi="Times New Roman"/>
          <w:sz w:val="20"/>
          <w:u w:val="single"/>
        </w:rPr>
        <w:t>Section 3.2(c)</w:t>
      </w:r>
      <w:r>
        <w:rPr>
          <w:rFonts w:ascii="Times New Roman" w:hAnsi="Times New Roman"/>
          <w:sz w:val="20"/>
        </w:rPr>
        <w:t>, the term </w:t>
      </w:r>
      <w:r>
        <w:rPr>
          <w:rFonts w:ascii="Times New Roman" w:hAnsi="Times New Roman"/>
          <w:sz w:val="20"/>
          <w:u w:val="single"/>
        </w:rPr>
        <w:t>Invested Capital</w:t>
      </w:r>
      <w:r>
        <w:rPr>
          <w:rFonts w:ascii="Times New Roman" w:hAnsi="Times New Roman"/>
          <w:sz w:val="20"/>
        </w:rPr>
        <w:t xml:space="preserve"> means, for the Final Exit Date, the sum of (x) $74,250,000 (less the aggregate principal amount of all mandatory prepayments made pursuant to </w:t>
      </w:r>
      <w:r>
        <w:rPr>
          <w:rFonts w:ascii="Times New Roman" w:hAnsi="Times New Roman"/>
          <w:sz w:val="20"/>
          <w:u w:val="single"/>
        </w:rPr>
        <w:t>Sections 2.7(b)(i)(A)</w:t>
      </w:r>
      <w:r>
        <w:rPr>
          <w:rFonts w:ascii="Times New Roman" w:hAnsi="Times New Roman"/>
          <w:sz w:val="20"/>
        </w:rPr>
        <w:t xml:space="preserve"> and </w:t>
      </w:r>
      <w:r>
        <w:rPr>
          <w:rFonts w:ascii="Times New Roman" w:hAnsi="Times New Roman"/>
          <w:sz w:val="20"/>
          <w:u w:val="single"/>
        </w:rPr>
        <w:t>(B)(2)</w:t>
      </w:r>
      <w:r>
        <w:rPr>
          <w:rFonts w:ascii="Times New Roman" w:hAnsi="Times New Roman"/>
          <w:sz w:val="20"/>
        </w:rPr>
        <w:t xml:space="preserve"> on or prior to such Final Exit Date to the extent an exit fee has been paid in respect thereof pursuant to </w:t>
      </w:r>
      <w:r>
        <w:rPr>
          <w:rFonts w:ascii="Times New Roman" w:hAnsi="Times New Roman"/>
          <w:sz w:val="20"/>
          <w:u w:val="single"/>
        </w:rPr>
        <w:t>paragraph (b)</w:t>
      </w:r>
      <w:r>
        <w:rPr>
          <w:rFonts w:ascii="Times New Roman" w:hAnsi="Times New Roman"/>
          <w:sz w:val="20"/>
        </w:rPr>
        <w:t xml:space="preserve"> above), </w:t>
      </w:r>
      <w:r>
        <w:rPr>
          <w:rFonts w:ascii="Times New Roman" w:hAnsi="Times New Roman"/>
          <w:sz w:val="20"/>
          <w:u w:val="single"/>
        </w:rPr>
        <w:t>plus</w:t>
      </w:r>
      <w:r>
        <w:rPr>
          <w:rFonts w:ascii="Times New Roman" w:hAnsi="Times New Roman"/>
          <w:sz w:val="20"/>
        </w:rPr>
        <w:t xml:space="preserve"> (y) the aggregate amount by which the Term Loans have been increased as a result of the payment of interest in kind in accordance with </w:t>
      </w:r>
      <w:r>
        <w:rPr>
          <w:rFonts w:ascii="Times New Roman" w:hAnsi="Times New Roman"/>
          <w:sz w:val="20"/>
          <w:u w:val="single"/>
        </w:rPr>
        <w:t>Section 3.1(d)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Administrative Agent Fees</w:t>
      </w:r>
      <w:r>
        <w:rPr>
          <w:rFonts w:ascii="Times New Roman" w:hAnsi="Times New Roman"/>
          <w:sz w:val="20"/>
        </w:rPr>
        <w:t xml:space="preserve">. The Borrower agrees to pay to the Administrative Agent the fees in the amounts and on the dates from time to time set forth in the Administrative Agent Fee Letter and as otherwise agreed to in writing by the Borrower and the Administrative Agent. </w:t>
      </w:r>
    </w:p>
    <w:p>
      <w:pPr>
        <w:pStyle w:val="TextBody"/>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Payment of Fees Generally</w:t>
      </w:r>
      <w:r>
        <w:rPr>
          <w:rFonts w:ascii="Times New Roman" w:hAnsi="Times New Roman"/>
          <w:sz w:val="20"/>
        </w:rPr>
        <w:t xml:space="preserve">. All fees and other amounts payable hereunder shall be paid on the dates due, in immediately available funds. Fees and other amounts paid shall not be refundable under any circumstances. </w:t>
      </w:r>
    </w:p>
    <w:p>
      <w:pPr>
        <w:pStyle w:val="TextBody"/>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Inability to Determine Rates</w:t>
      </w:r>
      <w:r>
        <w:rPr>
          <w:rFonts w:ascii="Times New Roman" w:hAnsi="Times New Roman"/>
          <w:sz w:val="20"/>
        </w:rPr>
        <w:t xml:space="preserve">. Subject to </w:t>
      </w:r>
      <w:r>
        <w:rPr>
          <w:rFonts w:ascii="Times New Roman" w:hAnsi="Times New Roman"/>
          <w:sz w:val="20"/>
          <w:u w:val="single"/>
        </w:rPr>
        <w:t>Section 3.8</w:t>
      </w:r>
      <w:r>
        <w:rPr>
          <w:rFonts w:ascii="Times New Roman" w:hAnsi="Times New Roman"/>
          <w:sz w:val="20"/>
        </w:rPr>
        <w:t xml:space="preserve">, if, on or prior to the first day of any Interest Period for any SOFR Loan: </w:t>
      </w:r>
    </w:p>
    <w:p>
      <w:pPr>
        <w:pStyle w:val="TextBody"/>
        <w:spacing w:before="120" w:after="0"/>
        <w:jc w:val="left"/>
        <w:rPr>
          <w:rFonts w:ascii="Times New Roman" w:hAnsi="Times New Roman"/>
          <w:sz w:val="20"/>
        </w:rPr>
      </w:pPr>
      <w:r>
        <w:rPr>
          <w:rFonts w:ascii="Times New Roman" w:hAnsi="Times New Roman"/>
          <w:sz w:val="20"/>
        </w:rPr>
        <w:t xml:space="preserve">(a) the Administrative Agent or the Required Lenders determines (which determination shall be conclusive and binding absent manifest error) that Term SOFR cannot be determined pursuant to the definition thereof, or </w:t>
      </w:r>
    </w:p>
    <w:p>
      <w:pPr>
        <w:pStyle w:val="TextBody"/>
        <w:spacing w:before="240" w:after="0"/>
        <w:jc w:val="left"/>
        <w:rPr>
          <w:rFonts w:ascii="Times New Roman" w:hAnsi="Times New Roman"/>
          <w:sz w:val="20"/>
        </w:rPr>
      </w:pPr>
      <w:r>
        <w:rPr>
          <w:rFonts w:ascii="Times New Roman" w:hAnsi="Times New Roman"/>
          <w:sz w:val="20"/>
        </w:rPr>
        <w:t xml:space="preserve">(b) the Required Lenders determine that for any reason in connection with any SOFR Loan or a continuation thereof that Term SOFR for any Interest Period with respect to a SOFR Loan does not adequately and fairly reflect the cost to such Lenders of funding such Loan, and the Required Lenders have provided notice of such determination to the Administrative Agent, </w:t>
      </w:r>
    </w:p>
    <w:p>
      <w:pPr>
        <w:pStyle w:val="TextBody"/>
        <w:spacing w:before="240" w:after="0"/>
        <w:jc w:val="left"/>
        <w:rPr>
          <w:rFonts w:ascii="Times New Roman" w:hAnsi="Times New Roman"/>
          <w:sz w:val="20"/>
        </w:rPr>
      </w:pPr>
      <w:r>
        <w:rPr>
          <w:rFonts w:ascii="Times New Roman" w:hAnsi="Times New Roman"/>
          <w:sz w:val="20"/>
        </w:rPr>
        <w:t xml:space="preserve">the Administrative Agent will promptly so notify the Borrower and each Lender. </w:t>
      </w:r>
    </w:p>
    <w:p>
      <w:pPr>
        <w:pStyle w:val="TextBody"/>
        <w:spacing w:before="240" w:after="0"/>
        <w:jc w:val="left"/>
        <w:rPr>
          <w:rFonts w:ascii="Times New Roman" w:hAnsi="Times New Roman"/>
          <w:sz w:val="20"/>
        </w:rPr>
      </w:pPr>
      <w:r>
        <w:rPr>
          <w:rFonts w:ascii="Times New Roman" w:hAnsi="Times New Roman"/>
          <w:sz w:val="20"/>
        </w:rPr>
        <w:t xml:space="preserve">Upon notice thereof by the Administrative Agent to the Borrower, any obligation of the Lenders to maintain SOFR Loans, and any right of the Borrower to continue SOFR Loans shall be suspended (to the extent of the affected Interest Periods) until the Administrative Agent (with respect to clause (b) above, at the direction of the Required Lenders) revokes such notice. Upon the Borrowers receipt of such notice, any outstanding affected SOFR Loans will be deemed to have been converted into ABR Loans at the end of the applicable Interest Period. Upon any such conversion, the Borrower shall also pay accrued interest on the amount so converted, together with any additional amounts required pursuant to </w:t>
      </w:r>
      <w:r>
        <w:rPr>
          <w:rFonts w:ascii="Times New Roman" w:hAnsi="Times New Roman"/>
          <w:sz w:val="20"/>
          <w:u w:val="single"/>
        </w:rPr>
        <w:t>Section 3.5</w:t>
      </w:r>
      <w:r>
        <w:rPr>
          <w:rFonts w:ascii="Times New Roman" w:hAnsi="Times New Roman"/>
          <w:sz w:val="20"/>
        </w:rPr>
        <w:t xml:space="preserve">. Subject to </w:t>
      </w:r>
      <w:r>
        <w:rPr>
          <w:rFonts w:ascii="Times New Roman" w:hAnsi="Times New Roman"/>
          <w:sz w:val="20"/>
          <w:u w:val="single"/>
        </w:rPr>
        <w:t>Section 3.8</w:t>
      </w:r>
      <w:r>
        <w:rPr>
          <w:rFonts w:ascii="Times New Roman" w:hAnsi="Times New Roman"/>
          <w:sz w:val="20"/>
        </w:rPr>
        <w:t xml:space="preserve">, if the Administrative Agent determines (which determination shall be conclusive and binding absent manifest error) that Term SOFR or the Federal Funds Rate cannot be determined pursuant to the definitions thereof on any given day, the interest rate on ABR Loans shall be determined by the Administrative Agent without reference to </w:t>
      </w:r>
      <w:r>
        <w:rPr>
          <w:rFonts w:ascii="Times New Roman" w:hAnsi="Times New Roman"/>
          <w:sz w:val="20"/>
          <w:u w:val="single"/>
        </w:rPr>
        <w:t>clause (b)</w:t>
      </w:r>
      <w:r>
        <w:rPr>
          <w:rFonts w:ascii="Times New Roman" w:hAnsi="Times New Roman"/>
          <w:sz w:val="20"/>
        </w:rPr>
        <w:t xml:space="preserve"> or </w:t>
      </w:r>
      <w:r>
        <w:rPr>
          <w:rFonts w:ascii="Times New Roman" w:hAnsi="Times New Roman"/>
          <w:sz w:val="20"/>
          <w:u w:val="single"/>
        </w:rPr>
        <w:t>clause (c)</w:t>
      </w:r>
      <w:r>
        <w:rPr>
          <w:rFonts w:ascii="Times New Roman" w:hAnsi="Times New Roman"/>
          <w:sz w:val="20"/>
        </w:rPr>
        <w:t xml:space="preserve">, as applicable, of the definition of Alternate Base Rate until the Administrative Agent revokes such determination.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- 49 -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Increased Costs; Illegality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Increased Costs Generally</w:t>
      </w:r>
      <w:r>
        <w:rPr>
          <w:rFonts w:ascii="Times New Roman" w:hAnsi="Times New Roman"/>
          <w:sz w:val="20"/>
        </w:rPr>
        <w:t xml:space="preserve">. If any Change in Law shall: </w:t>
      </w:r>
    </w:p>
    <w:p>
      <w:pPr>
        <w:pStyle w:val="TextBody"/>
        <w:spacing w:before="120" w:after="0"/>
        <w:jc w:val="left"/>
        <w:rPr>
          <w:rFonts w:ascii="Times New Roman" w:hAnsi="Times New Roman"/>
          <w:sz w:val="20"/>
        </w:rPr>
      </w:pPr>
      <w:r>
        <w:rPr>
          <w:rFonts w:ascii="Times New Roman" w:hAnsi="Times New Roman"/>
          <w:sz w:val="20"/>
        </w:rPr>
        <w:t xml:space="preserve">(i) impose, modify or deem applicable any reserve (including pursuant to regulations issued from time to time by the Federal Reserve Board for determining any maximum reserve requirement (including any emergency, special, supplemental or other marginal reserve requirement)), special deposit, liquidity, compulsory loan, insurance charge or similar requirement against assets of, deposits with or for the account of, or credit extended or participated in by, any Lender; </w:t>
      </w:r>
    </w:p>
    <w:p>
      <w:pPr>
        <w:pStyle w:val="TextBody"/>
        <w:spacing w:before="120" w:after="0"/>
        <w:jc w:val="left"/>
        <w:rPr>
          <w:rFonts w:ascii="Times New Roman" w:hAnsi="Times New Roman"/>
          <w:sz w:val="20"/>
        </w:rPr>
      </w:pPr>
      <w:r>
        <w:rPr>
          <w:rFonts w:ascii="Times New Roman" w:hAnsi="Times New Roman"/>
          <w:sz w:val="20"/>
        </w:rPr>
        <w:t xml:space="preserve">(ii) subject any Recipient to any Taxes (other than (A) Indemnified Taxes, (B) Taxes described in </w:t>
      </w:r>
      <w:r>
        <w:rPr>
          <w:rFonts w:ascii="Times New Roman" w:hAnsi="Times New Roman"/>
          <w:sz w:val="20"/>
          <w:u w:val="single"/>
        </w:rPr>
        <w:t>clauses (b)</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of the definition of Excluded Taxes and (C) Connection Income Taxes) on its loans, loan principal, letters of credit, commitments, or other obligations, or its deposits, reserves, other liabilities or capital attributable thereto; or </w:t>
      </w:r>
    </w:p>
    <w:p>
      <w:pPr>
        <w:pStyle w:val="TextBody"/>
        <w:spacing w:before="120" w:after="0"/>
        <w:jc w:val="left"/>
        <w:rPr>
          <w:rFonts w:ascii="Times New Roman" w:hAnsi="Times New Roman"/>
          <w:sz w:val="20"/>
        </w:rPr>
      </w:pPr>
      <w:r>
        <w:rPr>
          <w:rFonts w:ascii="Times New Roman" w:hAnsi="Times New Roman"/>
          <w:sz w:val="20"/>
        </w:rPr>
        <w:t xml:space="preserve">(iii) impose on any Lender any other condition, cost or expense (other than Taxes) affecting this Credit Agreement or Loans made by such Lender; </w:t>
      </w:r>
    </w:p>
    <w:p>
      <w:pPr>
        <w:pStyle w:val="TextBody"/>
        <w:spacing w:before="240" w:after="0"/>
        <w:jc w:val="left"/>
        <w:rPr>
          <w:rFonts w:ascii="Times New Roman" w:hAnsi="Times New Roman"/>
          <w:sz w:val="20"/>
        </w:rPr>
      </w:pPr>
      <w:r>
        <w:rPr>
          <w:rFonts w:ascii="Times New Roman" w:hAnsi="Times New Roman"/>
          <w:sz w:val="20"/>
        </w:rPr>
        <w:t xml:space="preserve">and the result of any of the foregoing shall be to increase the cost to such Lender or such other Recipient of making, converting to, continuing or maintaining any Loan or of maintaining its obligation to make any such Loan, or to increase the cost to such Lender, or to reduce the amount of any sum received or receivable by such Lender or other Recipient hereunder (whether of principal, interest or any other amount) then, upon request of such Lender or other Recipient, the Borrower will pay to such Lender or other Recipient, as the case may be, such additional amount or amounts as will compensate such Lender or other Recipient, for such additional costs incurred or reduction suffered.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Capital Requirements</w:t>
      </w:r>
      <w:r>
        <w:rPr>
          <w:rFonts w:ascii="Times New Roman" w:hAnsi="Times New Roman"/>
          <w:sz w:val="20"/>
        </w:rPr>
        <w:t xml:space="preserve">. If any Lender determines that any Change in Law affecting such Lender or any Applicable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Credit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the Borrower will pay to such Lender, such additional amount or amounts as will compensate such Lender or such Lenders holding company for any such reduction suffered.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Certificates for Reimbursement</w:t>
      </w:r>
      <w:r>
        <w:rPr>
          <w:rFonts w:ascii="Times New Roman" w:hAnsi="Times New Roman"/>
          <w:sz w:val="20"/>
        </w:rPr>
        <w:t xml:space="preserve">. A certificate of a Lender setting forth the amount or amounts necessary to compensate such Lender or its holding company, as the case may be, as specified in </w:t>
      </w:r>
      <w:r>
        <w:rPr>
          <w:rFonts w:ascii="Times New Roman" w:hAnsi="Times New Roman"/>
          <w:sz w:val="20"/>
          <w:u w:val="single"/>
        </w:rPr>
        <w:t>paragraph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this Section and delivered to the Borrower, shall be conclusive absent manifest error. The Borrower shall pay such Lender, the amount shown as due on any such certificate within 30 days after receipt thereof. </w:t>
      </w:r>
    </w:p>
    <w:p>
      <w:pPr>
        <w:pStyle w:val="TextBody"/>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Delay in Requests</w:t>
      </w:r>
      <w:r>
        <w:rPr>
          <w:rFonts w:ascii="Times New Roman" w:hAnsi="Times New Roman"/>
          <w:sz w:val="20"/>
        </w:rPr>
        <w:t xml:space="preserve">. Failure or delay on the part of any Lender to demand compensation pursuant to this Section shall not constitute a waiver of such Lenders right to demand such compensation; </w:t>
      </w:r>
      <w:r>
        <w:rPr>
          <w:rFonts w:ascii="Times New Roman" w:hAnsi="Times New Roman"/>
          <w:sz w:val="20"/>
          <w:u w:val="single"/>
        </w:rPr>
        <w:t>provided</w:t>
      </w:r>
      <w:r>
        <w:rPr>
          <w:rFonts w:ascii="Times New Roman" w:hAnsi="Times New Roman"/>
          <w:sz w:val="20"/>
        </w:rPr>
        <w:t xml:space="preserve"> that the Borrower shall not be required to compensate a Lender pursuant to this Section for any increased costs incurred or reductions suffered more than nine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 </w:t>
      </w:r>
    </w:p>
    <w:p>
      <w:pPr>
        <w:pStyle w:val="TextBody"/>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Illegality</w:t>
      </w:r>
      <w:r>
        <w:rPr>
          <w:rFonts w:ascii="Times New Roman" w:hAnsi="Times New Roman"/>
          <w:sz w:val="20"/>
        </w:rPr>
        <w:t xml:space="preserve">. If any Lender determines that any Law has made it unlawful, or that any Governmental Authority has asserted that it is unlawful, for any Lender or its Applicable Lending Office to make, maintain or fund Loans whose interest is determined by reference to SOFR or Term SOFR, or to determine or charge interest rates based upon SOFR or Term SOFR, then, upon notice thereof by such Lender to the Borrower (through the Administrative Agent), (a) any obligation of the Lenders to make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- 50 -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maintain SOFR Loans, and any right of the Borrower to continue SOFR Loans or to convert ABR Loans to SOFR Loans, shall be suspended, and (b) the interest rate on which ABR Loans shall, if necessary to avoid such illegality as determined by the Required Lenders and notified to the Administrative Agent, be determined by the Administrative Agent without reference to </w:t>
      </w:r>
      <w:r>
        <w:rPr>
          <w:rFonts w:ascii="Times New Roman" w:hAnsi="Times New Roman"/>
          <w:sz w:val="20"/>
          <w:u w:val="single"/>
        </w:rPr>
        <w:t>clause (c)</w:t>
      </w:r>
      <w:r>
        <w:rPr>
          <w:rFonts w:ascii="Times New Roman" w:hAnsi="Times New Roman"/>
          <w:sz w:val="20"/>
        </w:rPr>
        <w:t xml:space="preserve"> of the definition of Alternate Base Rate, in each case until such Lender notifies the Administrative Agent and the Borrower that the circumstances giving rise to such determination no longer exist. Upon receipt of such notice, (i) the Borrower shall, if necessary to avoid such illegality, upon demand from any Lender (with a copy to the Administrative Agent), prepay or, if applicable, convert all SOFR Loans to ABR Loans (the interest rate on which ABR Loans of such Lender shall, if necessary to avoid such illegality, be determined by the Administrative Agent without reference to </w:t>
      </w:r>
      <w:r>
        <w:rPr>
          <w:rFonts w:ascii="Times New Roman" w:hAnsi="Times New Roman"/>
          <w:sz w:val="20"/>
          <w:u w:val="single"/>
        </w:rPr>
        <w:t>clause (c)</w:t>
      </w:r>
      <w:r>
        <w:rPr>
          <w:rFonts w:ascii="Times New Roman" w:hAnsi="Times New Roman"/>
          <w:sz w:val="20"/>
        </w:rPr>
        <w:t xml:space="preserve"> of the definition of Alternate Base Rate), on the last day of the Interest Period therefor, if all affected Lenders may lawfully continue to maintain such Loans to such day, or immediately, if any Lender may not lawfully continue to maintain such Loans to such day, and (ii) if necessary to avoid such illegality as determined by the Required Lenders and notified to the Administrative Agent, the Administrative Agent shall during the period of such suspension compute the Alternate Base Rate without reference to clause (c) of the definition of Alternate Base Rate in each case until the Administrative Agent is advised in writing by each affected Lender that it is no longer illegal for such Lender to determine or charge interest rates based upon SOFR or Term SOFR. Upon any such prepayment or conversion, the Borrower shall also pay accrued interest on the amount so prepaid or converted, together with any additional amounts required pursuant to </w:t>
      </w:r>
      <w:r>
        <w:rPr>
          <w:rFonts w:ascii="Times New Roman" w:hAnsi="Times New Roman"/>
          <w:sz w:val="20"/>
          <w:u w:val="single"/>
        </w:rPr>
        <w:t>Section 3.5</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Compensation for Losses</w:t>
      </w:r>
      <w:r>
        <w:rPr>
          <w:rFonts w:ascii="Times New Roman" w:hAnsi="Times New Roman"/>
          <w:sz w:val="20"/>
        </w:rPr>
        <w:t xml:space="preserve">. In the event of (a) the payment or prepayment of any principal of any SOFR Loan other than on the last day of the Interest Period applicable thereto whether voluntary, mandatory, automatic, by reason of acceleration (including as a result of an Event of Default), (b) the conversion of any SOFR Loan other than on the last day of the Interest Period applicable thereto (including as a result of an Event of Default), (c) the failure to borrow, convert, continue or prepay any SOFR Loan on the date specified in any notice delivered pursuant hereto, or (d) the assignment of any SOFR Loan other than on the last day of the Interest Period applicable thereto or maturity date applicable thereto as a result of a request by the Borrower pursuant to </w:t>
      </w:r>
      <w:r>
        <w:rPr>
          <w:rFonts w:ascii="Times New Roman" w:hAnsi="Times New Roman"/>
          <w:sz w:val="20"/>
          <w:u w:val="single"/>
        </w:rPr>
        <w:t>Section 3.7(b)</w:t>
      </w:r>
      <w:r>
        <w:rPr>
          <w:rFonts w:ascii="Times New Roman" w:hAnsi="Times New Roman"/>
          <w:sz w:val="20"/>
        </w:rPr>
        <w:t xml:space="preserve">, then, in any such event, the Borrower shall compensate each Lender for any loss, cost and expense attributable to such event, including any loss, cost or expense arising from the liquidation or redeployment of funds.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30 days after receipt thereof. </w:t>
      </w:r>
    </w:p>
    <w:p>
      <w:pPr>
        <w:pStyle w:val="TextBody"/>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Taxes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Defined Terms</w:t>
      </w:r>
      <w:r>
        <w:rPr>
          <w:rFonts w:ascii="Times New Roman" w:hAnsi="Times New Roman"/>
          <w:sz w:val="20"/>
        </w:rPr>
        <w:t xml:space="preserve">. For purposes of this </w:t>
      </w:r>
      <w:r>
        <w:rPr>
          <w:rFonts w:ascii="Times New Roman" w:hAnsi="Times New Roman"/>
          <w:sz w:val="20"/>
          <w:u w:val="single"/>
        </w:rPr>
        <w:t>Section 3.6</w:t>
      </w:r>
      <w:r>
        <w:rPr>
          <w:rFonts w:ascii="Times New Roman" w:hAnsi="Times New Roman"/>
          <w:sz w:val="20"/>
        </w:rPr>
        <w:t xml:space="preserve">, the term Applicable Law includes FATCA.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Payments Free of Taxes</w:t>
      </w:r>
      <w:r>
        <w:rPr>
          <w:rFonts w:ascii="Times New Roman" w:hAnsi="Times New Roman"/>
          <w:sz w:val="20"/>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- 51 -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Payment of Other Taxes by the Loan Parties</w:t>
      </w:r>
      <w:r>
        <w:rPr>
          <w:rFonts w:ascii="Times New Roman" w:hAnsi="Times New Roman"/>
          <w:sz w:val="20"/>
        </w:rPr>
        <w:t xml:space="preserve">. Each of the Loan Parties shall timely pay to the relevant Governmental Authority in accordance with Applicable Law, or at the option of the Administrative Agent timely reimburse it for the payment of, any Other Taxes. </w:t>
      </w:r>
    </w:p>
    <w:p>
      <w:pPr>
        <w:pStyle w:val="TextBody"/>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Indemnification by the Loan Parties</w:t>
      </w:r>
      <w:r>
        <w:rPr>
          <w:rFonts w:ascii="Times New Roman" w:hAnsi="Times New Roman"/>
          <w:sz w:val="20"/>
        </w:rPr>
        <w:t xml:space="preserve">. Each of the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w:t>
      </w:r>
    </w:p>
    <w:p>
      <w:pPr>
        <w:pStyle w:val="TextBody"/>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Indemnification by the Lenders</w:t>
      </w:r>
      <w:r>
        <w:rPr>
          <w:rFonts w:ascii="Times New Roman" w:hAnsi="Times New Roman"/>
          <w:sz w:val="20"/>
        </w:rPr>
        <w:t xml:space="preserve">. Each Lender shall severally indemnify the Administrative Agent, within 10 days after demand therefor, for (i) any Indemnified Taxes attributable to such Lender (but only to the extent that no Loan Party has already indemnified the Administrative Agent for such Indemnified Taxes and without limiting the obligation of the Loan Parties to do so), (ii) any Taxes attributable to such Lenders failure to comply with the provisions of </w:t>
      </w:r>
      <w:r>
        <w:rPr>
          <w:rFonts w:ascii="Times New Roman" w:hAnsi="Times New Roman"/>
          <w:sz w:val="20"/>
          <w:u w:val="single"/>
        </w:rPr>
        <w:t>Section 10.4(d)</w:t>
      </w:r>
      <w:r>
        <w:rPr>
          <w:rFonts w:ascii="Times New Roman" w:hAnsi="Times New Roman"/>
          <w:sz w:val="20"/>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hAnsi="Times New Roman"/>
          <w:sz w:val="20"/>
          <w:u w:val="single"/>
        </w:rPr>
        <w:t>paragraph (e)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Evidence of Payments</w:t>
      </w:r>
      <w:r>
        <w:rPr>
          <w:rFonts w:ascii="Times New Roman" w:hAnsi="Times New Roman"/>
          <w:sz w:val="20"/>
        </w:rPr>
        <w:t xml:space="preserve">. As soon as practicable after any payment of Taxes by any Loan Party to a Governmental Authority pursuant to this </w:t>
      </w:r>
      <w:r>
        <w:rPr>
          <w:rFonts w:ascii="Times New Roman" w:hAnsi="Times New Roman"/>
          <w:sz w:val="20"/>
          <w:u w:val="single"/>
        </w:rPr>
        <w:t>Section 3.6</w:t>
      </w:r>
      <w:r>
        <w:rPr>
          <w:rFonts w:ascii="Times New Roman" w:hAnsi="Times New Roman"/>
          <w:sz w:val="20"/>
        </w:rPr>
        <w:t xml:space="preserve">, such Loan Party shall deliver to the Administrative Agent the original or a certified copy of a receipt issued by such Governmental Authority evidencing such payment, a copy of the return reporting such payment or other evidence of such payment reasonably satisfactory to the Required Lenders. </w:t>
      </w:r>
    </w:p>
    <w:p>
      <w:pPr>
        <w:pStyle w:val="TextBody"/>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Status of Lenders</w:t>
      </w:r>
      <w:r>
        <w:rPr>
          <w:rFonts w:ascii="Times New Roman" w:hAnsi="Times New Roman"/>
          <w:sz w:val="20"/>
        </w:rPr>
        <w:t xml:space="preserve">. (i)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hAnsi="Times New Roman"/>
          <w:sz w:val="20"/>
          <w:u w:val="single"/>
        </w:rPr>
        <w:t>Section 3.6(g)(ii)(A)</w:t>
      </w:r>
      <w:r>
        <w:rPr>
          <w:rFonts w:ascii="Times New Roman" w:hAnsi="Times New Roman"/>
          <w:sz w:val="20"/>
        </w:rPr>
        <w:t xml:space="preserve">, </w:t>
      </w:r>
      <w:r>
        <w:rPr>
          <w:rFonts w:ascii="Times New Roman" w:hAnsi="Times New Roman"/>
          <w:sz w:val="20"/>
          <w:u w:val="single"/>
        </w:rPr>
        <w:t>(ii)(B)</w:t>
      </w:r>
      <w:r>
        <w:rPr>
          <w:rFonts w:ascii="Times New Roman" w:hAnsi="Times New Roman"/>
          <w:sz w:val="20"/>
        </w:rPr>
        <w:t xml:space="preserve"> and </w:t>
      </w:r>
      <w:r>
        <w:rPr>
          <w:rFonts w:ascii="Times New Roman" w:hAnsi="Times New Roman"/>
          <w:sz w:val="20"/>
          <w:u w:val="single"/>
        </w:rPr>
        <w:t>(ii)(D)</w:t>
      </w:r>
      <w:r>
        <w:rPr>
          <w:rFonts w:ascii="Times New Roman" w:hAnsi="Times New Roman"/>
          <w:sz w:val="20"/>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 </w:t>
      </w:r>
    </w:p>
    <w:p>
      <w:pPr>
        <w:pStyle w:val="TextBody"/>
        <w:spacing w:before="120" w:after="0"/>
        <w:jc w:val="left"/>
        <w:rPr>
          <w:rFonts w:ascii="Times New Roman" w:hAnsi="Times New Roman"/>
          <w:sz w:val="20"/>
        </w:rPr>
      </w:pPr>
      <w:r>
        <w:rPr>
          <w:rFonts w:ascii="Times New Roman" w:hAnsi="Times New Roman"/>
          <w:sz w:val="20"/>
        </w:rPr>
        <w:t xml:space="preserve">(ii) Without limiting the generality of the foregoing,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- 52 -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 any Lender that is a U.S. Person shall deliver to the Borrower and the Administrative Agent on or about the date on which such Lender becomes a Lender under this Credit Agreement (and from time to time thereafter upon the reasonable request of the Borrower or the Administrative Agent), executed copies of IRS Form W-9 certifying that such Lender is exempt from U.S. federal backup withholding tax; </w:t>
      </w:r>
    </w:p>
    <w:p>
      <w:pPr>
        <w:pStyle w:val="TextBody"/>
        <w:spacing w:before="120" w:after="0"/>
        <w:jc w:val="left"/>
        <w:rPr>
          <w:rFonts w:ascii="Times New Roman" w:hAnsi="Times New Roman"/>
          <w:sz w:val="20"/>
        </w:rPr>
      </w:pPr>
      <w:r>
        <w:rPr>
          <w:rFonts w:ascii="Times New Roman" w:hAnsi="Times New Roman"/>
          <w:sz w:val="20"/>
        </w:rPr>
        <w:t xml:space="preserve">(B) any Foreign Lender shall, to the extent it is legally entitled to do so, deliver to the Borrower and the Administrative Agent (in such number of copies as shall be requested by the recipient) on or about the date on which such Foreign Lender becomes a Lender under this Credit Agreement (and from time to time thereafter upon the reasonable request of the Borrower or the Administrative Agent), whichever of the following is applicable: </w:t>
      </w:r>
    </w:p>
    <w:p>
      <w:pPr>
        <w:pStyle w:val="TextBody"/>
        <w:spacing w:before="120" w:after="0"/>
        <w:jc w:val="left"/>
        <w:rPr>
          <w:rFonts w:ascii="Times New Roman" w:hAnsi="Times New Roman"/>
          <w:sz w:val="20"/>
        </w:rPr>
      </w:pPr>
      <w:r>
        <w:rPr>
          <w:rFonts w:ascii="Times New Roman" w:hAnsi="Times New Roman"/>
          <w:sz w:val="20"/>
        </w:rPr>
        <w:t xml:space="preserve">(1) in the case of a Foreign Lender claiming the benefits of an income tax treaty to which the United States is a party (x) with respect to payments of interest under any Loan Document, executed copies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 </w:t>
      </w:r>
    </w:p>
    <w:p>
      <w:pPr>
        <w:pStyle w:val="TextBody"/>
        <w:spacing w:before="120" w:after="0"/>
        <w:jc w:val="left"/>
        <w:rPr>
          <w:rFonts w:ascii="Times New Roman" w:hAnsi="Times New Roman"/>
          <w:sz w:val="20"/>
        </w:rPr>
      </w:pPr>
      <w:r>
        <w:rPr>
          <w:rFonts w:ascii="Times New Roman" w:hAnsi="Times New Roman"/>
          <w:sz w:val="20"/>
        </w:rPr>
        <w:t xml:space="preserve">(2) executed copies of IRS Form W-8ECI; </w:t>
      </w:r>
    </w:p>
    <w:p>
      <w:pPr>
        <w:pStyle w:val="TextBody"/>
        <w:spacing w:before="120" w:after="0"/>
        <w:jc w:val="left"/>
        <w:rPr>
          <w:rFonts w:ascii="Times New Roman" w:hAnsi="Times New Roman"/>
          <w:sz w:val="20"/>
        </w:rPr>
      </w:pPr>
      <w:r>
        <w:rPr>
          <w:rFonts w:ascii="Times New Roman" w:hAnsi="Times New Roman"/>
          <w:sz w:val="20"/>
        </w:rPr>
        <w:t xml:space="preserve">(3) in the case of a Foreign Lender claiming the benefits of the exemption for portfolio interest under Section 881(c) of the Code, (x) a certificate substantially in the form of </w:t>
      </w:r>
      <w:r>
        <w:rPr>
          <w:rFonts w:ascii="Times New Roman" w:hAnsi="Times New Roman"/>
          <w:sz w:val="20"/>
          <w:u w:val="single"/>
        </w:rPr>
        <w:t>Exhibit F-1</w:t>
      </w:r>
      <w:r>
        <w:rPr>
          <w:rFonts w:ascii="Times New Roman" w:hAnsi="Times New Roman"/>
          <w:sz w:val="20"/>
        </w:rPr>
        <w:t xml:space="preserve"> to the effect that such Foreign Lender is not a bank within the meaning of Section 881(c)(3)(A) of the Code, a 10 percent shareholder of the Borrower within the meaning of Section 881(c)(3)(B) of the Code, or a controlled foreign corporation related to any Loan Party described in Section 881(c)(3)(C) of the Code (a </w:t>
      </w:r>
      <w:r>
        <w:rPr>
          <w:rFonts w:ascii="Times New Roman" w:hAnsi="Times New Roman"/>
          <w:sz w:val="20"/>
          <w:u w:val="single"/>
        </w:rPr>
        <w:t>U.S. Tax Compliance Certificate</w:t>
      </w:r>
      <w:r>
        <w:rPr>
          <w:rFonts w:ascii="Times New Roman" w:hAnsi="Times New Roman"/>
          <w:sz w:val="20"/>
        </w:rPr>
        <w:t xml:space="preserve">) and (y) executed copies of IRS Form W-8BEN or IRS Form W-8BEN-E, as applicable; or </w:t>
      </w:r>
    </w:p>
    <w:p>
      <w:pPr>
        <w:pStyle w:val="TextBody"/>
        <w:spacing w:before="120" w:after="0"/>
        <w:jc w:val="left"/>
        <w:rPr>
          <w:rFonts w:ascii="Times New Roman" w:hAnsi="Times New Roman"/>
          <w:sz w:val="20"/>
        </w:rPr>
      </w:pPr>
      <w:r>
        <w:rPr>
          <w:rFonts w:ascii="Times New Roman" w:hAnsi="Times New Roman"/>
          <w:sz w:val="20"/>
        </w:rPr>
        <w:t xml:space="preserve">(4) to the extent a Foreign Lender is not the beneficial owner, executed copies of IRS Form W-8IMY, accompanied by IRS Form W-8ECI, IRS Form W-8BEN or IRS Form W-8BEN-E, as applicable, a U.S. Tax Compliance Certificate substantially in the form of </w:t>
      </w:r>
      <w:r>
        <w:rPr>
          <w:rFonts w:ascii="Times New Roman" w:hAnsi="Times New Roman"/>
          <w:sz w:val="20"/>
          <w:u w:val="single"/>
        </w:rPr>
        <w:t>Exhibit F-2</w:t>
      </w:r>
      <w:r>
        <w:rPr>
          <w:rFonts w:ascii="Times New Roman" w:hAnsi="Times New Roman"/>
          <w:sz w:val="20"/>
        </w:rPr>
        <w:t xml:space="preserve"> or </w:t>
      </w:r>
      <w:r>
        <w:rPr>
          <w:rFonts w:ascii="Times New Roman" w:hAnsi="Times New Roman"/>
          <w:sz w:val="20"/>
          <w:u w:val="single"/>
        </w:rPr>
        <w:t>Exhibit F-3</w:t>
      </w:r>
      <w:r>
        <w:rPr>
          <w:rFonts w:ascii="Times New Roman" w:hAnsi="Times New Roman"/>
          <w:sz w:val="20"/>
        </w:rPr>
        <w:t xml:space="preserve">, IRS Form W-9, and/or other certification documents from each beneficial owner, as applicable; </w:t>
      </w:r>
      <w:r>
        <w:rPr>
          <w:rFonts w:ascii="Times New Roman" w:hAnsi="Times New Roman"/>
          <w:sz w:val="20"/>
          <w:u w:val="single"/>
        </w:rPr>
        <w:t>provided</w:t>
      </w:r>
      <w:r>
        <w:rPr>
          <w:rFonts w:ascii="Times New Roman" w:hAnsi="Times New Roman"/>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hAnsi="Times New Roman"/>
          <w:sz w:val="20"/>
          <w:u w:val="single"/>
        </w:rPr>
        <w:t>Exhibit F-4</w:t>
      </w:r>
      <w:r>
        <w:rPr>
          <w:rFonts w:ascii="Times New Roman" w:hAnsi="Times New Roman"/>
          <w:sz w:val="20"/>
        </w:rPr>
        <w:t xml:space="preserve"> on behalf of each such direct and indirect partner; </w:t>
      </w:r>
    </w:p>
    <w:p>
      <w:pPr>
        <w:pStyle w:val="TextBody"/>
        <w:spacing w:before="120" w:after="0"/>
        <w:jc w:val="left"/>
        <w:rPr>
          <w:rFonts w:ascii="Times New Roman" w:hAnsi="Times New Roman"/>
          <w:sz w:val="20"/>
        </w:rPr>
      </w:pPr>
      <w:r>
        <w:rPr>
          <w:rFonts w:ascii="Times New Roman" w:hAnsi="Times New Roman"/>
          <w:sz w:val="20"/>
        </w:rPr>
        <w:t xml:space="preserve">(C) any Foreign Lender shall, to the extent it is legally entitled to do so, deliver to the Borrower and the Administrative Agent (in such number of copies as shall be requested by the recipient) on or about the date on which such Foreign Lender becomes a Lender under this Credit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- 53 -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w:t>
      </w:r>
      <w:r>
        <w:rPr>
          <w:rFonts w:ascii="Times New Roman" w:hAnsi="Times New Roman"/>
          <w:sz w:val="20"/>
          <w:u w:val="single"/>
        </w:rPr>
        <w:t>clause (D)</w:t>
      </w:r>
      <w:r>
        <w:rPr>
          <w:rFonts w:ascii="Times New Roman" w:hAnsi="Times New Roman"/>
          <w:sz w:val="20"/>
        </w:rPr>
        <w:t xml:space="preserve">, FATCA shall include any amendments made to FATCA after the date of this Credit Agreement. </w:t>
      </w:r>
    </w:p>
    <w:p>
      <w:pPr>
        <w:pStyle w:val="TextBody"/>
        <w:spacing w:before="240" w:after="0"/>
        <w:jc w:val="left"/>
        <w:rPr>
          <w:rFonts w:ascii="Times New Roman" w:hAnsi="Times New Roman"/>
          <w:sz w:val="20"/>
        </w:rPr>
      </w:pPr>
      <w:r>
        <w:rPr>
          <w:rFonts w:ascii="Times New Roman" w:hAnsi="Times New Roman"/>
          <w:sz w:val="20"/>
        </w:rPr>
        <w:t xml:space="preserve">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w:t>
      </w:r>
    </w:p>
    <w:p>
      <w:pPr>
        <w:pStyle w:val="TextBody"/>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Treatment of Certain Refunds</w:t>
      </w:r>
      <w:r>
        <w:rPr>
          <w:rFonts w:ascii="Times New Roman" w:hAnsi="Times New Roman"/>
          <w:sz w:val="20"/>
        </w:rPr>
        <w:t xml:space="preserve">. If any party determines, in its sole discretion exercised in good faith, that it has received a refund of any Taxes as to which it has been indemnified pursuant to this </w:t>
      </w:r>
      <w:r>
        <w:rPr>
          <w:rFonts w:ascii="Times New Roman" w:hAnsi="Times New Roman"/>
          <w:sz w:val="20"/>
          <w:u w:val="single"/>
        </w:rPr>
        <w:t>Section 3.6</w:t>
      </w:r>
      <w:r>
        <w:rPr>
          <w:rFonts w:ascii="Times New Roman" w:hAnsi="Times New Roman"/>
          <w:sz w:val="20"/>
        </w:rPr>
        <w:t xml:space="preserve"> (including by the payment of additional amounts pursuant to this </w:t>
      </w:r>
      <w:r>
        <w:rPr>
          <w:rFonts w:ascii="Times New Roman" w:hAnsi="Times New Roman"/>
          <w:sz w:val="20"/>
          <w:u w:val="single"/>
        </w:rPr>
        <w:t>Section 3.6</w:t>
      </w:r>
      <w:r>
        <w:rPr>
          <w:rFonts w:ascii="Times New Roman" w:hAnsi="Times New Roman"/>
          <w:sz w:val="20"/>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hAnsi="Times New Roman"/>
          <w:sz w:val="20"/>
          <w:u w:val="single"/>
        </w:rPr>
        <w:t>paragraph (h)</w:t>
      </w:r>
      <w:r>
        <w:rPr>
          <w:rFonts w:ascii="Times New Roman" w:hAnsi="Times New Roman"/>
          <w:sz w:val="20"/>
        </w:rPr>
        <w:t xml:space="preserve"> (</w:t>
      </w:r>
      <w:r>
        <w:rPr>
          <w:rFonts w:ascii="Times New Roman" w:hAnsi="Times New Roman"/>
          <w:sz w:val="20"/>
          <w:u w:val="single"/>
        </w:rPr>
        <w:t>plus</w:t>
      </w:r>
      <w:r>
        <w:rPr>
          <w:rFonts w:ascii="Times New Roman" w:hAnsi="Times New Roman"/>
          <w:sz w:val="20"/>
        </w:rPr>
        <w:t xml:space="preserve">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hAnsi="Times New Roman"/>
          <w:sz w:val="20"/>
          <w:u w:val="single"/>
        </w:rPr>
        <w:t>paragraph (h)</w:t>
      </w:r>
      <w:r>
        <w:rPr>
          <w:rFonts w:ascii="Times New Roman" w:hAnsi="Times New Roman"/>
          <w:sz w:val="20"/>
        </w:rPr>
        <w:t xml:space="preserve">, in no event will the indemnified party be required to pay any amount to an indemnifying party pursuant to this </w:t>
      </w:r>
      <w:r>
        <w:rPr>
          <w:rFonts w:ascii="Times New Roman" w:hAnsi="Times New Roman"/>
          <w:sz w:val="20"/>
          <w:u w:val="single"/>
        </w:rPr>
        <w:t>paragraph (h)</w:t>
      </w:r>
      <w:r>
        <w:rPr>
          <w:rFonts w:ascii="Times New Roman" w:hAnsi="Times New Roman"/>
          <w:sz w:val="20"/>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w:t>
      </w:r>
    </w:p>
    <w:p>
      <w:pPr>
        <w:pStyle w:val="TextBody"/>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Survival</w:t>
      </w:r>
      <w:r>
        <w:rPr>
          <w:rFonts w:ascii="Times New Roman" w:hAnsi="Times New Roman"/>
          <w:sz w:val="20"/>
        </w:rPr>
        <w:t xml:space="preserve">. Each partys obligations under this </w:t>
      </w:r>
      <w:r>
        <w:rPr>
          <w:rFonts w:ascii="Times New Roman" w:hAnsi="Times New Roman"/>
          <w:sz w:val="20"/>
          <w:u w:val="single"/>
        </w:rPr>
        <w:t>Section 3.6</w:t>
      </w:r>
      <w:r>
        <w:rPr>
          <w:rFonts w:ascii="Times New Roman" w:hAnsi="Times New Roman"/>
          <w:sz w:val="20"/>
        </w:rPr>
        <w:t xml:space="preserve"> shall survive the resignation or replacement of the Administrative Agent or any assignment of rights by, or the replacement of, a Lender and the Termination Date. </w:t>
      </w:r>
    </w:p>
    <w:p>
      <w:pPr>
        <w:pStyle w:val="TextBody"/>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Confidentiality</w:t>
      </w:r>
      <w:r>
        <w:rPr>
          <w:rFonts w:ascii="Times New Roman" w:hAnsi="Times New Roman"/>
          <w:sz w:val="20"/>
        </w:rPr>
        <w:t xml:space="preserve">. Nothing contained in this Section shall require any Credit Party or any other indemnified party to make available any of its Tax returns (or any other information that it deems to be confidential or proprietary) to the indemnifying party or any other Person. </w:t>
      </w:r>
    </w:p>
    <w:p>
      <w:pPr>
        <w:pStyle w:val="TextBody"/>
        <w:spacing w:before="240" w:after="0"/>
        <w:jc w:val="left"/>
        <w:rPr>
          <w:rFonts w:ascii="Times New Roman" w:hAnsi="Times New Roman"/>
          <w:sz w:val="20"/>
        </w:rPr>
      </w:pPr>
      <w:r>
        <w:rPr>
          <w:rFonts w:ascii="Times New Roman" w:hAnsi="Times New Roman"/>
          <w:sz w:val="20"/>
        </w:rPr>
        <w:t xml:space="preserve">Section 3.7 </w:t>
      </w:r>
      <w:r>
        <w:rPr>
          <w:rFonts w:ascii="Times New Roman" w:hAnsi="Times New Roman"/>
          <w:sz w:val="20"/>
          <w:u w:val="single"/>
        </w:rPr>
        <w:t>Mitigation Obligations</w:t>
      </w:r>
      <w:r>
        <w:rPr>
          <w:rFonts w:ascii="Times New Roman" w:hAnsi="Times New Roman"/>
          <w:sz w:val="20"/>
        </w:rPr>
        <w:t xml:space="preserve">. If any Lender requests compensation under </w:t>
      </w:r>
      <w:r>
        <w:rPr>
          <w:rFonts w:ascii="Times New Roman" w:hAnsi="Times New Roman"/>
          <w:sz w:val="20"/>
          <w:u w:val="single"/>
        </w:rPr>
        <w:t>Section 3.4</w:t>
      </w:r>
      <w:r>
        <w:rPr>
          <w:rFonts w:ascii="Times New Roman" w:hAnsi="Times New Roman"/>
          <w:sz w:val="20"/>
        </w:rPr>
        <w:t xml:space="preserve">, or requires the Borrower to pay any Indemnified Taxes or additional amounts to any Lender or any Governmental Authority for the account of any Lender pursuant to </w:t>
      </w:r>
      <w:r>
        <w:rPr>
          <w:rFonts w:ascii="Times New Roman" w:hAnsi="Times New Roman"/>
          <w:sz w:val="20"/>
          <w:u w:val="single"/>
        </w:rPr>
        <w:t>Section 3.6</w:t>
      </w:r>
      <w:r>
        <w:rPr>
          <w:rFonts w:ascii="Times New Roman" w:hAnsi="Times New Roman"/>
          <w:sz w:val="20"/>
        </w:rPr>
        <w:t xml:space="preserve">, then such Lender shall (at the request of the Borrower) use reasonable efforts to designate a different lending office for funding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- 54 -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hAnsi="Times New Roman"/>
          <w:sz w:val="20"/>
          <w:u w:val="single"/>
        </w:rPr>
        <w:t>Section 3.4</w:t>
      </w:r>
      <w:r>
        <w:rPr>
          <w:rFonts w:ascii="Times New Roman" w:hAnsi="Times New Roman"/>
          <w:sz w:val="20"/>
        </w:rPr>
        <w:t xml:space="preserve"> or </w:t>
      </w:r>
      <w:r>
        <w:rPr>
          <w:rFonts w:ascii="Times New Roman" w:hAnsi="Times New Roman"/>
          <w:sz w:val="20"/>
          <w:u w:val="single"/>
        </w:rPr>
        <w:t>3.6</w:t>
      </w:r>
      <w:r>
        <w:rPr>
          <w:rFonts w:ascii="Times New Roman" w:hAnsi="Times New Roman"/>
          <w:sz w:val="20"/>
        </w:rPr>
        <w:t xml:space="preserve">,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 </w:t>
      </w:r>
    </w:p>
    <w:p>
      <w:pPr>
        <w:pStyle w:val="TextBody"/>
        <w:spacing w:before="240" w:after="0"/>
        <w:jc w:val="left"/>
        <w:rPr>
          <w:rFonts w:ascii="Times New Roman" w:hAnsi="Times New Roman"/>
          <w:sz w:val="20"/>
        </w:rPr>
      </w:pPr>
      <w:r>
        <w:rPr>
          <w:rFonts w:ascii="Times New Roman" w:hAnsi="Times New Roman"/>
          <w:sz w:val="20"/>
        </w:rPr>
        <w:t xml:space="preserve">Section 3.8 </w:t>
      </w:r>
      <w:r>
        <w:rPr>
          <w:rFonts w:ascii="Times New Roman" w:hAnsi="Times New Roman"/>
          <w:sz w:val="20"/>
          <w:u w:val="single"/>
        </w:rPr>
        <w:t>Benchmark Replacement Setting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Benchmark Replacement</w:t>
      </w:r>
      <w:r>
        <w:rPr>
          <w:rFonts w:ascii="Times New Roman" w:hAnsi="Times New Roman"/>
          <w:sz w:val="20"/>
        </w:rPr>
        <w:t xml:space="preserve">. Notwithstanding anything to the contrary herein or in any other Loan Document, if a Benchmark Transition Event and its related Benchmark Replacement Date have occurred prior to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(subject to clause (y) below) of any other party to, this Credit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Credit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monthly basis.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Benchmark Replacement Conforming Changes</w:t>
      </w:r>
      <w:r>
        <w:rPr>
          <w:rFonts w:ascii="Times New Roman" w:hAnsi="Times New Roman"/>
          <w:sz w:val="20"/>
        </w:rPr>
        <w:t xml:space="preserve">.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Credit Agreement or any other Loan Document; </w:t>
      </w:r>
      <w:r>
        <w:rPr>
          <w:rFonts w:ascii="Times New Roman" w:hAnsi="Times New Roman"/>
          <w:sz w:val="20"/>
          <w:u w:val="single"/>
        </w:rPr>
        <w:t>provided</w:t>
      </w:r>
      <w:r>
        <w:rPr>
          <w:rFonts w:ascii="Times New Roman" w:hAnsi="Times New Roman"/>
          <w:sz w:val="20"/>
        </w:rPr>
        <w:t xml:space="preserve"> that the Administrative Agent shall not be bound to follow or agree to any amendment or supplement to this Agreement (including any Benchmark Replacement Conforming Changes) that would increase or materially change or affect the duties, obligations or liabilities of the Administrative Agent (including the imposition or expansion of discretionary authority), or reduce, eliminate, limit or otherwise change any right, privilege or protection of the Administrative Agent, or would otherwise materially and adversely affect the Administrative Agent, in each case in its reasonable judgment, without the Administrative Agents express written consent.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Notices; Standards for Decisions and Determinations</w:t>
      </w:r>
      <w:r>
        <w:rPr>
          <w:rFonts w:ascii="Times New Roman" w:hAnsi="Times New Roman"/>
          <w:sz w:val="20"/>
        </w:rPr>
        <w:t xml:space="preserve">. The Required Lenders will promptly notify the Borrower, the Administrative Agent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Times New Roman" w:hAnsi="Times New Roman"/>
          <w:sz w:val="20"/>
          <w:u w:val="single"/>
        </w:rPr>
        <w:t>Section 3.8(d)</w:t>
      </w:r>
      <w:r>
        <w:rPr>
          <w:rFonts w:ascii="Times New Roman" w:hAnsi="Times New Roman"/>
          <w:sz w:val="20"/>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hAnsi="Times New Roman"/>
          <w:sz w:val="20"/>
          <w:u w:val="single"/>
        </w:rPr>
        <w:t>Section 3.8</w:t>
      </w:r>
      <w:r>
        <w:rPr>
          <w:rFonts w:ascii="Times New Roman" w:hAnsi="Times New Roman"/>
          <w:sz w:val="20"/>
        </w:rPr>
        <w:t xml:space="preserve">, including any determination with respect to a tenor, rate or adjustment or of the occurrence or non-occurrence of an event, circumstance or date and any decision to take or refrain from taking any action or selection, will be conclusive and binding absent manifest error and may be made in its or their sole discretion and without consent from any other party to this Credit Agreement or any other Loan Document, except, in each case, as expressly required pursuant to this </w:t>
      </w:r>
      <w:r>
        <w:rPr>
          <w:rFonts w:ascii="Times New Roman" w:hAnsi="Times New Roman"/>
          <w:sz w:val="20"/>
          <w:u w:val="single"/>
        </w:rPr>
        <w:t>Section 3.8</w:t>
      </w:r>
      <w:r>
        <w:rPr>
          <w:rFonts w:ascii="Times New Roman" w:hAnsi="Times New Roman"/>
          <w:sz w:val="20"/>
        </w:rPr>
        <w:t xml:space="preserve">. In the event that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- 55 -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any applicable Benchmark is not available on any determination date, then unless the Administrative Agent is notified of a replacement Benchmark in accordance with the provisions of this Agreement within two (2) Business Days, the Administrative Agent shall use the interest rate in effect for the immediately prior Interest Period. </w:t>
      </w:r>
    </w:p>
    <w:p>
      <w:pPr>
        <w:pStyle w:val="TextBody"/>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Unavailability of Tenor of Benchmark</w:t>
      </w:r>
      <w:r>
        <w:rPr>
          <w:rFonts w:ascii="Times New Roman" w:hAnsi="Times New Roman"/>
          <w:sz w:val="20"/>
        </w:rPr>
        <w:t xml:space="preserve">.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Required Lenders (and is accessible to the Administrative Agent) in their reasonable discretion or (B) the administrator of such Benchmark or the regulatory supervisor for the administrator of such Benchmark has provided a public statement or publication of information announcing that any tenor for such Benchmark is not or will not be representative, then the Required Lenders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that is accessible by the Administrative Agent or (B) is not, or is no longer, subject to an announcement that it is not or will not be representative for a Benchmark (including a Benchmark Replacement), then the Required Lenders may modify the definition of Interest Period (or any similar or analogous definition) for all Benchmark settings at or after such time to reinstate such previously removed tenor, and the Required Lenders shall notify the Administrative Agent of any such modification. In the event that the applicable Benchmark is not available on any determination date, then unless the Administrative Agent is notified of a replacement Benchmark in accordance with the provisions of this Agreement within two (2) Business Days, the Administrative Agent shall use the interest rate in effect for the immediately prior Interest Period. </w:t>
      </w:r>
    </w:p>
    <w:p>
      <w:pPr>
        <w:pStyle w:val="TextBody"/>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Benchmark Unavailability Period</w:t>
      </w:r>
      <w:r>
        <w:rPr>
          <w:rFonts w:ascii="Times New Roman" w:hAnsi="Times New Roman"/>
          <w:sz w:val="20"/>
        </w:rPr>
        <w:t xml:space="preserve">. Upon the Borrowers receipt of notice of the commencement of a Benchmark Unavailability Period, any outstanding affected SOFR Loans will be deemed to have been converted into ABR Loans immediately. During a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 </w:t>
      </w:r>
    </w:p>
    <w:p>
      <w:pPr>
        <w:pStyle w:val="TextBody"/>
        <w:spacing w:before="480" w:after="0"/>
        <w:jc w:val="center"/>
        <w:rPr>
          <w:rFonts w:ascii="Times New Roman" w:hAnsi="Times New Roman"/>
          <w:sz w:val="20"/>
        </w:rPr>
      </w:pPr>
      <w:r>
        <w:rPr>
          <w:rFonts w:ascii="Times New Roman" w:hAnsi="Times New Roman"/>
          <w:sz w:val="20"/>
        </w:rPr>
        <w:t xml:space="preserve">ARTICLE 4 </w:t>
      </w:r>
    </w:p>
    <w:p>
      <w:pPr>
        <w:pStyle w:val="TextBody"/>
        <w:spacing w:before="120" w:after="0"/>
        <w:jc w:val="center"/>
        <w:rPr>
          <w:rFonts w:ascii="Times New Roman" w:hAnsi="Times New Roman"/>
          <w:sz w:val="20"/>
        </w:rPr>
      </w:pPr>
      <w:r>
        <w:rPr>
          <w:rFonts w:ascii="Times New Roman" w:hAnsi="Times New Roman"/>
          <w:sz w:val="20"/>
        </w:rPr>
        <w:t xml:space="preserve">CONDITIONS PRECEDENT TO CREDIT EXTENSIONS </w:t>
      </w:r>
    </w:p>
    <w:p>
      <w:pPr>
        <w:pStyle w:val="TextBody"/>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Conditions to Initial Credit Extensions</w:t>
      </w:r>
      <w:r>
        <w:rPr>
          <w:rFonts w:ascii="Times New Roman" w:hAnsi="Times New Roman"/>
          <w:sz w:val="20"/>
        </w:rPr>
        <w:t xml:space="preserve">. The effectiveness of this Credit Agreement on the Closing Date and the obligation of each Lender to make its Term Loan on the Closing Date is subject to satisfaction of the following conditions precedent: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Credit Agreement</w:t>
      </w:r>
      <w:r>
        <w:rPr>
          <w:rFonts w:ascii="Times New Roman" w:hAnsi="Times New Roman"/>
          <w:sz w:val="20"/>
        </w:rPr>
        <w:t xml:space="preserve">. The Administrative Agent (or its counsel) shall have received a counterpart of this Credit Agreement (which may include facsimile transmission or electronic mail transmission of a signed signature page of this Credit Agreement) that, when taken together, bear the signatures of Holdings, the Borrower and each Lender.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Notes</w:t>
      </w:r>
      <w:r>
        <w:rPr>
          <w:rFonts w:ascii="Times New Roman" w:hAnsi="Times New Roman"/>
          <w:sz w:val="20"/>
        </w:rPr>
        <w:t xml:space="preserve">. Each Lender shall have received a Note for each Lender that shall have requested one, signed on behalf of the Borrower.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- 56 -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Legal Opinion</w:t>
      </w:r>
      <w:r>
        <w:rPr>
          <w:rFonts w:ascii="Times New Roman" w:hAnsi="Times New Roman"/>
          <w:sz w:val="20"/>
        </w:rPr>
        <w:t xml:space="preserve">. The Administrative Agent shall have received (i) capacity and New York law enforceability opinions from New York counsel to the Loan Parties, (ii) capacity opinions from German counsel to the Loan Parties, and (iii) German law enforceability opinions from German counsel to the Credit Parties (each addressed to the Credit Parties and dated the Closing Date), in form and substance satisfactory to the Administrative Agent and the Lenders. The Borrower hereby requests such counsel to deliver such opinions. </w:t>
      </w:r>
    </w:p>
    <w:p>
      <w:pPr>
        <w:pStyle w:val="TextBody"/>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Officers Closing Certificate</w:t>
      </w:r>
      <w:r>
        <w:rPr>
          <w:rFonts w:ascii="Times New Roman" w:hAnsi="Times New Roman"/>
          <w:sz w:val="20"/>
        </w:rPr>
        <w:t xml:space="preserve">. The Administrative Agent shall have received a certificate of a Responsible Officer of each Loan Party, dated the Closing Date, substantially in the form of </w:t>
      </w:r>
      <w:r>
        <w:rPr>
          <w:rFonts w:ascii="Times New Roman" w:hAnsi="Times New Roman"/>
          <w:sz w:val="20"/>
          <w:u w:val="single"/>
        </w:rPr>
        <w:t>Exhibit D</w:t>
      </w:r>
      <w:r>
        <w:rPr>
          <w:rFonts w:ascii="Times New Roman" w:hAnsi="Times New Roman"/>
          <w:sz w:val="20"/>
        </w:rPr>
        <w:t xml:space="preserve"> or, in the case of any Loan Party other than the Borrower and any Domestic Subsidiary, such other form as is customary for such Loan Party. </w:t>
      </w:r>
    </w:p>
    <w:p>
      <w:pPr>
        <w:pStyle w:val="TextBody"/>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Fees and Expenses</w:t>
      </w:r>
      <w:r>
        <w:rPr>
          <w:rFonts w:ascii="Times New Roman" w:hAnsi="Times New Roman"/>
          <w:sz w:val="20"/>
        </w:rPr>
        <w:t xml:space="preserve">. Substantially contemporaneously with the making of the Loans to be made on the Closing Date, the Borrower shall have paid all fees and expenses that under the terms hereof are due and payable on or prior to the Closing Date, including the reasonable fees, disbursements and other charges of counsel to the Administrative Agent in connection with the Transactions to the extent invoiced on or prior to the Closing Date. </w:t>
      </w:r>
    </w:p>
    <w:p>
      <w:pPr>
        <w:pStyle w:val="TextBody"/>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Collateral and Guarantee Requirement</w:t>
      </w:r>
      <w:r>
        <w:rPr>
          <w:rFonts w:ascii="Times New Roman" w:hAnsi="Times New Roman"/>
          <w:sz w:val="20"/>
        </w:rPr>
        <w:t xml:space="preserve">.(i) Except for the actions to be taken pursuant to </w:t>
      </w:r>
      <w:r>
        <w:rPr>
          <w:rFonts w:ascii="Times New Roman" w:hAnsi="Times New Roman"/>
          <w:sz w:val="20"/>
          <w:u w:val="single"/>
        </w:rPr>
        <w:t>Section 6.15</w:t>
      </w:r>
      <w:r>
        <w:rPr>
          <w:rFonts w:ascii="Times New Roman" w:hAnsi="Times New Roman"/>
          <w:sz w:val="20"/>
        </w:rPr>
        <w:t xml:space="preserve">, the Collateral Documents and other closing deliverables set forth in </w:t>
      </w:r>
      <w:r>
        <w:rPr>
          <w:rFonts w:ascii="Times New Roman" w:hAnsi="Times New Roman"/>
          <w:sz w:val="20"/>
          <w:u w:val="single"/>
        </w:rPr>
        <w:t>Schedule 4.1(f)</w:t>
      </w:r>
      <w:r>
        <w:rPr>
          <w:rFonts w:ascii="Times New Roman" w:hAnsi="Times New Roman"/>
          <w:sz w:val="20"/>
        </w:rPr>
        <w:t xml:space="preserve"> shall have been duly executed and/or delivered by each Loan Party that is required to be a party thereto on the Closing Date and shall be in full force and effect, and the Administrative Agent on behalf of the Secured Parties shall have a security interest in the Collateral of the type and the priority described in each such Collateral Document; and </w:t>
      </w:r>
    </w:p>
    <w:p>
      <w:pPr>
        <w:pStyle w:val="TextBody"/>
        <w:spacing w:before="120" w:after="0"/>
        <w:jc w:val="left"/>
        <w:rPr>
          <w:rFonts w:ascii="Times New Roman" w:hAnsi="Times New Roman"/>
          <w:sz w:val="20"/>
        </w:rPr>
      </w:pPr>
      <w:r>
        <w:rPr>
          <w:rFonts w:ascii="Times New Roman" w:hAnsi="Times New Roman"/>
          <w:sz w:val="20"/>
        </w:rPr>
        <w:t xml:space="preserve">(ii) The Administrative Agent shall have received a Perfection Certificate with respect to each Loan Party dated the Closing Date and duly executed by a Responsible Officer of the Borrower and shall have received the results of a search of the Uniform Commercial Code filings (or equivalent filings) made with respect to the Loan Parties in the states (or other jurisdictions) of formation of such persons, in each case as indicated on such Perfection Certificate, together with copies of the financing statements (or similar documents) disclosed by such search, and accompanied by evidence satisfactory to the Lenders that the Liens indicated in any such financing statement (or similar document) would be permitted under </w:t>
      </w:r>
      <w:r>
        <w:rPr>
          <w:rFonts w:ascii="Times New Roman" w:hAnsi="Times New Roman"/>
          <w:sz w:val="20"/>
          <w:u w:val="single"/>
        </w:rPr>
        <w:t>Section 7.2</w:t>
      </w:r>
      <w:r>
        <w:rPr>
          <w:rFonts w:ascii="Times New Roman" w:hAnsi="Times New Roman"/>
          <w:sz w:val="20"/>
        </w:rPr>
        <w:t xml:space="preserve"> or have been or will be contemporaneously released or terminated. </w:t>
      </w:r>
    </w:p>
    <w:p>
      <w:pPr>
        <w:pStyle w:val="TextBody"/>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Guarantee Agreement</w:t>
      </w:r>
      <w:r>
        <w:rPr>
          <w:rFonts w:ascii="Times New Roman" w:hAnsi="Times New Roman"/>
          <w:sz w:val="20"/>
        </w:rPr>
        <w:t xml:space="preserve">. The Guarantee Agreement shall have been duly executed and delivered by each Loan Party that is required to be a party thereto on the Closing Date and shall be in full force and effect. </w:t>
      </w:r>
    </w:p>
    <w:p>
      <w:pPr>
        <w:pStyle w:val="TextBody"/>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Solvency Certificate</w:t>
      </w:r>
      <w:r>
        <w:rPr>
          <w:rFonts w:ascii="Times New Roman" w:hAnsi="Times New Roman"/>
          <w:sz w:val="20"/>
        </w:rPr>
        <w:t xml:space="preserve">. The Administrative Agent shall have received a Solvency Certificate from a Financial Officer of the Borrower attesting to the Solvency of the Loan Parties and their Subsidiaries (taken as a whole on a consolidated basis) on the Closing Date after giving effect to the Transactions on the Closing Date. </w:t>
      </w:r>
    </w:p>
    <w:p>
      <w:pPr>
        <w:pStyle w:val="TextBody"/>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Insurance</w:t>
      </w:r>
      <w:r>
        <w:rPr>
          <w:rFonts w:ascii="Times New Roman" w:hAnsi="Times New Roman"/>
          <w:sz w:val="20"/>
        </w:rPr>
        <w:t xml:space="preserve">. The Administrative Agent shall have received evidence satisfactory to the Lenders that all insurance required to be maintained pursuant to the Loan Documents has been obtained and is in effect.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- 57 -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USA PATRIOT Act; KYC</w:t>
      </w:r>
      <w:r>
        <w:rPr>
          <w:rFonts w:ascii="Times New Roman" w:hAnsi="Times New Roman"/>
          <w:sz w:val="20"/>
        </w:rPr>
        <w:t xml:space="preserve">. At least five (5) days prior to the Closing Date, each Lender and the Administrative Agent shall have received: </w:t>
      </w:r>
    </w:p>
    <w:p>
      <w:pPr>
        <w:pStyle w:val="TextBody"/>
        <w:spacing w:before="120" w:after="0"/>
        <w:jc w:val="left"/>
        <w:rPr>
          <w:rFonts w:ascii="Times New Roman" w:hAnsi="Times New Roman"/>
          <w:sz w:val="20"/>
        </w:rPr>
      </w:pPr>
      <w:r>
        <w:rPr>
          <w:rFonts w:ascii="Times New Roman" w:hAnsi="Times New Roman"/>
          <w:sz w:val="20"/>
        </w:rPr>
        <w:t xml:space="preserve">(i) any and all documentation and other information requested by such Lender in connection with applicable know your customer and anti-money-laundering rules and regulations, including the USA PATRIOT Act; and </w:t>
      </w:r>
    </w:p>
    <w:p>
      <w:pPr>
        <w:pStyle w:val="TextBody"/>
        <w:spacing w:before="120" w:after="0"/>
        <w:jc w:val="left"/>
        <w:rPr>
          <w:rFonts w:ascii="Times New Roman" w:hAnsi="Times New Roman"/>
          <w:sz w:val="20"/>
        </w:rPr>
      </w:pPr>
      <w:r>
        <w:rPr>
          <w:rFonts w:ascii="Times New Roman" w:hAnsi="Times New Roman"/>
          <w:sz w:val="20"/>
        </w:rPr>
        <w:t xml:space="preserve">(ii) to the extent the Borrower constitutes a legal entity customer under the Beneficial Ownership Regulation, a completed Beneficial Ownership Certification in relation to the Borrower. </w:t>
      </w:r>
    </w:p>
    <w:p>
      <w:pPr>
        <w:pStyle w:val="TextBody"/>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Financial Statements</w:t>
      </w:r>
      <w:r>
        <w:rPr>
          <w:rFonts w:ascii="Times New Roman" w:hAnsi="Times New Roman"/>
          <w:sz w:val="20"/>
        </w:rPr>
        <w:t xml:space="preserve">. The Administrative Agent shall have received (i) the Audited Financial Statements in draft form for the Fiscal Year ending December 31, 2022), (ii) the Pro Forma Financial Statements and (iii) projections for each Fiscal Year through 2027. </w:t>
      </w:r>
    </w:p>
    <w:p>
      <w:pPr>
        <w:pStyle w:val="TextBody"/>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Legal Impediments</w:t>
      </w:r>
      <w:r>
        <w:rPr>
          <w:rFonts w:ascii="Times New Roman" w:hAnsi="Times New Roman"/>
          <w:sz w:val="20"/>
        </w:rPr>
        <w:t xml:space="preserve">. No law or regulation shall be applicable that restrains, prevents or imposes materially adverse conditions upon the Term Facility. </w:t>
      </w:r>
    </w:p>
    <w:p>
      <w:pPr>
        <w:pStyle w:val="TextBody"/>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No Material Adverse Effect</w:t>
      </w:r>
      <w:r>
        <w:rPr>
          <w:rFonts w:ascii="Times New Roman" w:hAnsi="Times New Roman"/>
          <w:sz w:val="20"/>
        </w:rPr>
        <w:t xml:space="preserve">. There shall not have occurred since December 31, 2022 a Material Adverse Effect or any event or circumstance that could reasonably be expected to result in a Material Adverse Effect and the Administrative Agent shall have received a certificate, dated the Closing Date and signed by a Financial Officer of the Borrower to the foregoing effect. </w:t>
      </w:r>
    </w:p>
    <w:p>
      <w:pPr>
        <w:pStyle w:val="TextBody"/>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Financial Officer Certificate</w:t>
      </w:r>
      <w:r>
        <w:rPr>
          <w:rFonts w:ascii="Times New Roman" w:hAnsi="Times New Roman"/>
          <w:sz w:val="20"/>
        </w:rPr>
        <w:t xml:space="preserve">. The Administrative Agent shall have received a certificate, dated the Closing Date and signed by a Financial Officer of the Borrower confirming that the conditions set forth in paragraph (p) of this </w:t>
      </w:r>
      <w:r>
        <w:rPr>
          <w:rFonts w:ascii="Times New Roman" w:hAnsi="Times New Roman"/>
          <w:sz w:val="20"/>
          <w:u w:val="single"/>
        </w:rPr>
        <w:t>Section 4.1</w:t>
      </w:r>
      <w:r>
        <w:rPr>
          <w:rFonts w:ascii="Times New Roman" w:hAnsi="Times New Roman"/>
          <w:sz w:val="20"/>
        </w:rPr>
        <w:t xml:space="preserve"> and clauses (a) and (b) of </w:t>
      </w:r>
      <w:r>
        <w:rPr>
          <w:rFonts w:ascii="Times New Roman" w:hAnsi="Times New Roman"/>
          <w:sz w:val="20"/>
          <w:u w:val="single"/>
        </w:rPr>
        <w:t>Section 4.2</w:t>
      </w:r>
      <w:r>
        <w:rPr>
          <w:rFonts w:ascii="Times New Roman" w:hAnsi="Times New Roman"/>
          <w:sz w:val="20"/>
        </w:rPr>
        <w:t xml:space="preserve"> shall be satisfied on the Closing Date. </w:t>
      </w:r>
    </w:p>
    <w:p>
      <w:pPr>
        <w:pStyle w:val="TextBody"/>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Closing Date Transactions</w:t>
      </w:r>
      <w:r>
        <w:rPr>
          <w:rFonts w:ascii="Times New Roman" w:hAnsi="Times New Roman"/>
          <w:sz w:val="20"/>
        </w:rPr>
        <w:t xml:space="preserve">. The Closing Date Transactions shall be consummated substantially contemporaneously with the funding of the Loans to be made on the Closing Date pursuant to documentation and on terms and conditions satisfactory to the Lenders. </w:t>
      </w:r>
    </w:p>
    <w:p>
      <w:pPr>
        <w:pStyle w:val="TextBody"/>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Liquidity</w:t>
      </w:r>
      <w:r>
        <w:rPr>
          <w:rFonts w:ascii="Times New Roman" w:hAnsi="Times New Roman"/>
          <w:sz w:val="20"/>
        </w:rPr>
        <w:t xml:space="preserve">. The Loan Parties shall have Liquidity in an aggregate amount of at least $10,000,000 after giving effect to the Transactions occurring on the Closing Date. </w:t>
      </w:r>
    </w:p>
    <w:p>
      <w:pPr>
        <w:pStyle w:val="TextBody"/>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Payoff of Existing Debt Facility</w:t>
      </w:r>
      <w:r>
        <w:rPr>
          <w:rFonts w:ascii="Times New Roman" w:hAnsi="Times New Roman"/>
          <w:sz w:val="20"/>
        </w:rPr>
        <w:t xml:space="preserve">. (i) the Administrative Agent and the Lenders shall have received a payoff letter evidencing the termination of the Existing Debt Facility and (ii) the Loan Parties shall have repaid the Existing Debt Facility in full on the Closing Date with proceeds of the Loans. </w:t>
      </w:r>
    </w:p>
    <w:p>
      <w:pPr>
        <w:pStyle w:val="TextBody"/>
        <w:spacing w:before="240" w:after="0"/>
        <w:jc w:val="left"/>
        <w:rPr>
          <w:rFonts w:ascii="Times New Roman" w:hAnsi="Times New Roman"/>
          <w:sz w:val="20"/>
        </w:rPr>
      </w:pPr>
      <w:r>
        <w:rPr>
          <w:rFonts w:ascii="Times New Roman" w:hAnsi="Times New Roman"/>
          <w:sz w:val="20"/>
        </w:rPr>
        <w:t xml:space="preserve">For purposes of determining whether the Closing Date has occurred, each Lender that has executed this Credit Agreement shall be deemed to have consented to, approved or accepted, or to be satisfied with, each document or other matter required hereunder to be consented to or approved by or acceptable or satisfactory to the Administrative Agent or such Lender, as the case may be, unless such Lender has notified the Administrative Agent in writing of any disagreement prior to the initial Credit Extensions hereunder. </w:t>
      </w:r>
    </w:p>
    <w:p>
      <w:pPr>
        <w:pStyle w:val="TextBody"/>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Conditions to All Credit Extensions</w:t>
      </w:r>
      <w:r>
        <w:rPr>
          <w:rFonts w:ascii="Times New Roman" w:hAnsi="Times New Roman"/>
          <w:sz w:val="20"/>
        </w:rPr>
        <w:t xml:space="preserve">. The obligation of each Lender to make a Term Loan on the Closing Date is subject to the satisfaction of the conditions in </w:t>
      </w:r>
      <w:r>
        <w:rPr>
          <w:rFonts w:ascii="Times New Roman" w:hAnsi="Times New Roman"/>
          <w:sz w:val="20"/>
          <w:u w:val="single"/>
        </w:rPr>
        <w:t>Section 4.1</w:t>
      </w:r>
      <w:r>
        <w:rPr>
          <w:rFonts w:ascii="Times New Roman" w:hAnsi="Times New Roman"/>
          <w:sz w:val="20"/>
        </w:rPr>
        <w:t xml:space="preserve"> and the following additional conditions precedent: </w:t>
      </w:r>
    </w:p>
    <w:p>
      <w:pPr>
        <w:pStyle w:val="TextBody"/>
        <w:spacing w:before="120" w:after="0"/>
        <w:jc w:val="left"/>
        <w:rPr>
          <w:rFonts w:ascii="Times New Roman" w:hAnsi="Times New Roman"/>
          <w:sz w:val="20"/>
        </w:rPr>
      </w:pPr>
      <w:r>
        <w:rPr>
          <w:rFonts w:ascii="Times New Roman" w:hAnsi="Times New Roman"/>
          <w:sz w:val="20"/>
        </w:rPr>
        <w:t xml:space="preserve">(a) Each of the representations and warranties of the Loan Parties set forth in the Loan Documents shall be true and correct in all material respects, in each case on and as of such date as if made on and as of such date; </w:t>
      </w:r>
      <w:r>
        <w:rPr>
          <w:rFonts w:ascii="Times New Roman" w:hAnsi="Times New Roman"/>
          <w:sz w:val="20"/>
          <w:u w:val="single"/>
        </w:rPr>
        <w:t>provided</w:t>
      </w:r>
      <w:r>
        <w:rPr>
          <w:rFonts w:ascii="Times New Roman" w:hAnsi="Times New Roman"/>
          <w:sz w:val="20"/>
        </w:rPr>
        <w:t xml:space="preserve"> that to the extent that such representations and warranties specifically refer to an earlier date, they shall be true and correct in all material respects as of such earlier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representation and warranty that is qualified as to materiality, Material Adverse Effect or similar language shall be true and correct (after giving effect to any qualification therein) in all respects on such respective dates.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- 58 -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No Default shall exist, or would result from such proposed Term Loan or from the application of the proceeds therefrom. </w:t>
      </w:r>
    </w:p>
    <w:p>
      <w:pPr>
        <w:pStyle w:val="TextBody"/>
        <w:spacing w:before="240" w:after="0"/>
        <w:jc w:val="left"/>
        <w:rPr>
          <w:rFonts w:ascii="Times New Roman" w:hAnsi="Times New Roman"/>
          <w:sz w:val="20"/>
        </w:rPr>
      </w:pPr>
      <w:r>
        <w:rPr>
          <w:rFonts w:ascii="Times New Roman" w:hAnsi="Times New Roman"/>
          <w:sz w:val="20"/>
        </w:rPr>
        <w:t xml:space="preserve">(c) The Administrative Agent and Lenders shall have received a fully executed and delivered notice of borrowing (with funds flow) in accordance with </w:t>
      </w:r>
      <w:r>
        <w:rPr>
          <w:rFonts w:ascii="Times New Roman" w:hAnsi="Times New Roman"/>
          <w:sz w:val="20"/>
          <w:u w:val="single"/>
        </w:rPr>
        <w:t>Section 2.3(a)</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The making of the Term Loan shall be deemed to be a representation and warranty that the applicable conditions specified in </w:t>
      </w:r>
      <w:r>
        <w:rPr>
          <w:rFonts w:ascii="Times New Roman" w:hAnsi="Times New Roman"/>
          <w:sz w:val="20"/>
          <w:u w:val="single"/>
        </w:rPr>
        <w:t>Sections 4.2(a)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have been satisfied on and as of the date of the making of the Term Loan. </w:t>
      </w:r>
    </w:p>
    <w:p>
      <w:pPr>
        <w:pStyle w:val="TextBody"/>
        <w:spacing w:before="480" w:after="0"/>
        <w:jc w:val="center"/>
        <w:rPr>
          <w:rFonts w:ascii="Times New Roman" w:hAnsi="Times New Roman"/>
          <w:sz w:val="20"/>
        </w:rPr>
      </w:pPr>
      <w:r>
        <w:rPr>
          <w:rFonts w:ascii="Times New Roman" w:hAnsi="Times New Roman"/>
          <w:sz w:val="20"/>
        </w:rPr>
        <w:t xml:space="preserve">ARTICLE 5 </w:t>
      </w:r>
    </w:p>
    <w:p>
      <w:pPr>
        <w:pStyle w:val="TextBody"/>
        <w:spacing w:before="120" w:after="0"/>
        <w:jc w:val="center"/>
        <w:rPr>
          <w:rFonts w:ascii="Times New Roman" w:hAnsi="Times New Roman"/>
          <w:sz w:val="20"/>
        </w:rPr>
      </w:pPr>
      <w:r>
        <w:rPr>
          <w:rFonts w:ascii="Times New Roman" w:hAnsi="Times New Roman"/>
          <w:sz w:val="20"/>
        </w:rPr>
        <w:t xml:space="preserve">REPRESENTATIONS AND WARRANTIES </w:t>
      </w:r>
    </w:p>
    <w:p>
      <w:pPr>
        <w:pStyle w:val="TextBody"/>
        <w:spacing w:before="240" w:after="0"/>
        <w:jc w:val="left"/>
        <w:rPr>
          <w:rFonts w:ascii="Times New Roman" w:hAnsi="Times New Roman"/>
          <w:sz w:val="20"/>
        </w:rPr>
      </w:pPr>
      <w:r>
        <w:rPr>
          <w:rFonts w:ascii="Times New Roman" w:hAnsi="Times New Roman"/>
          <w:sz w:val="20"/>
        </w:rPr>
        <w:t xml:space="preserve">Each of Holdings and the Borrower represents and warrants to the Administrative Agent and the Lenders that: </w:t>
      </w:r>
    </w:p>
    <w:p>
      <w:pPr>
        <w:pStyle w:val="TextBody"/>
        <w:spacing w:before="12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Existence, Qualification and Power; Compliance with Laws</w:t>
      </w:r>
      <w:r>
        <w:rPr>
          <w:rFonts w:ascii="Times New Roman" w:hAnsi="Times New Roman"/>
          <w:sz w:val="20"/>
        </w:rPr>
        <w:t xml:space="preserve">. Each Loan Party and each of its Subsidiaries (a) is duly incorporated, organized or formed, and validly existing and, where applicable, in good standing under the laws of the jurisdiction of its incorporation or organization, (b) has all requisite power and authority to (i) own or lease its assets and carry on its business as now conducted and (ii) execute, deliver and perform its obligations under the Loan Documents to which it is a party, (c) is duly qualified and, where applicable, in good standing under the laws of each jurisdiction where its ownership, lease or operation of properties or the conduct of its business requires such qualification, and (d) has all requisite governmental licenses, authorizations, consents and approvals to operate its business as currently conducted; except in each case referred to in </w:t>
      </w:r>
      <w:r>
        <w:rPr>
          <w:rFonts w:ascii="Times New Roman" w:hAnsi="Times New Roman"/>
          <w:sz w:val="20"/>
          <w:u w:val="single"/>
        </w:rPr>
        <w:t>clauses (b)(i)</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to the extent that failure to do so could not, individually or in the aggregate, reasonably be expected to have a Material Adverse Effect. Each Loan Party and each of its Subsidiaries are in compliance with all laws, rules, regulations and orders of any Governmental Authority applicable to it or its property and maintains all permits and licenses necessary to conduct its business, except where the failure to do so, individually or in the aggregate, could not reasonably be expected to result in a Material Adverse Effect. </w:t>
      </w:r>
    </w:p>
    <w:p>
      <w:pPr>
        <w:pStyle w:val="TextBody"/>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Authorization; No Contravention</w:t>
      </w:r>
      <w:r>
        <w:rPr>
          <w:rFonts w:ascii="Times New Roman" w:hAnsi="Times New Roman"/>
          <w:sz w:val="20"/>
        </w:rPr>
        <w:t xml:space="preserve">. The execution, delivery and performance by each Loan Party of each Loan Document to which such Loan Party is a party, and the consummation of the Transactions occurring on the Closing Date, are within such Loan Partys corporate, limited liability company or other analogous powers, have been duly authorized by all necessary corporate, limited liability company or other analogous action, and do not and will not (a) contravene the terms of any of such Persons Organizational Documents, (b) conflict with or result in any breach or contravention of, or the creation of any Lien under (other than any Lien permitted under the Loan Documents),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 except with respect to any conflict, breach or contravention or payment (but not creation of Liens) referred to in </w:t>
      </w:r>
      <w:r>
        <w:rPr>
          <w:rFonts w:ascii="Times New Roman" w:hAnsi="Times New Roman"/>
          <w:sz w:val="20"/>
          <w:u w:val="single"/>
        </w:rPr>
        <w:t>clauses (b)</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to the extent that such conflict, breach, contravention, payment or violation could not, individually or in the aggregate, reasonably be expected to have a Material Adverse Effect.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- 59 -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Governmental Authorization; Other Consents</w:t>
      </w:r>
      <w:r>
        <w:rPr>
          <w:rFonts w:ascii="Times New Roman" w:hAnsi="Times New Roman"/>
          <w:sz w:val="20"/>
        </w:rPr>
        <w:t xml:space="preserve">. No approval, consent, exemption, authorization, or other action by, or notice to, or filing with, any Governmental Authority or any other Person is necessary or required in connection with (a) the execution, delivery or performance by, or enforcement against, any Loan Party of any Loan Document to which it is a party, or for the consummation of the Transactions occurring on the Closing Date, (b) the grant by any Loan Party of the Liens granted by it pursuant to the Collateral Documents, (c) the perfection or maintenance of the Liens created under the Collateral Documents (including the priority thereof) or (d) the exercise by the Administrative Agent or any Lender of its rights under the Loan Documents or the remedies in respect of the Collateral pursuant to the Loan Documents, except for (i) perfection requirements under Applicable Law and filings and recordings necessary to satisfy the Collateral and Guarantee Requirement, (ii) the approvals, consents, exemptions, authorizations, actions, notices and filings which have been duly obtained, taken, given or made and are in full force and effect and (iii) those that the failure to obtain or make could not, individually or in the aggregate, reasonably be expected to have a Material Adverse Effect. </w:t>
      </w:r>
    </w:p>
    <w:p>
      <w:pPr>
        <w:pStyle w:val="TextBody"/>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Execution and Delivery; Binding Effect</w:t>
      </w:r>
      <w:r>
        <w:rPr>
          <w:rFonts w:ascii="Times New Roman" w:hAnsi="Times New Roman"/>
          <w:sz w:val="20"/>
        </w:rPr>
        <w:t xml:space="preserve">. This Credit Agreement has been, and each other Loan Document, when delivered hereunder, will have been, duly executed and delivered by each Loan Party that is party thereto, and this Agreement constitutes, and each other Loan Document when so delivered will constitute, a legal, valid and binding obligation of each such Loan Party, enforceable against each such Loan Party in accordance with its terms, subject to the Legal Reservations and perfection requirements under Applicable Law. </w:t>
      </w:r>
    </w:p>
    <w:p>
      <w:pPr>
        <w:pStyle w:val="TextBody"/>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Financial Statements; No Material Adverse Effect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The Audited Financial Statements and Unaudited Financial Statements: </w:t>
      </w:r>
    </w:p>
    <w:p>
      <w:pPr>
        <w:pStyle w:val="TextBody"/>
        <w:spacing w:before="120" w:after="0"/>
        <w:jc w:val="left"/>
        <w:rPr>
          <w:rFonts w:ascii="Times New Roman" w:hAnsi="Times New Roman"/>
          <w:sz w:val="20"/>
        </w:rPr>
      </w:pPr>
      <w:r>
        <w:rPr>
          <w:rFonts w:ascii="Times New Roman" w:hAnsi="Times New Roman"/>
          <w:sz w:val="20"/>
        </w:rPr>
        <w:t xml:space="preserve">(i) fairly present in all material respects the financial condition of Holdings and its Subsidiaries as of the dates thereof and their results of operations for the period covered thereby in accordance with GAAP consistently applied throughout the periods covered thereby, subject, in the case of the Unaudited Financial Statements, to normal year-end audit adjustments and the absence of footnotes; and </w:t>
      </w:r>
    </w:p>
    <w:p>
      <w:pPr>
        <w:pStyle w:val="TextBody"/>
        <w:spacing w:before="120" w:after="0"/>
        <w:jc w:val="left"/>
        <w:rPr>
          <w:rFonts w:ascii="Times New Roman" w:hAnsi="Times New Roman"/>
          <w:sz w:val="20"/>
        </w:rPr>
      </w:pPr>
      <w:r>
        <w:rPr>
          <w:rFonts w:ascii="Times New Roman" w:hAnsi="Times New Roman"/>
          <w:sz w:val="20"/>
        </w:rPr>
        <w:t xml:space="preserve">(ii) show all material Indebtedness and other liabilities, direct or contingent, of Holdings and its Subsidiaries on a consolidated basis as of the date thereof, including liabilities for Taxes, material commitments and contingent obligations. </w:t>
      </w:r>
    </w:p>
    <w:p>
      <w:pPr>
        <w:pStyle w:val="TextBody"/>
        <w:spacing w:before="240" w:after="0"/>
        <w:jc w:val="left"/>
        <w:rPr>
          <w:rFonts w:ascii="Times New Roman" w:hAnsi="Times New Roman"/>
          <w:sz w:val="20"/>
        </w:rPr>
      </w:pPr>
      <w:r>
        <w:rPr>
          <w:rFonts w:ascii="Times New Roman" w:hAnsi="Times New Roman"/>
          <w:sz w:val="20"/>
        </w:rPr>
        <w:t>(b) The unaudited pro forma consolidated balance sheet of Holdings and its Subsidiaries as at December 31, 2022 (including the notes thereto) (the </w:t>
      </w:r>
      <w:r>
        <w:rPr>
          <w:rFonts w:ascii="Times New Roman" w:hAnsi="Times New Roman"/>
          <w:sz w:val="20"/>
          <w:u w:val="single"/>
        </w:rPr>
        <w:t>Pro Forma Balance Sheet</w:t>
      </w:r>
      <w:r>
        <w:rPr>
          <w:rFonts w:ascii="Times New Roman" w:hAnsi="Times New Roman"/>
          <w:sz w:val="20"/>
        </w:rPr>
        <w:t>) and the unaudited pro forma consolidated statement of income of Holdings and its Subsidiaries for the 12 month period ending on December 31, 2022 (together with the Pro Forma Balance Sheet, the </w:t>
      </w:r>
      <w:r>
        <w:rPr>
          <w:rFonts w:ascii="Times New Roman" w:hAnsi="Times New Roman"/>
          <w:sz w:val="20"/>
          <w:u w:val="single"/>
        </w:rPr>
        <w:t>Pro Forma Financial Statements</w:t>
      </w:r>
      <w:r>
        <w:rPr>
          <w:rFonts w:ascii="Times New Roman" w:hAnsi="Times New Roman"/>
          <w:sz w:val="20"/>
        </w:rPr>
        <w:t xml:space="preserve">), copies of which have heretofore been furnished to the Administrative Agent, have been prepared giving effect (as if such events had occurred on such date or at the beginning of such periods, as the case may be) to the Transactions occurring on the Closing Date. The Pro Forma Financial Statements have been prepared in good faith, based on assumptions believed by the Borrower to be reasonable as of the date of delivery thereof, and present fairly in all material respects on a pro forma basis the estimated financial position of Holdings and its Subsidiaries as at December 31, 2022 and their estimated results of operations for the periods covered thereby, assuming that the events specified in the preceding sentence had actually occurred at such date or at the beginning of the periods covered thereby. </w:t>
      </w:r>
    </w:p>
    <w:p>
      <w:pPr>
        <w:pStyle w:val="TextBody"/>
        <w:spacing w:before="240" w:after="0"/>
        <w:jc w:val="left"/>
        <w:rPr>
          <w:rFonts w:ascii="Times New Roman" w:hAnsi="Times New Roman"/>
          <w:sz w:val="20"/>
        </w:rPr>
      </w:pPr>
      <w:r>
        <w:rPr>
          <w:rFonts w:ascii="Times New Roman" w:hAnsi="Times New Roman"/>
          <w:sz w:val="20"/>
        </w:rPr>
        <w:t xml:space="preserve">(c) Since December 31, 2022, there has been no event or circumstance, either individually or in the aggregate, that has had or could reasonably be expected to have a Material Adverse Effect.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- 60 -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5.6 </w:t>
      </w:r>
      <w:r>
        <w:rPr>
          <w:rFonts w:ascii="Times New Roman" w:hAnsi="Times New Roman"/>
          <w:sz w:val="20"/>
          <w:u w:val="single"/>
        </w:rPr>
        <w:t>Litigation</w:t>
      </w:r>
      <w:r>
        <w:rPr>
          <w:rFonts w:ascii="Times New Roman" w:hAnsi="Times New Roman"/>
          <w:sz w:val="20"/>
        </w:rPr>
        <w:t xml:space="preserve">. There are no actions, suits or proceedings by or before any arbitrator or Governmental Authority pending against any Loan Party or, to the knowledge of Holdings and of the Borrower, threatened against or affecting the Loan Parties or any of their Subsidiaries (a) as to which there is a reasonable possibility of an adverse determination and that, if adversely determined, could reasonably be expected, individually or in the aggregate, to result in a Material Adverse Effect (other than the Disclosed Matters) or (b) that involve or affect, or that purport to or could reasonably be expected to involve or affect, any Loan Document or the Transactions occurring on the Closing Date. Since the Agreement Date, there has been no change in the status of the Disclosed Matters that, individually or in the aggregate, has resulted in, or materially increased the likelihood of, a Material Adverse Effect. </w:t>
      </w:r>
    </w:p>
    <w:p>
      <w:pPr>
        <w:pStyle w:val="TextBody"/>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sz w:val="20"/>
          <w:u w:val="single"/>
        </w:rPr>
        <w:t>Environmental Matters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Except for the Disclosed Matters and except for matters that, either individually or in the aggregate, could not reasonably be expected to have a Material Adverse Effect and Environmental Claims which have been fully resolved with no remaining obligations or conditions: </w:t>
      </w:r>
    </w:p>
    <w:p>
      <w:pPr>
        <w:pStyle w:val="TextBody"/>
        <w:spacing w:before="120" w:after="0"/>
        <w:jc w:val="left"/>
        <w:rPr>
          <w:rFonts w:ascii="Times New Roman" w:hAnsi="Times New Roman"/>
          <w:sz w:val="20"/>
        </w:rPr>
      </w:pPr>
      <w:r>
        <w:rPr>
          <w:rFonts w:ascii="Times New Roman" w:hAnsi="Times New Roman"/>
          <w:sz w:val="20"/>
        </w:rPr>
        <w:t xml:space="preserve">(i) each Loan Party and its Subsidiaries possess all Environmental Permits required under applicable Environmental Law to conduct their respective businesses and are, and within applicable statutes of limitation, have been, in material compliance with the terms of such Environmental Permits. No Loan Party or any of its Subsidiaries has received written notice that any Environmental Permits possessed by any of them will be revoked, suspended or will not be renewed; </w:t>
      </w:r>
    </w:p>
    <w:p>
      <w:pPr>
        <w:pStyle w:val="TextBody"/>
        <w:spacing w:before="120" w:after="0"/>
        <w:jc w:val="left"/>
        <w:rPr>
          <w:rFonts w:ascii="Times New Roman" w:hAnsi="Times New Roman"/>
          <w:sz w:val="20"/>
        </w:rPr>
      </w:pPr>
      <w:r>
        <w:rPr>
          <w:rFonts w:ascii="Times New Roman" w:hAnsi="Times New Roman"/>
          <w:sz w:val="20"/>
        </w:rPr>
        <w:t xml:space="preserve">(ii) the execution and delivery of this Credit Agreement and the consummation by the Loan Parties of the Transactions occurring on the Closing Date does not require any notification, registration, reporting, filing, investigation, or environmental response action under any Environmental Law; </w:t>
      </w:r>
    </w:p>
    <w:p>
      <w:pPr>
        <w:pStyle w:val="TextBody"/>
        <w:spacing w:before="120" w:after="0"/>
        <w:jc w:val="left"/>
        <w:rPr>
          <w:rFonts w:ascii="Times New Roman" w:hAnsi="Times New Roman"/>
          <w:sz w:val="20"/>
        </w:rPr>
      </w:pPr>
      <w:r>
        <w:rPr>
          <w:rFonts w:ascii="Times New Roman" w:hAnsi="Times New Roman"/>
          <w:sz w:val="20"/>
        </w:rPr>
        <w:t xml:space="preserve">(iii) each of the Loan Parties and their Subsidiaries are currently, and within applicable statutes of limitation, have been, in material compliance with all applicable Environmental Law; </w:t>
      </w:r>
    </w:p>
    <w:p>
      <w:pPr>
        <w:pStyle w:val="TextBody"/>
        <w:spacing w:before="120" w:after="0"/>
        <w:jc w:val="left"/>
        <w:rPr>
          <w:rFonts w:ascii="Times New Roman" w:hAnsi="Times New Roman"/>
          <w:sz w:val="20"/>
        </w:rPr>
      </w:pPr>
      <w:r>
        <w:rPr>
          <w:rFonts w:ascii="Times New Roman" w:hAnsi="Times New Roman"/>
          <w:sz w:val="20"/>
        </w:rPr>
        <w:t xml:space="preserve">(iv) no Loan Party nor any of its Subsidiaries has received (A) written notice of any pending or threatened civil, criminal or administrative action, suit, demand, claim, hearing, notice of violation, investigation, notice or demand letter or request for information under any Environmental Law, or (B) written notice of actual or potential liability under any Environmental Law including any Environmental Liability that such Loan Party or Subsidiary may have retained or assumed either contractually or, to the knowledge of Holdings, by operation of law or of any Environmental Claim, in either case with respect to clauses (A) or (B) that reasonably could be expected to result in material expenditure by such Loan Party or Subsidiary. No Loan Party or any of its Subsidiaries has knowledge of any circumstances that reasonably could be expected to result in a material Environmental Liability; </w:t>
      </w:r>
    </w:p>
    <w:p>
      <w:pPr>
        <w:pStyle w:val="TextBody"/>
        <w:spacing w:before="120" w:after="0"/>
        <w:jc w:val="left"/>
        <w:rPr>
          <w:rFonts w:ascii="Times New Roman" w:hAnsi="Times New Roman"/>
          <w:sz w:val="20"/>
        </w:rPr>
      </w:pPr>
      <w:r>
        <w:rPr>
          <w:rFonts w:ascii="Times New Roman" w:hAnsi="Times New Roman"/>
          <w:sz w:val="20"/>
        </w:rPr>
        <w:t xml:space="preserve">(v) as of the Agreement Date: (A) no property or facility currently, or to the knowledge of Holdings and the Borrower, formerly owned, operated or leased by any Loan Party or any of its current or former Subsidiaries or by any respective predecessor in interest, and (B) no property at which Hazardous Materials generated, owned or controlled by any Loan Party or any of its present or former Subsidiaries have been stored, treated or disposed of, have been identified by a Governmental Authority as recommended for or requiring or potentially requiring environmental assessment and/or response actions under Environmental Law; </w:t>
      </w:r>
    </w:p>
    <w:p>
      <w:pPr>
        <w:pStyle w:val="TextBody"/>
        <w:spacing w:before="120" w:after="0"/>
        <w:jc w:val="left"/>
        <w:rPr>
          <w:rFonts w:ascii="Times New Roman" w:hAnsi="Times New Roman"/>
          <w:sz w:val="20"/>
        </w:rPr>
      </w:pPr>
      <w:r>
        <w:rPr>
          <w:rFonts w:ascii="Times New Roman" w:hAnsi="Times New Roman"/>
          <w:sz w:val="20"/>
        </w:rPr>
        <w:t xml:space="preserve">(vi) (A) there has been no unpermitted disposal, spill, discharge or Release of any Hazardous Material generated, used, owned, stored or controlled by any Loan Party or any of its Subsidiaries, on, at or under any property currently or formerly owned, leased or operated by any Loan Party or any of its current or former Subsidiaries, (B) there are no Hazardous Materials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- 61 -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located in, at, on or under such facility or property, or at any other location, in either case (A) or (B), that reasonably could be expected to require investigation, removal, remedial or corrective measures by any Loan Party or any of its Subsidiaries or that reasonably could result in material liabilities of, or material losses, damages or costs to any Loan Party or any of its Subsidiaries under any Environmental Law, and (C) neither the Loan Parties nor any of their Subsidiaries has retained or assumed any liability contractually or, to the knowledge of Holdings and the Borrower, by operation of law with regard to the generation, treatment, storage or disposal of Hazardous Materials or compliance with Environmental Law that could reasonably be expected to result in material expenditures by any Loan Party or any of its Subsidiaries; </w:t>
      </w:r>
    </w:p>
    <w:p>
      <w:pPr>
        <w:pStyle w:val="TextBody"/>
        <w:spacing w:before="120" w:after="0"/>
        <w:jc w:val="left"/>
        <w:rPr>
          <w:rFonts w:ascii="Times New Roman" w:hAnsi="Times New Roman"/>
          <w:sz w:val="20"/>
        </w:rPr>
      </w:pPr>
      <w:r>
        <w:rPr>
          <w:rFonts w:ascii="Times New Roman" w:hAnsi="Times New Roman"/>
          <w:sz w:val="20"/>
        </w:rPr>
        <w:t xml:space="preserve">(vii) (A) there has not been any underground or aboveground storage tank or other underground storage receptacle or related piping, or any impoundment or other disposal area in each case containing Hazardous Materials located on any facility or property currently or formerly owned, leased or operated by any Loan Party or any of its Subsidiaries, and (B) no asbestos or polychlorinated biphenyls have been used or disposed of, or have been located at, on or under any facility or property currently or formerly owned, leased or operated by any Loan Party or any of its Subsidiaries, in either case (A) or (B) except in material compliance with applicable Environmental Laws or as would not result in material Environmental Liability; </w:t>
      </w:r>
    </w:p>
    <w:p>
      <w:pPr>
        <w:pStyle w:val="TextBody"/>
        <w:spacing w:before="120" w:after="0"/>
        <w:jc w:val="left"/>
        <w:rPr>
          <w:rFonts w:ascii="Times New Roman" w:hAnsi="Times New Roman"/>
          <w:sz w:val="20"/>
        </w:rPr>
      </w:pPr>
      <w:r>
        <w:rPr>
          <w:rFonts w:ascii="Times New Roman" w:hAnsi="Times New Roman"/>
          <w:sz w:val="20"/>
        </w:rPr>
        <w:t xml:space="preserve">(viii) no Lien has been recorded against any properties, assets or facilities currently owned, leased or operated by any Loan Party or any of its Subsidiaries under any Environmental Law. </w:t>
      </w:r>
    </w:p>
    <w:p>
      <w:pPr>
        <w:pStyle w:val="TextBody"/>
        <w:spacing w:before="240" w:after="0"/>
        <w:jc w:val="left"/>
        <w:rPr>
          <w:rFonts w:ascii="Times New Roman" w:hAnsi="Times New Roman"/>
          <w:sz w:val="20"/>
        </w:rPr>
      </w:pPr>
      <w:r>
        <w:rPr>
          <w:rFonts w:ascii="Times New Roman" w:hAnsi="Times New Roman"/>
          <w:sz w:val="20"/>
        </w:rPr>
        <w:t xml:space="preserve">(b) Since the Agreement Date, there has been no change in the status of the Disclosed Matters that, individually or in the aggregate, has resulted in, or materially increased the likelihood of, a Material Adverse Effect. </w:t>
      </w:r>
    </w:p>
    <w:p>
      <w:pPr>
        <w:pStyle w:val="TextBody"/>
        <w:spacing w:before="240" w:after="0"/>
        <w:jc w:val="left"/>
        <w:rPr>
          <w:rFonts w:ascii="Times New Roman" w:hAnsi="Times New Roman"/>
          <w:sz w:val="20"/>
        </w:rPr>
      </w:pPr>
      <w:r>
        <w:rPr>
          <w:rFonts w:ascii="Times New Roman" w:hAnsi="Times New Roman"/>
          <w:sz w:val="20"/>
        </w:rPr>
        <w:t xml:space="preserve">(c) The Loan Parties and their Subsidiaries have provided to the Administrative Agent and its authorized representatives all material records and files, including all material assessments, reports, studies, analyses, audits, tests and data in their possession or under their control concerning any material Environmental Claim, the unpermitted existence or Release of Hazardous Materials or any other environmental concern at properties, assets or facilities currently or formerly owned, operated or leased by any Loan Party or any of their present or former Subsidiaries, or concerning material non-compliance by any Loan Party or any such Subsidiary with, or liability under, any Environmental Law. </w:t>
      </w:r>
    </w:p>
    <w:p>
      <w:pPr>
        <w:pStyle w:val="TextBody"/>
        <w:spacing w:before="240" w:after="0"/>
        <w:jc w:val="left"/>
        <w:rPr>
          <w:rFonts w:ascii="Times New Roman" w:hAnsi="Times New Roman"/>
          <w:sz w:val="20"/>
        </w:rPr>
      </w:pPr>
      <w:r>
        <w:rPr>
          <w:rFonts w:ascii="Times New Roman" w:hAnsi="Times New Roman"/>
          <w:sz w:val="20"/>
        </w:rPr>
        <w:t xml:space="preserve">Section 5.8 </w:t>
      </w:r>
      <w:r>
        <w:rPr>
          <w:rFonts w:ascii="Times New Roman" w:hAnsi="Times New Roman"/>
          <w:sz w:val="20"/>
          <w:u w:val="single"/>
        </w:rPr>
        <w:t>Ownership of Properties</w:t>
      </w:r>
      <w:r>
        <w:rPr>
          <w:rFonts w:ascii="Times New Roman" w:hAnsi="Times New Roman"/>
          <w:sz w:val="20"/>
        </w:rPr>
        <w:t xml:space="preserve">. Each Loan Party and its Subsidiaries (a)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 and such defects in title that, either individually or in the aggregate, could not reasonably be expected to have a Material Adverse Effect, and (b) owns, or is entitled to use, all Intellectual Property rights material to its business as currently conducted, and, to the knowledge of Holdings and the Borrower, the use thereof by the Loan Parties and their respective Subsidiaries does not infringe upon the Intellectual Property rights of any other Person, except to the extent that any such failure to own or have the right to use or any such infringement, either individually or in the aggregate, could not reasonably be expected to result in a Material Adverse Effect. </w:t>
      </w:r>
    </w:p>
    <w:p>
      <w:pPr>
        <w:pStyle w:val="TextBody"/>
        <w:spacing w:before="240" w:after="0"/>
        <w:jc w:val="left"/>
        <w:rPr>
          <w:rFonts w:ascii="Times New Roman" w:hAnsi="Times New Roman"/>
          <w:sz w:val="20"/>
        </w:rPr>
      </w:pPr>
      <w:r>
        <w:rPr>
          <w:rFonts w:ascii="Times New Roman" w:hAnsi="Times New Roman"/>
          <w:sz w:val="20"/>
        </w:rPr>
        <w:t xml:space="preserve">Section 5.9 </w:t>
      </w:r>
      <w:r>
        <w:rPr>
          <w:rFonts w:ascii="Times New Roman" w:hAnsi="Times New Roman"/>
          <w:sz w:val="20"/>
          <w:u w:val="single"/>
        </w:rPr>
        <w:t>Casualty, Etc.</w:t>
      </w:r>
      <w:r>
        <w:rPr>
          <w:rFonts w:ascii="Times New Roman" w:hAnsi="Times New Roman"/>
          <w:sz w:val="20"/>
        </w:rPr>
        <w:t xml:space="preserve">. Neither the businesses nor the properties of any Loan Party or any of its Subsidiaries are affected by any fire, 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- 62 -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Investment Company Status, Etc</w:t>
      </w:r>
      <w:r>
        <w:rPr>
          <w:rFonts w:ascii="Times New Roman" w:hAnsi="Times New Roman"/>
          <w:sz w:val="20"/>
        </w:rPr>
        <w:t xml:space="preserve">. No Loan Party is an investment company as defined in, or subject to regulation under, the Investment Company Act of 1940. </w:t>
      </w:r>
    </w:p>
    <w:p>
      <w:pPr>
        <w:pStyle w:val="TextBody"/>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Taxes</w:t>
      </w:r>
      <w:r>
        <w:rPr>
          <w:rFonts w:ascii="Times New Roman" w:hAnsi="Times New Roman"/>
          <w:sz w:val="20"/>
        </w:rPr>
        <w:t xml:space="preserve">. Each Loan Party and its Subsidiaries have timely filed or caused to be filed all federal, provincial, state, municipal, foreign and other Tax returns and reports required to be filed, and have timely paid all federal, provincial, state, municipal and foreign Taxes levied or imposed upon them or their properties, income or assets otherwise due and payable, except (a) those which are being Contested in Good Faith or (b) failures to file or pay as could not, either individually or in the aggregate, reasonably be expected to have a Material Adverse Effect. There are no Tax audits, deficiencies, assessments or other claims with respect to any Loan Party or any of its Subsidiaries that could, either individually or in the aggregate, reasonably be expected to have a Material Adverse Effect. </w:t>
      </w:r>
    </w:p>
    <w:p>
      <w:pPr>
        <w:pStyle w:val="TextBody"/>
        <w:spacing w:before="240" w:after="0"/>
        <w:jc w:val="left"/>
        <w:rPr>
          <w:rFonts w:ascii="Times New Roman" w:hAnsi="Times New Roman"/>
          <w:sz w:val="20"/>
        </w:rPr>
      </w:pPr>
      <w:r>
        <w:rPr>
          <w:rFonts w:ascii="Times New Roman" w:hAnsi="Times New Roman"/>
          <w:sz w:val="20"/>
        </w:rPr>
        <w:t xml:space="preserve">Section 5.12 </w:t>
      </w:r>
      <w:r>
        <w:rPr>
          <w:rFonts w:ascii="Times New Roman" w:hAnsi="Times New Roman"/>
          <w:sz w:val="20"/>
          <w:u w:val="single"/>
        </w:rPr>
        <w:t>ERISA</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Except as could not reasonably be expected, individually or in the aggregate, to have a Material Adverse Effect, each Loan Party and each of its ERISA Affiliates is in compliance with the applicable provisions of ERISA and the Code and the regulations and published interpretations thereunder. No ERISA Event has occurred or is reasonably expected to occur that, when taken together with all other such ERISA Events for which liability is reasonably expected to occur, could reasonably be expected to result in a Material Adverse Effect. No event described in Section 4062(e) of ERISA has occurred and is continuing with respect to any Pension Plan. The present value of all accumulated benefit obligations under each Pension Plan (based on the assumptions used for purposes of Statement of Financial Accounting Standards No. 87) did not, as of the date of the most recent financial statements reflecting such amounts, exceed the fair market value of the assets of such Pension Plan. </w:t>
      </w:r>
    </w:p>
    <w:p>
      <w:pPr>
        <w:pStyle w:val="TextBody"/>
        <w:spacing w:before="240" w:after="0"/>
        <w:jc w:val="left"/>
        <w:rPr>
          <w:rFonts w:ascii="Times New Roman" w:hAnsi="Times New Roman"/>
          <w:sz w:val="20"/>
        </w:rPr>
      </w:pPr>
      <w:r>
        <w:rPr>
          <w:rFonts w:ascii="Times New Roman" w:hAnsi="Times New Roman"/>
          <w:sz w:val="20"/>
        </w:rPr>
        <w:t xml:space="preserve">(b) Except as could not reasonably be expected, individually or in the aggregate, to have a Material Adverse Effect, (A) each Pension Plan that is intended to qualify under Section 401(a) of the Code has received a favorable determination letter from the IRS or an application for such a letter is currently being processed by the IRS with respect thereto and, to the knowledge of Holdings and the Borrower, nothing has occurred which would prevent, or cause the loss of, such qualification, and (B) each Loan Party and ERISA Affiliate has made all required contributions to each Pension Plan subject to Section 412 of the Code, and no application for a funding waiver pursuant to Section 412 of the Code has been made with respect to any Pension Plan. </w:t>
      </w:r>
    </w:p>
    <w:p>
      <w:pPr>
        <w:pStyle w:val="TextBody"/>
        <w:spacing w:before="240" w:after="0"/>
        <w:jc w:val="left"/>
        <w:rPr>
          <w:rFonts w:ascii="Times New Roman" w:hAnsi="Times New Roman"/>
          <w:sz w:val="20"/>
        </w:rPr>
      </w:pPr>
      <w:r>
        <w:rPr>
          <w:rFonts w:ascii="Times New Roman" w:hAnsi="Times New Roman"/>
          <w:sz w:val="20"/>
        </w:rPr>
        <w:t xml:space="preserve">(c) There are no pending or, to the knowledge of Holdings, threatened claims, actions, or lawsuits, or action by any Governmental Authority, with respect to any Pension Plan that could reasonably be expected to have a Material Adverse Effect. There has been no violation of the fiduciary responsibility rules of ERISA with respect to any Pension Plan that has resulted in or could reasonably be expected to have a Material Adverse Effect. </w:t>
      </w:r>
    </w:p>
    <w:p>
      <w:pPr>
        <w:pStyle w:val="TextBody"/>
        <w:spacing w:before="240" w:after="0"/>
        <w:jc w:val="left"/>
        <w:rPr>
          <w:rFonts w:ascii="Times New Roman" w:hAnsi="Times New Roman"/>
          <w:sz w:val="20"/>
        </w:rPr>
      </w:pPr>
      <w:r>
        <w:rPr>
          <w:rFonts w:ascii="Times New Roman" w:hAnsi="Times New Roman"/>
          <w:sz w:val="20"/>
        </w:rPr>
        <w:t xml:space="preserve">(d) Except as could not reasonably be expected, individually or in the aggregate, to have a Material Adverse Effect, no Loan Party or ERISA Affiliate (i) has incurred, or reasonably expects to incur, any liability under Title IV of ERISA with respect to any Pension Plan (other than premiums due and not delinquent under Section 4007 of ERISA), (ii) has incurred, or reasonably expects to incur, any liability (and no event has occurred which, with the giving of notice under Section 4219 of ERISA, would result in such liability) under Section 4201 of ERISA with respect to a Multiemployer Plan, and (iii) has engaged in a transaction that could be subject to Section 4069 or Section 4212(c) of ERISA. </w:t>
      </w:r>
    </w:p>
    <w:p>
      <w:pPr>
        <w:pStyle w:val="TextBody"/>
        <w:spacing w:before="240" w:after="0"/>
        <w:jc w:val="left"/>
        <w:rPr>
          <w:rFonts w:ascii="Times New Roman" w:hAnsi="Times New Roman"/>
          <w:sz w:val="20"/>
        </w:rPr>
      </w:pPr>
      <w:r>
        <w:rPr>
          <w:rFonts w:ascii="Times New Roman" w:hAnsi="Times New Roman"/>
          <w:sz w:val="20"/>
        </w:rPr>
        <w:t xml:space="preserve">(e) Except as could not reasonably be expected, individually or in the aggregate, to have a Material Adverse Effect, no such Pension Plan or trust created thereunder, or party in interest (as defined in Section 3(14) of ERISA), or any fiduciary (as defined in Section 3(21) of ERISA), has engaged in a prohibited transaction (as such term is defined in Section 406 of ERISA or Section 4975 of the Code)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- 63 -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which would subject such Pension Plan or any other plan of any Loan Party or any of its ERISA Affiliates, any trust created thereunder, or any such party in interest or fiduciary, or any party dealing with any such Pension Plan or any such trust, to any material penalty or tax on prohibited transactions imposed by Section 502 of ERISA or Section 4975 of the Code. </w:t>
      </w:r>
    </w:p>
    <w:p>
      <w:pPr>
        <w:pStyle w:val="TextBody"/>
        <w:spacing w:before="240" w:after="0"/>
        <w:jc w:val="left"/>
        <w:rPr>
          <w:rFonts w:ascii="Times New Roman" w:hAnsi="Times New Roman"/>
          <w:sz w:val="20"/>
        </w:rPr>
      </w:pPr>
      <w:r>
        <w:rPr>
          <w:rFonts w:ascii="Times New Roman" w:hAnsi="Times New Roman"/>
          <w:sz w:val="20"/>
        </w:rPr>
        <w:t xml:space="preserve">(f) With respect to any Foreign Plan, except as could not reasonably be expected, individually or in the aggregate, to have a Material Adverse Effect, (i) all employer and employee contributions required by law or by the terms of the Foreign Plan have been made, or, if applicable, accrued, in accordance with normal accounting practices; (ii) 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with respect to all current and former participants in such Foreign Plan according to the actuarial assumptions and valuations most recently used to account for such obligations in accordance with applicable generally accepted accounting principles; and (iii) it has been registered as required and has been maintained in good standing with applicable regulatory authorities. </w:t>
      </w:r>
    </w:p>
    <w:p>
      <w:pPr>
        <w:pStyle w:val="TextBody"/>
        <w:spacing w:before="240" w:after="0"/>
        <w:jc w:val="left"/>
        <w:rPr>
          <w:rFonts w:ascii="Times New Roman" w:hAnsi="Times New Roman"/>
          <w:sz w:val="20"/>
        </w:rPr>
      </w:pPr>
      <w:r>
        <w:rPr>
          <w:rFonts w:ascii="Times New Roman" w:hAnsi="Times New Roman"/>
          <w:sz w:val="20"/>
        </w:rPr>
        <w:t xml:space="preserve">Section 5.13 </w:t>
      </w:r>
      <w:r>
        <w:rPr>
          <w:rFonts w:ascii="Times New Roman" w:hAnsi="Times New Roman"/>
          <w:sz w:val="20"/>
          <w:u w:val="single"/>
        </w:rPr>
        <w:t>Subsidiaries; Equity Interests</w:t>
      </w:r>
      <w:r>
        <w:rPr>
          <w:rFonts w:ascii="Times New Roman" w:hAnsi="Times New Roman"/>
          <w:sz w:val="20"/>
        </w:rPr>
        <w:t xml:space="preserve">. As of the Agreement Date, no Loan Party has any direct or indirect Subsidiaries or Equity Interests in, or joint ventures or partnerships with, any Person, except as disclosed in </w:t>
      </w:r>
      <w:r>
        <w:rPr>
          <w:rFonts w:ascii="Times New Roman" w:hAnsi="Times New Roman"/>
          <w:sz w:val="20"/>
          <w:u w:val="single"/>
        </w:rPr>
        <w:t>Schedule 5.13</w:t>
      </w:r>
      <w:r>
        <w:rPr>
          <w:rFonts w:ascii="Times New Roman" w:hAnsi="Times New Roman"/>
          <w:sz w:val="20"/>
        </w:rPr>
        <w:t xml:space="preserve">. Such Schedule sets forth (a) the name and jurisdiction of organization or incorporation of each Subsidiary as of the Agreement Date, (b) the ownership interest of each Loan Party and their respective Subsidiaries as of the Agreement Date in each of their respective Subsidiaries as of the Agreement Date, including the percentage of such ownership and (c) identifies each Person the Equity Interests of which are required to be pledged on the Closing Date pursuant to the Collateral and Guarantee Requirement. Neither any Loan Party nor any of its Subsidiaries has issued any Disqualified Equity Interests and (except in connection with any equity incentive program) there are no outstanding options or warrants to purchase Equity Interests of any Loan Party or any of its Subsidiaries of any class or kind, and there are no agreements, voting trusts or understandings with respect thereto or affecting in any manner the sale, pledge, assignment or other disposition thereof, including any right of first refusal, option, redemption, call or other rights with respect thereto, whether similar or dissimilar to any of the foregoing, in each case except as contemplated by the Subscription Agreement or required by Applicable Law. All of the issued and outstanding Equity Interests owned by any Loan Party in its Subsidiaries have been duly authorized and issued and are fully paid and non-assessable and are free and clear of all Liens other than Liens created by the Loan Documents and other non-consensual Liens permitted by </w:t>
      </w:r>
      <w:r>
        <w:rPr>
          <w:rFonts w:ascii="Times New Roman" w:hAnsi="Times New Roman"/>
          <w:sz w:val="20"/>
          <w:u w:val="single"/>
        </w:rPr>
        <w:t>Section 7.2</w:t>
      </w:r>
      <w:r>
        <w:rPr>
          <w:rFonts w:ascii="Times New Roman" w:hAnsi="Times New Roman"/>
          <w:sz w:val="20"/>
        </w:rPr>
        <w:t xml:space="preserve">. No Foreign Subsidiary of a Loan Party, which Loan Party is a U.S. Person, is treated as a corporation for U.S. federal income tax purposes. </w:t>
      </w:r>
    </w:p>
    <w:p>
      <w:pPr>
        <w:pStyle w:val="TextBody"/>
        <w:spacing w:before="240" w:after="0"/>
        <w:jc w:val="left"/>
        <w:rPr>
          <w:rFonts w:ascii="Times New Roman" w:hAnsi="Times New Roman"/>
          <w:sz w:val="20"/>
        </w:rPr>
      </w:pPr>
      <w:r>
        <w:rPr>
          <w:rFonts w:ascii="Times New Roman" w:hAnsi="Times New Roman"/>
          <w:sz w:val="20"/>
        </w:rPr>
        <w:t xml:space="preserve">Section 5.14 </w:t>
      </w:r>
      <w:r>
        <w:rPr>
          <w:rFonts w:ascii="Times New Roman" w:hAnsi="Times New Roman"/>
          <w:sz w:val="20"/>
          <w:u w:val="single"/>
        </w:rPr>
        <w:t>Insurance</w:t>
      </w:r>
      <w:r>
        <w:rPr>
          <w:rFonts w:ascii="Times New Roman" w:hAnsi="Times New Roman"/>
          <w:sz w:val="20"/>
        </w:rPr>
        <w:t xml:space="preserve">. </w:t>
      </w:r>
      <w:r>
        <w:rPr>
          <w:rFonts w:ascii="Times New Roman" w:hAnsi="Times New Roman"/>
          <w:sz w:val="20"/>
          <w:u w:val="single"/>
        </w:rPr>
        <w:t>Schedule 5.14</w:t>
      </w:r>
      <w:r>
        <w:rPr>
          <w:rFonts w:ascii="Times New Roman" w:hAnsi="Times New Roman"/>
          <w:sz w:val="20"/>
        </w:rPr>
        <w:t xml:space="preserve"> sets forth a description of all insurance maintained by or on behalf of the Loan Parties and their Subsidiaries on the Agreement Date (including names of carriers, policy number, expiration dates, insurance types and coverage amounts). As of the Agreement Date, all premiums in respect of such insurance that are due and payable have been paid. </w:t>
      </w:r>
    </w:p>
    <w:p>
      <w:pPr>
        <w:pStyle w:val="TextBody"/>
        <w:spacing w:before="240" w:after="0"/>
        <w:jc w:val="left"/>
        <w:rPr>
          <w:rFonts w:ascii="Times New Roman" w:hAnsi="Times New Roman"/>
          <w:sz w:val="20"/>
        </w:rPr>
      </w:pPr>
      <w:r>
        <w:rPr>
          <w:rFonts w:ascii="Times New Roman" w:hAnsi="Times New Roman"/>
          <w:sz w:val="20"/>
        </w:rPr>
        <w:t xml:space="preserve">Section 5.15 </w:t>
      </w:r>
      <w:r>
        <w:rPr>
          <w:rFonts w:ascii="Times New Roman" w:hAnsi="Times New Roman"/>
          <w:sz w:val="20"/>
          <w:u w:val="single"/>
        </w:rPr>
        <w:t>Federal Reserve Regulations, Etc</w:t>
      </w:r>
      <w:r>
        <w:rPr>
          <w:rFonts w:ascii="Times New Roman" w:hAnsi="Times New Roman"/>
          <w:sz w:val="20"/>
        </w:rPr>
        <w:t xml:space="preserve">. Neither any Loan Party nor any of its Subsidiaries is engaged principally, or as one of their important activities, in the business of extending credit for the purpose of buying or carrying Margin Stock. Immediately before and after giving effect to the making of each Loan, Margin Stock will constitute less than 25% of each Loan Partys assets as determined in accordance with Regulation U. No part of the proceeds of any Loan will be used, whether directly or indirectly, and whether immediately, incidentally or ultimately, to purchase, acquire or carry any Margin Stock or for any purpose that entails a violation of, or that is inconsistent with, the provisions of the regulations of the Federal Reserve Board, including Regulation T, U or X.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- 64 -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5.16 </w:t>
      </w:r>
      <w:r>
        <w:rPr>
          <w:rFonts w:ascii="Times New Roman" w:hAnsi="Times New Roman"/>
          <w:sz w:val="20"/>
          <w:u w:val="single"/>
        </w:rPr>
        <w:t>Collateral Documents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Subject to the Legal Reservations and perfection requirements under Applicable Law, each of the Collateral Documents, upon execution and delivery thereof by the parties thereto, will create in favor of the Administrative Agent, for the ratable benefit of the Secured Parties, a legal, valid and enforceable security interest in the Collateral and the proceeds thereof to the extent provided for therein and (i) when the Pledged Equity Interests (other than uncertificated Equity Interests) and the Pledged Debt Securities (as each such term is defined in the Security Agreement) are delivered to the Administrative Agent together with the proper endorsements, the Lien created under the Security Agreement shall constitute a fully perfected first priority Lien on, and security interest in, all right, title and interest of the Loan Parties in such Pledged Equity Interests and Pledged Debt Securities to the extent that the laws of the United States or any state, commonwealth or other political subdivision thereof govern the creation and perfection of any such security interest, in each case prior and superior in right to any other Lien or right of any other person and (ii) when financing statements in appropriate form are filed in the offices specified on </w:t>
      </w:r>
      <w:r>
        <w:rPr>
          <w:rFonts w:ascii="Times New Roman" w:hAnsi="Times New Roman"/>
          <w:sz w:val="20"/>
          <w:u w:val="single"/>
        </w:rPr>
        <w:t>Schedule 5.16(a)</w:t>
      </w:r>
      <w:r>
        <w:rPr>
          <w:rFonts w:ascii="Times New Roman" w:hAnsi="Times New Roman"/>
          <w:sz w:val="20"/>
        </w:rPr>
        <w:t xml:space="preserve"> and, with respect to Collateral consisting of U.S. Patents (and applications therefor), U.S. registered Trademarks (and applications therefor) and U.S. registered Copyrights, when the Security Agreement (or Copyright Security Agreements, Patent Security Agreements and/or Trademark Security Agreements, as applicable) are filed with the United States Patent and Trademark Office or the United States Copyright Office, as applicable, and in each case, all applicable filing fees have been paid, the Lien created under the Security Agreement will constitute a fully perfected Lien on, and security interest in, all right, title and interest of the Loan Parties in the Collateral to the extent such security interest may be perfected by the filing of a UCC financing statement and, with respect to Intellectual Property, the filing of such Copyright Security Agreements, Patent Security Agreements and/or Trademark Security Agreements with the United States Patent and Trademark Office or the United States Copyright Office, as applicable, in each case prior and superior in right to any other Lien or right of any other person, other than Liens expressly permitted by </w:t>
      </w:r>
      <w:r>
        <w:rPr>
          <w:rFonts w:ascii="Times New Roman" w:hAnsi="Times New Roman"/>
          <w:sz w:val="20"/>
          <w:u w:val="single"/>
        </w:rPr>
        <w:t>Section 7.2</w:t>
      </w:r>
      <w:r>
        <w:rPr>
          <w:rFonts w:ascii="Times New Roman" w:hAnsi="Times New Roman"/>
          <w:sz w:val="20"/>
        </w:rPr>
        <w:t xml:space="preserve"> which by operation of law or contract have priority over the Liens securing the Secured Obligations. </w:t>
      </w:r>
    </w:p>
    <w:p>
      <w:pPr>
        <w:pStyle w:val="TextBody"/>
        <w:spacing w:before="240" w:after="0"/>
        <w:jc w:val="left"/>
        <w:rPr>
          <w:rFonts w:ascii="Times New Roman" w:hAnsi="Times New Roman"/>
          <w:sz w:val="20"/>
        </w:rPr>
      </w:pPr>
      <w:r>
        <w:rPr>
          <w:rFonts w:ascii="Times New Roman" w:hAnsi="Times New Roman"/>
          <w:sz w:val="20"/>
        </w:rPr>
        <w:t xml:space="preserve">(b) Subject to the Legal Reservations and perfection requirements under Applicable Law, the Mortgages, upon the execution and delivery thereof by the parties thereto, will create in favor of the Administrative Agent, subject to the exceptions listed in each insurance policy covering such Mortgage, for the ratable benefit of the Secured Parties, a legal, valid and enforceable Lien on all of the Loan Parties right, title and interest in and to the Mortgaged Property thereunder and the proceeds thereof, and when (i) the Mortgages to be delivered on the Closing Date or on a post-closing basis pursuant to </w:t>
      </w:r>
      <w:r>
        <w:rPr>
          <w:rFonts w:ascii="Times New Roman" w:hAnsi="Times New Roman"/>
          <w:sz w:val="20"/>
          <w:u w:val="single"/>
        </w:rPr>
        <w:t>Section 6.15</w:t>
      </w:r>
      <w:r>
        <w:rPr>
          <w:rFonts w:ascii="Times New Roman" w:hAnsi="Times New Roman"/>
          <w:sz w:val="20"/>
        </w:rPr>
        <w:t xml:space="preserve"> are recorded in the offices specified in </w:t>
      </w:r>
      <w:r>
        <w:rPr>
          <w:rFonts w:ascii="Times New Roman" w:hAnsi="Times New Roman"/>
          <w:sz w:val="20"/>
          <w:u w:val="single"/>
        </w:rPr>
        <w:t>Schedule 5.16(b)</w:t>
      </w:r>
      <w:r>
        <w:rPr>
          <w:rFonts w:ascii="Times New Roman" w:hAnsi="Times New Roman"/>
          <w:sz w:val="20"/>
        </w:rPr>
        <w:t xml:space="preserve"> and (ii) other Mortgages to be delivered pursuant to </w:t>
      </w:r>
      <w:r>
        <w:rPr>
          <w:rFonts w:ascii="Times New Roman" w:hAnsi="Times New Roman"/>
          <w:sz w:val="20"/>
          <w:u w:val="single"/>
        </w:rPr>
        <w:t>Section 6.12</w:t>
      </w:r>
      <w:r>
        <w:rPr>
          <w:rFonts w:ascii="Times New Roman" w:hAnsi="Times New Roman"/>
          <w:sz w:val="20"/>
        </w:rPr>
        <w:t xml:space="preserve"> and </w:t>
      </w:r>
      <w:r>
        <w:rPr>
          <w:rFonts w:ascii="Times New Roman" w:hAnsi="Times New Roman"/>
          <w:sz w:val="20"/>
          <w:u w:val="single"/>
        </w:rPr>
        <w:t>Section 6.15</w:t>
      </w:r>
      <w:r>
        <w:rPr>
          <w:rFonts w:ascii="Times New Roman" w:hAnsi="Times New Roman"/>
          <w:sz w:val="20"/>
        </w:rPr>
        <w:t xml:space="preserve">, and, in each case, all applicable fees have been paid, the Mortgages will constitute a fully perfected Lien on, and security interest in, all right, title and interest of the Loan Parties in such Mortgaged Property and the proceeds thereof, in each case prior and superior in right to any other person, other than with respect to the rights of persons pursuant to Liens expressly permitted by </w:t>
      </w:r>
      <w:r>
        <w:rPr>
          <w:rFonts w:ascii="Times New Roman" w:hAnsi="Times New Roman"/>
          <w:sz w:val="20"/>
          <w:u w:val="single"/>
        </w:rPr>
        <w:t>Section 7.2</w:t>
      </w:r>
      <w:r>
        <w:rPr>
          <w:rFonts w:ascii="Times New Roman" w:hAnsi="Times New Roman"/>
          <w:sz w:val="20"/>
        </w:rPr>
        <w:t xml:space="preserve"> which by operation of law or contract would have priority over the Liens securing the Secured Obligations. </w:t>
      </w:r>
    </w:p>
    <w:p>
      <w:pPr>
        <w:pStyle w:val="TextBody"/>
        <w:spacing w:before="240" w:after="0"/>
        <w:jc w:val="left"/>
        <w:rPr>
          <w:rFonts w:ascii="Times New Roman" w:hAnsi="Times New Roman"/>
          <w:sz w:val="20"/>
        </w:rPr>
      </w:pPr>
      <w:r>
        <w:rPr>
          <w:rFonts w:ascii="Times New Roman" w:hAnsi="Times New Roman"/>
          <w:sz w:val="20"/>
        </w:rPr>
        <w:t xml:space="preserve">Section 5.17 </w:t>
      </w:r>
      <w:r>
        <w:rPr>
          <w:rFonts w:ascii="Times New Roman" w:hAnsi="Times New Roman"/>
          <w:sz w:val="20"/>
          <w:u w:val="single"/>
        </w:rPr>
        <w:t>Solvency</w:t>
      </w:r>
      <w:r>
        <w:rPr>
          <w:rFonts w:ascii="Times New Roman" w:hAnsi="Times New Roman"/>
          <w:sz w:val="20"/>
        </w:rPr>
        <w:t xml:space="preserve">. After giving effect to the consummation of the Transactions on the Closing Date, the Loan Parties and their Subsidiaries (taken as a whole on a consolidated basis) are Solvent. </w:t>
      </w:r>
    </w:p>
    <w:p>
      <w:pPr>
        <w:pStyle w:val="TextBody"/>
        <w:spacing w:before="240" w:after="0"/>
        <w:jc w:val="left"/>
        <w:rPr>
          <w:rFonts w:ascii="Times New Roman" w:hAnsi="Times New Roman"/>
          <w:sz w:val="20"/>
        </w:rPr>
      </w:pPr>
      <w:r>
        <w:rPr>
          <w:rFonts w:ascii="Times New Roman" w:hAnsi="Times New Roman"/>
          <w:sz w:val="20"/>
        </w:rPr>
        <w:t xml:space="preserve">Section 5.18 </w:t>
      </w:r>
      <w:r>
        <w:rPr>
          <w:rFonts w:ascii="Times New Roman" w:hAnsi="Times New Roman"/>
          <w:sz w:val="20"/>
          <w:u w:val="single"/>
        </w:rPr>
        <w:t>Anti-Corruption Laws; Sanctions; Anti-Terrorism Laws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Each Loan Party, its Subsidiaries and their respective officers and directors and, to the knowledge of Holdings and the Borrower, employees, are in compliance in all material respects with Anti-Corruption Laws and applicable Sanctions. Neither any Loan Party, any of its Subsidiaries or any of their respective directors or officers or, to the knowledge of Holdings and the Borrower, employees is a Sanctioned Person. Each Loan Party and each of its Subsidiaries has implemented and maintains in effect policies and procedures reasonably designed to ensure compliance by the Loan Party, its Subsidiaries and their respective directors, officers, employees and agents with Anti-Corruption Laws and applicable Sanctions.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- 65 -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No Loan Party will use the proceeds of any Loan in violation of Anti-Corruption Laws or applicable Sanctions. No part of the proceeds of the Loans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Anti-Corruption Laws. </w:t>
      </w:r>
    </w:p>
    <w:p>
      <w:pPr>
        <w:pStyle w:val="TextBody"/>
        <w:spacing w:before="240" w:after="0"/>
        <w:jc w:val="left"/>
        <w:rPr>
          <w:rFonts w:ascii="Times New Roman" w:hAnsi="Times New Roman"/>
          <w:sz w:val="20"/>
        </w:rPr>
      </w:pPr>
      <w:r>
        <w:rPr>
          <w:rFonts w:ascii="Times New Roman" w:hAnsi="Times New Roman"/>
          <w:sz w:val="20"/>
        </w:rPr>
        <w:t>(c) Neither the making of the Loans hereunder nor the use of the proceeds thereof will violate any regulations passed under the USA PATRIOT Act or will violate the Trading with the Enemy Act, the International Emergency Economic Powers Act, or any regulations passed thereunder, including the foreign assets control regulations of the United States Treasury Department (31 C.F.R., Subtitle B, Chapter V) or any enabling legislation or executive order relating thereto or successor statute thereto (together with Sanctions, </w:t>
      </w:r>
      <w:r>
        <w:rPr>
          <w:rFonts w:ascii="Times New Roman" w:hAnsi="Times New Roman"/>
          <w:sz w:val="20"/>
          <w:u w:val="single"/>
        </w:rPr>
        <w:t>Anti-Terrorism Laws</w:t>
      </w:r>
      <w:r>
        <w:rPr>
          <w:rFonts w:ascii="Times New Roman" w:hAnsi="Times New Roman"/>
          <w:sz w:val="20"/>
        </w:rPr>
        <w:t xml:space="preserve">). Each Loan Party and each of its Subsidiaries are in compliance in all material respects with applicable Anti-Terrorism Laws. </w:t>
      </w:r>
    </w:p>
    <w:p>
      <w:pPr>
        <w:pStyle w:val="TextBody"/>
        <w:spacing w:before="240" w:after="0"/>
        <w:jc w:val="left"/>
        <w:rPr>
          <w:rFonts w:ascii="Times New Roman" w:hAnsi="Times New Roman"/>
          <w:sz w:val="20"/>
        </w:rPr>
      </w:pPr>
      <w:r>
        <w:rPr>
          <w:rFonts w:ascii="Times New Roman" w:hAnsi="Times New Roman"/>
          <w:sz w:val="20"/>
        </w:rPr>
        <w:t xml:space="preserve">(d) The representations and warranties set forth in this </w:t>
      </w:r>
      <w:r>
        <w:rPr>
          <w:rFonts w:ascii="Times New Roman" w:hAnsi="Times New Roman"/>
          <w:sz w:val="20"/>
          <w:u w:val="single"/>
        </w:rPr>
        <w:t>Section 5.18</w:t>
      </w:r>
      <w:r>
        <w:rPr>
          <w:rFonts w:ascii="Times New Roman" w:hAnsi="Times New Roman"/>
          <w:sz w:val="20"/>
        </w:rPr>
        <w:t xml:space="preserve"> made by or on behalf of any Foreign Subsidiary shall only apply to any Foreign Subsidiary or for the benefit of any Secured Party to the extent that the giving or receiving of, or compliance with, the relevant representation and warranty does not result in a violation of or conflict with, or expose any Foreign Subsidiary, any Secured Party or any Affiliate, director, officer or employee of any of the foregoing to any liability under, any anti-boycott or blocking law, regulation or statue that is in force from time to time and applicable thereto (including the Council Regulation (EC) No 2271/96 and/or section 7 of the German Foreign Trade Regulation (</w:t>
      </w:r>
      <w:r>
        <w:rPr>
          <w:rFonts w:ascii="Times New Roman" w:hAnsi="Times New Roman"/>
          <w:i/>
          <w:sz w:val="20"/>
        </w:rPr>
        <w:t>Außenwirtschaftsverordnung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5.19 </w:t>
      </w:r>
      <w:r>
        <w:rPr>
          <w:rFonts w:ascii="Times New Roman" w:hAnsi="Times New Roman"/>
          <w:sz w:val="20"/>
          <w:u w:val="single"/>
        </w:rPr>
        <w:t>Material Owned Real Property</w:t>
      </w:r>
      <w:r>
        <w:rPr>
          <w:rFonts w:ascii="Times New Roman" w:hAnsi="Times New Roman"/>
          <w:sz w:val="20"/>
        </w:rPr>
        <w:t xml:space="preserve">. </w:t>
      </w:r>
      <w:r>
        <w:rPr>
          <w:rFonts w:ascii="Times New Roman" w:hAnsi="Times New Roman"/>
          <w:sz w:val="20"/>
          <w:u w:val="single"/>
        </w:rPr>
        <w:t>Schedule 5.19</w:t>
      </w:r>
      <w:r>
        <w:rPr>
          <w:rFonts w:ascii="Times New Roman" w:hAnsi="Times New Roman"/>
          <w:sz w:val="20"/>
        </w:rPr>
        <w:t xml:space="preserve"> lists completely and correctly as of the Agreement Date all Material Owned Real Property and the addresses thereof. One or more of the Loan Parties own in fee all the real property set forth on </w:t>
      </w:r>
      <w:r>
        <w:rPr>
          <w:rFonts w:ascii="Times New Roman" w:hAnsi="Times New Roman"/>
          <w:sz w:val="20"/>
          <w:u w:val="single"/>
        </w:rPr>
        <w:t>Schedule 5.19</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5.20 </w:t>
      </w:r>
      <w:r>
        <w:rPr>
          <w:rFonts w:ascii="Times New Roman" w:hAnsi="Times New Roman"/>
          <w:sz w:val="20"/>
          <w:u w:val="single"/>
        </w:rPr>
        <w:t>Accuracy of Information, Etc.</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Each Loan Party has disclosed to the Credit Parties all agreements, instruments and corporate or other restrictions to which it or any of its Subsidiaries is subject, and all other matters known to it, that, individually or in the aggregate, could reasonably be expected to result in a Material Adverse Effect. The reports, financial statements, certificates or other written information (other than financial projections, estimates and other forward-looking statements and information of a general economic or industry specific nature) furnished by or on behalf of any Loan Party to any Credit Party in connection with the transactions contemplated hereby and the negotiation of this Credit Agreement or delivered hereunder or under any other Loan Document (in each case as modified or supplemented by other information so furnished), taken as a whole, do not contain any material misstatement of fact or omit to state any material fact necessary to make the statements therein, in the light of the circumstances under which they were made, not misleading, and </w:t>
      </w:r>
      <w:r>
        <w:rPr>
          <w:rFonts w:ascii="Times New Roman" w:hAnsi="Times New Roman"/>
          <w:sz w:val="20"/>
          <w:u w:val="single"/>
        </w:rPr>
        <w:t xml:space="preserve">the written financial </w:t>
      </w:r>
      <w:r>
        <w:rPr>
          <w:rFonts w:ascii="Times New Roman" w:hAnsi="Times New Roman"/>
          <w:sz w:val="20"/>
        </w:rPr>
        <w:t xml:space="preserve">projections that have been furnished by any Loan Party to any Credit Party have been prepared in good faith based upon assumptions believed by Holdings to be reasonable at the time (it being understood that such financial projections are not to be viewed as facts and are subject to significant uncertainties and contingencies, many of which are beyond the Loan Parties control, that no assurance can be given that any financial projection will be realized and that actual results during the period or periods covered by such financial projections may differ from the projected results, and such differences may be material). </w:t>
      </w:r>
    </w:p>
    <w:p>
      <w:pPr>
        <w:pStyle w:val="TextBody"/>
        <w:spacing w:before="240" w:after="0"/>
        <w:jc w:val="left"/>
        <w:rPr>
          <w:rFonts w:ascii="Times New Roman" w:hAnsi="Times New Roman"/>
          <w:sz w:val="20"/>
        </w:rPr>
      </w:pPr>
      <w:r>
        <w:rPr>
          <w:rFonts w:ascii="Times New Roman" w:hAnsi="Times New Roman"/>
          <w:sz w:val="20"/>
        </w:rPr>
        <w:t xml:space="preserve">(b) As of the Closing Date, the information included in the Beneficial Ownership Certification is true and correct in all respects.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- 66 -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5.21 </w:t>
      </w:r>
      <w:r>
        <w:rPr>
          <w:rFonts w:ascii="Times New Roman" w:hAnsi="Times New Roman"/>
          <w:sz w:val="20"/>
          <w:u w:val="single"/>
        </w:rPr>
        <w:t>Labor Matters</w:t>
      </w:r>
      <w:r>
        <w:rPr>
          <w:rFonts w:ascii="Times New Roman" w:hAnsi="Times New Roman"/>
          <w:sz w:val="20"/>
        </w:rPr>
        <w:t xml:space="preserve">. There are no strikes, lockouts or slowdowns against any Loan Party or any of its Subsidiaries pending or, to the knowledge of Holdings, threatened that could reasonably be expected to have a Material Adverse Effect. The hours worked by and payments made to employees of the Loan Parties and their Subsidiaries have not been in violation in any material respect of the Fair Labor Standards Act or any other applicable Federal, state, local or foreign law dealing with such matters. All material payments due from the Loan Parties or any of their Subsidiaries, or for which any claim may be made against any of the Loan Parties or any of their Subsidiaries, on account of wages and employee health and welfare insurance and other benefits, have been paid or accrued as a liability on the books of such Loan Party or such Subsidiary. The consummation of the Transactions occurring on the Closing Date will not give rise to any right of termination or right of renegotiation on the part of any union under any collective bargaining agreement to which any of the Loan Parties or any of their Subsidiaries is bound. </w:t>
      </w:r>
    </w:p>
    <w:p>
      <w:pPr>
        <w:pStyle w:val="TextBody"/>
        <w:spacing w:before="240" w:after="0"/>
        <w:jc w:val="left"/>
        <w:rPr>
          <w:rFonts w:ascii="Times New Roman" w:hAnsi="Times New Roman"/>
          <w:sz w:val="20"/>
        </w:rPr>
      </w:pPr>
      <w:r>
        <w:rPr>
          <w:rFonts w:ascii="Times New Roman" w:hAnsi="Times New Roman"/>
          <w:sz w:val="20"/>
        </w:rPr>
        <w:t xml:space="preserve">Section 5.22 </w:t>
      </w:r>
      <w:r>
        <w:rPr>
          <w:rFonts w:ascii="Times New Roman" w:hAnsi="Times New Roman"/>
          <w:sz w:val="20"/>
          <w:u w:val="single"/>
        </w:rPr>
        <w:t>[Reserved]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5.23 </w:t>
      </w:r>
      <w:r>
        <w:rPr>
          <w:rFonts w:ascii="Times New Roman" w:hAnsi="Times New Roman"/>
          <w:sz w:val="20"/>
          <w:u w:val="single"/>
        </w:rPr>
        <w:t>No Default</w:t>
      </w:r>
      <w:r>
        <w:rPr>
          <w:rFonts w:ascii="Times New Roman" w:hAnsi="Times New Roman"/>
          <w:sz w:val="20"/>
        </w:rPr>
        <w:t xml:space="preserve">. No Loan Party nor any of its Subsidiaries is in default in the performance, observance or fulfillment of any of the obligations, covenants or conditions contained in any agreement, instrument or other undertaking to which such Person is a party or by which it or any of its property is bound in any respect that could reasonably be expected to have a Material Adverse Effect. No Default has occurred and is continuing. </w:t>
      </w:r>
    </w:p>
    <w:p>
      <w:pPr>
        <w:pStyle w:val="TextBody"/>
        <w:spacing w:before="240" w:after="0"/>
        <w:jc w:val="left"/>
        <w:rPr>
          <w:rFonts w:ascii="Times New Roman" w:hAnsi="Times New Roman"/>
          <w:sz w:val="20"/>
        </w:rPr>
      </w:pPr>
      <w:r>
        <w:rPr>
          <w:rFonts w:ascii="Times New Roman" w:hAnsi="Times New Roman"/>
          <w:sz w:val="20"/>
        </w:rPr>
        <w:t xml:space="preserve">Section 5.24 </w:t>
      </w:r>
      <w:r>
        <w:rPr>
          <w:rFonts w:ascii="Times New Roman" w:hAnsi="Times New Roman"/>
          <w:sz w:val="20"/>
          <w:u w:val="single"/>
        </w:rPr>
        <w:t>Common Enterprise</w:t>
      </w:r>
      <w:r>
        <w:rPr>
          <w:rFonts w:ascii="Times New Roman" w:hAnsi="Times New Roman"/>
          <w:sz w:val="20"/>
        </w:rPr>
        <w:t xml:space="preserve">. The successful operation and condition of each of the Loan Parties is dependent on the continued successful performance of the functions of the group of the Loan Parties as a whole and the successful operation of each of the Loan Parties is dependent on the successful performance and operation of each other Loan Party. Each Loan Party expects to derive benefit (and its board of directors or other governing body has determined that it may reasonably be expected to derive benefit), directly and indirectly, from (a) successful operations of each of the other Loan Parties and (b) the credit extended by the Lenders to the Borrower hereunder, both in their separate capacities and as members of the group of companies. Each Loan Party has determined that execution, delivery, and performance of this Credit Agreement and any other Loan Documents to be executed by such Loan Party is within its purpose, will be of direct and indirect benefit to such Loan Party, and is in its best interest. </w:t>
      </w:r>
    </w:p>
    <w:p>
      <w:pPr>
        <w:pStyle w:val="TextBody"/>
        <w:spacing w:before="240" w:after="0"/>
        <w:jc w:val="left"/>
        <w:rPr>
          <w:rFonts w:ascii="Times New Roman" w:hAnsi="Times New Roman"/>
          <w:sz w:val="20"/>
        </w:rPr>
      </w:pPr>
      <w:r>
        <w:rPr>
          <w:rFonts w:ascii="Times New Roman" w:hAnsi="Times New Roman"/>
          <w:sz w:val="20"/>
        </w:rPr>
        <w:t xml:space="preserve">Section 5.25 </w:t>
      </w:r>
      <w:r>
        <w:rPr>
          <w:rFonts w:ascii="Times New Roman" w:hAnsi="Times New Roman"/>
          <w:sz w:val="20"/>
          <w:u w:val="single"/>
        </w:rPr>
        <w:t>Brokers Fees</w:t>
      </w:r>
      <w:r>
        <w:rPr>
          <w:rFonts w:ascii="Times New Roman" w:hAnsi="Times New Roman"/>
          <w:sz w:val="20"/>
        </w:rPr>
        <w:t xml:space="preserve">. Except for the Disclosed Matters, none of the Loan Parties or their Subsidiaries has any obligation to any Person in respect of any finders, brokers, investment banking or other similar fee in connection with any of the transactions contemplated under the Loan Documents other than the closing and other fees payable pursuant to this Credit Agreement. </w:t>
      </w:r>
    </w:p>
    <w:p>
      <w:pPr>
        <w:pStyle w:val="TextBody"/>
        <w:spacing w:before="240" w:after="0"/>
        <w:jc w:val="left"/>
        <w:rPr>
          <w:rFonts w:ascii="Times New Roman" w:hAnsi="Times New Roman"/>
          <w:sz w:val="20"/>
        </w:rPr>
      </w:pPr>
      <w:r>
        <w:rPr>
          <w:rFonts w:ascii="Times New Roman" w:hAnsi="Times New Roman"/>
          <w:sz w:val="20"/>
        </w:rPr>
        <w:t xml:space="preserve">Section 5.26 </w:t>
      </w:r>
      <w:r>
        <w:rPr>
          <w:rFonts w:ascii="Times New Roman" w:hAnsi="Times New Roman"/>
          <w:sz w:val="20"/>
          <w:u w:val="single"/>
        </w:rPr>
        <w:t>Affected Financial Institutions</w:t>
      </w:r>
      <w:r>
        <w:rPr>
          <w:rFonts w:ascii="Times New Roman" w:hAnsi="Times New Roman"/>
          <w:sz w:val="20"/>
        </w:rPr>
        <w:t xml:space="preserve">. No Loan Party is an Affected Financial Institution. </w:t>
      </w:r>
    </w:p>
    <w:p>
      <w:pPr>
        <w:pStyle w:val="TextBody"/>
        <w:spacing w:before="480" w:after="0"/>
        <w:jc w:val="center"/>
        <w:rPr>
          <w:rFonts w:ascii="Times New Roman" w:hAnsi="Times New Roman"/>
          <w:sz w:val="20"/>
        </w:rPr>
      </w:pPr>
      <w:r>
        <w:rPr>
          <w:rFonts w:ascii="Times New Roman" w:hAnsi="Times New Roman"/>
          <w:sz w:val="20"/>
        </w:rPr>
        <w:t xml:space="preserve">ARTICLE 6 </w:t>
      </w:r>
    </w:p>
    <w:p>
      <w:pPr>
        <w:pStyle w:val="TextBody"/>
        <w:spacing w:before="120" w:after="0"/>
        <w:jc w:val="center"/>
        <w:rPr>
          <w:rFonts w:ascii="Times New Roman" w:hAnsi="Times New Roman"/>
          <w:sz w:val="20"/>
        </w:rPr>
      </w:pPr>
      <w:r>
        <w:rPr>
          <w:rFonts w:ascii="Times New Roman" w:hAnsi="Times New Roman"/>
          <w:sz w:val="20"/>
        </w:rPr>
        <w:t xml:space="preserve">AFFIRMATIVE COVENANTS </w:t>
      </w:r>
    </w:p>
    <w:p>
      <w:pPr>
        <w:pStyle w:val="TextBody"/>
        <w:spacing w:before="240" w:after="0"/>
        <w:jc w:val="left"/>
        <w:rPr>
          <w:rFonts w:ascii="Times New Roman" w:hAnsi="Times New Roman"/>
          <w:sz w:val="20"/>
        </w:rPr>
      </w:pPr>
      <w:r>
        <w:rPr>
          <w:rFonts w:ascii="Times New Roman" w:hAnsi="Times New Roman"/>
          <w:sz w:val="20"/>
        </w:rPr>
        <w:t xml:space="preserve">Until the Termination Date, each of Holdings and the Borrower covenants and agrees with the Credit Parties that: </w:t>
      </w:r>
    </w:p>
    <w:p>
      <w:pPr>
        <w:pStyle w:val="TextBody"/>
        <w:spacing w:before="12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Financial Statements and Other Information</w:t>
      </w:r>
      <w:r>
        <w:rPr>
          <w:rFonts w:ascii="Times New Roman" w:hAnsi="Times New Roman"/>
          <w:sz w:val="20"/>
        </w:rPr>
        <w:t xml:space="preserve">. The Borrower will furnish or caused to be furnished to the Administrative Agent and each Lender: </w:t>
      </w:r>
    </w:p>
    <w:p>
      <w:pPr>
        <w:pStyle w:val="TextBody"/>
        <w:spacing w:before="120" w:after="0"/>
        <w:jc w:val="left"/>
        <w:rPr>
          <w:rFonts w:ascii="Times New Roman" w:hAnsi="Times New Roman"/>
          <w:sz w:val="20"/>
        </w:rPr>
      </w:pPr>
      <w:r>
        <w:rPr>
          <w:rFonts w:ascii="Times New Roman" w:hAnsi="Times New Roman"/>
          <w:sz w:val="20"/>
        </w:rPr>
        <w:t xml:space="preserve">(a) within 120 days after the end of each Fiscal Year (commencing with the Fiscal Year ending December 31, 2023), the audited consolidated balance sheet of Holdings and its Subsidiaries together with the related consolidated statements of income, comprehensive income, stockholders equity and cash flows as of the end of and for such Fiscal Year, setting forth in each case in comparative form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- 67 -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figures for the previous Fiscal Year, all reported on by KPMG AG Wirtschaftsprüfungsgesellschaft or another registered independent public accounting firm of recognized standing reasonably acceptable to the Required Lenders (without a going concern or like qualification or exception (other than resulting from (x) current debt maturities or (y) any prospective or actual breach of any financial covenant) and without any qualification or exception as to the scope of such audit) to the effect that such consolidated financial statements present fairly in all material respects the financial condition and results of operations of Holdings and its Subsidiaries on a consolidated basis in accordance with GAAP consistently applied; </w:t>
      </w:r>
    </w:p>
    <w:p>
      <w:pPr>
        <w:pStyle w:val="TextBody"/>
        <w:spacing w:before="240" w:after="0"/>
        <w:jc w:val="left"/>
        <w:rPr>
          <w:rFonts w:ascii="Times New Roman" w:hAnsi="Times New Roman"/>
          <w:sz w:val="20"/>
        </w:rPr>
      </w:pPr>
      <w:r>
        <w:rPr>
          <w:rFonts w:ascii="Times New Roman" w:hAnsi="Times New Roman"/>
          <w:sz w:val="20"/>
        </w:rPr>
        <w:t xml:space="preserve">(b) within 50 days after the end of each of the first three fiscal quarters of each Fiscal Year (commencing with the fiscal quarter ending March 31, 2023), the unaudited (and unreviewed) consolidated balance sheet of Holdings and its Subsidiaries and the related unaudited (and unreviewed) consolidated statements of income, comprehensive income,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of Holdings as presenting fairly in all material respects the financial condition and results of operations of Holdings and its Subsidiaries on a consolidated basis in accordance with GAAP consistently applied, subject to normal year-end audit adjustments and the absence of footnotes; </w:t>
      </w:r>
    </w:p>
    <w:p>
      <w:pPr>
        <w:pStyle w:val="TextBody"/>
        <w:spacing w:before="240" w:after="0"/>
        <w:jc w:val="left"/>
        <w:rPr>
          <w:rFonts w:ascii="Times New Roman" w:hAnsi="Times New Roman"/>
          <w:sz w:val="20"/>
        </w:rPr>
      </w:pPr>
      <w:r>
        <w:rPr>
          <w:rFonts w:ascii="Times New Roman" w:hAnsi="Times New Roman"/>
          <w:sz w:val="20"/>
        </w:rPr>
        <w:t xml:space="preserve">(c) concurrently with any delivery of financial statements under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above, a Compliance Certificate signed by a Financial Officer of Holdings (i) stating whether any change in GAAP or in the application thereof has occurred since the date of the financial statements most recently delivered under </w:t>
      </w:r>
      <w:r>
        <w:rPr>
          <w:rFonts w:ascii="Times New Roman" w:hAnsi="Times New Roman"/>
          <w:sz w:val="20"/>
          <w:u w:val="single"/>
        </w:rPr>
        <w:t>clause (a)</w:t>
      </w:r>
      <w:r>
        <w:rPr>
          <w:rFonts w:ascii="Times New Roman" w:hAnsi="Times New Roman"/>
          <w:sz w:val="20"/>
        </w:rPr>
        <w:t xml:space="preserve"> above (or, in the case of any Compliance Certificate delivered prior to the delivery of the first set of financial statements under </w:t>
      </w:r>
      <w:r>
        <w:rPr>
          <w:rFonts w:ascii="Times New Roman" w:hAnsi="Times New Roman"/>
          <w:sz w:val="20"/>
          <w:u w:val="single"/>
        </w:rPr>
        <w:t>clause (a)</w:t>
      </w:r>
      <w:r>
        <w:rPr>
          <w:rFonts w:ascii="Times New Roman" w:hAnsi="Times New Roman"/>
          <w:sz w:val="20"/>
        </w:rPr>
        <w:t xml:space="preserve"> above, the Audited Financial Statements) and, if any such change has occurred, specifying the effect of such change on the financial statements accompanying such Compliance Certificate, (ii) containing either a certification that no Default exists or, specifying the nature of each such Default, the nature and status thereof and any action taken or proposed to be taken with respect thereto, (iii) certifying that there have been no changes to the jurisdiction of organization or legal name of any Loan Party since the date of the last Compliance Certificate delivered pursuant to the Credit Agreement, except as notified to the Administrative Agent in accordance with the Loan Documents, (iv) attaching reasonably detailed calculations demonstrating compliance with </w:t>
      </w:r>
      <w:r>
        <w:rPr>
          <w:rFonts w:ascii="Times New Roman" w:hAnsi="Times New Roman"/>
          <w:sz w:val="20"/>
          <w:u w:val="single"/>
        </w:rPr>
        <w:t>Section 7.12</w:t>
      </w:r>
      <w:r>
        <w:rPr>
          <w:rFonts w:ascii="Times New Roman" w:hAnsi="Times New Roman"/>
          <w:sz w:val="20"/>
        </w:rPr>
        <w:t xml:space="preserve">, and (v) certifying that the Borrower has no Subsidiaries other than (A) those that existed on the Closing Date, or (B) those formed or acquired after the Closing Date with respect to which the Administrative Agent was previously notified pursuant to </w:t>
      </w:r>
      <w:r>
        <w:rPr>
          <w:rFonts w:ascii="Times New Roman" w:hAnsi="Times New Roman"/>
          <w:sz w:val="20"/>
          <w:u w:val="single"/>
        </w:rPr>
        <w:t>Section 6.12</w:t>
      </w:r>
      <w:r>
        <w:rPr>
          <w:rFonts w:ascii="Times New Roman" w:hAnsi="Times New Roman"/>
          <w:sz w:val="20"/>
        </w:rPr>
        <w:t xml:space="preserve"> of the Credit Agreement; </w:t>
      </w:r>
    </w:p>
    <w:p>
      <w:pPr>
        <w:pStyle w:val="TextBody"/>
        <w:spacing w:before="240" w:after="0"/>
        <w:jc w:val="left"/>
        <w:rPr>
          <w:rFonts w:ascii="Times New Roman" w:hAnsi="Times New Roman"/>
          <w:sz w:val="20"/>
        </w:rPr>
      </w:pPr>
      <w:r>
        <w:rPr>
          <w:rFonts w:ascii="Times New Roman" w:hAnsi="Times New Roman"/>
          <w:sz w:val="20"/>
        </w:rPr>
        <w:t xml:space="preserve">(d) [reserved]; </w:t>
      </w:r>
    </w:p>
    <w:p>
      <w:pPr>
        <w:pStyle w:val="TextBody"/>
        <w:spacing w:before="240" w:after="0"/>
        <w:jc w:val="left"/>
        <w:rPr>
          <w:rFonts w:ascii="Times New Roman" w:hAnsi="Times New Roman"/>
          <w:sz w:val="20"/>
        </w:rPr>
      </w:pPr>
      <w:r>
        <w:rPr>
          <w:rFonts w:ascii="Times New Roman" w:hAnsi="Times New Roman"/>
          <w:sz w:val="20"/>
        </w:rPr>
        <w:t xml:space="preserve">(e) within 30 days after the beginning of each Fiscal Year, an annual consolidated forecast for Holdings and its Subsidiaries for such Fiscal Year and the following two Fiscal Years, including projected consolidated statements of income and comprehensive income of Holdings and its Subsidiaries, all in reasonable detail and stating all underlying assumptions; </w:t>
      </w:r>
    </w:p>
    <w:p>
      <w:pPr>
        <w:pStyle w:val="TextBody"/>
        <w:spacing w:before="240" w:after="0"/>
        <w:jc w:val="left"/>
        <w:rPr>
          <w:rFonts w:ascii="Times New Roman" w:hAnsi="Times New Roman"/>
          <w:sz w:val="20"/>
        </w:rPr>
      </w:pPr>
      <w:r>
        <w:rPr>
          <w:rFonts w:ascii="Times New Roman" w:hAnsi="Times New Roman"/>
          <w:sz w:val="20"/>
        </w:rPr>
        <w:t xml:space="preserve">(f) concurrently with the delivery of any Compliance Certificate under </w:t>
      </w:r>
      <w:r>
        <w:rPr>
          <w:rFonts w:ascii="Times New Roman" w:hAnsi="Times New Roman"/>
          <w:sz w:val="20"/>
          <w:u w:val="single"/>
        </w:rPr>
        <w:t>clause (c)</w:t>
      </w:r>
      <w:r>
        <w:rPr>
          <w:rFonts w:ascii="Times New Roman" w:hAnsi="Times New Roman"/>
          <w:sz w:val="20"/>
        </w:rPr>
        <w:t xml:space="preserve"> above, a discussion and analysis of the financial condition and results of operations of Holdings and its Subsidiaries for the portion of the Fiscal Year then elapsed, including a discussion of the reasons for any significant variations from the figures for the corresponding period of the previous Fiscal Year; and </w:t>
      </w:r>
    </w:p>
    <w:p>
      <w:pPr>
        <w:pStyle w:val="TextBody"/>
        <w:spacing w:before="240" w:after="0"/>
        <w:jc w:val="left"/>
        <w:rPr>
          <w:rFonts w:ascii="Times New Roman" w:hAnsi="Times New Roman"/>
          <w:sz w:val="20"/>
        </w:rPr>
      </w:pPr>
      <w:r>
        <w:rPr>
          <w:rFonts w:ascii="Times New Roman" w:hAnsi="Times New Roman"/>
          <w:sz w:val="20"/>
        </w:rPr>
        <w:t>(g) promptly following any request therefor, (i) if requested by Administrative Agent from time to time, copies of any annual report required to be filed in connection with each Pension Plan or Foreign Plan, (ii) such information and documentation reasonably requested by the Administrative Agent or any Lender for purposes of compliance with applicable know your customer requirements under the USA Patriot Act, the Beneficial Ownership Regulation or other applicable Anti-Corruption and Anti-</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- 68 -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Terrorism Laws (including those passed pursuant to the USA PATRIOT Act), and (iii) such other information regarding the operations, business affairs and financial condition of Holdings, the Borrower or any Subsidiary, or compliance with the terms of the Loan Documents, as any Credit Party may reasonably request. </w:t>
      </w:r>
    </w:p>
    <w:p>
      <w:pPr>
        <w:pStyle w:val="TextBody"/>
        <w:spacing w:before="240" w:after="0"/>
        <w:jc w:val="left"/>
        <w:rPr>
          <w:rFonts w:ascii="Times New Roman" w:hAnsi="Times New Roman"/>
          <w:sz w:val="20"/>
        </w:rPr>
      </w:pPr>
      <w:r>
        <w:rPr>
          <w:rFonts w:ascii="Times New Roman" w:hAnsi="Times New Roman"/>
          <w:sz w:val="20"/>
        </w:rPr>
        <w:t xml:space="preserve">If any financial materials and related certificates required to be delivered pursuant to </w:t>
      </w:r>
      <w:r>
        <w:rPr>
          <w:rFonts w:ascii="Times New Roman" w:hAnsi="Times New Roman"/>
          <w:sz w:val="20"/>
          <w:u w:val="single"/>
        </w:rPr>
        <w:t>Section 6.1</w:t>
      </w:r>
      <w:r>
        <w:rPr>
          <w:rFonts w:ascii="Times New Roman" w:hAnsi="Times New Roman"/>
          <w:sz w:val="20"/>
        </w:rPr>
        <w:t xml:space="preserve"> shall be required to be delivered on a day that is not a Business Day, the required date for such delivery shall be extended to the next succeeding Business Day. </w:t>
      </w:r>
    </w:p>
    <w:p>
      <w:pPr>
        <w:pStyle w:val="TextBody"/>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Notices of Material Events</w:t>
      </w:r>
      <w:r>
        <w:rPr>
          <w:rFonts w:ascii="Times New Roman" w:hAnsi="Times New Roman"/>
          <w:sz w:val="20"/>
        </w:rPr>
        <w:t xml:space="preserve">. Each of Holdings and the Borrower will furnish or caused to be furnished to the Administrative Agent each Lender: </w:t>
      </w:r>
    </w:p>
    <w:p>
      <w:pPr>
        <w:pStyle w:val="TextBody"/>
        <w:spacing w:before="240" w:after="0"/>
        <w:jc w:val="left"/>
        <w:rPr>
          <w:rFonts w:ascii="Times New Roman" w:hAnsi="Times New Roman"/>
          <w:sz w:val="20"/>
        </w:rPr>
      </w:pPr>
      <w:r>
        <w:rPr>
          <w:rFonts w:ascii="Times New Roman" w:hAnsi="Times New Roman"/>
          <w:sz w:val="20"/>
        </w:rPr>
        <w:t xml:space="preserve">(a) written notice of the following promptly (and in any event within (x) three (3) Business Days in the case of </w:t>
      </w:r>
      <w:r>
        <w:rPr>
          <w:rFonts w:ascii="Times New Roman" w:hAnsi="Times New Roman"/>
          <w:sz w:val="20"/>
          <w:u w:val="single"/>
        </w:rPr>
        <w:t>clause (i)</w:t>
      </w:r>
      <w:r>
        <w:rPr>
          <w:rFonts w:ascii="Times New Roman" w:hAnsi="Times New Roman"/>
          <w:sz w:val="20"/>
        </w:rPr>
        <w:t xml:space="preserve"> below and (y) five (5) Business Days with respect to all other clauses below) after Holdings or the Borrower becomes aware of the same: </w:t>
      </w:r>
    </w:p>
    <w:p>
      <w:pPr>
        <w:pStyle w:val="TextBody"/>
        <w:spacing w:before="120" w:after="0"/>
        <w:jc w:val="left"/>
        <w:rPr>
          <w:rFonts w:ascii="Times New Roman" w:hAnsi="Times New Roman"/>
          <w:sz w:val="20"/>
        </w:rPr>
      </w:pPr>
      <w:r>
        <w:rPr>
          <w:rFonts w:ascii="Times New Roman" w:hAnsi="Times New Roman"/>
          <w:sz w:val="20"/>
        </w:rPr>
        <w:t xml:space="preserve">(i) the occurrence of any Default, specifying the nature and extent thereof; </w:t>
      </w:r>
    </w:p>
    <w:p>
      <w:pPr>
        <w:pStyle w:val="TextBody"/>
        <w:spacing w:before="120" w:after="0"/>
        <w:jc w:val="left"/>
        <w:rPr>
          <w:rFonts w:ascii="Times New Roman" w:hAnsi="Times New Roman"/>
          <w:sz w:val="20"/>
        </w:rPr>
      </w:pPr>
      <w:r>
        <w:rPr>
          <w:rFonts w:ascii="Times New Roman" w:hAnsi="Times New Roman"/>
          <w:sz w:val="20"/>
        </w:rPr>
        <w:t xml:space="preserve">(ii) the filing or commencement of, or any written threat or written notice of intention of any Person to file or commence, any action, suit or proceeding, whether at law or in equity or by or before any Governmental Authority, against, or affecting, any Loan Party or any of its Subsidiaries that could reasonably be expected to be adversely determined and, if so determined, could reasonably be expected to result in a Material Adverse Effect; </w:t>
      </w:r>
    </w:p>
    <w:p>
      <w:pPr>
        <w:pStyle w:val="TextBody"/>
        <w:spacing w:before="120" w:after="0"/>
        <w:jc w:val="left"/>
        <w:rPr>
          <w:rFonts w:ascii="Times New Roman" w:hAnsi="Times New Roman"/>
          <w:sz w:val="20"/>
        </w:rPr>
      </w:pPr>
      <w:r>
        <w:rPr>
          <w:rFonts w:ascii="Times New Roman" w:hAnsi="Times New Roman"/>
          <w:sz w:val="20"/>
        </w:rPr>
        <w:t xml:space="preserve">(iii) the occurrence of any ERISA Event (or any similar event with respect to a Foreign Plan) that, alone or together with any other ERISA Event (or any similar event with respect to a Foreign Plan) could reasonably be expected to result in liability of any Loan Party or any ERISA Affiliate in an aggregate amount exceeding the Threshold Amount; </w:t>
      </w:r>
    </w:p>
    <w:p>
      <w:pPr>
        <w:pStyle w:val="TextBody"/>
        <w:spacing w:before="120" w:after="0"/>
        <w:jc w:val="left"/>
        <w:rPr>
          <w:rFonts w:ascii="Times New Roman" w:hAnsi="Times New Roman"/>
          <w:sz w:val="20"/>
        </w:rPr>
      </w:pPr>
      <w:r>
        <w:rPr>
          <w:rFonts w:ascii="Times New Roman" w:hAnsi="Times New Roman"/>
          <w:sz w:val="20"/>
        </w:rPr>
        <w:t xml:space="preserve">(iv) the receipt by any Loan Party or any of its Subsidiaries, of a copy of any notice, summons, citation or other written communication concerning any actual, alleged, suspected or threatened violation of any Environmental Law by, Environmental Claim against or Environmental Liability of, any Loan Party or any of its Subsidiaries, in each case, which could reasonably be expected to have a Material Adverse Effect; </w:t>
      </w:r>
    </w:p>
    <w:p>
      <w:pPr>
        <w:pStyle w:val="TextBody"/>
        <w:spacing w:before="120" w:after="0"/>
        <w:jc w:val="left"/>
        <w:rPr>
          <w:rFonts w:ascii="Times New Roman" w:hAnsi="Times New Roman"/>
          <w:sz w:val="20"/>
        </w:rPr>
      </w:pPr>
      <w:r>
        <w:rPr>
          <w:rFonts w:ascii="Times New Roman" w:hAnsi="Times New Roman"/>
          <w:sz w:val="20"/>
        </w:rPr>
        <w:t xml:space="preserve">(v) any Casualty Event that results in the aggregate amount of Net Cash Proceeds received from all Casualty Events exceeding $5,000,000 or any Extraordinary Receipt; </w:t>
      </w:r>
    </w:p>
    <w:p>
      <w:pPr>
        <w:pStyle w:val="TextBody"/>
        <w:spacing w:before="120" w:after="0"/>
        <w:jc w:val="left"/>
        <w:rPr>
          <w:rFonts w:ascii="Times New Roman" w:hAnsi="Times New Roman"/>
          <w:sz w:val="20"/>
        </w:rPr>
      </w:pPr>
      <w:r>
        <w:rPr>
          <w:rFonts w:ascii="Times New Roman" w:hAnsi="Times New Roman"/>
          <w:sz w:val="20"/>
        </w:rPr>
        <w:t xml:space="preserve">(vi) the occurrence of any other development that has resulted in, or could reasonably be expected to result in, a Material Adverse Effect; and </w:t>
      </w:r>
    </w:p>
    <w:p>
      <w:pPr>
        <w:pStyle w:val="TextBody"/>
        <w:spacing w:before="120" w:after="0"/>
        <w:jc w:val="left"/>
        <w:rPr>
          <w:rFonts w:ascii="Times New Roman" w:hAnsi="Times New Roman"/>
          <w:sz w:val="20"/>
        </w:rPr>
      </w:pPr>
      <w:r>
        <w:rPr>
          <w:rFonts w:ascii="Times New Roman" w:hAnsi="Times New Roman"/>
          <w:sz w:val="20"/>
        </w:rPr>
        <w:t xml:space="preserve">(vii) any change in the information provided in the most recently delivered Beneficial Ownership Certification that would result in a change to the list of beneficial owners identified therein. </w:t>
      </w:r>
    </w:p>
    <w:p>
      <w:pPr>
        <w:pStyle w:val="TextBody"/>
        <w:spacing w:before="240" w:after="0"/>
        <w:jc w:val="left"/>
        <w:rPr>
          <w:rFonts w:ascii="Times New Roman" w:hAnsi="Times New Roman"/>
          <w:sz w:val="20"/>
        </w:rPr>
      </w:pPr>
      <w:r>
        <w:rPr>
          <w:rFonts w:ascii="Times New Roman" w:hAnsi="Times New Roman"/>
          <w:sz w:val="20"/>
        </w:rPr>
        <w:t xml:space="preserve">(b) promptly after the same become publicly available, copies of all periodic and other reports, proxy statements and other materials filed by any Loan Party or any of its Subsidiaries with the Securities and Exchange Commission, or any Governmental Authority succeeding to any or all of the functions of said Commission, or with any national securities exchange, or distributed by any Loan Party to its shareholders generally, as the case may be;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- 69 -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 promptly after the furnishing thereof, copies of any statement or report furnished to any holder of debt securities of any Loan Party or of any of its Subsidiaries pursuant to the terms of any indenture, loan or credit or similar agreement and not otherwise required to be furnished to the Lenders pursuant to any other clause of this </w:t>
      </w:r>
      <w:r>
        <w:rPr>
          <w:rFonts w:ascii="Times New Roman" w:hAnsi="Times New Roman"/>
          <w:sz w:val="20"/>
          <w:u w:val="single"/>
        </w:rPr>
        <w:t>Section 6.2</w:t>
      </w:r>
      <w:r>
        <w:rPr>
          <w:rFonts w:ascii="Times New Roman" w:hAnsi="Times New Roman"/>
          <w:sz w:val="20"/>
        </w:rPr>
        <w:t xml:space="preserve">; and </w:t>
      </w:r>
    </w:p>
    <w:p>
      <w:pPr>
        <w:pStyle w:val="TextBody"/>
        <w:spacing w:before="240" w:after="0"/>
        <w:jc w:val="left"/>
        <w:rPr>
          <w:rFonts w:ascii="Times New Roman" w:hAnsi="Times New Roman"/>
          <w:sz w:val="20"/>
        </w:rPr>
      </w:pPr>
      <w:r>
        <w:rPr>
          <w:rFonts w:ascii="Times New Roman" w:hAnsi="Times New Roman"/>
          <w:sz w:val="20"/>
        </w:rPr>
        <w:t xml:space="preserve">(d) promptly after any Person becomes, or ceases to be, a Subsidiary or a Guarantor, an updated list of Subsidiaries or Guarantors, as the case may be. </w:t>
      </w:r>
    </w:p>
    <w:p>
      <w:pPr>
        <w:pStyle w:val="TextBody"/>
        <w:spacing w:before="240" w:after="0"/>
        <w:jc w:val="left"/>
        <w:rPr>
          <w:rFonts w:ascii="Times New Roman" w:hAnsi="Times New Roman"/>
          <w:sz w:val="20"/>
        </w:rPr>
      </w:pPr>
      <w:r>
        <w:rPr>
          <w:rFonts w:ascii="Times New Roman" w:hAnsi="Times New Roman"/>
          <w:sz w:val="20"/>
        </w:rPr>
        <w:t xml:space="preserve">Each notice delivered under </w:t>
      </w:r>
      <w:r>
        <w:rPr>
          <w:rFonts w:ascii="Times New Roman" w:hAnsi="Times New Roman"/>
          <w:sz w:val="20"/>
          <w:u w:val="single"/>
        </w:rPr>
        <w:t>paragraph (a)</w:t>
      </w:r>
      <w:r>
        <w:rPr>
          <w:rFonts w:ascii="Times New Roman" w:hAnsi="Times New Roman"/>
          <w:sz w:val="20"/>
        </w:rPr>
        <w:t xml:space="preserve"> of this Section shall be accompanied by a statement of a Financial Officer of Holdings or other executive officer of Holdings setting forth the details of the event or development requiring such notice and any action taken or proposed to be taken with respect thereto. </w:t>
      </w:r>
    </w:p>
    <w:p>
      <w:pPr>
        <w:pStyle w:val="TextBody"/>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Existence</w:t>
      </w:r>
      <w:r>
        <w:rPr>
          <w:rFonts w:ascii="Times New Roman" w:hAnsi="Times New Roman"/>
          <w:sz w:val="20"/>
        </w:rPr>
        <w:t xml:space="preserve">. Each of Holdings and the Borrower will, and will cause each of its Subsidiaries to, do or cause to be done all things necessary to preserve, renew and keep in full force and effect its legal existence and the rights, licenses, permits, privileges and franchises material to the conduct of its business, except to the extent that failure to do so could not reasonably be expected to have a Material Adverse Effect; and </w:t>
      </w:r>
      <w:r>
        <w:rPr>
          <w:rFonts w:ascii="Times New Roman" w:hAnsi="Times New Roman"/>
          <w:sz w:val="20"/>
          <w:u w:val="single"/>
        </w:rPr>
        <w:t>provided</w:t>
      </w:r>
      <w:r>
        <w:rPr>
          <w:rFonts w:ascii="Times New Roman" w:hAnsi="Times New Roman"/>
          <w:sz w:val="20"/>
        </w:rPr>
        <w:t xml:space="preserve"> that the foregoing shall not prohibit any merger, consolidation, liquidation or dissolution permitted under </w:t>
      </w:r>
      <w:r>
        <w:rPr>
          <w:rFonts w:ascii="Times New Roman" w:hAnsi="Times New Roman"/>
          <w:sz w:val="20"/>
          <w:u w:val="single"/>
        </w:rPr>
        <w:t>Section 7.3</w:t>
      </w:r>
      <w:r>
        <w:rPr>
          <w:rFonts w:ascii="Times New Roman" w:hAnsi="Times New Roman"/>
          <w:sz w:val="20"/>
        </w:rPr>
        <w:t xml:space="preserve"> or any Disposition permitted by </w:t>
      </w:r>
      <w:r>
        <w:rPr>
          <w:rFonts w:ascii="Times New Roman" w:hAnsi="Times New Roman"/>
          <w:sz w:val="20"/>
          <w:u w:val="single"/>
        </w:rPr>
        <w:t>Section 7.5</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Payment and Performance of Obligations</w:t>
      </w:r>
      <w:r>
        <w:rPr>
          <w:rFonts w:ascii="Times New Roman" w:hAnsi="Times New Roman"/>
          <w:sz w:val="20"/>
        </w:rPr>
        <w:t xml:space="preserve">. Each of Holdings and the Borrower will, and will cause each of its Subsidiaries to, pay or perform its obligations, including Tax liabilities, that, if not paid or performed, could reasonably be expected to result in a Material Adverse Effect before the same shall become delinquent or in default, except where (a) the validity or amount thereof is being Contested in Good Faith or (b) the failure to make payment pending such contest could not reasonably be expected to result in a Material Adverse Effect; </w:t>
      </w:r>
      <w:r>
        <w:rPr>
          <w:rFonts w:ascii="Times New Roman" w:hAnsi="Times New Roman"/>
          <w:sz w:val="20"/>
          <w:u w:val="single"/>
        </w:rPr>
        <w:t>provided</w:t>
      </w:r>
      <w:r>
        <w:rPr>
          <w:rFonts w:ascii="Times New Roman" w:hAnsi="Times New Roman"/>
          <w:sz w:val="20"/>
        </w:rPr>
        <w:t xml:space="preserve"> that nothing in this Section shall be deemed to require any Loan Party to pay any subordinated Indebtedness in violation of the subordination provisions applicable thereto. </w:t>
      </w:r>
    </w:p>
    <w:p>
      <w:pPr>
        <w:pStyle w:val="TextBody"/>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Maintenance of Properties</w:t>
      </w:r>
      <w:r>
        <w:rPr>
          <w:rFonts w:ascii="Times New Roman" w:hAnsi="Times New Roman"/>
          <w:sz w:val="20"/>
        </w:rPr>
        <w:t xml:space="preserve">. Each of Holdings and the Borrower will, and will cause each of its Subsidiaries to, keep and maintain all tangible property material to the conduct of its business in good working order and condition, ordinary wear and tear excepted, except to the extent that the failure to do so could not reasonably be expected to have a Material Adverse Effect. </w:t>
      </w:r>
    </w:p>
    <w:p>
      <w:pPr>
        <w:pStyle w:val="TextBody"/>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Books and Records; Inspection Rights</w:t>
      </w:r>
      <w:r>
        <w:rPr>
          <w:rFonts w:ascii="Times New Roman" w:hAnsi="Times New Roman"/>
          <w:sz w:val="20"/>
        </w:rPr>
        <w:t>. Each of Holdings and the Borrower will, and will cause each of its Subsidiaries to, (a) keep proper books of record and account in which full, true and correct entries in accordance in all material respects with GAAP are made of all dealings and transactions in relation to its business and activities and (b) permit any representatives designated by the Lenders, upon reasonable prior notice, to visit and inspect its properties, to examine and make extracts from its books and records, and to discuss its affairs, finances and condition with its officers and independent accounting firm (</w:t>
      </w:r>
      <w:r>
        <w:rPr>
          <w:rFonts w:ascii="Times New Roman" w:hAnsi="Times New Roman"/>
          <w:sz w:val="20"/>
          <w:u w:val="single"/>
        </w:rPr>
        <w:t>provided</w:t>
      </w:r>
      <w:r>
        <w:rPr>
          <w:rFonts w:ascii="Times New Roman" w:hAnsi="Times New Roman"/>
          <w:sz w:val="20"/>
        </w:rPr>
        <w:t xml:space="preserve"> that a representative of the Borrower shall be entitled to attend any such meetings with such independent public accountants), all at the reasonable expense of the Borrower in a manner that does not unreasonably disrupt the operation of the business of Holdings and its Subsidiaries and at such reasonable times during normal business hours as are mutually agreed and as often as reasonably requested;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any such visit or inspection shall be conducted in compliance with any applicable health, safety and security protocol and shall be subject to </w:t>
      </w:r>
      <w:r>
        <w:rPr>
          <w:rFonts w:ascii="Times New Roman" w:hAnsi="Times New Roman"/>
          <w:sz w:val="20"/>
          <w:u w:val="single"/>
        </w:rPr>
        <w:t>Section 10.15</w:t>
      </w:r>
      <w:r>
        <w:rPr>
          <w:rFonts w:ascii="Times New Roman" w:hAnsi="Times New Roman"/>
          <w:sz w:val="20"/>
        </w:rPr>
        <w:t xml:space="preserve">, (ii) unless an Event of Default has occurred and is continuing, the Lenders may exercise rights under this Section no more than two times in any calendar year and (iii) during the existence of an Event of Default, the Administrative Agent or any Lender (or any of their respective representatives or independent contractors) may do any of the foregoing at the expense of the Borrower at any time during normal business hours and without advance notice;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notwithstanding anything to the contrary herein, neither Holdings nor any Subsidiary shall be required to disclose, permit the inspection, examination or making of copies of or taking abstracts from, or discuss any document, information or other matter (w) that constitutes non-financial trade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- 70 -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secrets or non-financial proprietary information of Holdings and its Subsidiaries and/or any of its customers and/or suppliers, (x) in respect of which disclosure to the Administrative Agent or any Lender (or any of their respective representatives or agents) is prohibited by Applicable Law, (y) that is subject to attorney-client or similar privilege or (z) in respect of which Holdings or any Subsidiary owes confidentiality obligations to any third party (so long as such obligations were not incurred in contemplation of preventing such disclosure, inspection, examination or copying hereunder, and it being understood that (1) Holdings or any such Subsidiary shall inform the Administrative Agent of the existence and nature of the confidential records, documents or other information not being provided and, (2) following a reasonable request from the Administrative Agent (at the direction of the Required Lenders), use commercially reasonable efforts to request consent from an applicable contractual counterparty to disclose such information (but shall not be required to incur any material cost or expense or pay any consideration of any type to such party in order to obtain such consent)). </w:t>
      </w:r>
    </w:p>
    <w:p>
      <w:pPr>
        <w:pStyle w:val="TextBody"/>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Compliance with Laws</w:t>
      </w:r>
      <w:r>
        <w:rPr>
          <w:rFonts w:ascii="Times New Roman" w:hAnsi="Times New Roman"/>
          <w:sz w:val="20"/>
        </w:rPr>
        <w:t xml:space="preserve">. Each of Holdings and the Borrower will, and will cause each of its Subsidiaries to, comply with all laws, rules, regulations and orders of any Governmental Authority applicable to it or its property and maintain all permits and licenses necessary to conduct its business, except where the failure to do so, individually or in the aggregate, could not reasonably be expected to result in a Material Adverse Effect. In addition, and without limiting the foregoing sentence, each Loan Party will, and will cause each of its Subsidiaries to, comply in all material respects with Anti-Corruption Laws, applicable Sanctions and the USA PATRIOT Act and the regulations promulgated thereunder. </w:t>
      </w:r>
    </w:p>
    <w:p>
      <w:pPr>
        <w:pStyle w:val="TextBody"/>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sz w:val="20"/>
          <w:u w:val="single"/>
        </w:rPr>
        <w:t>Section 6.7</w:t>
      </w:r>
      <w:r>
        <w:rPr>
          <w:rFonts w:ascii="Times New Roman" w:hAnsi="Times New Roman"/>
          <w:sz w:val="20"/>
        </w:rPr>
        <w:t xml:space="preserve"> shall only apply to any Foreign Subsidiary or for the benefit of any Secured Party to the extent that the giving or receiving of, or compliance with, the relevant affirmative covenant does not result in a violation of or conflict with, or expose any Foreign Subsidiary, any Secured Party or any Affiliate, director, officer or employee of any of the foregoing to any liability under, any anti-boycott or blocking law, regulation or statue that is in force from time to time and applicable thereto (including the Council Regulation (EC) No 2271/96 and/or section 7 of the German Foreign Trade Regulation (</w:t>
      </w:r>
      <w:r>
        <w:rPr>
          <w:rFonts w:ascii="Times New Roman" w:hAnsi="Times New Roman"/>
          <w:i/>
          <w:sz w:val="20"/>
        </w:rPr>
        <w:t>Außenwirtschaftsverordnung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Use of Proceeds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The proceeds of the Loans will be used (i) on the Closing Date to repay in full the Existing Debt Facility and (ii) otherwise only for general corporate purposes not inconsistent with the terms hereof or in contravention of any Law or any Loan Document. </w:t>
      </w:r>
    </w:p>
    <w:p>
      <w:pPr>
        <w:pStyle w:val="TextBody"/>
        <w:spacing w:before="240" w:after="0"/>
        <w:jc w:val="left"/>
        <w:rPr>
          <w:rFonts w:ascii="Times New Roman" w:hAnsi="Times New Roman"/>
          <w:sz w:val="20"/>
        </w:rPr>
      </w:pPr>
      <w:r>
        <w:rPr>
          <w:rFonts w:ascii="Times New Roman" w:hAnsi="Times New Roman"/>
          <w:sz w:val="20"/>
        </w:rPr>
        <w:t xml:space="preserve">(b) No part of the proceeds of any Loan will be used, whether directly or indirectly, and whether immediately, incidentally or ultimately, (a) to purchase, acquire or carry any Margin Stock or (b) for any purpose that entails a violation of any of the regulations of the Federal Reserve Board, including Regulations T, U and X. </w:t>
      </w:r>
    </w:p>
    <w:p>
      <w:pPr>
        <w:pStyle w:val="TextBody"/>
        <w:spacing w:before="240" w:after="0"/>
        <w:jc w:val="left"/>
        <w:rPr>
          <w:rFonts w:ascii="Times New Roman" w:hAnsi="Times New Roman"/>
          <w:sz w:val="20"/>
        </w:rPr>
      </w:pPr>
      <w:r>
        <w:rPr>
          <w:rFonts w:ascii="Times New Roman" w:hAnsi="Times New Roman"/>
          <w:sz w:val="20"/>
        </w:rPr>
        <w:t xml:space="preserve">(c) The Borrower shall not use, and shall ensure that each Loan Party, their respective Subsidiaries and their respective directors, officers, employees and agents shall not use, the proceeds of any Loan (i) in furtherance of an offer, payment, promise to pay, or authorization of the payment or giving of money, or anything else of value, to any Person in violation of any Anti-Corruption Laws or (ii) in any manner that would result in the violation of any applicable Sanctions or any Anti-Terrorism Laws by any Person, including any Credit Party. </w:t>
      </w:r>
    </w:p>
    <w:p>
      <w:pPr>
        <w:pStyle w:val="TextBody"/>
        <w:spacing w:before="240" w:after="0"/>
        <w:jc w:val="left"/>
        <w:rPr>
          <w:rFonts w:ascii="Times New Roman" w:hAnsi="Times New Roman"/>
          <w:sz w:val="20"/>
        </w:rPr>
      </w:pPr>
      <w:r>
        <w:rPr>
          <w:rFonts w:ascii="Times New Roman" w:hAnsi="Times New Roman"/>
          <w:sz w:val="20"/>
        </w:rPr>
        <w:t>(d) This Section 6.8 shall only apply to any Foreign Subsidiary or for the benefit of any Secured Party to the extent that the giving or receiving of, or compliance with, the relevant affirmative covenant does not result in a violation of or conflict with, or expose any Foreign Subsidiary, any Secured Party or any Affiliate, director, officer or employee of any of the foregoing to any liability under, any anti- boycott or blocking law, regulation or statue that is in force from time to time and applicable thereto (including the Council Regulation (EC) No 2271/96 and/or section 7 of the German Foreign Trade Regulation (</w:t>
      </w:r>
      <w:r>
        <w:rPr>
          <w:rFonts w:ascii="Times New Roman" w:hAnsi="Times New Roman"/>
          <w:i/>
          <w:sz w:val="20"/>
        </w:rPr>
        <w:t>Außenwirtschaftsverordnung</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- 71 -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6.9 </w:t>
      </w:r>
      <w:r>
        <w:rPr>
          <w:rFonts w:ascii="Times New Roman" w:hAnsi="Times New Roman"/>
          <w:sz w:val="20"/>
          <w:u w:val="single"/>
        </w:rPr>
        <w:t>Information Concerning Collateral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The Borrower will furnish to the Administrative Agent no later than ten (10) days after the occurrence thereof written notice of any change in: </w:t>
      </w:r>
    </w:p>
    <w:p>
      <w:pPr>
        <w:pStyle w:val="TextBody"/>
        <w:spacing w:before="120" w:after="0"/>
        <w:jc w:val="left"/>
        <w:rPr>
          <w:rFonts w:ascii="Times New Roman" w:hAnsi="Times New Roman"/>
          <w:sz w:val="20"/>
        </w:rPr>
      </w:pPr>
      <w:r>
        <w:rPr>
          <w:rFonts w:ascii="Times New Roman" w:hAnsi="Times New Roman"/>
          <w:sz w:val="20"/>
        </w:rPr>
        <w:t xml:space="preserve">(i) the legal name or jurisdiction of incorporation or formation of any Loan Party; </w:t>
      </w:r>
    </w:p>
    <w:p>
      <w:pPr>
        <w:pStyle w:val="TextBody"/>
        <w:spacing w:before="120" w:after="0"/>
        <w:jc w:val="left"/>
        <w:rPr>
          <w:rFonts w:ascii="Times New Roman" w:hAnsi="Times New Roman"/>
          <w:sz w:val="20"/>
        </w:rPr>
      </w:pPr>
      <w:r>
        <w:rPr>
          <w:rFonts w:ascii="Times New Roman" w:hAnsi="Times New Roman"/>
          <w:sz w:val="20"/>
        </w:rPr>
        <w:t xml:space="preserve">(ii) the location of (A) the chief executive office of any Loan Party, (B) its principal place of business, (C) any office in which it maintains books or records relating to Collateral owned or held by it or on its behalf, or (D) except as provided in the applicable Collateral Documents, any office or facility at which Collateral owned or held by it or on its behalf with an aggregate book value in excess of $1,000,000 is located (including the establishment of any such new office or facility); </w:t>
      </w:r>
    </w:p>
    <w:p>
      <w:pPr>
        <w:pStyle w:val="TextBody"/>
        <w:spacing w:before="120" w:after="0"/>
        <w:jc w:val="left"/>
        <w:rPr>
          <w:rFonts w:ascii="Times New Roman" w:hAnsi="Times New Roman"/>
          <w:sz w:val="20"/>
        </w:rPr>
      </w:pPr>
      <w:r>
        <w:rPr>
          <w:rFonts w:ascii="Times New Roman" w:hAnsi="Times New Roman"/>
          <w:sz w:val="20"/>
        </w:rPr>
        <w:t xml:space="preserve">(iii) the identity or organizational structure of any Loan Party such that a filed financing statement becomes misleading; or </w:t>
      </w:r>
    </w:p>
    <w:p>
      <w:pPr>
        <w:pStyle w:val="TextBody"/>
        <w:spacing w:before="120" w:after="0"/>
        <w:jc w:val="left"/>
        <w:rPr>
          <w:rFonts w:ascii="Times New Roman" w:hAnsi="Times New Roman"/>
          <w:sz w:val="20"/>
        </w:rPr>
      </w:pPr>
      <w:r>
        <w:rPr>
          <w:rFonts w:ascii="Times New Roman" w:hAnsi="Times New Roman"/>
          <w:sz w:val="20"/>
        </w:rPr>
        <w:t xml:space="preserve">(iv) the Federal Taxpayer Identification Number or company organizational number of any Loan Party. </w:t>
      </w:r>
    </w:p>
    <w:p>
      <w:pPr>
        <w:pStyle w:val="TextBody"/>
        <w:spacing w:before="240" w:after="0"/>
        <w:jc w:val="left"/>
        <w:rPr>
          <w:rFonts w:ascii="Times New Roman" w:hAnsi="Times New Roman"/>
          <w:sz w:val="20"/>
        </w:rPr>
      </w:pPr>
      <w:r>
        <w:rPr>
          <w:rFonts w:ascii="Times New Roman" w:hAnsi="Times New Roman"/>
          <w:sz w:val="20"/>
        </w:rPr>
        <w:t xml:space="preserve">(b) The Borrower agrees in respect of any change referred to in the preceding sentence to ensure that all filings be made under the UCC or otherwise that are required in order for the Administrative Agent to continue at all times following such change to have a valid, legal and perfected security interest in all the Collateral. </w:t>
      </w:r>
    </w:p>
    <w:p>
      <w:pPr>
        <w:pStyle w:val="TextBody"/>
        <w:spacing w:before="240" w:after="0"/>
        <w:jc w:val="left"/>
        <w:rPr>
          <w:rFonts w:ascii="Times New Roman" w:hAnsi="Times New Roman"/>
          <w:sz w:val="20"/>
        </w:rPr>
      </w:pPr>
      <w:r>
        <w:rPr>
          <w:rFonts w:ascii="Times New Roman" w:hAnsi="Times New Roman"/>
          <w:sz w:val="20"/>
        </w:rPr>
        <w:t xml:space="preserve">(c) The Borrower also agrees promptly to notify the Administrative Agent in writing if any material portion of the Collateral is damaged or destroyed. </w:t>
      </w:r>
    </w:p>
    <w:p>
      <w:pPr>
        <w:pStyle w:val="TextBody"/>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Insurance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Each of Holdings and the Borrower will, and will cause each of its Subsidiaries to, maintain, with financially sound and reputable insurance companies, adequate insurance for its insurable properties, all to such extent and against such risks, including fire, casualty, business interruption and other risks insured against by extended coverage, as is customary for companies in the same or similar businesses operating in the same or similar locations and of same or similar size. </w:t>
      </w:r>
    </w:p>
    <w:p>
      <w:pPr>
        <w:pStyle w:val="TextBody"/>
        <w:spacing w:before="240" w:after="0"/>
        <w:jc w:val="left"/>
        <w:rPr>
          <w:rFonts w:ascii="Times New Roman" w:hAnsi="Times New Roman"/>
          <w:sz w:val="20"/>
        </w:rPr>
      </w:pPr>
      <w:r>
        <w:rPr>
          <w:rFonts w:ascii="Times New Roman" w:hAnsi="Times New Roman"/>
          <w:sz w:val="20"/>
        </w:rPr>
        <w:t xml:space="preserve">(b) With respect to any portion of any Mortgaged Property that is located in a Flood Zone within a community participating in the Flood Program, the Borrower will, and will cause any applicable Loan Party to, maintain through the Flood Program or through private insurance policies, with financially sound and reputable insurance companies (except to the extent that any insurance company insuring the Mortgaged Property of the Borrower and each other Loan Party ceases to be financially sound and reputable after the Closing Date, in which case, the Borrower shall promptly replace such insurance company with a financially sound and reputable insurance company), such flood insurance coverage under policies issued pursuant to and in compliance with the Flood Insurance Laws in an amount equal to the maximum limit of coverage available for such Mortgaged Property under Flood Insurance Laws, subject only to deductibles consistent in scope and amount with those permitted under the Flood Program;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- 72 -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 Each of Holdings and the Borrower will, and will cause each of its Subsidiaries to, (i) promptly cause (x) all Loan Parties (other than Domestic Subsidiaries of Holdings) to grant perfected Liens over the insurance policies of such Loan Parties and (y) all U.S. insurance policies (other than D&amp;O policies) of the Domestic Subsidiaries of Holdings to be endorsed or otherwise amended to include an additional insured endorsement or, in the case of property or casualty insurance in respect of the Collateral, a standard or New York lenders loss payable endorsement, in each case, as available, customary and appropriate, each in form and substance reasonably satisfactory to the Administrative Agent and the Required Lenders, and which lenders loss payable endorsement or amendment shall provide that, from and after the date thereof, if the insurance carrier shall have received written notice from the Administrative Agent of the occurrence of an Event of Default, the insurance carrier shall pay all proceeds otherwise payable to such Loan Party under such policies directly to the Administrative Agent and (ii) if such renewal or replacement is required to satisfy the requirements of </w:t>
      </w:r>
      <w:r>
        <w:rPr>
          <w:rFonts w:ascii="Times New Roman" w:hAnsi="Times New Roman"/>
          <w:sz w:val="20"/>
          <w:u w:val="single"/>
        </w:rPr>
        <w:t>clause (a)</w:t>
      </w:r>
      <w:r>
        <w:rPr>
          <w:rFonts w:ascii="Times New Roman" w:hAnsi="Times New Roman"/>
          <w:sz w:val="20"/>
        </w:rPr>
        <w:t xml:space="preserve">, deliver to the Administrative Agent, prior to the cancellation, modification or non-renewal of any such policy of insurance, a copy of a renewal or replacement policy (or other evidence of renewal of a policy previously delivered to the Administrative Agent or Required Lenders) together with evidence reasonably satisfactory to the Required Lenders of payment of the premium therefor. </w:t>
      </w:r>
    </w:p>
    <w:p>
      <w:pPr>
        <w:pStyle w:val="TextBody"/>
        <w:spacing w:before="240" w:after="0"/>
        <w:jc w:val="left"/>
        <w:rPr>
          <w:rFonts w:ascii="Times New Roman" w:hAnsi="Times New Roman"/>
          <w:sz w:val="20"/>
        </w:rPr>
      </w:pPr>
      <w:r>
        <w:rPr>
          <w:rFonts w:ascii="Times New Roman" w:hAnsi="Times New Roman"/>
          <w:sz w:val="20"/>
        </w:rPr>
        <w:t xml:space="preserve">(d) Each of Holdings and the Borrower will promptly upon request of the Administrative Agent or any other Lender, deliver to the Administrative Agent (for distribution to all Lenders), evidence of compliance by all Loan Parties with the requirements contained </w:t>
      </w:r>
      <w:r>
        <w:rPr>
          <w:rFonts w:ascii="Times New Roman" w:hAnsi="Times New Roman"/>
          <w:sz w:val="20"/>
          <w:u w:val="single"/>
        </w:rPr>
        <w:t>Sections 6.10(a)</w:t>
      </w:r>
      <w:r>
        <w:rPr>
          <w:rFonts w:ascii="Times New Roman" w:hAnsi="Times New Roman"/>
          <w:sz w:val="20"/>
        </w:rPr>
        <w:t xml:space="preserve"> through </w:t>
      </w:r>
      <w:r>
        <w:rPr>
          <w:rFonts w:ascii="Times New Roman" w:hAnsi="Times New Roman"/>
          <w:sz w:val="20"/>
          <w:u w:val="single"/>
        </w:rPr>
        <w:t>(c)</w:t>
      </w:r>
      <w:r>
        <w:rPr>
          <w:rFonts w:ascii="Times New Roman" w:hAnsi="Times New Roman"/>
          <w:sz w:val="20"/>
        </w:rPr>
        <w:t xml:space="preserve"> in form and substance reasonably acceptable to the Administrative Agent and the Lenders, including evidence of annual renewals of such insurance. </w:t>
      </w:r>
    </w:p>
    <w:p>
      <w:pPr>
        <w:pStyle w:val="TextBody"/>
        <w:spacing w:before="240" w:after="0"/>
        <w:jc w:val="left"/>
        <w:rPr>
          <w:rFonts w:ascii="Times New Roman" w:hAnsi="Times New Roman"/>
          <w:sz w:val="20"/>
        </w:rPr>
      </w:pPr>
      <w:r>
        <w:rPr>
          <w:rFonts w:ascii="Times New Roman" w:hAnsi="Times New Roman"/>
          <w:sz w:val="20"/>
        </w:rPr>
        <w:t xml:space="preserve">(e) [reserved]. </w:t>
      </w:r>
    </w:p>
    <w:p>
      <w:pPr>
        <w:pStyle w:val="TextBody"/>
        <w:spacing w:before="240" w:after="0"/>
        <w:jc w:val="left"/>
        <w:rPr>
          <w:rFonts w:ascii="Times New Roman" w:hAnsi="Times New Roman"/>
          <w:sz w:val="20"/>
        </w:rPr>
      </w:pPr>
      <w:r>
        <w:rPr>
          <w:rFonts w:ascii="Times New Roman" w:hAnsi="Times New Roman"/>
          <w:sz w:val="20"/>
        </w:rPr>
        <w:t xml:space="preserve">(f) In connection with the covenants set forth in this </w:t>
      </w:r>
      <w:r>
        <w:rPr>
          <w:rFonts w:ascii="Times New Roman" w:hAnsi="Times New Roman"/>
          <w:sz w:val="20"/>
          <w:u w:val="single"/>
        </w:rPr>
        <w:t>Section 6.10</w:t>
      </w:r>
      <w:r>
        <w:rPr>
          <w:rFonts w:ascii="Times New Roman" w:hAnsi="Times New Roman"/>
          <w:sz w:val="20"/>
        </w:rPr>
        <w:t xml:space="preserve">, it is understood and agreed that: </w:t>
      </w:r>
    </w:p>
    <w:p>
      <w:pPr>
        <w:pStyle w:val="TextBody"/>
        <w:spacing w:before="120" w:after="0"/>
        <w:jc w:val="left"/>
        <w:rPr>
          <w:rFonts w:ascii="Times New Roman" w:hAnsi="Times New Roman"/>
          <w:sz w:val="20"/>
        </w:rPr>
      </w:pPr>
      <w:r>
        <w:rPr>
          <w:rFonts w:ascii="Times New Roman" w:hAnsi="Times New Roman"/>
          <w:sz w:val="20"/>
        </w:rPr>
        <w:t xml:space="preserve">(i) no Credit Party or any of its Related Parties shall be liable for any loss or damage insured by the insurance policies required to be maintained under this </w:t>
      </w:r>
      <w:r>
        <w:rPr>
          <w:rFonts w:ascii="Times New Roman" w:hAnsi="Times New Roman"/>
          <w:sz w:val="20"/>
          <w:u w:val="single"/>
        </w:rPr>
        <w:t>Section 6.10</w:t>
      </w:r>
      <w:r>
        <w:rPr>
          <w:rFonts w:ascii="Times New Roman" w:hAnsi="Times New Roman"/>
          <w:sz w:val="20"/>
        </w:rPr>
        <w:t xml:space="preserve">, it being understood that (A) each Loan Party shall look solely to its insurance companies or any other parties other than the aforesaid parties for the recovery of such loss or damage and (B) such insurance companies shall have no rights of subrogation against any Credit Party or any of their Related Parties;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insurance policies do not provide waiver of subrogation rights against such parties, as required above, then the Borrower (for itself and each of its Subsidiaries) hereby agrees, to the extent permitted by law, to waive its right of recovery, if any, against the Credit Parties and their Related Parties; and </w:t>
      </w:r>
    </w:p>
    <w:p>
      <w:pPr>
        <w:pStyle w:val="TextBody"/>
        <w:spacing w:before="120" w:after="0"/>
        <w:jc w:val="left"/>
        <w:rPr>
          <w:rFonts w:ascii="Times New Roman" w:hAnsi="Times New Roman"/>
          <w:sz w:val="20"/>
        </w:rPr>
      </w:pPr>
      <w:r>
        <w:rPr>
          <w:rFonts w:ascii="Times New Roman" w:hAnsi="Times New Roman"/>
          <w:sz w:val="20"/>
        </w:rPr>
        <w:t xml:space="preserve">(ii) the designation of any form, type or amount of insurance coverage by the Administrative Agent or the Required Lenders under this </w:t>
      </w:r>
      <w:r>
        <w:rPr>
          <w:rFonts w:ascii="Times New Roman" w:hAnsi="Times New Roman"/>
          <w:sz w:val="20"/>
          <w:u w:val="single"/>
        </w:rPr>
        <w:t>Section 6.10</w:t>
      </w:r>
      <w:r>
        <w:rPr>
          <w:rFonts w:ascii="Times New Roman" w:hAnsi="Times New Roman"/>
          <w:sz w:val="20"/>
        </w:rPr>
        <w:t xml:space="preserve"> shall in no event be deemed a representation, warranty or advice by any Credit Party that such insurance is adequate for the purposes of the business of any Loan Party or its Subsidiaries or the protection of their properties and the Administrative Agent and the Required Lenders shall have the right from time to time to require the Loan Parties and their respective Subsidiaries to keep other insurance in such form and amount as the Administrative Agent or the Required Lenders may reasonably request; </w:t>
      </w:r>
      <w:r>
        <w:rPr>
          <w:rFonts w:ascii="Times New Roman" w:hAnsi="Times New Roman"/>
          <w:sz w:val="20"/>
          <w:u w:val="single"/>
        </w:rPr>
        <w:t>provided</w:t>
      </w:r>
      <w:r>
        <w:rPr>
          <w:rFonts w:ascii="Times New Roman" w:hAnsi="Times New Roman"/>
          <w:sz w:val="20"/>
        </w:rPr>
        <w:t xml:space="preserve"> that such insurance shall be obtainable on commercially reasonable terms.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- 73 -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[Reserved]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Covenant to Guarantee and Provide Security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Subsidiary Guarantors</w:t>
      </w:r>
      <w:r>
        <w:rPr>
          <w:rFonts w:ascii="Times New Roman" w:hAnsi="Times New Roman"/>
          <w:sz w:val="20"/>
        </w:rPr>
        <w:t xml:space="preserve">. If any Subsidiary of Borrower is formed or acquired after the Agreement Date, the Borrower will notify the Credit Parties in writing thereof within ten (10) Business Days following the date on which such Subsidiary is formed or acquired (or such later date as may be acceptable to the Administrative Agent in its sole discretion) and (except in the case of a Subsidiary that is a Controlled Foreign Corporation or an FSHC): </w:t>
      </w:r>
    </w:p>
    <w:p>
      <w:pPr>
        <w:pStyle w:val="TextBody"/>
        <w:spacing w:before="120" w:after="0"/>
        <w:jc w:val="left"/>
        <w:rPr>
          <w:rFonts w:ascii="Times New Roman" w:hAnsi="Times New Roman"/>
          <w:sz w:val="20"/>
        </w:rPr>
      </w:pPr>
      <w:r>
        <w:rPr>
          <w:rFonts w:ascii="Times New Roman" w:hAnsi="Times New Roman"/>
          <w:sz w:val="20"/>
        </w:rPr>
        <w:t xml:space="preserve">(i) the Borrower will cause each such Subsidiary to execute and deliver a Subsidiary Joinder Agreement and a Perfection Certificate within such ten (10) Business Day period; </w:t>
      </w:r>
    </w:p>
    <w:p>
      <w:pPr>
        <w:pStyle w:val="TextBody"/>
        <w:spacing w:before="120" w:after="0"/>
        <w:jc w:val="left"/>
        <w:rPr>
          <w:rFonts w:ascii="Times New Roman" w:hAnsi="Times New Roman"/>
          <w:sz w:val="20"/>
        </w:rPr>
      </w:pPr>
      <w:r>
        <w:rPr>
          <w:rFonts w:ascii="Times New Roman" w:hAnsi="Times New Roman"/>
          <w:sz w:val="20"/>
        </w:rPr>
        <w:t xml:space="preserve">(ii) the Borrower will cause such Subsidiary to take such actions to create and perfect Liens on such Subsidiarys assets and the Equity Interests of such Subsidiary to secure the Secured Obligations consistent with the Collateral and Guarantee Requirements and the Collateral Documents and as the Administrative Agent or Required Lenders shall reasonably request; </w:t>
      </w:r>
    </w:p>
    <w:p>
      <w:pPr>
        <w:pStyle w:val="TextBody"/>
        <w:spacing w:before="120" w:after="0"/>
        <w:jc w:val="left"/>
        <w:rPr>
          <w:rFonts w:ascii="Times New Roman" w:hAnsi="Times New Roman"/>
          <w:sz w:val="20"/>
        </w:rPr>
      </w:pPr>
      <w:r>
        <w:rPr>
          <w:rFonts w:ascii="Times New Roman" w:hAnsi="Times New Roman"/>
          <w:sz w:val="20"/>
        </w:rPr>
        <w:t xml:space="preserve">(iii) [reserved]; </w:t>
      </w:r>
    </w:p>
    <w:p>
      <w:pPr>
        <w:pStyle w:val="TextBody"/>
        <w:spacing w:before="120" w:after="0"/>
        <w:jc w:val="left"/>
        <w:rPr>
          <w:rFonts w:ascii="Times New Roman" w:hAnsi="Times New Roman"/>
          <w:sz w:val="20"/>
        </w:rPr>
      </w:pPr>
      <w:r>
        <w:rPr>
          <w:rFonts w:ascii="Times New Roman" w:hAnsi="Times New Roman"/>
          <w:sz w:val="20"/>
        </w:rPr>
        <w:t xml:space="preserve">(iv) [reserved]; and </w:t>
      </w:r>
    </w:p>
    <w:p>
      <w:pPr>
        <w:pStyle w:val="TextBody"/>
        <w:spacing w:before="120" w:after="0"/>
        <w:jc w:val="left"/>
        <w:rPr>
          <w:rFonts w:ascii="Times New Roman" w:hAnsi="Times New Roman"/>
          <w:sz w:val="20"/>
        </w:rPr>
      </w:pPr>
      <w:r>
        <w:rPr>
          <w:rFonts w:ascii="Times New Roman" w:hAnsi="Times New Roman"/>
          <w:sz w:val="20"/>
        </w:rPr>
        <w:t xml:space="preserve">(v) the Borrower will deliver or cause to be delivered to the Administrative Agent such certificates and legal opinions as would have been required had such Subsidiary been a Subsidiary Guarantor on the Closing Date.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Real Property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 Upon the acquisition by any Loan Party after the Closing Date of any Material Owned Real Property or if any Real Property becomes Material Owned Real Property, the Borrower shall promptly notify the Administrative Agent, setting forth with specificity a description of such Material Owned Real Property, including the location thereof, any structures or improvements thereon and, as determined by the Required Lenders in their sole discretion, either an appraisal or Borrowers good faith estimate of the current value of such Material Owned Real Property. Within 45 days of the delivery of such notice and unless the Required Lenders in their sole discretion determine not to require a Mortgage on such Material Owned Real Property: </w:t>
      </w:r>
    </w:p>
    <w:p>
      <w:pPr>
        <w:pStyle w:val="TextBody"/>
        <w:spacing w:before="120" w:after="0"/>
        <w:jc w:val="left"/>
        <w:rPr>
          <w:rFonts w:ascii="Times New Roman" w:hAnsi="Times New Roman"/>
          <w:sz w:val="20"/>
        </w:rPr>
      </w:pPr>
      <w:r>
        <w:rPr>
          <w:rFonts w:ascii="Times New Roman" w:hAnsi="Times New Roman"/>
          <w:sz w:val="20"/>
        </w:rPr>
        <w:t xml:space="preserve">(A) the Loan Party that owns such Material Owned Real Property shall have delivered a Mortgage to Administrative Agent together with such other documents, agreements and instruments as Administrative Agent or the Required Lenders shall reasonably request, and </w:t>
      </w:r>
    </w:p>
    <w:p>
      <w:pPr>
        <w:pStyle w:val="TextBody"/>
        <w:spacing w:before="120" w:after="0"/>
        <w:jc w:val="left"/>
        <w:rPr>
          <w:rFonts w:ascii="Times New Roman" w:hAnsi="Times New Roman"/>
          <w:sz w:val="20"/>
        </w:rPr>
      </w:pPr>
      <w:r>
        <w:rPr>
          <w:rFonts w:ascii="Times New Roman" w:hAnsi="Times New Roman"/>
          <w:sz w:val="20"/>
        </w:rPr>
        <w:t xml:space="preserve">(B) the Borrower shall, or shall cause such Loan Party to, pay all fees and expenses, including Attorney Costs, in connection with each Loan Partys obligations under this Section.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Further Assurances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 Each of Holdings and the Borrower will, and will cause each of the Loan Parties to, grant to the Administrative Agent, for the benefit of the Secured Parties, security interests in such of its assets and properties in order that the Borrower and the Loan Parties be in compliance with the Collateral and Guarantee Requirement.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- 74 -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(ii) Each of Holdings and the Borrower will, and will cause each of the Loan Parties to, at its own expense, make, execute, endorse, acknowledge, file or deliver to the Administrative Agent from time to time such documents, agreements, instruments, vouchers, invoices, schedules, confirmatory assignments, conveyances, financing statements, transfer endorsements, powers of attorney, certificates, surveys, reports and other assurances or instruments to satisfy the Collateral and Guarantee Requirement, and take such further steps relating to the Collateral covered by any of the Collateral Documents as the Administrative Agent or the Required Lenders may reasonably require. </w:t>
      </w:r>
    </w:p>
    <w:p>
      <w:pPr>
        <w:pStyle w:val="TextBody"/>
        <w:spacing w:before="120" w:after="0"/>
        <w:jc w:val="left"/>
        <w:rPr>
          <w:rFonts w:ascii="Times New Roman" w:hAnsi="Times New Roman"/>
          <w:sz w:val="20"/>
        </w:rPr>
      </w:pPr>
      <w:r>
        <w:rPr>
          <w:rFonts w:ascii="Times New Roman" w:hAnsi="Times New Roman"/>
          <w:sz w:val="20"/>
        </w:rPr>
        <w:t xml:space="preserve">(iii) Each action required by this </w:t>
      </w:r>
      <w:r>
        <w:rPr>
          <w:rFonts w:ascii="Times New Roman" w:hAnsi="Times New Roman"/>
          <w:sz w:val="20"/>
          <w:u w:val="single"/>
        </w:rPr>
        <w:t>Section 6.12(c)</w:t>
      </w:r>
      <w:r>
        <w:rPr>
          <w:rFonts w:ascii="Times New Roman" w:hAnsi="Times New Roman"/>
          <w:sz w:val="20"/>
        </w:rPr>
        <w:t xml:space="preserve"> shall, unless otherwise set forth in this Agreement or the Collateral Documents, be completed as soon as practicable, but in no event later than 30 days (or such longer period as determined by the Administrative Agent in its reasonable discretion) after any such assets or properties are acquired or such action is requested to be taken by the Administrative Agent or the Required Lenders, as the case may be. </w:t>
      </w:r>
    </w:p>
    <w:p>
      <w:pPr>
        <w:pStyle w:val="TextBody"/>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sz w:val="20"/>
          <w:u w:val="single"/>
        </w:rPr>
        <w:t>Environmental Matters</w:t>
      </w:r>
      <w:r>
        <w:rPr>
          <w:rFonts w:ascii="Times New Roman" w:hAnsi="Times New Roman"/>
          <w:sz w:val="20"/>
        </w:rPr>
        <w:t xml:space="preserve">. Except to the extent that the failure to do so could not reasonably be expected to have a Material Adverse Effect, each of Holdings and the Borrower will, and will cause each of its Subsidiaries to, (a) conduct its operations in compliance with all applicable Environmental Laws, (b) implement any and all investigation, remediation, removal and response actions that either are necessary to comply with Environmental Laws pertaining to the presence, generation, treatment, storage, use, disposal, transportation or Release of any Hazardous Material on, at, under, or from any of their owned or leased property or are requested by Government Authorities pursuant to Environmental Law. Holdings will notify the Administrative Agent promptly upon becoming aware of any violation of Environmental Laws or any Release of Hazardous Materials on, at, under, or from, any property that is reasonably likely to result in an Environmental Claim against any Loan Party or any of its Subsidiaries in excess of the Threshold Amount in the aggregate and promptly forward to the Administrative Agent a copy of any written communication received in connection therewith. </w:t>
      </w:r>
    </w:p>
    <w:p>
      <w:pPr>
        <w:pStyle w:val="TextBody"/>
        <w:spacing w:before="240" w:after="0"/>
        <w:jc w:val="left"/>
        <w:rPr>
          <w:rFonts w:ascii="Times New Roman" w:hAnsi="Times New Roman"/>
          <w:sz w:val="20"/>
        </w:rPr>
      </w:pPr>
      <w:r>
        <w:rPr>
          <w:rFonts w:ascii="Times New Roman" w:hAnsi="Times New Roman"/>
          <w:sz w:val="20"/>
        </w:rPr>
        <w:t xml:space="preserve">Section 6.14 </w:t>
      </w:r>
      <w:r>
        <w:rPr>
          <w:rFonts w:ascii="Times New Roman" w:hAnsi="Times New Roman"/>
          <w:sz w:val="20"/>
          <w:u w:val="single"/>
        </w:rPr>
        <w:t>[Reserved]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6.15 </w:t>
      </w:r>
      <w:r>
        <w:rPr>
          <w:rFonts w:ascii="Times New Roman" w:hAnsi="Times New Roman"/>
          <w:sz w:val="20"/>
          <w:u w:val="single"/>
        </w:rPr>
        <w:t>Certain Post-Closing Obligations</w:t>
      </w:r>
      <w:r>
        <w:rPr>
          <w:rFonts w:ascii="Times New Roman" w:hAnsi="Times New Roman"/>
          <w:sz w:val="20"/>
        </w:rPr>
        <w:t xml:space="preserve">. As promptly as practicable, and in any event within the time periods after the Closing Date specified in </w:t>
      </w:r>
      <w:r>
        <w:rPr>
          <w:rFonts w:ascii="Times New Roman" w:hAnsi="Times New Roman"/>
          <w:sz w:val="20"/>
          <w:u w:val="single"/>
        </w:rPr>
        <w:t>Schedule 6.15</w:t>
      </w:r>
      <w:r>
        <w:rPr>
          <w:rFonts w:ascii="Times New Roman" w:hAnsi="Times New Roman"/>
          <w:sz w:val="20"/>
        </w:rPr>
        <w:t xml:space="preserve"> or such later date as the Administrative Agent reasonably agrees to in writing, the Borrower and each other Loan Party shall deliver the documents or take the actions specified on </w:t>
      </w:r>
      <w:r>
        <w:rPr>
          <w:rFonts w:ascii="Times New Roman" w:hAnsi="Times New Roman"/>
          <w:sz w:val="20"/>
          <w:u w:val="single"/>
        </w:rPr>
        <w:t>Schedule 6.15</w:t>
      </w:r>
      <w:r>
        <w:rPr>
          <w:rFonts w:ascii="Times New Roman" w:hAnsi="Times New Roman"/>
          <w:sz w:val="20"/>
        </w:rPr>
        <w:t xml:space="preserve">, in each case except to the extent otherwise agreed by the Administrative Agent (at the direction of the Required Lenders). </w:t>
      </w:r>
    </w:p>
    <w:p>
      <w:pPr>
        <w:pStyle w:val="TextBody"/>
        <w:spacing w:before="480" w:after="0"/>
        <w:jc w:val="center"/>
        <w:rPr>
          <w:rFonts w:ascii="Times New Roman" w:hAnsi="Times New Roman"/>
          <w:sz w:val="20"/>
        </w:rPr>
      </w:pPr>
      <w:r>
        <w:rPr>
          <w:rFonts w:ascii="Times New Roman" w:hAnsi="Times New Roman"/>
          <w:sz w:val="20"/>
        </w:rPr>
        <w:t xml:space="preserve">ARTICLE 7 </w:t>
      </w:r>
    </w:p>
    <w:p>
      <w:pPr>
        <w:pStyle w:val="TextBody"/>
        <w:spacing w:before="120" w:after="0"/>
        <w:jc w:val="center"/>
        <w:rPr>
          <w:rFonts w:ascii="Times New Roman" w:hAnsi="Times New Roman"/>
          <w:sz w:val="20"/>
        </w:rPr>
      </w:pPr>
      <w:r>
        <w:rPr>
          <w:rFonts w:ascii="Times New Roman" w:hAnsi="Times New Roman"/>
          <w:sz w:val="20"/>
        </w:rPr>
        <w:t xml:space="preserve">NEGATIVE COVENANTS </w:t>
      </w:r>
    </w:p>
    <w:p>
      <w:pPr>
        <w:pStyle w:val="TextBody"/>
        <w:spacing w:before="240" w:after="0"/>
        <w:jc w:val="left"/>
        <w:rPr>
          <w:rFonts w:ascii="Times New Roman" w:hAnsi="Times New Roman"/>
          <w:sz w:val="20"/>
        </w:rPr>
      </w:pPr>
      <w:r>
        <w:rPr>
          <w:rFonts w:ascii="Times New Roman" w:hAnsi="Times New Roman"/>
          <w:sz w:val="20"/>
        </w:rPr>
        <w:t xml:space="preserve">Until the Termination Date, each of Holdings and the Borrower covenants and agrees with the Credit Parties that: </w:t>
      </w:r>
    </w:p>
    <w:p>
      <w:pPr>
        <w:pStyle w:val="TextBody"/>
        <w:spacing w:before="12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Indebtedness; Equity Interests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Holdings and the Borrower will not, and will not permit any of their respective Subsidiaries to, create, incur, assume or permit to exist any Indebtedness, except: </w:t>
      </w:r>
    </w:p>
    <w:p>
      <w:pPr>
        <w:pStyle w:val="TextBody"/>
        <w:spacing w:before="120" w:after="0"/>
        <w:jc w:val="left"/>
        <w:rPr>
          <w:rFonts w:ascii="Times New Roman" w:hAnsi="Times New Roman"/>
          <w:sz w:val="20"/>
        </w:rPr>
      </w:pPr>
      <w:r>
        <w:rPr>
          <w:rFonts w:ascii="Times New Roman" w:hAnsi="Times New Roman"/>
          <w:sz w:val="20"/>
        </w:rPr>
        <w:t xml:space="preserve">(i) Indebtedness created under the Loan Documents; </w:t>
      </w:r>
    </w:p>
    <w:p>
      <w:pPr>
        <w:pStyle w:val="TextBody"/>
        <w:spacing w:before="120" w:after="0"/>
        <w:jc w:val="left"/>
        <w:rPr>
          <w:rFonts w:ascii="Times New Roman" w:hAnsi="Times New Roman"/>
          <w:sz w:val="20"/>
        </w:rPr>
      </w:pPr>
      <w:r>
        <w:rPr>
          <w:rFonts w:ascii="Times New Roman" w:hAnsi="Times New Roman"/>
          <w:sz w:val="20"/>
        </w:rPr>
        <w:t xml:space="preserve">(ii) Indebtedness existing on the Agreement Date and set forth in </w:t>
      </w:r>
      <w:r>
        <w:rPr>
          <w:rFonts w:ascii="Times New Roman" w:hAnsi="Times New Roman"/>
          <w:sz w:val="20"/>
          <w:u w:val="single"/>
        </w:rPr>
        <w:t>Schedule 7.1</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- 75 -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(iii) Indebtedness incurred to finance the acquisition, construction or improvement of any fixed or capital assets, including Capitalized Leases and any Indebtedness assumed in connection with the acquisition of any such assets or secured by a Lien on any such assets prior to the acquisition thereof; </w:t>
      </w:r>
      <w:r>
        <w:rPr>
          <w:rFonts w:ascii="Times New Roman" w:hAnsi="Times New Roman"/>
          <w:sz w:val="20"/>
          <w:u w:val="single"/>
        </w:rPr>
        <w:t>provided</w:t>
      </w:r>
      <w:r>
        <w:rPr>
          <w:rFonts w:ascii="Times New Roman" w:hAnsi="Times New Roman"/>
          <w:sz w:val="20"/>
        </w:rPr>
        <w:t xml:space="preserve"> that (A) such Indebtedness is incurred prior to or within 90 days after such acquisition or the completion of such construction or improvement and (B) the aggregate outstanding principal amount of Indebtedness permitted by this </w:t>
      </w:r>
      <w:r>
        <w:rPr>
          <w:rFonts w:ascii="Times New Roman" w:hAnsi="Times New Roman"/>
          <w:sz w:val="20"/>
          <w:u w:val="single"/>
        </w:rPr>
        <w:t>clause (iii)</w:t>
      </w:r>
      <w:r>
        <w:rPr>
          <w:rFonts w:ascii="Times New Roman" w:hAnsi="Times New Roman"/>
          <w:sz w:val="20"/>
        </w:rPr>
        <w:t xml:space="preserve"> shall not, without duplication, exceed the greater of (x) $7,500,000 and (y) 7.5% of Consolidated Total Assets at any time; </w:t>
      </w:r>
    </w:p>
    <w:p>
      <w:pPr>
        <w:pStyle w:val="TextBody"/>
        <w:spacing w:before="120" w:after="0"/>
        <w:jc w:val="left"/>
        <w:rPr>
          <w:rFonts w:ascii="Times New Roman" w:hAnsi="Times New Roman"/>
          <w:sz w:val="20"/>
        </w:rPr>
      </w:pPr>
      <w:r>
        <w:rPr>
          <w:rFonts w:ascii="Times New Roman" w:hAnsi="Times New Roman"/>
          <w:sz w:val="20"/>
        </w:rPr>
        <w:t xml:space="preserve">(iv) Indebtedness of any Person that becomes a Subsidiary after the Agreement Date through an Acquisition; </w:t>
      </w:r>
      <w:r>
        <w:rPr>
          <w:rFonts w:ascii="Times New Roman" w:hAnsi="Times New Roman"/>
          <w:sz w:val="20"/>
          <w:u w:val="single"/>
        </w:rPr>
        <w:t>provided</w:t>
      </w:r>
      <w:r>
        <w:rPr>
          <w:rFonts w:ascii="Times New Roman" w:hAnsi="Times New Roman"/>
          <w:sz w:val="20"/>
        </w:rPr>
        <w:t xml:space="preserve"> that such Indebtedness (A) exists at the time such person becomes a Subsidiary and is not created in contemplation or in connection with such Person becoming a Subsidiary, (B) does not exceed $5,000,000 and (C) is recourse only to such acquired Subsidiary; </w:t>
      </w:r>
    </w:p>
    <w:p>
      <w:pPr>
        <w:pStyle w:val="TextBody"/>
        <w:spacing w:before="120" w:after="0"/>
        <w:jc w:val="left"/>
        <w:rPr>
          <w:rFonts w:ascii="Times New Roman" w:hAnsi="Times New Roman"/>
          <w:sz w:val="20"/>
        </w:rPr>
      </w:pPr>
      <w:r>
        <w:rPr>
          <w:rFonts w:ascii="Times New Roman" w:hAnsi="Times New Roman"/>
          <w:sz w:val="20"/>
        </w:rPr>
        <w:t xml:space="preserve">(v) Guarantees in respect of Indebtedness otherwise permitted by this </w:t>
      </w:r>
      <w:r>
        <w:rPr>
          <w:rFonts w:ascii="Times New Roman" w:hAnsi="Times New Roman"/>
          <w:sz w:val="20"/>
          <w:u w:val="single"/>
        </w:rPr>
        <w:t>Section 7.1(a)</w:t>
      </w:r>
      <w:r>
        <w:rPr>
          <w:rFonts w:ascii="Times New Roman" w:hAnsi="Times New Roman"/>
          <w:sz w:val="20"/>
        </w:rPr>
        <w:t xml:space="preserve"> other than under </w:t>
      </w:r>
      <w:r>
        <w:rPr>
          <w:rFonts w:ascii="Times New Roman" w:hAnsi="Times New Roman"/>
          <w:sz w:val="20"/>
          <w:u w:val="single"/>
        </w:rPr>
        <w:t>clause (iv)</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(vi) Indebtedness of (A) any Loan Party to any other Loan Party, (B) any Non-Loan Party Subsidiary to any other Non-Loan Party Subsidiary and (C) to the extent permitted as an Investment under </w:t>
      </w:r>
      <w:r>
        <w:rPr>
          <w:rFonts w:ascii="Times New Roman" w:hAnsi="Times New Roman"/>
          <w:sz w:val="20"/>
          <w:u w:val="single"/>
        </w:rPr>
        <w:t>Section 7.4</w:t>
      </w:r>
      <w:r>
        <w:rPr>
          <w:rFonts w:ascii="Times New Roman" w:hAnsi="Times New Roman"/>
          <w:sz w:val="20"/>
        </w:rPr>
        <w:t xml:space="preserve">, any Non-Loan Party Subsidiary to any Loan Party; </w:t>
      </w:r>
    </w:p>
    <w:p>
      <w:pPr>
        <w:pStyle w:val="TextBody"/>
        <w:spacing w:before="120" w:after="0"/>
        <w:jc w:val="left"/>
        <w:rPr>
          <w:rFonts w:ascii="Times New Roman" w:hAnsi="Times New Roman"/>
          <w:sz w:val="20"/>
        </w:rPr>
      </w:pPr>
      <w:r>
        <w:rPr>
          <w:rFonts w:ascii="Times New Roman" w:hAnsi="Times New Roman"/>
          <w:sz w:val="20"/>
        </w:rPr>
        <w:t xml:space="preserve">(vii) obligations under any Swap Agreements entered into for the purpose of mitigating risk and not for speculative purposes; </w:t>
      </w:r>
    </w:p>
    <w:p>
      <w:pPr>
        <w:pStyle w:val="TextBody"/>
        <w:spacing w:before="120" w:after="0"/>
        <w:jc w:val="left"/>
        <w:rPr>
          <w:rFonts w:ascii="Times New Roman" w:hAnsi="Times New Roman"/>
          <w:sz w:val="20"/>
        </w:rPr>
      </w:pPr>
      <w:r>
        <w:rPr>
          <w:rFonts w:ascii="Times New Roman" w:hAnsi="Times New Roman"/>
          <w:sz w:val="20"/>
        </w:rPr>
        <w:t xml:space="preserve">(viii) Indebtedness arising from the honoring by a bank or other financial institution of a check, draft or other similar instrument drawn against insufficient funds in the ordinary course of business or arising services in the ordinary course of business (and not in respect of borrowed money) in connection with (A) cash management, including lines of credit and overdraft facilities, (B) the financing of insurance premiums, (C) take-or-pay obligations contained in supply agreements and (D) obligations to pay the deferred purchase price of goods or services or progress payments in connection with such goods or services; </w:t>
      </w:r>
    </w:p>
    <w:p>
      <w:pPr>
        <w:pStyle w:val="TextBody"/>
        <w:spacing w:before="120" w:after="0"/>
        <w:jc w:val="left"/>
        <w:rPr>
          <w:rFonts w:ascii="Times New Roman" w:hAnsi="Times New Roman"/>
          <w:sz w:val="20"/>
        </w:rPr>
      </w:pPr>
      <w:r>
        <w:rPr>
          <w:rFonts w:ascii="Times New Roman" w:hAnsi="Times New Roman"/>
          <w:sz w:val="20"/>
        </w:rPr>
        <w:t xml:space="preserve">(ix) Indebtedness arising as a result of (A) customary indemnification obligations to purchasers that are not Affiliates of a Loan Party in connection with any Disposition permitted by </w:t>
      </w:r>
      <w:r>
        <w:rPr>
          <w:rFonts w:ascii="Times New Roman" w:hAnsi="Times New Roman"/>
          <w:sz w:val="20"/>
          <w:u w:val="single"/>
        </w:rPr>
        <w:t>Section 7.5</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(x) Indebtedness incurred in the ordinary course of business under (A) appeal bonds or similar instruments, (B) surety bonds, payment bonds, performance bonds, bid bonds, Real Property lease guarantees, completion guarantees and similar obligations, workers compensation claims, health, disability or other employee benefits, and bankers acceptances issued for the account of any Loan Party or its Subsidiaries and unsecured guarantees thereof and (C) trade letters of credit, bank guarantees, warehouse receipts or similar instruments (other than obligations in respect of Indebtedness for borrowed money); </w:t>
      </w:r>
    </w:p>
    <w:p>
      <w:pPr>
        <w:pStyle w:val="TextBody"/>
        <w:spacing w:before="120" w:after="0"/>
        <w:jc w:val="left"/>
        <w:rPr>
          <w:rFonts w:ascii="Times New Roman" w:hAnsi="Times New Roman"/>
          <w:sz w:val="20"/>
        </w:rPr>
      </w:pPr>
      <w:r>
        <w:rPr>
          <w:rFonts w:ascii="Times New Roman" w:hAnsi="Times New Roman"/>
          <w:sz w:val="20"/>
        </w:rPr>
        <w:t xml:space="preserve">(xi) Indebtedness representing deferred compensation to employees, directors or consultants incurred in the ordinary course of business; </w:t>
      </w:r>
    </w:p>
    <w:p>
      <w:pPr>
        <w:pStyle w:val="TextBody"/>
        <w:spacing w:before="120" w:after="0"/>
        <w:jc w:val="left"/>
        <w:rPr>
          <w:rFonts w:ascii="Times New Roman" w:hAnsi="Times New Roman"/>
          <w:sz w:val="20"/>
        </w:rPr>
      </w:pPr>
      <w:r>
        <w:rPr>
          <w:rFonts w:ascii="Times New Roman" w:hAnsi="Times New Roman"/>
          <w:sz w:val="20"/>
        </w:rPr>
        <w:t xml:space="preserve">(xii) contingent payment obligations and contingent liabilities in respect of any indemnification obligations and adjustments of purchase price, in each case in connection with an Investment or Acquisition permitted by </w:t>
      </w:r>
      <w:r>
        <w:rPr>
          <w:rFonts w:ascii="Times New Roman" w:hAnsi="Times New Roman"/>
          <w:sz w:val="20"/>
          <w:u w:val="single"/>
        </w:rPr>
        <w:t>Section 7.4</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- 76 -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(xiii) [reserved]; </w:t>
      </w:r>
    </w:p>
    <w:p>
      <w:pPr>
        <w:pStyle w:val="TextBody"/>
        <w:spacing w:before="120" w:after="0"/>
        <w:jc w:val="left"/>
        <w:rPr>
          <w:rFonts w:ascii="Times New Roman" w:hAnsi="Times New Roman"/>
          <w:sz w:val="20"/>
        </w:rPr>
      </w:pPr>
      <w:r>
        <w:rPr>
          <w:rFonts w:ascii="Times New Roman" w:hAnsi="Times New Roman"/>
          <w:sz w:val="20"/>
        </w:rPr>
        <w:t xml:space="preserve">(xiv) Refinancing Indebtedness in respect of any Indebtedness permitted under </w:t>
      </w:r>
      <w:r>
        <w:rPr>
          <w:rFonts w:ascii="Times New Roman" w:hAnsi="Times New Roman"/>
          <w:sz w:val="20"/>
          <w:u w:val="single"/>
        </w:rPr>
        <w:t>clauses (ii)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or </w:t>
      </w:r>
      <w:r>
        <w:rPr>
          <w:rFonts w:ascii="Times New Roman" w:hAnsi="Times New Roman"/>
          <w:sz w:val="20"/>
          <w:u w:val="single"/>
        </w:rPr>
        <w:t>(iv)</w:t>
      </w:r>
      <w:r>
        <w:rPr>
          <w:rFonts w:ascii="Times New Roman" w:hAnsi="Times New Roman"/>
          <w:sz w:val="20"/>
        </w:rPr>
        <w:t xml:space="preserve">; and </w:t>
      </w:r>
    </w:p>
    <w:p>
      <w:pPr>
        <w:pStyle w:val="TextBody"/>
        <w:spacing w:before="120" w:after="0"/>
        <w:jc w:val="left"/>
        <w:rPr>
          <w:rFonts w:ascii="Times New Roman" w:hAnsi="Times New Roman"/>
          <w:sz w:val="20"/>
        </w:rPr>
      </w:pPr>
      <w:r>
        <w:rPr>
          <w:rFonts w:ascii="Times New Roman" w:hAnsi="Times New Roman"/>
          <w:sz w:val="20"/>
        </w:rPr>
        <w:t xml:space="preserve">(xv) additional unsecured Indebtedness in an aggregate principal amount not to exceed (A) the greater of (x) $2,000,000 and (y) 2% of Consolidated Total Assets, </w:t>
      </w:r>
      <w:r>
        <w:rPr>
          <w:rFonts w:ascii="Times New Roman" w:hAnsi="Times New Roman"/>
          <w:i/>
          <w:sz w:val="20"/>
        </w:rPr>
        <w:t>plus</w:t>
      </w:r>
      <w:r>
        <w:rPr>
          <w:rFonts w:ascii="Times New Roman" w:hAnsi="Times New Roman"/>
          <w:sz w:val="20"/>
        </w:rPr>
        <w:t xml:space="preserve"> (B) to the extent constituting unsecured Subordinated Debt, the greater of (x) $3,000,000 and (y) 3% of Consolidated Total Assets at any one time outstanding. </w:t>
      </w:r>
    </w:p>
    <w:p>
      <w:pPr>
        <w:pStyle w:val="TextBody"/>
        <w:spacing w:before="240" w:after="0"/>
        <w:jc w:val="left"/>
        <w:rPr>
          <w:rFonts w:ascii="Times New Roman" w:hAnsi="Times New Roman"/>
          <w:sz w:val="20"/>
        </w:rPr>
      </w:pPr>
      <w:r>
        <w:rPr>
          <w:rFonts w:ascii="Times New Roman" w:hAnsi="Times New Roman"/>
          <w:sz w:val="20"/>
        </w:rPr>
        <w:t xml:space="preserve">(b) Holdings and the Borrower will not, and will not permit any of their respective Subsidiaries to, be or become liable in respect of any obligation (contingent or otherwise) to purchase, redeem, retire, acquire or make any other payment in respect of any Equity Interests of any Loan Party or any of its Subsidiaries, except as permitted under </w:t>
      </w:r>
      <w:r>
        <w:rPr>
          <w:rFonts w:ascii="Times New Roman" w:hAnsi="Times New Roman"/>
          <w:sz w:val="20"/>
          <w:u w:val="single"/>
        </w:rPr>
        <w:t>Section 7.8</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(c) For purposes of determining compliance with this </w:t>
      </w:r>
      <w:r>
        <w:rPr>
          <w:rFonts w:ascii="Times New Roman" w:hAnsi="Times New Roman"/>
          <w:sz w:val="20"/>
          <w:u w:val="single"/>
        </w:rPr>
        <w:t>Section 7.1</w:t>
      </w:r>
      <w:r>
        <w:rPr>
          <w:rFonts w:ascii="Times New Roman" w:hAnsi="Times New Roman"/>
          <w:sz w:val="20"/>
        </w:rPr>
        <w:t xml:space="preserve">, (i) Indebtedness need not be permitted solely by reference to one of the categories described in </w:t>
      </w:r>
      <w:r>
        <w:rPr>
          <w:rFonts w:ascii="Times New Roman" w:hAnsi="Times New Roman"/>
          <w:sz w:val="20"/>
          <w:u w:val="single"/>
        </w:rPr>
        <w:t>clauses (a)(i)</w:t>
      </w:r>
      <w:r>
        <w:rPr>
          <w:rFonts w:ascii="Times New Roman" w:hAnsi="Times New Roman"/>
          <w:sz w:val="20"/>
        </w:rPr>
        <w:t xml:space="preserve"> through </w:t>
      </w:r>
      <w:r>
        <w:rPr>
          <w:rFonts w:ascii="Times New Roman" w:hAnsi="Times New Roman"/>
          <w:sz w:val="20"/>
          <w:u w:val="single"/>
        </w:rPr>
        <w:t>(xv)</w:t>
      </w:r>
      <w:r>
        <w:rPr>
          <w:rFonts w:ascii="Times New Roman" w:hAnsi="Times New Roman"/>
          <w:sz w:val="20"/>
        </w:rPr>
        <w:t xml:space="preserve"> but may be permitted in part under any combination thereof, and (ii) in the event that an item of Indebtedness (or any part thereof) meets the criteria of more than one of the categories described in </w:t>
      </w:r>
      <w:r>
        <w:rPr>
          <w:rFonts w:ascii="Times New Roman" w:hAnsi="Times New Roman"/>
          <w:sz w:val="20"/>
          <w:u w:val="single"/>
        </w:rPr>
        <w:t>clauses (a)(i)</w:t>
      </w:r>
      <w:r>
        <w:rPr>
          <w:rFonts w:ascii="Times New Roman" w:hAnsi="Times New Roman"/>
          <w:sz w:val="20"/>
        </w:rPr>
        <w:t xml:space="preserve"> through </w:t>
      </w:r>
      <w:r>
        <w:rPr>
          <w:rFonts w:ascii="Times New Roman" w:hAnsi="Times New Roman"/>
          <w:sz w:val="20"/>
          <w:u w:val="single"/>
        </w:rPr>
        <w:t>(xv)</w:t>
      </w:r>
      <w:r>
        <w:rPr>
          <w:rFonts w:ascii="Times New Roman" w:hAnsi="Times New Roman"/>
          <w:sz w:val="20"/>
        </w:rPr>
        <w:t xml:space="preserve"> above, Holdings and the Borrower will be permitted, in their discretion, to classify such item of Indebtedness on the date of its incurrence, or later reclassify all or a portion of such item of Indebtedness, in any manner that complies with this Section. </w:t>
      </w:r>
    </w:p>
    <w:p>
      <w:pPr>
        <w:pStyle w:val="TextBody"/>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Liens</w:t>
      </w:r>
      <w:r>
        <w:rPr>
          <w:rFonts w:ascii="Times New Roman" w:hAnsi="Times New Roman"/>
          <w:sz w:val="20"/>
        </w:rPr>
        <w:t xml:space="preserve">. Holdings and the Borrower will not, and will not permit any of their respective Subsidiaries to, create, incur, assume or permit to exist any Lien on any property or asset now owned or hereafter acquired by it, except: </w:t>
      </w:r>
    </w:p>
    <w:p>
      <w:pPr>
        <w:pStyle w:val="TextBody"/>
        <w:spacing w:before="120" w:after="0"/>
        <w:jc w:val="left"/>
        <w:rPr>
          <w:rFonts w:ascii="Times New Roman" w:hAnsi="Times New Roman"/>
          <w:sz w:val="20"/>
        </w:rPr>
      </w:pPr>
      <w:r>
        <w:rPr>
          <w:rFonts w:ascii="Times New Roman" w:hAnsi="Times New Roman"/>
          <w:sz w:val="20"/>
        </w:rPr>
        <w:t xml:space="preserve">(a) Liens created under the Loan Documents; </w:t>
      </w:r>
    </w:p>
    <w:p>
      <w:pPr>
        <w:pStyle w:val="TextBody"/>
        <w:spacing w:before="240" w:after="0"/>
        <w:jc w:val="left"/>
        <w:rPr>
          <w:rFonts w:ascii="Times New Roman" w:hAnsi="Times New Roman"/>
          <w:sz w:val="20"/>
        </w:rPr>
      </w:pPr>
      <w:r>
        <w:rPr>
          <w:rFonts w:ascii="Times New Roman" w:hAnsi="Times New Roman"/>
          <w:sz w:val="20"/>
        </w:rPr>
        <w:t xml:space="preserve">(b) Permitted Encumbrances; </w:t>
      </w:r>
    </w:p>
    <w:p>
      <w:pPr>
        <w:pStyle w:val="TextBody"/>
        <w:spacing w:before="240" w:after="0"/>
        <w:jc w:val="left"/>
        <w:rPr>
          <w:rFonts w:ascii="Times New Roman" w:hAnsi="Times New Roman"/>
          <w:sz w:val="20"/>
        </w:rPr>
      </w:pPr>
      <w:r>
        <w:rPr>
          <w:rFonts w:ascii="Times New Roman" w:hAnsi="Times New Roman"/>
          <w:sz w:val="20"/>
        </w:rPr>
        <w:t xml:space="preserve">(c) any Lien existing on the Agreement Date and set forth in </w:t>
      </w:r>
      <w:r>
        <w:rPr>
          <w:rFonts w:ascii="Times New Roman" w:hAnsi="Times New Roman"/>
          <w:sz w:val="20"/>
          <w:u w:val="single"/>
        </w:rPr>
        <w:t>Schedule 7.2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such Lien shall not apply to any other property or asset of any Loan Party or any Subsidiary other than accessions thereto or proceeds thereof and (ii) such Lien shall secure only those obligations which it secures on the Agreement Date and any Refinancing Indebtedness in respect thereof or other extensions, renewals and replacements thereof that do not increase the outstanding principal amount thereof other than by an amount equal to any accrued and unpaid interest, premiums (including tender premiums), original issue discount, expenses, defeasance costs and fees (including underwriting discounts, commitment, ticking and similar fees and discounts) payable in respect of such extension, renewal or replacement; </w:t>
      </w:r>
    </w:p>
    <w:p>
      <w:pPr>
        <w:pStyle w:val="TextBody"/>
        <w:spacing w:before="240" w:after="0"/>
        <w:jc w:val="left"/>
        <w:rPr>
          <w:rFonts w:ascii="Times New Roman" w:hAnsi="Times New Roman"/>
          <w:sz w:val="20"/>
        </w:rPr>
      </w:pPr>
      <w:r>
        <w:rPr>
          <w:rFonts w:ascii="Times New Roman" w:hAnsi="Times New Roman"/>
          <w:sz w:val="20"/>
        </w:rPr>
        <w:t xml:space="preserve">(d) any Lien on fixed or capital assets acquired, constructed or improved by any Loan Party or any of its Subsidiaries; </w:t>
      </w:r>
      <w:r>
        <w:rPr>
          <w:rFonts w:ascii="Times New Roman" w:hAnsi="Times New Roman"/>
          <w:sz w:val="20"/>
          <w:u w:val="single"/>
        </w:rPr>
        <w:t>provided</w:t>
      </w:r>
      <w:r>
        <w:rPr>
          <w:rFonts w:ascii="Times New Roman" w:hAnsi="Times New Roman"/>
          <w:sz w:val="20"/>
        </w:rPr>
        <w:t xml:space="preserve"> that (i) such Lien secures Indebtedness permitted by </w:t>
      </w:r>
      <w:r>
        <w:rPr>
          <w:rFonts w:ascii="Times New Roman" w:hAnsi="Times New Roman"/>
          <w:sz w:val="20"/>
          <w:u w:val="single"/>
        </w:rPr>
        <w:t>Section 7.1(a)(iii)</w:t>
      </w:r>
      <w:r>
        <w:rPr>
          <w:rFonts w:ascii="Times New Roman" w:hAnsi="Times New Roman"/>
          <w:sz w:val="20"/>
        </w:rPr>
        <w:t xml:space="preserve"> or any Refinancing Indebtedness in respect thereof, (ii) the Indebtedness secured thereby does not exceed the cost of acquiring, constructing or improving such fixed or capital assets and (iii) such Lien shall not apply to any other property or assets of Holdings, the Borrower or any Subsidiary other than accessions thereto or proceeds thereof; </w:t>
      </w:r>
    </w:p>
    <w:p>
      <w:pPr>
        <w:pStyle w:val="TextBody"/>
        <w:spacing w:before="240" w:after="0"/>
        <w:jc w:val="left"/>
        <w:rPr>
          <w:rFonts w:ascii="Times New Roman" w:hAnsi="Times New Roman"/>
          <w:sz w:val="20"/>
        </w:rPr>
      </w:pPr>
      <w:r>
        <w:rPr>
          <w:rFonts w:ascii="Times New Roman" w:hAnsi="Times New Roman"/>
          <w:sz w:val="20"/>
        </w:rPr>
        <w:t xml:space="preserve">(e) any Lien existing on any property or asset prior to the acquisition thereof by any Loan Party or any Subsidiary or existing on any property or asset of any Person that becomes a Subsidiary after the Agreement Date prior to the time such Person becomes a Subsidiary; </w:t>
      </w:r>
      <w:r>
        <w:rPr>
          <w:rFonts w:ascii="Times New Roman" w:hAnsi="Times New Roman"/>
          <w:sz w:val="20"/>
          <w:u w:val="single"/>
        </w:rPr>
        <w:t>provided</w:t>
      </w:r>
      <w:r>
        <w:rPr>
          <w:rFonts w:ascii="Times New Roman" w:hAnsi="Times New Roman"/>
          <w:sz w:val="20"/>
        </w:rPr>
        <w:t xml:space="preserve"> that (i) to the extent such Lien secures Indebtedness, such Indebtedness is permitted by </w:t>
      </w:r>
      <w:r>
        <w:rPr>
          <w:rFonts w:ascii="Times New Roman" w:hAnsi="Times New Roman"/>
          <w:sz w:val="20"/>
          <w:u w:val="single"/>
        </w:rPr>
        <w:t>Section 7.1(a)</w:t>
      </w:r>
      <w:r>
        <w:rPr>
          <w:rFonts w:ascii="Times New Roman" w:hAnsi="Times New Roman"/>
          <w:sz w:val="20"/>
        </w:rPr>
        <w:t xml:space="preserve">, (ii) such Lien is not created in contemplation of or in connection with such acquisition or such Person becoming a Subsidiary,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- 77 -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as applicable, (iii) such Lien shall not apply to any other property or assets of Holdings, the Borrower or any Subsidiary other than accessions thereto or proceeds thereof and (iv) such Lien shall secure only the Indebtedness and other obligations that it secures on the date of such acquisition or the date such Person becomes a Subsidiary, as applicable, any Refinancing Indebtedness in respect thereof and any other extensions, renewals and replacements thereof that do not increase the outstanding principal amount thereof other than by an amount equal to any accrued and unpaid interest, premiums (including tender premiums), original issue discount, expenses, defeasance costs and fees (including underwriting discounts, commitment, ticking and similar fees and discounts) payable in respect of such extension, renewal or replacement; </w:t>
      </w:r>
    </w:p>
    <w:p>
      <w:pPr>
        <w:pStyle w:val="TextBody"/>
        <w:spacing w:before="240" w:after="0"/>
        <w:jc w:val="left"/>
        <w:rPr>
          <w:rFonts w:ascii="Times New Roman" w:hAnsi="Times New Roman"/>
          <w:sz w:val="20"/>
        </w:rPr>
      </w:pPr>
      <w:r>
        <w:rPr>
          <w:rFonts w:ascii="Times New Roman" w:hAnsi="Times New Roman"/>
          <w:sz w:val="20"/>
        </w:rPr>
        <w:t xml:space="preserve">(f) Liens of a depository bank or securities intermediary permitted by any Control Agreement; and </w:t>
      </w:r>
    </w:p>
    <w:p>
      <w:pPr>
        <w:pStyle w:val="TextBody"/>
        <w:spacing w:before="240" w:after="0"/>
        <w:jc w:val="left"/>
        <w:rPr>
          <w:rFonts w:ascii="Times New Roman" w:hAnsi="Times New Roman"/>
          <w:sz w:val="20"/>
        </w:rPr>
      </w:pPr>
      <w:r>
        <w:rPr>
          <w:rFonts w:ascii="Times New Roman" w:hAnsi="Times New Roman"/>
          <w:sz w:val="20"/>
        </w:rPr>
        <w:t xml:space="preserve">(g) other Liens to the extent the aggregate amount of Indebtedness secured thereby (which shall not include Indebtedness for borrowed money) does not exceed $1,000,000. </w:t>
      </w:r>
    </w:p>
    <w:p>
      <w:pPr>
        <w:pStyle w:val="TextBody"/>
        <w:spacing w:before="240" w:after="0"/>
        <w:jc w:val="left"/>
        <w:rPr>
          <w:rFonts w:ascii="Times New Roman" w:hAnsi="Times New Roman"/>
          <w:sz w:val="20"/>
        </w:rPr>
      </w:pPr>
      <w:r>
        <w:rPr>
          <w:rFonts w:ascii="Times New Roman" w:hAnsi="Times New Roman"/>
          <w:sz w:val="20"/>
        </w:rPr>
        <w:t xml:space="preserve">For purposes of determining compliance with this </w:t>
      </w:r>
      <w:r>
        <w:rPr>
          <w:rFonts w:ascii="Times New Roman" w:hAnsi="Times New Roman"/>
          <w:sz w:val="20"/>
          <w:u w:val="single"/>
        </w:rPr>
        <w:t>Section 7.2</w:t>
      </w:r>
      <w:r>
        <w:rPr>
          <w:rFonts w:ascii="Times New Roman" w:hAnsi="Times New Roman"/>
          <w:sz w:val="20"/>
        </w:rPr>
        <w:t xml:space="preserve">, (i) a Lien need not be permitted solely by reference to one of the categories described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(g)</w:t>
      </w:r>
      <w:r>
        <w:rPr>
          <w:rFonts w:ascii="Times New Roman" w:hAnsi="Times New Roman"/>
          <w:sz w:val="20"/>
        </w:rPr>
        <w:t xml:space="preserve"> but may be permitted in part under any combination thereof, and (ii) in the event that a Lien (or any part thereof) meets the criteria of more than one of the categories described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(g)</w:t>
      </w:r>
      <w:r>
        <w:rPr>
          <w:rFonts w:ascii="Times New Roman" w:hAnsi="Times New Roman"/>
          <w:sz w:val="20"/>
        </w:rPr>
        <w:t xml:space="preserve"> above, Holdings and the Borrower will be permitted, in their discretion, to classify such Lien on the date of its incurrence, or later reclassify all or a portion of such Lien, in any manner that complies with this Section. </w:t>
      </w:r>
    </w:p>
    <w:p>
      <w:pPr>
        <w:pStyle w:val="TextBody"/>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Fundamental Changes; Business; Fiscal Year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Holdings and the Borrower will not, and will not permit any of their respective Subsidiaries to, merge into or consolidate with any Person, or permit any Person to merge into or consolidate with it, or sell, transfer, lease or otherwise Dispose of (in one transaction or in a series of transactions) all or substantially all of its assets, or all or substantially all of the Equity Interests issued by any of its Subsidiaries (in each case, whether now owned or hereafter acquired), or liquidate or dissolve; </w:t>
      </w:r>
      <w:r>
        <w:rPr>
          <w:rFonts w:ascii="Times New Roman" w:hAnsi="Times New Roman"/>
          <w:sz w:val="20"/>
          <w:u w:val="single"/>
        </w:rPr>
        <w:t>provided</w:t>
      </w:r>
      <w:r>
        <w:rPr>
          <w:rFonts w:ascii="Times New Roman" w:hAnsi="Times New Roman"/>
          <w:sz w:val="20"/>
        </w:rPr>
        <w:t xml:space="preserve"> that and transaction permitted by </w:t>
      </w:r>
      <w:r>
        <w:rPr>
          <w:rFonts w:ascii="Times New Roman" w:hAnsi="Times New Roman"/>
          <w:sz w:val="20"/>
          <w:u w:val="single"/>
        </w:rPr>
        <w:t>Section 7.4</w:t>
      </w:r>
      <w:r>
        <w:rPr>
          <w:rFonts w:ascii="Times New Roman" w:hAnsi="Times New Roman"/>
          <w:sz w:val="20"/>
        </w:rPr>
        <w:t xml:space="preserve"> or </w:t>
      </w:r>
      <w:r>
        <w:rPr>
          <w:rFonts w:ascii="Times New Roman" w:hAnsi="Times New Roman"/>
          <w:sz w:val="20"/>
          <w:u w:val="single"/>
        </w:rPr>
        <w:t>Section 7.5</w:t>
      </w:r>
      <w:r>
        <w:rPr>
          <w:rFonts w:ascii="Times New Roman" w:hAnsi="Times New Roman"/>
          <w:sz w:val="20"/>
        </w:rPr>
        <w:t xml:space="preserve"> shall also be permitted under this </w:t>
      </w:r>
      <w:r>
        <w:rPr>
          <w:rFonts w:ascii="Times New Roman" w:hAnsi="Times New Roman"/>
          <w:sz w:val="20"/>
          <w:u w:val="single"/>
        </w:rPr>
        <w:t>Section 7.3</w:t>
      </w:r>
      <w:r>
        <w:rPr>
          <w:rFonts w:ascii="Times New Roman" w:hAnsi="Times New Roman"/>
          <w:sz w:val="20"/>
        </w:rPr>
        <w:t xml:space="preserve">, and if at the time thereof and immediately after giving effect thereto, no Default shall or would have occurred and be continuing and the Collateral and Guarantee Requirement is satisfied: </w:t>
      </w:r>
    </w:p>
    <w:p>
      <w:pPr>
        <w:pStyle w:val="TextBody"/>
        <w:spacing w:before="120" w:after="0"/>
        <w:jc w:val="left"/>
        <w:rPr>
          <w:rFonts w:ascii="Times New Roman" w:hAnsi="Times New Roman"/>
          <w:sz w:val="20"/>
        </w:rPr>
      </w:pPr>
      <w:r>
        <w:rPr>
          <w:rFonts w:ascii="Times New Roman" w:hAnsi="Times New Roman"/>
          <w:sz w:val="20"/>
        </w:rPr>
        <w:t xml:space="preserve">(i) any Subsidiary of Holdings (other than the Borrower) may merge into or consolidate with (A) Holdings in a transaction in which Holdings is the surviving entity, (B) the Borrower in a transaction in which the Borrower is the surviving entity, (C) any Subsidiary Guarantor in a transaction in which such Subsidiary Guarantor is the surviving entity, and (D) to the extent such Subsidiary is a Non-Loan Party Subsidiary, any other Non-Loan Party Subsidiary; </w:t>
      </w:r>
    </w:p>
    <w:p>
      <w:pPr>
        <w:pStyle w:val="TextBody"/>
        <w:spacing w:before="120" w:after="0"/>
        <w:jc w:val="left"/>
        <w:rPr>
          <w:rFonts w:ascii="Times New Roman" w:hAnsi="Times New Roman"/>
          <w:sz w:val="20"/>
        </w:rPr>
      </w:pPr>
      <w:r>
        <w:rPr>
          <w:rFonts w:ascii="Times New Roman" w:hAnsi="Times New Roman"/>
          <w:sz w:val="20"/>
        </w:rPr>
        <w:t xml:space="preserve">(ii) any Person (other than Holdings or the Borrower) may merge into, or consolidate with, a Loan Party in a transaction where the Loan Party is the surviving entity; </w:t>
      </w:r>
    </w:p>
    <w:p>
      <w:pPr>
        <w:pStyle w:val="TextBody"/>
        <w:spacing w:before="120" w:after="0"/>
        <w:jc w:val="left"/>
        <w:rPr>
          <w:rFonts w:ascii="Times New Roman" w:hAnsi="Times New Roman"/>
          <w:sz w:val="20"/>
        </w:rPr>
      </w:pPr>
      <w:r>
        <w:rPr>
          <w:rFonts w:ascii="Times New Roman" w:hAnsi="Times New Roman"/>
          <w:sz w:val="20"/>
        </w:rPr>
        <w:t xml:space="preserve">(iii) (A) any Subsidiary of a Loan Party may sell, transfer, lease or otherwise Dispose of all or substantially all of its assets to Holdings, the Borrower or to any Subsidiary Guarantor and (B) any Non-Loan Party Subsidiary may sell, transfer, lease or otherwise Dispose of all or substantially all of its assets to Holdings, the Borrower or any Subsidiary of Holdings; and </w:t>
      </w:r>
    </w:p>
    <w:p>
      <w:pPr>
        <w:pStyle w:val="TextBody"/>
        <w:spacing w:before="120" w:after="0"/>
        <w:jc w:val="left"/>
        <w:rPr>
          <w:rFonts w:ascii="Times New Roman" w:hAnsi="Times New Roman"/>
          <w:sz w:val="20"/>
        </w:rPr>
      </w:pPr>
      <w:r>
        <w:rPr>
          <w:rFonts w:ascii="Times New Roman" w:hAnsi="Times New Roman"/>
          <w:sz w:val="20"/>
        </w:rPr>
        <w:t xml:space="preserve">(iv) any Person other than Holdings or the Borrower may liquidate or Dissolve if (A) it owns no material assets, engages in no material business and otherwise has no material activities other than activities related to the maintenance of its existence and good standing or (B) Holdings otherwise determines in good faith that its liquidation or dissolution is in the best interests of Holdings and its Subsidiaries, taken as a whole, and, in the case of this </w:t>
      </w:r>
      <w:r>
        <w:rPr>
          <w:rFonts w:ascii="Times New Roman" w:hAnsi="Times New Roman"/>
          <w:sz w:val="20"/>
          <w:u w:val="single"/>
        </w:rPr>
        <w:t>clause (B)</w:t>
      </w:r>
      <w:r>
        <w:rPr>
          <w:rFonts w:ascii="Times New Roman" w:hAnsi="Times New Roman"/>
          <w:sz w:val="20"/>
        </w:rPr>
        <w:t xml:space="preserve">, a Loan Party receives the assets of such liquidated or dissolved Person;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- 78 -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Holdings and the Borrower will not, and will not permit any of their respective Subsidiaries to, engage to any material extent in any business other than an Approved Line of Business; </w:t>
      </w:r>
    </w:p>
    <w:p>
      <w:pPr>
        <w:pStyle w:val="TextBody"/>
        <w:spacing w:before="240" w:after="0"/>
        <w:jc w:val="left"/>
        <w:rPr>
          <w:rFonts w:ascii="Times New Roman" w:hAnsi="Times New Roman"/>
          <w:sz w:val="20"/>
        </w:rPr>
      </w:pPr>
      <w:r>
        <w:rPr>
          <w:rFonts w:ascii="Times New Roman" w:hAnsi="Times New Roman"/>
          <w:sz w:val="20"/>
        </w:rPr>
        <w:t xml:space="preserve">(c) Holdings will not, and will not permit any of its Subsidiaries to, change its Fiscal Year; and </w:t>
      </w:r>
    </w:p>
    <w:p>
      <w:pPr>
        <w:pStyle w:val="TextBody"/>
        <w:spacing w:before="240" w:after="0"/>
        <w:jc w:val="left"/>
        <w:rPr>
          <w:rFonts w:ascii="Times New Roman" w:hAnsi="Times New Roman"/>
          <w:sz w:val="20"/>
        </w:rPr>
      </w:pPr>
      <w:r>
        <w:rPr>
          <w:rFonts w:ascii="Times New Roman" w:hAnsi="Times New Roman"/>
          <w:sz w:val="20"/>
        </w:rPr>
        <w:t xml:space="preserve">(d) No Loan Party or Subsidiary of a Loan Party shall be a Controlled Foreign Corporation or an FSHC. </w:t>
      </w:r>
    </w:p>
    <w:p>
      <w:pPr>
        <w:pStyle w:val="TextBody"/>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Investments, Loans, Advances, Guarantees and Acquisitions</w:t>
      </w:r>
      <w:r>
        <w:rPr>
          <w:rFonts w:ascii="Times New Roman" w:hAnsi="Times New Roman"/>
          <w:sz w:val="20"/>
        </w:rPr>
        <w:t xml:space="preserve">. Holdings and the Borrower will not, and will not permit any of their respective Subsidiaries to, purchase, hold, acquire or make (including pursuant to any merger or Division) any Investment, except: </w:t>
      </w:r>
    </w:p>
    <w:p>
      <w:pPr>
        <w:pStyle w:val="TextBody"/>
        <w:spacing w:before="120" w:after="0"/>
        <w:jc w:val="left"/>
        <w:rPr>
          <w:rFonts w:ascii="Times New Roman" w:hAnsi="Times New Roman"/>
          <w:sz w:val="20"/>
        </w:rPr>
      </w:pPr>
      <w:r>
        <w:rPr>
          <w:rFonts w:ascii="Times New Roman" w:hAnsi="Times New Roman"/>
          <w:sz w:val="20"/>
        </w:rPr>
        <w:t xml:space="preserve">(a) Investments in cash and Cash Equivalents; </w:t>
      </w:r>
    </w:p>
    <w:p>
      <w:pPr>
        <w:pStyle w:val="TextBody"/>
        <w:spacing w:before="240" w:after="0"/>
        <w:jc w:val="left"/>
        <w:rPr>
          <w:rFonts w:ascii="Times New Roman" w:hAnsi="Times New Roman"/>
          <w:sz w:val="20"/>
        </w:rPr>
      </w:pPr>
      <w:r>
        <w:rPr>
          <w:rFonts w:ascii="Times New Roman" w:hAnsi="Times New Roman"/>
          <w:sz w:val="20"/>
        </w:rPr>
        <w:t xml:space="preserve">(b) Investments existing on the Agreement Date or made pursuant to a binding commitment in existence on the Closing Date and set forth in </w:t>
      </w:r>
      <w:r>
        <w:rPr>
          <w:rFonts w:ascii="Times New Roman" w:hAnsi="Times New Roman"/>
          <w:sz w:val="20"/>
          <w:u w:val="single"/>
        </w:rPr>
        <w:t>Schedule 5.13</w:t>
      </w:r>
      <w:r>
        <w:rPr>
          <w:rFonts w:ascii="Times New Roman" w:hAnsi="Times New Roman"/>
          <w:sz w:val="20"/>
        </w:rPr>
        <w:t xml:space="preserve"> or </w:t>
      </w:r>
      <w:r>
        <w:rPr>
          <w:rFonts w:ascii="Times New Roman" w:hAnsi="Times New Roman"/>
          <w:sz w:val="20"/>
          <w:u w:val="single"/>
        </w:rPr>
        <w:t>Schedule 7.4</w:t>
      </w:r>
      <w:r>
        <w:rPr>
          <w:rFonts w:ascii="Times New Roman" w:hAnsi="Times New Roman"/>
          <w:sz w:val="20"/>
        </w:rPr>
        <w:t xml:space="preserve">, and any Investment consisting of any extension, modification or renewal of any such Investment, binding commitment or obligation that does not increase the amount thereof; </w:t>
      </w:r>
    </w:p>
    <w:p>
      <w:pPr>
        <w:pStyle w:val="TextBody"/>
        <w:spacing w:before="240" w:after="0"/>
        <w:jc w:val="left"/>
        <w:rPr>
          <w:rFonts w:ascii="Times New Roman" w:hAnsi="Times New Roman"/>
          <w:sz w:val="20"/>
        </w:rPr>
      </w:pPr>
      <w:r>
        <w:rPr>
          <w:rFonts w:ascii="Times New Roman" w:hAnsi="Times New Roman"/>
          <w:sz w:val="20"/>
        </w:rPr>
        <w:t xml:space="preserve">(c) Investments consisting of customary payment terms to suppliers, prepaid expenses or deposits in the ordinary course of business; </w:t>
      </w:r>
    </w:p>
    <w:p>
      <w:pPr>
        <w:pStyle w:val="TextBody"/>
        <w:spacing w:before="240" w:after="0"/>
        <w:jc w:val="left"/>
        <w:rPr>
          <w:rFonts w:ascii="Times New Roman" w:hAnsi="Times New Roman"/>
          <w:sz w:val="20"/>
        </w:rPr>
      </w:pPr>
      <w:r>
        <w:rPr>
          <w:rFonts w:ascii="Times New Roman" w:hAnsi="Times New Roman"/>
          <w:sz w:val="20"/>
        </w:rPr>
        <w:t xml:space="preserve">(d) Investments in any Loan Party; </w:t>
      </w:r>
    </w:p>
    <w:p>
      <w:pPr>
        <w:pStyle w:val="TextBody"/>
        <w:spacing w:before="240" w:after="0"/>
        <w:jc w:val="left"/>
        <w:rPr>
          <w:rFonts w:ascii="Times New Roman" w:hAnsi="Times New Roman"/>
          <w:sz w:val="20"/>
        </w:rPr>
      </w:pPr>
      <w:r>
        <w:rPr>
          <w:rFonts w:ascii="Times New Roman" w:hAnsi="Times New Roman"/>
          <w:sz w:val="20"/>
        </w:rPr>
        <w:t xml:space="preserve">(e) to the extent constituting Investments, Guarantees and Indebtedness permitted by </w:t>
      </w:r>
      <w:r>
        <w:rPr>
          <w:rFonts w:ascii="Times New Roman" w:hAnsi="Times New Roman"/>
          <w:sz w:val="20"/>
          <w:u w:val="single"/>
        </w:rPr>
        <w:t>Section 7.1(a)</w:t>
      </w:r>
      <w:r>
        <w:rPr>
          <w:rFonts w:ascii="Times New Roman" w:hAnsi="Times New Roman"/>
          <w:sz w:val="20"/>
        </w:rPr>
        <w:t xml:space="preserve">, transactions permitted by </w:t>
      </w:r>
      <w:r>
        <w:rPr>
          <w:rFonts w:ascii="Times New Roman" w:hAnsi="Times New Roman"/>
          <w:sz w:val="20"/>
          <w:u w:val="single"/>
        </w:rPr>
        <w:t>Section 7.3</w:t>
      </w:r>
      <w:r>
        <w:rPr>
          <w:rFonts w:ascii="Times New Roman" w:hAnsi="Times New Roman"/>
          <w:sz w:val="20"/>
        </w:rPr>
        <w:t xml:space="preserve">, Dispositions permitted by </w:t>
      </w:r>
      <w:r>
        <w:rPr>
          <w:rFonts w:ascii="Times New Roman" w:hAnsi="Times New Roman"/>
          <w:sz w:val="20"/>
          <w:u w:val="single"/>
        </w:rPr>
        <w:t>Section 7.5</w:t>
      </w:r>
      <w:r>
        <w:rPr>
          <w:rFonts w:ascii="Times New Roman" w:hAnsi="Times New Roman"/>
          <w:sz w:val="20"/>
        </w:rPr>
        <w:t xml:space="preserve"> and Restricted Payments permitted by </w:t>
      </w:r>
      <w:r>
        <w:rPr>
          <w:rFonts w:ascii="Times New Roman" w:hAnsi="Times New Roman"/>
          <w:sz w:val="20"/>
          <w:u w:val="single"/>
        </w:rPr>
        <w:t>Section 7.8</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(f) Swap Agreements not otherwise prohibited hereunder; </w:t>
      </w:r>
    </w:p>
    <w:p>
      <w:pPr>
        <w:pStyle w:val="TextBody"/>
        <w:spacing w:before="240" w:after="0"/>
        <w:jc w:val="left"/>
        <w:rPr>
          <w:rFonts w:ascii="Times New Roman" w:hAnsi="Times New Roman"/>
          <w:sz w:val="20"/>
        </w:rPr>
      </w:pPr>
      <w:r>
        <w:rPr>
          <w:rFonts w:ascii="Times New Roman" w:hAnsi="Times New Roman"/>
          <w:sz w:val="20"/>
        </w:rPr>
        <w:t xml:space="preserve">(g) Permitted Acquisitions; </w:t>
      </w:r>
    </w:p>
    <w:p>
      <w:pPr>
        <w:pStyle w:val="TextBody"/>
        <w:spacing w:before="240" w:after="0"/>
        <w:jc w:val="left"/>
        <w:rPr>
          <w:rFonts w:ascii="Times New Roman" w:hAnsi="Times New Roman"/>
          <w:sz w:val="20"/>
        </w:rPr>
      </w:pPr>
      <w:r>
        <w:rPr>
          <w:rFonts w:ascii="Times New Roman" w:hAnsi="Times New Roman"/>
          <w:sz w:val="20"/>
        </w:rPr>
        <w:t xml:space="preserve">(h) payroll, commission, travel and other similar cash loans or advances made to directors (or comparable Persons), officers or employees in the ordinary course of business; </w:t>
      </w:r>
    </w:p>
    <w:p>
      <w:pPr>
        <w:pStyle w:val="TextBody"/>
        <w:spacing w:before="240" w:after="0"/>
        <w:jc w:val="left"/>
        <w:rPr>
          <w:rFonts w:ascii="Times New Roman" w:hAnsi="Times New Roman"/>
          <w:sz w:val="20"/>
        </w:rPr>
      </w:pPr>
      <w:r>
        <w:rPr>
          <w:rFonts w:ascii="Times New Roman" w:hAnsi="Times New Roman"/>
          <w:sz w:val="20"/>
        </w:rPr>
        <w:t xml:space="preserve">(i) (i) promissory notes and other non-cash consideration received in connection with Dispositions permitted by </w:t>
      </w:r>
      <w:r>
        <w:rPr>
          <w:rFonts w:ascii="Times New Roman" w:hAnsi="Times New Roman"/>
          <w:sz w:val="20"/>
          <w:u w:val="single"/>
        </w:rPr>
        <w:t>Section 7.5</w:t>
      </w:r>
      <w:r>
        <w:rPr>
          <w:rFonts w:ascii="Times New Roman" w:hAnsi="Times New Roman"/>
          <w:sz w:val="20"/>
        </w:rPr>
        <w:t xml:space="preserve">, (ii) Investments received in satisfaction or partial satisfaction of accounts receivable or notes receivable to the extent reasonably necessary in order to prevent or limit loss and (iii) Investments received in settlement of amounts due to any Loan Party or any of its Subsidiaries effected in the ordinary course of business as a result of insolvency, bankruptcy, reorganization, or other similar proceeding involving an account debtor or upon the foreclosure or enforcement of any Lien in favor of a Loan Party or its Subsidiaries; </w:t>
      </w:r>
    </w:p>
    <w:p>
      <w:pPr>
        <w:pStyle w:val="TextBody"/>
        <w:spacing w:before="240" w:after="0"/>
        <w:jc w:val="left"/>
        <w:rPr>
          <w:rFonts w:ascii="Times New Roman" w:hAnsi="Times New Roman"/>
          <w:sz w:val="20"/>
        </w:rPr>
      </w:pPr>
      <w:r>
        <w:rPr>
          <w:rFonts w:ascii="Times New Roman" w:hAnsi="Times New Roman"/>
          <w:sz w:val="20"/>
        </w:rPr>
        <w:t xml:space="preserve">(j) Investments of any Person existing at the time such Person becomes a Subsidiary or consolidates or merges with the Borrower, Holdings or any Subsidiary thereof (including in connection with a Permitted Acquisition) so long as such Investments were not made in contemplation of such Person becoming a Subsidiary or of such consolidation or merger;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- 79 -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(k) Investments in prepaid expenses, deposits, prepayments and other credits to suppliers, lessors or other contractors, including deposits of cash made in the ordinary course of business to secure performance of (i) operating leases and (ii) other contractual obligations that do not constitute Indebtedness, including earnest money deposits made in cash in connection with any letter of intent or purchase agreement in connection with a Permitted Acquisition; </w:t>
      </w:r>
    </w:p>
    <w:p>
      <w:pPr>
        <w:pStyle w:val="TextBody"/>
        <w:spacing w:before="240" w:after="0"/>
        <w:jc w:val="left"/>
        <w:rPr>
          <w:rFonts w:ascii="Times New Roman" w:hAnsi="Times New Roman"/>
          <w:sz w:val="20"/>
        </w:rPr>
      </w:pPr>
      <w:r>
        <w:rPr>
          <w:rFonts w:ascii="Times New Roman" w:hAnsi="Times New Roman"/>
          <w:sz w:val="20"/>
        </w:rPr>
        <w:t xml:space="preserve">(l) Investments in negotiable instruments deposited or to be deposited for collection in the ordinary course of business; and </w:t>
      </w:r>
    </w:p>
    <w:p>
      <w:pPr>
        <w:pStyle w:val="TextBody"/>
        <w:spacing w:before="240" w:after="0"/>
        <w:jc w:val="left"/>
        <w:rPr>
          <w:rFonts w:ascii="Times New Roman" w:hAnsi="Times New Roman"/>
          <w:sz w:val="20"/>
        </w:rPr>
      </w:pPr>
      <w:r>
        <w:rPr>
          <w:rFonts w:ascii="Times New Roman" w:hAnsi="Times New Roman"/>
          <w:sz w:val="20"/>
        </w:rPr>
        <w:t xml:space="preserve">(m) so long as no Default shall have occurred and be continuing or would immediately result therefrom, other Investments by the Borrower and its Subsidiaries after the Agreement Date in an aggregate amount not to exceed the greater of (x) $3,000,000 and (y) 3% of Consolidated Total Assets. </w:t>
      </w:r>
    </w:p>
    <w:p>
      <w:pPr>
        <w:pStyle w:val="TextBody"/>
        <w:spacing w:before="240" w:after="0"/>
        <w:jc w:val="left"/>
        <w:rPr>
          <w:rFonts w:ascii="Times New Roman" w:hAnsi="Times New Roman"/>
          <w:sz w:val="20"/>
        </w:rPr>
      </w:pPr>
      <w:r>
        <w:rPr>
          <w:rFonts w:ascii="Times New Roman" w:hAnsi="Times New Roman"/>
          <w:sz w:val="20"/>
        </w:rPr>
        <w:t xml:space="preserve">For purposes of determining compliance with this </w:t>
      </w:r>
      <w:r>
        <w:rPr>
          <w:rFonts w:ascii="Times New Roman" w:hAnsi="Times New Roman"/>
          <w:sz w:val="20"/>
          <w:u w:val="single"/>
        </w:rPr>
        <w:t>Section 7.4</w:t>
      </w:r>
      <w:r>
        <w:rPr>
          <w:rFonts w:ascii="Times New Roman" w:hAnsi="Times New Roman"/>
          <w:sz w:val="20"/>
        </w:rPr>
        <w:t xml:space="preserve">, (i) an Investment need not be permitted solely by reference to one of the categories described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(m)</w:t>
      </w:r>
      <w:r>
        <w:rPr>
          <w:rFonts w:ascii="Times New Roman" w:hAnsi="Times New Roman"/>
          <w:sz w:val="20"/>
        </w:rPr>
        <w:t xml:space="preserve"> but may be permitted in part under any combination thereof, and (ii) in the event that an Investment (or any part thereof) meets the criteria of more than one of the categories described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(m)</w:t>
      </w:r>
      <w:r>
        <w:rPr>
          <w:rFonts w:ascii="Times New Roman" w:hAnsi="Times New Roman"/>
          <w:sz w:val="20"/>
        </w:rPr>
        <w:t xml:space="preserve"> above, Holdings and the Borrower will be permitted, in their discretion, to classify such Investment on the date of its incurrence, or later reclassify all or a portion of such Investment, in any manner that complies with this Section. </w:t>
      </w:r>
    </w:p>
    <w:p>
      <w:pPr>
        <w:pStyle w:val="TextBody"/>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Dispositions</w:t>
      </w:r>
      <w:r>
        <w:rPr>
          <w:rFonts w:ascii="Times New Roman" w:hAnsi="Times New Roman"/>
          <w:sz w:val="20"/>
        </w:rPr>
        <w:t xml:space="preserve">. Holdings and the Borrower will not, and will not permit any of their respective Subsidiaries to, Dispose of any of its assets except: </w:t>
      </w:r>
    </w:p>
    <w:p>
      <w:pPr>
        <w:pStyle w:val="TextBody"/>
        <w:spacing w:before="120" w:after="0"/>
        <w:jc w:val="left"/>
        <w:rPr>
          <w:rFonts w:ascii="Times New Roman" w:hAnsi="Times New Roman"/>
          <w:sz w:val="20"/>
        </w:rPr>
      </w:pPr>
      <w:r>
        <w:rPr>
          <w:rFonts w:ascii="Times New Roman" w:hAnsi="Times New Roman"/>
          <w:sz w:val="20"/>
        </w:rPr>
        <w:t xml:space="preserve">(a) issuances of Qualified Equity Interests by (i) any Subsidiary of a Loan Party to a Loan Party, (ii) the Borrower to Holdings, in each case subject to the Collateral and Guarantee Requirement and </w:t>
      </w:r>
      <w:r>
        <w:rPr>
          <w:rFonts w:ascii="Times New Roman" w:hAnsi="Times New Roman"/>
          <w:sz w:val="20"/>
          <w:u w:val="single"/>
        </w:rPr>
        <w:t>Section 2.7(b)(i)(B)</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(b) (i) any Disposition by (A) any Loan Party to any other Loan Party or (B) a Non-Loan Party Subsidiary to another Non-Loan Party Subsidiary or, if in compliance with </w:t>
      </w:r>
      <w:r>
        <w:rPr>
          <w:rFonts w:ascii="Times New Roman" w:hAnsi="Times New Roman"/>
          <w:sz w:val="20"/>
          <w:u w:val="single"/>
        </w:rPr>
        <w:t>Section 7.9</w:t>
      </w:r>
      <w:r>
        <w:rPr>
          <w:rFonts w:ascii="Times New Roman" w:hAnsi="Times New Roman"/>
          <w:sz w:val="20"/>
        </w:rPr>
        <w:t xml:space="preserve">, any Loan Party, in each case so long as the Collateral and Guarantee Requirement is satisfied after giving effect thereto, (ii) the collection of accounts receivable and other obligations in the ordinary course of business, and the discount, write-off or other Disposition of accounts receivable overdue by more than thirty (30) days or the sale of any such accounts receivable for the purposes of collection to any collection agency, in each case, in the ordinary course of business, (iii) any Disposition of inventory, products, services, accounts receivable, cash, Cash Equivalents or other current assets or financial instruments, in each case in the ordinary course of business, (iv) Dispositions of worn out, damaged, unserviceable, uneconomical, surplus, outdated or obsolete assets, and assets that are no longer useful in the business of Holdings or its Subsidiaries or that are no longer necessary therefor and (v) any Disposition constituting the surrender or waiver of contractual rights or the settlement, release or surrender of contractual rights or other litigation claims in the ordinary course of business, or the write-off or write-down of any asset; </w:t>
      </w:r>
    </w:p>
    <w:p>
      <w:pPr>
        <w:pStyle w:val="TextBody"/>
        <w:spacing w:before="240" w:after="0"/>
        <w:jc w:val="left"/>
        <w:rPr>
          <w:rFonts w:ascii="Times New Roman" w:hAnsi="Times New Roman"/>
          <w:sz w:val="20"/>
        </w:rPr>
      </w:pPr>
      <w:r>
        <w:rPr>
          <w:rFonts w:ascii="Times New Roman" w:hAnsi="Times New Roman"/>
          <w:sz w:val="20"/>
        </w:rPr>
        <w:t xml:space="preserve">(c) the use or transfer of money, cash or Cash Equivalents in a manner that is not prohibited by the terms of this Credit Agreement or the other Loan Documents; </w:t>
      </w:r>
    </w:p>
    <w:p>
      <w:pPr>
        <w:pStyle w:val="TextBody"/>
        <w:spacing w:before="240" w:after="0"/>
        <w:jc w:val="left"/>
        <w:rPr>
          <w:rFonts w:ascii="Times New Roman" w:hAnsi="Times New Roman"/>
          <w:sz w:val="20"/>
        </w:rPr>
      </w:pPr>
      <w:r>
        <w:rPr>
          <w:rFonts w:ascii="Times New Roman" w:hAnsi="Times New Roman"/>
          <w:sz w:val="20"/>
        </w:rPr>
        <w:t xml:space="preserve">(d) the licensing and sublicensing on a non-exclusive basis of patents, trademarks, copyrights, and other Intellectual Property rights in the ordinary course of business, and the leasing, subleasing, licensing and sublicensing of any other property (and the termination of any of the foregoing); </w:t>
      </w:r>
    </w:p>
    <w:p>
      <w:pPr>
        <w:pStyle w:val="TextBody"/>
        <w:spacing w:before="240" w:after="0"/>
        <w:jc w:val="left"/>
        <w:rPr>
          <w:rFonts w:ascii="Times New Roman" w:hAnsi="Times New Roman"/>
          <w:sz w:val="20"/>
        </w:rPr>
      </w:pPr>
      <w:r>
        <w:rPr>
          <w:rFonts w:ascii="Times New Roman" w:hAnsi="Times New Roman"/>
          <w:sz w:val="20"/>
        </w:rPr>
        <w:t xml:space="preserve">(e) the granting of Liens permitted hereunder and the other transactions permitted by </w:t>
      </w:r>
      <w:r>
        <w:rPr>
          <w:rFonts w:ascii="Times New Roman" w:hAnsi="Times New Roman"/>
          <w:sz w:val="20"/>
          <w:u w:val="single"/>
        </w:rPr>
        <w:t>Section 7.2</w:t>
      </w:r>
      <w:r>
        <w:rPr>
          <w:rFonts w:ascii="Times New Roman" w:hAnsi="Times New Roman"/>
          <w:sz w:val="20"/>
        </w:rPr>
        <w:t xml:space="preserve">, </w:t>
      </w:r>
      <w:r>
        <w:rPr>
          <w:rFonts w:ascii="Times New Roman" w:hAnsi="Times New Roman"/>
          <w:sz w:val="20"/>
          <w:u w:val="single"/>
        </w:rPr>
        <w:t>Section 7.4</w:t>
      </w:r>
      <w:r>
        <w:rPr>
          <w:rFonts w:ascii="Times New Roman" w:hAnsi="Times New Roman"/>
          <w:sz w:val="20"/>
        </w:rPr>
        <w:t xml:space="preserve">, </w:t>
      </w:r>
      <w:r>
        <w:rPr>
          <w:rFonts w:ascii="Times New Roman" w:hAnsi="Times New Roman"/>
          <w:sz w:val="20"/>
          <w:u w:val="single"/>
        </w:rPr>
        <w:t>Section 7.8</w:t>
      </w:r>
      <w:r>
        <w:rPr>
          <w:rFonts w:ascii="Times New Roman" w:hAnsi="Times New Roman"/>
          <w:sz w:val="20"/>
        </w:rPr>
        <w:t xml:space="preserve"> and, to the extent not otherwise permitted under this </w:t>
      </w:r>
      <w:r>
        <w:rPr>
          <w:rFonts w:ascii="Times New Roman" w:hAnsi="Times New Roman"/>
          <w:sz w:val="20"/>
          <w:u w:val="single"/>
        </w:rPr>
        <w:t>Section 7.5</w:t>
      </w:r>
      <w:r>
        <w:rPr>
          <w:rFonts w:ascii="Times New Roman" w:hAnsi="Times New Roman"/>
          <w:sz w:val="20"/>
        </w:rPr>
        <w:t xml:space="preserve">, </w:t>
      </w:r>
      <w:r>
        <w:rPr>
          <w:rFonts w:ascii="Times New Roman" w:hAnsi="Times New Roman"/>
          <w:sz w:val="20"/>
          <w:u w:val="single"/>
        </w:rPr>
        <w:t>Section 7.3</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- 80 -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(f) any Casualty Event and the Disposition of any property subject thereto; </w:t>
      </w:r>
    </w:p>
    <w:p>
      <w:pPr>
        <w:pStyle w:val="TextBody"/>
        <w:spacing w:before="240" w:after="0"/>
        <w:jc w:val="left"/>
        <w:rPr>
          <w:rFonts w:ascii="Times New Roman" w:hAnsi="Times New Roman"/>
          <w:sz w:val="20"/>
        </w:rPr>
      </w:pPr>
      <w:r>
        <w:rPr>
          <w:rFonts w:ascii="Times New Roman" w:hAnsi="Times New Roman"/>
          <w:sz w:val="20"/>
        </w:rPr>
        <w:t xml:space="preserve">(g) the abandonment, cancellation, lapse, expiry or other Disposition of Intellectual Property of a Loan Party or Subsidiary to the extent, in such Loan Partys reasonable business judgment, not economically desirable in the conduct of such Loan Partys business or so long as such abandonment, cancellation, lapse, expiry or other Disposition is not materially adverse to the interests of the Lenders and (ii) the lapse or expiration of Intellectual Property in accordance with their statutory terms; </w:t>
      </w:r>
    </w:p>
    <w:p>
      <w:pPr>
        <w:pStyle w:val="TextBody"/>
        <w:spacing w:before="240" w:after="0"/>
        <w:jc w:val="left"/>
        <w:rPr>
          <w:rFonts w:ascii="Times New Roman" w:hAnsi="Times New Roman"/>
          <w:sz w:val="20"/>
        </w:rPr>
      </w:pPr>
      <w:r>
        <w:rPr>
          <w:rFonts w:ascii="Times New Roman" w:hAnsi="Times New Roman"/>
          <w:sz w:val="20"/>
        </w:rPr>
        <w:t>(h) the Disposition of assets (other than Equity Interests of any Wholly-Owned Subsidiary) for at least fair market value, so long as (i) no Default then exists or would immediately result therefrom, (ii) at least 75% of the consideration received by the applicable Loan Party consists of cash or Cash Equivalents and is paid at the time of the closing of such sale (</w:t>
      </w:r>
      <w:r>
        <w:rPr>
          <w:rFonts w:ascii="Times New Roman" w:hAnsi="Times New Roman"/>
          <w:sz w:val="20"/>
          <w:u w:val="single"/>
        </w:rPr>
        <w:t>provided</w:t>
      </w:r>
      <w:r>
        <w:rPr>
          <w:rFonts w:ascii="Times New Roman" w:hAnsi="Times New Roman"/>
          <w:sz w:val="20"/>
        </w:rPr>
        <w:t xml:space="preserve"> that the following shall be deemed to be cash or Cash Equivalents: the amount of any Indebtedness or other liabilities of Holdings or any Subsidiary that are assumed by the transferee of any such assets), (iii) the Net Cash Proceeds therefrom are applied and/or reinvested as (and to the extent) required by </w:t>
      </w:r>
      <w:r>
        <w:rPr>
          <w:rFonts w:ascii="Times New Roman" w:hAnsi="Times New Roman"/>
          <w:sz w:val="20"/>
          <w:u w:val="single"/>
        </w:rPr>
        <w:t>Section 2.7(b)(i)(A)</w:t>
      </w:r>
      <w:r>
        <w:rPr>
          <w:rFonts w:ascii="Times New Roman" w:hAnsi="Times New Roman"/>
          <w:sz w:val="20"/>
        </w:rPr>
        <w:t xml:space="preserve"> and (iv) the aggregate amount of cash and non-cash proceeds received from all assets sold pursuant to this </w:t>
      </w:r>
      <w:r>
        <w:rPr>
          <w:rFonts w:ascii="Times New Roman" w:hAnsi="Times New Roman"/>
          <w:sz w:val="20"/>
          <w:u w:val="single"/>
        </w:rPr>
        <w:t>clause (h)</w:t>
      </w:r>
      <w:r>
        <w:rPr>
          <w:rFonts w:ascii="Times New Roman" w:hAnsi="Times New Roman"/>
          <w:sz w:val="20"/>
        </w:rPr>
        <w:t xml:space="preserve"> shall not exceed the greater of (x) $7,500,000 and (y) 7.5% of Consolidated Total Assets in the aggregate during the term of this Credit Agreement (for this purpose, using the fair market value of property other than cash and Cash Equivalents); </w:t>
      </w:r>
    </w:p>
    <w:p>
      <w:pPr>
        <w:pStyle w:val="TextBody"/>
        <w:spacing w:before="240" w:after="0"/>
        <w:jc w:val="left"/>
        <w:rPr>
          <w:rFonts w:ascii="Times New Roman" w:hAnsi="Times New Roman"/>
          <w:sz w:val="20"/>
        </w:rPr>
      </w:pPr>
      <w:r>
        <w:rPr>
          <w:rFonts w:ascii="Times New Roman" w:hAnsi="Times New Roman"/>
          <w:sz w:val="20"/>
        </w:rPr>
        <w:t xml:space="preserve">(i) Dispositions of equipment or Real Property to the extent such property is exchanged for credit against the purchase price of similar replacement property or for other equipment or Real Property; </w:t>
      </w:r>
    </w:p>
    <w:p>
      <w:pPr>
        <w:pStyle w:val="TextBody"/>
        <w:spacing w:before="240" w:after="0"/>
        <w:jc w:val="left"/>
        <w:rPr>
          <w:rFonts w:ascii="Times New Roman" w:hAnsi="Times New Roman"/>
          <w:sz w:val="20"/>
        </w:rPr>
      </w:pPr>
      <w:r>
        <w:rPr>
          <w:rFonts w:ascii="Times New Roman" w:hAnsi="Times New Roman"/>
          <w:sz w:val="20"/>
        </w:rPr>
        <w:t xml:space="preserve">(j) any Disposition comprising the unwinding or terminating of hedging arrangements or transactions contemplated by any Swap Agreement which are not prohibited hereunder; and </w:t>
      </w:r>
    </w:p>
    <w:p>
      <w:pPr>
        <w:pStyle w:val="TextBody"/>
        <w:spacing w:before="240" w:after="0"/>
        <w:jc w:val="left"/>
        <w:rPr>
          <w:rFonts w:ascii="Times New Roman" w:hAnsi="Times New Roman"/>
          <w:sz w:val="20"/>
        </w:rPr>
      </w:pPr>
      <w:r>
        <w:rPr>
          <w:rFonts w:ascii="Times New Roman" w:hAnsi="Times New Roman"/>
          <w:sz w:val="20"/>
        </w:rPr>
        <w:t xml:space="preserve">(k) Dispositions of Investments in joint ventures to the extent required by, or made pursuant to, contractual buy/sell arrangements between the joint venture parties set forth in joint venture arrangements and similar binding arrangements. </w:t>
      </w:r>
    </w:p>
    <w:p>
      <w:pPr>
        <w:pStyle w:val="TextBody"/>
        <w:spacing w:before="240" w:after="0"/>
        <w:jc w:val="left"/>
        <w:rPr>
          <w:rFonts w:ascii="Times New Roman" w:hAnsi="Times New Roman"/>
          <w:sz w:val="20"/>
        </w:rPr>
      </w:pPr>
      <w:r>
        <w:rPr>
          <w:rFonts w:ascii="Times New Roman" w:hAnsi="Times New Roman"/>
          <w:sz w:val="20"/>
        </w:rPr>
        <w:t xml:space="preserve">For purposes of determining compliance with this </w:t>
      </w:r>
      <w:r>
        <w:rPr>
          <w:rFonts w:ascii="Times New Roman" w:hAnsi="Times New Roman"/>
          <w:sz w:val="20"/>
          <w:u w:val="single"/>
        </w:rPr>
        <w:t>Section 7.5</w:t>
      </w:r>
      <w:r>
        <w:rPr>
          <w:rFonts w:ascii="Times New Roman" w:hAnsi="Times New Roman"/>
          <w:sz w:val="20"/>
        </w:rPr>
        <w:t xml:space="preserve">, (i) a Disposition need not be permitted solely by reference to one of the categories described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(k)</w:t>
      </w:r>
      <w:r>
        <w:rPr>
          <w:rFonts w:ascii="Times New Roman" w:hAnsi="Times New Roman"/>
          <w:sz w:val="20"/>
        </w:rPr>
        <w:t xml:space="preserve"> but may be permitted in part under any combination thereof, and (ii) in the event that a Disposition (or any part thereof) meets the criteria of more than one of the categories described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(k)</w:t>
      </w:r>
      <w:r>
        <w:rPr>
          <w:rFonts w:ascii="Times New Roman" w:hAnsi="Times New Roman"/>
          <w:sz w:val="20"/>
        </w:rPr>
        <w:t xml:space="preserve"> above, Holdings and the Borrower will be permitted, in their discretion, to classify such Disposition on the date of its occurrence, or later reclassify all or a portion of such Disposition, in any manner that complies with this Section. </w:t>
      </w:r>
    </w:p>
    <w:p>
      <w:pPr>
        <w:pStyle w:val="TextBody"/>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[Reserved]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7.7 </w:t>
      </w:r>
      <w:r>
        <w:rPr>
          <w:rFonts w:ascii="Times New Roman" w:hAnsi="Times New Roman"/>
          <w:sz w:val="20"/>
          <w:u w:val="single"/>
        </w:rPr>
        <w:t>[Reserved]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7.8 </w:t>
      </w:r>
      <w:r>
        <w:rPr>
          <w:rFonts w:ascii="Times New Roman" w:hAnsi="Times New Roman"/>
          <w:sz w:val="20"/>
          <w:u w:val="single"/>
        </w:rPr>
        <w:t>Restricted Payments</w:t>
      </w:r>
      <w:r>
        <w:rPr>
          <w:rFonts w:ascii="Times New Roman" w:hAnsi="Times New Roman"/>
          <w:sz w:val="20"/>
        </w:rPr>
        <w:t xml:space="preserve">. Holdings and the Borrower will not, and will not permit any of their respective Subsidiaries to, declare or make, or agree to pay for or make, directly or indirectly, any Restricted Payment, or incur any obligation (contingent or otherwise) to do so, except: </w:t>
      </w:r>
    </w:p>
    <w:p>
      <w:pPr>
        <w:pStyle w:val="TextBody"/>
        <w:spacing w:before="120" w:after="0"/>
        <w:jc w:val="left"/>
        <w:rPr>
          <w:rFonts w:ascii="Times New Roman" w:hAnsi="Times New Roman"/>
          <w:sz w:val="20"/>
        </w:rPr>
      </w:pPr>
      <w:r>
        <w:rPr>
          <w:rFonts w:ascii="Times New Roman" w:hAnsi="Times New Roman"/>
          <w:sz w:val="20"/>
        </w:rPr>
        <w:t>(a) to the extent required pursuant to section 174 in combination with section 254 of the German Stock Corporation Act (</w:t>
      </w:r>
      <w:r>
        <w:rPr>
          <w:rFonts w:ascii="Times New Roman" w:hAnsi="Times New Roman"/>
          <w:i/>
          <w:sz w:val="20"/>
        </w:rPr>
        <w:t>AktiengesetzAktG</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- 81 -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subject to the Collateral and Guarantee Requirement, any Subsidiary of Holdings may declare and pay, and agree to pay, dividends and other distributions with respect to its Equity Interests payable solely in perpetual common Equity Interests (other than Disqualified Equity Interests); </w:t>
      </w:r>
    </w:p>
    <w:p>
      <w:pPr>
        <w:pStyle w:val="TextBody"/>
        <w:spacing w:before="240" w:after="0"/>
        <w:jc w:val="left"/>
        <w:rPr>
          <w:rFonts w:ascii="Times New Roman" w:hAnsi="Times New Roman"/>
          <w:sz w:val="20"/>
        </w:rPr>
      </w:pPr>
      <w:r>
        <w:rPr>
          <w:rFonts w:ascii="Times New Roman" w:hAnsi="Times New Roman"/>
          <w:sz w:val="20"/>
        </w:rPr>
        <w:t xml:space="preserve">(c) any Subsidiary of Holdings may declare and pay dividends or other distributions with respect to its Equity Interests to Holdings, the Borrower or any Subsidiary Guarantor, and to any other Person that holds an Equity Interest in such Subsidiary, ratably according to their respective holdings of such Equity Interests in respect of which such Restricted Payment is being made; </w:t>
      </w:r>
    </w:p>
    <w:p>
      <w:pPr>
        <w:pStyle w:val="TextBody"/>
        <w:spacing w:before="240" w:after="0"/>
        <w:jc w:val="left"/>
        <w:rPr>
          <w:rFonts w:ascii="Times New Roman" w:hAnsi="Times New Roman"/>
          <w:sz w:val="20"/>
        </w:rPr>
      </w:pPr>
      <w:r>
        <w:rPr>
          <w:rFonts w:ascii="Times New Roman" w:hAnsi="Times New Roman"/>
          <w:sz w:val="20"/>
        </w:rPr>
        <w:t xml:space="preserve">(d) Holdings, the Borrower and their respective Subsidiaries may purchase, redeem or otherwise acquire Equity Interests issued by the relevant Person with the proceeds received from the substantially concurrent issue of new common Equity Interests; </w:t>
      </w:r>
    </w:p>
    <w:p>
      <w:pPr>
        <w:pStyle w:val="TextBody"/>
        <w:spacing w:before="240" w:after="0"/>
        <w:jc w:val="left"/>
        <w:rPr>
          <w:rFonts w:ascii="Times New Roman" w:hAnsi="Times New Roman"/>
          <w:sz w:val="20"/>
        </w:rPr>
      </w:pPr>
      <w:r>
        <w:rPr>
          <w:rFonts w:ascii="Times New Roman" w:hAnsi="Times New Roman"/>
          <w:sz w:val="20"/>
        </w:rPr>
        <w:t xml:space="preserve">(e) Holdings, the Borrower and each Subsidiary may pay withholding or similar taxes payable by any future, present or former employee, director or officer (or any spouses, former spouses, successors, executors, administrators, heirs, legatees or distributees of any of the foregoing) in connection with any repurchases of Equity Interests or the exercise of stock options; and </w:t>
      </w:r>
    </w:p>
    <w:p>
      <w:pPr>
        <w:pStyle w:val="TextBody"/>
        <w:spacing w:before="240" w:after="0"/>
        <w:jc w:val="left"/>
        <w:rPr>
          <w:rFonts w:ascii="Times New Roman" w:hAnsi="Times New Roman"/>
          <w:sz w:val="20"/>
        </w:rPr>
      </w:pPr>
      <w:r>
        <w:rPr>
          <w:rFonts w:ascii="Times New Roman" w:hAnsi="Times New Roman"/>
          <w:sz w:val="20"/>
        </w:rPr>
        <w:t xml:space="preserve">(f) any Loan Party or Subsidiary may make any other Restricted Payment to any Loan Party. </w:t>
      </w:r>
    </w:p>
    <w:p>
      <w:pPr>
        <w:pStyle w:val="TextBody"/>
        <w:spacing w:before="240" w:after="0"/>
        <w:jc w:val="left"/>
        <w:rPr>
          <w:rFonts w:ascii="Times New Roman" w:hAnsi="Times New Roman"/>
          <w:sz w:val="20"/>
        </w:rPr>
      </w:pPr>
      <w:r>
        <w:rPr>
          <w:rFonts w:ascii="Times New Roman" w:hAnsi="Times New Roman"/>
          <w:sz w:val="20"/>
        </w:rPr>
        <w:t xml:space="preserve">Section 7.9 </w:t>
      </w:r>
      <w:r>
        <w:rPr>
          <w:rFonts w:ascii="Times New Roman" w:hAnsi="Times New Roman"/>
          <w:sz w:val="20"/>
          <w:u w:val="single"/>
        </w:rPr>
        <w:t>Transactions with Affiliates</w:t>
      </w:r>
      <w:r>
        <w:rPr>
          <w:rFonts w:ascii="Times New Roman" w:hAnsi="Times New Roman"/>
          <w:sz w:val="20"/>
        </w:rPr>
        <w:t xml:space="preserve">. Holdings and the Borrower will not, and will not permit any of their respective Subsidiaries to, Dispose (including pursuant to a merger or Division) of any property or assets to, or purchase, lease or otherwise acquire (including pursuant to a merger or Division) any property or assets from, or otherwise engage in any other transactions with, any of its Affiliates, except (a) transactions at prices and on terms and conditions not less favorable to such Loan Party or such Subsidiary than could be obtained on an arms-length basis from unrelated third parties (it being understood that this Section shall not apply to any transaction that is expressly permitted under </w:t>
      </w:r>
      <w:r>
        <w:rPr>
          <w:rFonts w:ascii="Times New Roman" w:hAnsi="Times New Roman"/>
          <w:sz w:val="20"/>
          <w:u w:val="single"/>
        </w:rPr>
        <w:t>Sections 7.1</w:t>
      </w:r>
      <w:r>
        <w:rPr>
          <w:rFonts w:ascii="Times New Roman" w:hAnsi="Times New Roman"/>
          <w:sz w:val="20"/>
        </w:rPr>
        <w:t xml:space="preserve">, </w:t>
      </w:r>
      <w:r>
        <w:rPr>
          <w:rFonts w:ascii="Times New Roman" w:hAnsi="Times New Roman"/>
          <w:sz w:val="20"/>
          <w:u w:val="single"/>
        </w:rPr>
        <w:t>7.2</w:t>
      </w:r>
      <w:r>
        <w:rPr>
          <w:rFonts w:ascii="Times New Roman" w:hAnsi="Times New Roman"/>
          <w:sz w:val="20"/>
        </w:rPr>
        <w:t xml:space="preserve">, </w:t>
      </w:r>
      <w:r>
        <w:rPr>
          <w:rFonts w:ascii="Times New Roman" w:hAnsi="Times New Roman"/>
          <w:sz w:val="20"/>
          <w:u w:val="single"/>
        </w:rPr>
        <w:t>7.3</w:t>
      </w:r>
      <w:r>
        <w:rPr>
          <w:rFonts w:ascii="Times New Roman" w:hAnsi="Times New Roman"/>
          <w:sz w:val="20"/>
        </w:rPr>
        <w:t xml:space="preserve">, </w:t>
      </w:r>
      <w:r>
        <w:rPr>
          <w:rFonts w:ascii="Times New Roman" w:hAnsi="Times New Roman"/>
          <w:sz w:val="20"/>
          <w:u w:val="single"/>
        </w:rPr>
        <w:t>7.4</w:t>
      </w:r>
      <w:r>
        <w:rPr>
          <w:rFonts w:ascii="Times New Roman" w:hAnsi="Times New Roman"/>
          <w:sz w:val="20"/>
        </w:rPr>
        <w:t xml:space="preserve">, </w:t>
      </w:r>
      <w:r>
        <w:rPr>
          <w:rFonts w:ascii="Times New Roman" w:hAnsi="Times New Roman"/>
          <w:sz w:val="20"/>
          <w:u w:val="single"/>
        </w:rPr>
        <w:t>7.5</w:t>
      </w:r>
      <w:r>
        <w:rPr>
          <w:rFonts w:ascii="Times New Roman" w:hAnsi="Times New Roman"/>
          <w:sz w:val="20"/>
        </w:rPr>
        <w:t xml:space="preserve">, </w:t>
      </w:r>
      <w:r>
        <w:rPr>
          <w:rFonts w:ascii="Times New Roman" w:hAnsi="Times New Roman"/>
          <w:sz w:val="20"/>
          <w:u w:val="single"/>
        </w:rPr>
        <w:t>7.8</w:t>
      </w:r>
      <w:r>
        <w:rPr>
          <w:rFonts w:ascii="Times New Roman" w:hAnsi="Times New Roman"/>
          <w:sz w:val="20"/>
        </w:rPr>
        <w:t xml:space="preserve"> or </w:t>
      </w:r>
      <w:r>
        <w:rPr>
          <w:rFonts w:ascii="Times New Roman" w:hAnsi="Times New Roman"/>
          <w:sz w:val="20"/>
          <w:u w:val="single"/>
        </w:rPr>
        <w:t>7.10</w:t>
      </w:r>
      <w:r>
        <w:rPr>
          <w:rFonts w:ascii="Times New Roman" w:hAnsi="Times New Roman"/>
          <w:sz w:val="20"/>
        </w:rPr>
        <w:t xml:space="preserve"> of this Credit Agreement or any transaction between or among the Loan Parties and not involving any other Affiliate) and (b) the Transactions. </w:t>
      </w:r>
    </w:p>
    <w:p>
      <w:pPr>
        <w:pStyle w:val="TextBody"/>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Restrictive Agreements</w:t>
      </w:r>
      <w:r>
        <w:rPr>
          <w:rFonts w:ascii="Times New Roman" w:hAnsi="Times New Roman"/>
          <w:sz w:val="20"/>
        </w:rPr>
        <w:t xml:space="preserve">. Holdings and the Borrower will not, and will not permit any of their respective Subsidiaries to, directly or indirectly, enter into any agreement or other arrangement that prohibits, restricts or imposes any condition upon (a) the ability of any Loan Party or any of its Subsidiaries to create, incur or permit to exist any Lien in favor of the Secured Parties created under the Loan Documents or (b) the ability of any Subsidiary to pay dividends or make other distributions with respect to any of its Equity Interests or to make or repay loans or advances to the Borrower or any other Subsidiary or to Guarantee Indebtedness of the Borrower or any other Subsidiary; </w:t>
      </w:r>
      <w:r>
        <w:rPr>
          <w:rFonts w:ascii="Times New Roman" w:hAnsi="Times New Roman"/>
          <w:sz w:val="20"/>
          <w:u w:val="single"/>
        </w:rPr>
        <w:t>provided</w:t>
      </w:r>
      <w:r>
        <w:rPr>
          <w:rFonts w:ascii="Times New Roman" w:hAnsi="Times New Roman"/>
          <w:sz w:val="20"/>
        </w:rPr>
        <w:t xml:space="preserve"> that (i) the foregoing shall not apply to (A) prohibitions, restrictions and conditions imposed by Applicable Law or by the Loan Documents, (B) prohibitions, restrictions and conditions existing on the Agreement Date identified on </w:t>
      </w:r>
      <w:r>
        <w:rPr>
          <w:rFonts w:ascii="Times New Roman" w:hAnsi="Times New Roman"/>
          <w:sz w:val="20"/>
          <w:u w:val="single"/>
        </w:rPr>
        <w:t>Schedule 7.10</w:t>
      </w:r>
      <w:r>
        <w:rPr>
          <w:rFonts w:ascii="Times New Roman" w:hAnsi="Times New Roman"/>
          <w:sz w:val="20"/>
        </w:rPr>
        <w:t xml:space="preserve"> (but shall apply to any extension or renewal of, or any amendment or modification expanding the scope of, any such prohibition, restriction or condition) and (C) customary restrictions and conditions contained in agreements relating to the sale of a subsidiary pending such sale; </w:t>
      </w:r>
      <w:r>
        <w:rPr>
          <w:rFonts w:ascii="Times New Roman" w:hAnsi="Times New Roman"/>
          <w:sz w:val="20"/>
          <w:u w:val="single"/>
        </w:rPr>
        <w:t>provided</w:t>
      </w:r>
      <w:r>
        <w:rPr>
          <w:rFonts w:ascii="Times New Roman" w:hAnsi="Times New Roman"/>
          <w:sz w:val="20"/>
        </w:rPr>
        <w:t xml:space="preserve"> that such restrictions and conditions apply only to its Subsidiary that is to be sold and such sale is permitted hereunder, (ii)</w:t>
      </w:r>
      <w:r>
        <w:rPr>
          <w:rFonts w:ascii="Times New Roman" w:hAnsi="Times New Roman"/>
          <w:sz w:val="20"/>
          <w:u w:val="single"/>
        </w:rPr>
        <w:t> clause (a)</w:t>
      </w:r>
      <w:r>
        <w:rPr>
          <w:rFonts w:ascii="Times New Roman" w:hAnsi="Times New Roman"/>
          <w:sz w:val="20"/>
        </w:rPr>
        <w:t xml:space="preserve"> of this Section shall not apply to restrictions or conditions imposed by any agreement relating to secured Indebtedness permitted by this Credit Agreement if such restrictions or conditions apply only to the property or assets securing such Indebtedness, and (iii)</w:t>
      </w:r>
      <w:r>
        <w:rPr>
          <w:rFonts w:ascii="Times New Roman" w:hAnsi="Times New Roman"/>
          <w:sz w:val="20"/>
          <w:u w:val="single"/>
        </w:rPr>
        <w:t> clause (a)</w:t>
      </w:r>
      <w:r>
        <w:rPr>
          <w:rFonts w:ascii="Times New Roman" w:hAnsi="Times New Roman"/>
          <w:sz w:val="20"/>
        </w:rPr>
        <w:t xml:space="preserve"> of this Section shall not apply to customary provisions in agreements restricting the assignment thereof. </w:t>
      </w:r>
    </w:p>
    <w:p>
      <w:pPr>
        <w:pStyle w:val="TextBody"/>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Amendment of Material Documents</w:t>
      </w:r>
      <w:r>
        <w:rPr>
          <w:rFonts w:ascii="Times New Roman" w:hAnsi="Times New Roman"/>
          <w:sz w:val="20"/>
        </w:rPr>
        <w:t xml:space="preserve">. Holdings and the Borrower will not, and will not permit any of their respective Subsidiaries to, amend, supplement modify or waive any of its rights under any Subordinated Debt Document or any of its Organizational Documents, other than immaterial amendments, modifications or waivers that could not reasonably be expected to adversely affect the Credit Parties; </w:t>
      </w:r>
      <w:r>
        <w:rPr>
          <w:rFonts w:ascii="Times New Roman" w:hAnsi="Times New Roman"/>
          <w:sz w:val="20"/>
          <w:u w:val="single"/>
        </w:rPr>
        <w:t>provided</w:t>
      </w:r>
      <w:r>
        <w:rPr>
          <w:rFonts w:ascii="Times New Roman" w:hAnsi="Times New Roman"/>
          <w:sz w:val="20"/>
        </w:rPr>
        <w:t xml:space="preserve"> that the Borrower shall deliver or cause to be delivered to the Administrative Agent and each Lender a copy of all amendments, modifications or waivers thereto promptly after the execution and delivery thereof.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- 82 -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Financial Covenants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Consolidated Leverage Ratio</w:t>
      </w:r>
      <w:r>
        <w:rPr>
          <w:rFonts w:ascii="Times New Roman" w:hAnsi="Times New Roman"/>
          <w:sz w:val="20"/>
        </w:rPr>
        <w:t xml:space="preserve">. Commencing with the Measurement Period ending March 31, 2025, Holdings and the Borrower will not permit the Consolidated Leverage Ratio as of the end of any Measurement Period set forth below (subject to such modifications to Measurement Period as are set forth in the definition of Consolidated Leverage Ratio) to be greater than the ratio set forth with respect to such Measurement Period in the following table: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674"/>
        <w:gridCol w:w="222"/>
        <w:gridCol w:w="60"/>
        <w:gridCol w:w="921"/>
        <w:gridCol w:w="62"/>
      </w:tblGrid>
      <w:tr>
        <w:trPr/>
        <w:tc>
          <w:tcPr>
            <w:tcW w:w="5674"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5674"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Measurement Period Ending</w:t>
            </w:r>
          </w:p>
        </w:tc>
        <w:tc>
          <w:tcPr>
            <w:tcW w:w="222" w:type="dxa"/>
            <w:tcBorders/>
            <w:shd w:fill="auto" w:val="clear"/>
            <w:vAlign w:val="bottom"/>
          </w:tcPr>
          <w:p>
            <w:pPr>
              <w:pStyle w:val="TableContents"/>
              <w:spacing w:before="0" w:after="283"/>
              <w:rPr/>
            </w:pPr>
            <w:r>
              <w:rPr/>
              <w:t>  </w:t>
            </w:r>
          </w:p>
        </w:tc>
        <w:tc>
          <w:tcPr>
            <w:tcW w:w="98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Ratio</w:t>
            </w:r>
          </w:p>
        </w:tc>
        <w:tc>
          <w:tcPr>
            <w:tcW w:w="62" w:type="dxa"/>
            <w:tcBorders/>
            <w:shd w:fill="auto" w:val="clear"/>
            <w:vAlign w:val="bottom"/>
          </w:tcPr>
          <w:p>
            <w:pPr>
              <w:pStyle w:val="TableContents"/>
              <w:spacing w:before="0" w:after="283"/>
              <w:rPr/>
            </w:pPr>
            <w:r>
              <w:rPr/>
              <w:t> </w:t>
            </w:r>
          </w:p>
        </w:tc>
      </w:tr>
      <w:tr>
        <w:trPr/>
        <w:tc>
          <w:tcPr>
            <w:tcW w:w="5674" w:type="dxa"/>
            <w:tcBorders/>
            <w:shd w:fill="CCEEFF" w:val="clear"/>
          </w:tcPr>
          <w:p>
            <w:pPr>
              <w:pStyle w:val="TableContents"/>
              <w:spacing w:before="0" w:after="0"/>
              <w:rPr>
                <w:rFonts w:ascii="Times New Roman" w:hAnsi="Times New Roman"/>
                <w:sz w:val="20"/>
              </w:rPr>
            </w:pPr>
            <w:r>
              <w:rPr>
                <w:rFonts w:ascii="Times New Roman" w:hAnsi="Times New Roman"/>
                <w:sz w:val="20"/>
              </w:rPr>
              <w:t>March 31, 2025</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pPr>
            <w:r>
              <w:rPr/>
              <w:t>4.50:1.00</w:t>
            </w:r>
          </w:p>
        </w:tc>
        <w:tc>
          <w:tcPr>
            <w:tcW w:w="62" w:type="dxa"/>
            <w:tcBorders/>
            <w:shd w:fill="CCEEFF" w:val="clear"/>
            <w:vAlign w:val="bottom"/>
          </w:tcPr>
          <w:p>
            <w:pPr>
              <w:pStyle w:val="TableContents"/>
              <w:spacing w:before="0" w:after="283"/>
              <w:rPr/>
            </w:pPr>
            <w:r>
              <w:rPr/>
              <w:t> </w:t>
            </w:r>
          </w:p>
        </w:tc>
      </w:tr>
      <w:tr>
        <w:trPr/>
        <w:tc>
          <w:tcPr>
            <w:tcW w:w="5674" w:type="dxa"/>
            <w:tcBorders/>
            <w:shd w:fill="auto" w:val="clear"/>
          </w:tcPr>
          <w:p>
            <w:pPr>
              <w:pStyle w:val="TableContents"/>
              <w:spacing w:before="0" w:after="0"/>
              <w:rPr>
                <w:rFonts w:ascii="Times New Roman" w:hAnsi="Times New Roman"/>
                <w:sz w:val="20"/>
              </w:rPr>
            </w:pPr>
            <w:r>
              <w:rPr>
                <w:rFonts w:ascii="Times New Roman" w:hAnsi="Times New Roman"/>
                <w:sz w:val="20"/>
              </w:rPr>
              <w:t>June 30, 2025</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pPr>
            <w:r>
              <w:rPr/>
              <w:t>4.50:1.00</w:t>
            </w:r>
          </w:p>
        </w:tc>
        <w:tc>
          <w:tcPr>
            <w:tcW w:w="62" w:type="dxa"/>
            <w:tcBorders/>
            <w:shd w:fill="auto" w:val="clear"/>
            <w:vAlign w:val="bottom"/>
          </w:tcPr>
          <w:p>
            <w:pPr>
              <w:pStyle w:val="TableContents"/>
              <w:spacing w:before="0" w:after="283"/>
              <w:rPr/>
            </w:pPr>
            <w:r>
              <w:rPr/>
              <w:t> </w:t>
            </w:r>
          </w:p>
        </w:tc>
      </w:tr>
      <w:tr>
        <w:trPr/>
        <w:tc>
          <w:tcPr>
            <w:tcW w:w="5674" w:type="dxa"/>
            <w:tcBorders/>
            <w:shd w:fill="CCEEFF" w:val="clear"/>
          </w:tcPr>
          <w:p>
            <w:pPr>
              <w:pStyle w:val="TableContents"/>
              <w:spacing w:before="0" w:after="0"/>
              <w:rPr>
                <w:rFonts w:ascii="Times New Roman" w:hAnsi="Times New Roman"/>
                <w:sz w:val="20"/>
              </w:rPr>
            </w:pPr>
            <w:r>
              <w:rPr>
                <w:rFonts w:ascii="Times New Roman" w:hAnsi="Times New Roman"/>
                <w:sz w:val="20"/>
              </w:rPr>
              <w:t>September 30, 2025</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pPr>
            <w:r>
              <w:rPr/>
              <w:t>4.50:1.00</w:t>
            </w:r>
          </w:p>
        </w:tc>
        <w:tc>
          <w:tcPr>
            <w:tcW w:w="62" w:type="dxa"/>
            <w:tcBorders/>
            <w:shd w:fill="CCEEFF" w:val="clear"/>
            <w:vAlign w:val="bottom"/>
          </w:tcPr>
          <w:p>
            <w:pPr>
              <w:pStyle w:val="TableContents"/>
              <w:spacing w:before="0" w:after="283"/>
              <w:rPr/>
            </w:pPr>
            <w:r>
              <w:rPr/>
              <w:t> </w:t>
            </w:r>
          </w:p>
        </w:tc>
      </w:tr>
      <w:tr>
        <w:trPr/>
        <w:tc>
          <w:tcPr>
            <w:tcW w:w="5674" w:type="dxa"/>
            <w:tcBorders/>
            <w:shd w:fill="auto" w:val="clear"/>
          </w:tcPr>
          <w:p>
            <w:pPr>
              <w:pStyle w:val="TableContents"/>
              <w:spacing w:before="0" w:after="0"/>
              <w:rPr>
                <w:rFonts w:ascii="Times New Roman" w:hAnsi="Times New Roman"/>
                <w:sz w:val="20"/>
              </w:rPr>
            </w:pPr>
            <w:r>
              <w:rPr>
                <w:rFonts w:ascii="Times New Roman" w:hAnsi="Times New Roman"/>
                <w:sz w:val="20"/>
              </w:rPr>
              <w:t>December 31, 2025</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pPr>
            <w:r>
              <w:rPr/>
              <w:t>3.50:1.00</w:t>
            </w:r>
          </w:p>
        </w:tc>
        <w:tc>
          <w:tcPr>
            <w:tcW w:w="62" w:type="dxa"/>
            <w:tcBorders/>
            <w:shd w:fill="auto" w:val="clear"/>
            <w:vAlign w:val="bottom"/>
          </w:tcPr>
          <w:p>
            <w:pPr>
              <w:pStyle w:val="TableContents"/>
              <w:spacing w:before="0" w:after="283"/>
              <w:rPr/>
            </w:pPr>
            <w:r>
              <w:rPr/>
              <w:t> </w:t>
            </w:r>
          </w:p>
        </w:tc>
      </w:tr>
      <w:tr>
        <w:trPr/>
        <w:tc>
          <w:tcPr>
            <w:tcW w:w="5674" w:type="dxa"/>
            <w:tcBorders/>
            <w:shd w:fill="CCEEFF" w:val="clear"/>
          </w:tcPr>
          <w:p>
            <w:pPr>
              <w:pStyle w:val="TableContents"/>
              <w:spacing w:before="0" w:after="0"/>
              <w:rPr>
                <w:rFonts w:ascii="Times New Roman" w:hAnsi="Times New Roman"/>
                <w:sz w:val="20"/>
              </w:rPr>
            </w:pPr>
            <w:r>
              <w:rPr>
                <w:rFonts w:ascii="Times New Roman" w:hAnsi="Times New Roman"/>
                <w:sz w:val="20"/>
              </w:rPr>
              <w:t>March 31, 2026</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pPr>
            <w:r>
              <w:rPr/>
              <w:t>3.50:1.00</w:t>
            </w:r>
          </w:p>
        </w:tc>
        <w:tc>
          <w:tcPr>
            <w:tcW w:w="62" w:type="dxa"/>
            <w:tcBorders/>
            <w:shd w:fill="CCEEFF" w:val="clear"/>
            <w:vAlign w:val="bottom"/>
          </w:tcPr>
          <w:p>
            <w:pPr>
              <w:pStyle w:val="TableContents"/>
              <w:spacing w:before="0" w:after="283"/>
              <w:rPr/>
            </w:pPr>
            <w:r>
              <w:rPr/>
              <w:t> </w:t>
            </w:r>
          </w:p>
        </w:tc>
      </w:tr>
      <w:tr>
        <w:trPr/>
        <w:tc>
          <w:tcPr>
            <w:tcW w:w="5674" w:type="dxa"/>
            <w:tcBorders/>
            <w:shd w:fill="auto" w:val="clear"/>
          </w:tcPr>
          <w:p>
            <w:pPr>
              <w:pStyle w:val="TableContents"/>
              <w:spacing w:before="0" w:after="0"/>
              <w:rPr>
                <w:rFonts w:ascii="Times New Roman" w:hAnsi="Times New Roman"/>
                <w:sz w:val="20"/>
              </w:rPr>
            </w:pPr>
            <w:r>
              <w:rPr>
                <w:rFonts w:ascii="Times New Roman" w:hAnsi="Times New Roman"/>
                <w:sz w:val="20"/>
              </w:rPr>
              <w:t>June 30, 2026</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pPr>
            <w:r>
              <w:rPr/>
              <w:t>3.50:1.00</w:t>
            </w:r>
          </w:p>
        </w:tc>
        <w:tc>
          <w:tcPr>
            <w:tcW w:w="62" w:type="dxa"/>
            <w:tcBorders/>
            <w:shd w:fill="auto" w:val="clear"/>
            <w:vAlign w:val="bottom"/>
          </w:tcPr>
          <w:p>
            <w:pPr>
              <w:pStyle w:val="TableContents"/>
              <w:spacing w:before="0" w:after="283"/>
              <w:rPr/>
            </w:pPr>
            <w:r>
              <w:rPr/>
              <w:t> </w:t>
            </w:r>
          </w:p>
        </w:tc>
      </w:tr>
      <w:tr>
        <w:trPr/>
        <w:tc>
          <w:tcPr>
            <w:tcW w:w="5674" w:type="dxa"/>
            <w:tcBorders/>
            <w:shd w:fill="CCEEFF" w:val="clear"/>
          </w:tcPr>
          <w:p>
            <w:pPr>
              <w:pStyle w:val="TableContents"/>
              <w:spacing w:before="0" w:after="0"/>
              <w:rPr>
                <w:rFonts w:ascii="Times New Roman" w:hAnsi="Times New Roman"/>
                <w:sz w:val="20"/>
              </w:rPr>
            </w:pPr>
            <w:r>
              <w:rPr>
                <w:rFonts w:ascii="Times New Roman" w:hAnsi="Times New Roman"/>
                <w:sz w:val="20"/>
              </w:rPr>
              <w:t>September 30, 2026</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pPr>
            <w:r>
              <w:rPr/>
              <w:t>3.50:1.00</w:t>
            </w:r>
          </w:p>
        </w:tc>
        <w:tc>
          <w:tcPr>
            <w:tcW w:w="62" w:type="dxa"/>
            <w:tcBorders/>
            <w:shd w:fill="CCEEFF" w:val="clear"/>
            <w:vAlign w:val="bottom"/>
          </w:tcPr>
          <w:p>
            <w:pPr>
              <w:pStyle w:val="TableContents"/>
              <w:spacing w:before="0" w:after="283"/>
              <w:rPr/>
            </w:pPr>
            <w:r>
              <w:rPr/>
              <w:t> </w:t>
            </w:r>
          </w:p>
        </w:tc>
      </w:tr>
      <w:tr>
        <w:trPr/>
        <w:tc>
          <w:tcPr>
            <w:tcW w:w="5674" w:type="dxa"/>
            <w:tcBorders/>
            <w:shd w:fill="auto" w:val="clear"/>
          </w:tcPr>
          <w:p>
            <w:pPr>
              <w:pStyle w:val="TableContents"/>
              <w:spacing w:before="0" w:after="0"/>
              <w:rPr>
                <w:rFonts w:ascii="Times New Roman" w:hAnsi="Times New Roman"/>
                <w:sz w:val="20"/>
              </w:rPr>
            </w:pPr>
            <w:r>
              <w:rPr>
                <w:rFonts w:ascii="Times New Roman" w:hAnsi="Times New Roman"/>
                <w:sz w:val="20"/>
              </w:rPr>
              <w:t>December 31, 2026</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pPr>
            <w:r>
              <w:rPr/>
              <w:t>3.00:1.00</w:t>
            </w:r>
          </w:p>
        </w:tc>
        <w:tc>
          <w:tcPr>
            <w:tcW w:w="62" w:type="dxa"/>
            <w:tcBorders/>
            <w:shd w:fill="auto" w:val="clear"/>
            <w:vAlign w:val="bottom"/>
          </w:tcPr>
          <w:p>
            <w:pPr>
              <w:pStyle w:val="TableContents"/>
              <w:spacing w:before="0" w:after="283"/>
              <w:rPr/>
            </w:pPr>
            <w:r>
              <w:rPr/>
              <w:t> </w:t>
            </w:r>
          </w:p>
        </w:tc>
      </w:tr>
      <w:tr>
        <w:trPr/>
        <w:tc>
          <w:tcPr>
            <w:tcW w:w="5674" w:type="dxa"/>
            <w:tcBorders/>
            <w:shd w:fill="CCEEFF" w:val="clear"/>
          </w:tcPr>
          <w:p>
            <w:pPr>
              <w:pStyle w:val="TableContents"/>
              <w:spacing w:before="0" w:after="0"/>
              <w:rPr>
                <w:rFonts w:ascii="Times New Roman" w:hAnsi="Times New Roman"/>
                <w:sz w:val="20"/>
              </w:rPr>
            </w:pPr>
            <w:r>
              <w:rPr>
                <w:rFonts w:ascii="Times New Roman" w:hAnsi="Times New Roman"/>
                <w:sz w:val="20"/>
              </w:rPr>
              <w:t>March 31, 2027 and thereafter</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pPr>
            <w:r>
              <w:rPr/>
              <w:t>2.50:1.00</w:t>
            </w:r>
          </w:p>
        </w:tc>
        <w:tc>
          <w:tcPr>
            <w:tcW w:w="62"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Minimum Liquidity</w:t>
      </w:r>
      <w:r>
        <w:rPr>
          <w:rFonts w:ascii="Times New Roman" w:hAnsi="Times New Roman"/>
          <w:sz w:val="20"/>
        </w:rPr>
        <w:t xml:space="preserve">. Commencing with the calendar quarter ending June 30, 2023, Holdings and the Borrower will not permit average weekly Liquidity for any calendar quarter (measured as of the close of business on Friday of each week during each calendar quarter) to be less than $10,000,000 as of the end of such calendar quarter. </w:t>
      </w:r>
    </w:p>
    <w:p>
      <w:pPr>
        <w:pStyle w:val="TextBody"/>
        <w:spacing w:before="240" w:after="0"/>
        <w:jc w:val="left"/>
        <w:rPr>
          <w:rFonts w:ascii="Times New Roman" w:hAnsi="Times New Roman"/>
          <w:sz w:val="20"/>
        </w:rPr>
      </w:pPr>
      <w:r>
        <w:rPr>
          <w:rFonts w:ascii="Times New Roman" w:hAnsi="Times New Roman"/>
          <w:sz w:val="20"/>
        </w:rPr>
        <w:t xml:space="preserve">Section 7.13 </w:t>
      </w:r>
      <w:r>
        <w:rPr>
          <w:rFonts w:ascii="Times New Roman" w:hAnsi="Times New Roman"/>
          <w:sz w:val="20"/>
          <w:u w:val="single"/>
        </w:rPr>
        <w:t>Payments on Subordinated Debt</w:t>
      </w:r>
      <w:r>
        <w:rPr>
          <w:rFonts w:ascii="Times New Roman" w:hAnsi="Times New Roman"/>
          <w:sz w:val="20"/>
        </w:rPr>
        <w:t xml:space="preserve">. Holdings and the Borrower will not, and will not permit any of their respective Subsidiaries to, declare or make, or agree to pay for or make, directly or indirectly, any payment of principal or interest or any purchase, redemption, retirement, acquisition or defeasance with respect to any Indebtedness of such Person which is subordinated to the payment of the Loan Document Obligations except that so long as no Default shall have occurred and shall be continuing or would immediately result therefrom, Holdings, the Borrower or any Subsidiary may make payments of Subordinated Debt to the extent permitted by the subordination provisions applicable thereto. </w:t>
      </w:r>
    </w:p>
    <w:p>
      <w:pPr>
        <w:pStyle w:val="TextBody"/>
        <w:spacing w:before="480" w:after="0"/>
        <w:jc w:val="center"/>
        <w:rPr>
          <w:rFonts w:ascii="Times New Roman" w:hAnsi="Times New Roman"/>
          <w:sz w:val="20"/>
        </w:rPr>
      </w:pPr>
      <w:r>
        <w:rPr>
          <w:rFonts w:ascii="Times New Roman" w:hAnsi="Times New Roman"/>
          <w:sz w:val="20"/>
        </w:rPr>
        <w:t xml:space="preserve">ARTICLE 8 </w:t>
      </w:r>
    </w:p>
    <w:p>
      <w:pPr>
        <w:pStyle w:val="TextBody"/>
        <w:spacing w:before="120" w:after="0"/>
        <w:jc w:val="center"/>
        <w:rPr>
          <w:rFonts w:ascii="Times New Roman" w:hAnsi="Times New Roman"/>
          <w:sz w:val="20"/>
        </w:rPr>
      </w:pPr>
      <w:r>
        <w:rPr>
          <w:rFonts w:ascii="Times New Roman" w:hAnsi="Times New Roman"/>
          <w:sz w:val="20"/>
        </w:rPr>
        <w:t xml:space="preserve">EVENTS OF DEFAULT </w:t>
      </w:r>
    </w:p>
    <w:p>
      <w:pPr>
        <w:pStyle w:val="TextBody"/>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Events of Default</w:t>
      </w:r>
      <w:r>
        <w:rPr>
          <w:rFonts w:ascii="Times New Roman" w:hAnsi="Times New Roman"/>
          <w:sz w:val="20"/>
        </w:rPr>
        <w:t xml:space="preserve">. Any of the following shall constitute an Event of Default: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Non-Payment of Principal</w:t>
      </w:r>
      <w:r>
        <w:rPr>
          <w:rFonts w:ascii="Times New Roman" w:hAnsi="Times New Roman"/>
          <w:sz w:val="20"/>
        </w:rPr>
        <w:t xml:space="preserve">. The Borrower shall fail to pay any principal of any Loan when and as the same shall become due and payable, whether at the due date thereof or at a date fixed for prepayment thereof or otherwise.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Other Non-Payment</w:t>
      </w:r>
      <w:r>
        <w:rPr>
          <w:rFonts w:ascii="Times New Roman" w:hAnsi="Times New Roman"/>
          <w:sz w:val="20"/>
        </w:rPr>
        <w:t xml:space="preserve">. Any Loan Party shall fail to pay any interest on any Loan or any fee, commission or any other amount (other than an amount referred to in clause (a) of this Section) payable under any Loan Document, when and as the same shall become due and payable, and such failure shall continue unremedied for a period of five (5) Business Days.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- 83 -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Representations and Warranties</w:t>
      </w:r>
      <w:r>
        <w:rPr>
          <w:rFonts w:ascii="Times New Roman" w:hAnsi="Times New Roman"/>
          <w:sz w:val="20"/>
        </w:rPr>
        <w:t xml:space="preserve">. Any representation or warranty made or deemed made by or on behalf of any Loan Party or any of its Subsidiaries in or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when made or deemed made. </w:t>
      </w:r>
    </w:p>
    <w:p>
      <w:pPr>
        <w:pStyle w:val="TextBody"/>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Specific Covenants</w:t>
      </w:r>
      <w:r>
        <w:rPr>
          <w:rFonts w:ascii="Times New Roman" w:hAnsi="Times New Roman"/>
          <w:sz w:val="20"/>
        </w:rPr>
        <w:t>. Any Loan Party shall fail to observe or perform any covenant, condition or agreement contained in (i)</w:t>
      </w:r>
      <w:r>
        <w:rPr>
          <w:rFonts w:ascii="Times New Roman" w:hAnsi="Times New Roman"/>
          <w:sz w:val="20"/>
          <w:u w:val="single"/>
        </w:rPr>
        <w:t> Sections 6.2(a)(i)</w:t>
      </w:r>
      <w:r>
        <w:rPr>
          <w:rFonts w:ascii="Times New Roman" w:hAnsi="Times New Roman"/>
          <w:sz w:val="20"/>
        </w:rPr>
        <w:t xml:space="preserve">, </w:t>
      </w:r>
      <w:r>
        <w:rPr>
          <w:rFonts w:ascii="Times New Roman" w:hAnsi="Times New Roman"/>
          <w:sz w:val="20"/>
          <w:u w:val="single"/>
        </w:rPr>
        <w:t>6.3</w:t>
      </w:r>
      <w:r>
        <w:rPr>
          <w:rFonts w:ascii="Times New Roman" w:hAnsi="Times New Roman"/>
          <w:sz w:val="20"/>
        </w:rPr>
        <w:t xml:space="preserve">, </w:t>
      </w:r>
      <w:r>
        <w:rPr>
          <w:rFonts w:ascii="Times New Roman" w:hAnsi="Times New Roman"/>
          <w:sz w:val="20"/>
          <w:u w:val="single"/>
        </w:rPr>
        <w:t>6.8</w:t>
      </w:r>
      <w:r>
        <w:rPr>
          <w:rFonts w:ascii="Times New Roman" w:hAnsi="Times New Roman"/>
          <w:sz w:val="20"/>
        </w:rPr>
        <w:t xml:space="preserve">, </w:t>
      </w:r>
      <w:r>
        <w:rPr>
          <w:rFonts w:ascii="Times New Roman" w:hAnsi="Times New Roman"/>
          <w:sz w:val="20"/>
          <w:u w:val="single"/>
        </w:rPr>
        <w:t>6.15</w:t>
      </w:r>
      <w:r>
        <w:rPr>
          <w:rFonts w:ascii="Times New Roman" w:hAnsi="Times New Roman"/>
          <w:sz w:val="20"/>
        </w:rPr>
        <w:t xml:space="preserve"> or in </w:t>
      </w:r>
      <w:r>
        <w:rPr>
          <w:rFonts w:ascii="Times New Roman" w:hAnsi="Times New Roman"/>
          <w:sz w:val="20"/>
          <w:u w:val="single"/>
        </w:rPr>
        <w:t>Article 7</w:t>
      </w:r>
      <w:r>
        <w:rPr>
          <w:rFonts w:ascii="Times New Roman" w:hAnsi="Times New Roman"/>
          <w:sz w:val="20"/>
        </w:rPr>
        <w:t xml:space="preserve"> or (ii)</w:t>
      </w:r>
      <w:r>
        <w:rPr>
          <w:rFonts w:ascii="Times New Roman" w:hAnsi="Times New Roman"/>
          <w:sz w:val="20"/>
          <w:u w:val="single"/>
        </w:rPr>
        <w:t> Sections 6.1</w:t>
      </w:r>
      <w:r>
        <w:rPr>
          <w:rFonts w:ascii="Times New Roman" w:hAnsi="Times New Roman"/>
          <w:sz w:val="20"/>
        </w:rPr>
        <w:t xml:space="preserve"> or </w:t>
      </w:r>
      <w:r>
        <w:rPr>
          <w:rFonts w:ascii="Times New Roman" w:hAnsi="Times New Roman"/>
          <w:sz w:val="20"/>
          <w:u w:val="single"/>
        </w:rPr>
        <w:t>6.10</w:t>
      </w:r>
      <w:r>
        <w:rPr>
          <w:rFonts w:ascii="Times New Roman" w:hAnsi="Times New Roman"/>
          <w:sz w:val="20"/>
        </w:rPr>
        <w:t xml:space="preserve"> and such failure under this </w:t>
      </w:r>
      <w:r>
        <w:rPr>
          <w:rFonts w:ascii="Times New Roman" w:hAnsi="Times New Roman"/>
          <w:sz w:val="20"/>
          <w:u w:val="single"/>
        </w:rPr>
        <w:t>clause (ii)</w:t>
      </w:r>
      <w:r>
        <w:rPr>
          <w:rFonts w:ascii="Times New Roman" w:hAnsi="Times New Roman"/>
          <w:sz w:val="20"/>
        </w:rPr>
        <w:t xml:space="preserve"> shall continue unremedied for a period of ten (10) Business Days. </w:t>
      </w:r>
    </w:p>
    <w:p>
      <w:pPr>
        <w:pStyle w:val="TextBody"/>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Other Covenants</w:t>
      </w:r>
      <w:r>
        <w:rPr>
          <w:rFonts w:ascii="Times New Roman" w:hAnsi="Times New Roman"/>
          <w:sz w:val="20"/>
        </w:rPr>
        <w:t xml:space="preserve">. Any Loan Party shall fail to observe or perform any covenant, condition or agreement contained in any Loan Document to which it is a party (other than those specified in </w:t>
      </w:r>
      <w:r>
        <w:rPr>
          <w:rFonts w:ascii="Times New Roman" w:hAnsi="Times New Roman"/>
          <w:sz w:val="20"/>
          <w:u w:val="single"/>
        </w:rPr>
        <w:t>clause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of this Article), and such failure shall continue unremedied for a period of 30 days after Holdings or the Borrower becomes aware of such failure or receipt by the Borrower of a written notice of such default from Administrative Agent (at the direction of the Required Lenders). </w:t>
      </w:r>
    </w:p>
    <w:p>
      <w:pPr>
        <w:pStyle w:val="TextBody"/>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Cross Default  Payment Default on Material Indebtedness</w:t>
      </w:r>
      <w:r>
        <w:rPr>
          <w:rFonts w:ascii="Times New Roman" w:hAnsi="Times New Roman"/>
          <w:sz w:val="20"/>
        </w:rPr>
        <w:t xml:space="preserve">. Any Loan Party shall fail to make any payment (whether of principal, interest or otherwise and regardless of amount) in respect of any Material Indebtedness when and as the same shall become due and payable (after giving effect to any applicable grace period). </w:t>
      </w:r>
    </w:p>
    <w:p>
      <w:pPr>
        <w:pStyle w:val="TextBody"/>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Other Cross-Defaults</w:t>
      </w:r>
      <w:r>
        <w:rPr>
          <w:rFonts w:ascii="Times New Roman" w:hAnsi="Times New Roman"/>
          <w:sz w:val="20"/>
        </w:rPr>
        <w:t xml:space="preserve">. Any event or condition occurs that results in any Material Indebtedness becoming due prior to its scheduled maturity or payment date, or that enables or permits (with or without the giving of notice, the lapse of time or both) the holder or holders of any Material Indebtedness or any trustee or agent on its or their behalf to cause any Material Indebtedness to become due prior to their scheduled maturity or payment date or to require the prepayment, repurchase, redemption or defeasance thereof prior to their scheduled maturity or payment date (in each case after giving effect to any applicable notice and any applicable cure period);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clause (g)</w:t>
      </w:r>
      <w:r>
        <w:rPr>
          <w:rFonts w:ascii="Times New Roman" w:hAnsi="Times New Roman"/>
          <w:sz w:val="20"/>
        </w:rPr>
        <w:t xml:space="preserve"> shall not apply to secured Indebtedness that becomes due solely as a result of the voluntary Disposition of the property or assets securing such Indebtedness. </w:t>
      </w:r>
    </w:p>
    <w:p>
      <w:pPr>
        <w:pStyle w:val="TextBody"/>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Involuntary Proceedings</w:t>
      </w:r>
      <w:r>
        <w:rPr>
          <w:rFonts w:ascii="Times New Roman" w:hAnsi="Times New Roman"/>
          <w:sz w:val="20"/>
        </w:rPr>
        <w:t xml:space="preserve">. An involuntary proceeding shall be commenced or an involuntary petition shall be filed seeking (i) liquidation, reorganization or other relief in respect of any Loan Party or any of its Subsidiaries or its debts, or of a substantial part of its assets, under any Debtor Relief Law now or hereafter in effect or (ii) the appointment of a receiver, trustee, custodian, sequestrator, conservator or similar official for any Loan Party or any of its Subsidiaries or for a substantial part of its assets, and, in any such case, such proceeding or petition shall continue undismissed for 60 days or an order or decree approving or ordering any of the foregoing shall be entered. </w:t>
      </w:r>
    </w:p>
    <w:p>
      <w:pPr>
        <w:pStyle w:val="TextBody"/>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Voluntary Proceedings</w:t>
      </w:r>
      <w:r>
        <w:rPr>
          <w:rFonts w:ascii="Times New Roman" w:hAnsi="Times New Roman"/>
          <w:sz w:val="20"/>
        </w:rPr>
        <w:t xml:space="preserve">. Any Loan Party or any of its Subsidiaries shall (i) voluntarily commence any proceeding or file any petition seeking liquidation, reorganization or other relief under any Debtor Relief Law now or hereafter in effect, (ii) consent to the institution of, or fail to contest in a timely and appropriate manner, any proceeding or petition described in </w:t>
      </w:r>
      <w:r>
        <w:rPr>
          <w:rFonts w:ascii="Times New Roman" w:hAnsi="Times New Roman"/>
          <w:sz w:val="20"/>
          <w:u w:val="single"/>
        </w:rPr>
        <w:t>clause (h)</w:t>
      </w:r>
      <w:r>
        <w:rPr>
          <w:rFonts w:ascii="Times New Roman" w:hAnsi="Times New Roman"/>
          <w:sz w:val="20"/>
        </w:rPr>
        <w:t xml:space="preserve"> of this Article, (iii) apply for or consent to the appointment of a receiver, trustee, custodian, sequestrator, conservator or similar official for any Loan Party or any of its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- 84 -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Inability to Pay Debts</w:t>
      </w:r>
      <w:r>
        <w:rPr>
          <w:rFonts w:ascii="Times New Roman" w:hAnsi="Times New Roman"/>
          <w:sz w:val="20"/>
        </w:rPr>
        <w:t xml:space="preserve">. Any Loan Party or any of its Subsidiaries shall become unable, admit in writing its inability or fail generally to pay its debts as they become due. </w:t>
      </w:r>
    </w:p>
    <w:p>
      <w:pPr>
        <w:pStyle w:val="TextBody"/>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Judgments</w:t>
      </w:r>
      <w:r>
        <w:rPr>
          <w:rFonts w:ascii="Times New Roman" w:hAnsi="Times New Roman"/>
          <w:sz w:val="20"/>
        </w:rPr>
        <w:t xml:space="preserve">. One or more (i) non-monetary final judgments which could, individually or in the aggregate, reasonably be expected to have a Material Adverse Effect, or (ii) final judgments for the payment of money in an aggregate amount in excess of the Threshold Amount shall be rendered against any Loan Party or any of its Subsidiaries or any combination thereof (in each case, which shall not be fully covered (without taking into account any applicable deductibles) by insurance from an unaffiliated insurance company with an A.M. Best financial strength rating of at least A-, it being understood that even if such amounts are covered by insurance from such an insurance company, such amounts shall count against such basket if responsibility for such amounts has been denied by such insurance company) and, in each case, the same shall remain undischarged or unbonded for a period of 60 consecutive days during which execution shall not be effectively stayed, or any enforcement proceedings shall be commenced by a judgment creditor to attach or levy upon any assets of any Loan Party or any of its Subsidiaries to enforce any such judgment. </w:t>
      </w:r>
    </w:p>
    <w:p>
      <w:pPr>
        <w:pStyle w:val="TextBody"/>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ERISA Events</w:t>
      </w:r>
      <w:r>
        <w:rPr>
          <w:rFonts w:ascii="Times New Roman" w:hAnsi="Times New Roman"/>
          <w:sz w:val="20"/>
        </w:rPr>
        <w:t xml:space="preserve">. (i) An ERISA Event shall have occurred that, when taken together with all other ERISA Events that have occurred, could reasonably be expected to result in liability of any Loan Party or any of its Subsidiaries (or in the case of an ERISA Event described in subsection (b) of the definition of that term in </w:t>
      </w:r>
      <w:r>
        <w:rPr>
          <w:rFonts w:ascii="Times New Roman" w:hAnsi="Times New Roman"/>
          <w:sz w:val="20"/>
          <w:u w:val="single"/>
        </w:rPr>
        <w:t>Section 1.1</w:t>
      </w:r>
      <w:r>
        <w:rPr>
          <w:rFonts w:ascii="Times New Roman" w:hAnsi="Times New Roman"/>
          <w:sz w:val="20"/>
        </w:rPr>
        <w:t xml:space="preserve">, could reasonably be expected to subject any Loan Party, any of its Subsidiaries, any Pension Plan, any trust created thereunder, any trustee or administrator thereof, or any party dealing with any Pension Plan or trust to a tax or penalty on prohibited transactions under Section 502 of ERISA or Section 4975 of the Code) in an aggregate amount exceeding the Threshold Amount, (ii) an ERISA Event shall occur with respect to a Pension Plan or Multiemployer Plan that constitutes grounds for appointment of a trustee for or termination by the PBGC of any Pension Plan or Multiemployer Plan; (iii) a Loan Party or ERISA Affiliate shall fail to pay when due any installment payment with respect to its withdrawal liability under Section 4201 of ERISA under a Multiemployer Plan; (iv) any event similar to the foregoing shall occur or exist with respect to a Foreign Plan; or (v) there shall be at any time a Lien imposed against the assets of any Loan Party or ERISA Affiliate under Section 412 or Section 430 of the Code or Sections 302, Section 303, or Section 4068 of ERISA. </w:t>
      </w:r>
    </w:p>
    <w:p>
      <w:pPr>
        <w:pStyle w:val="TextBody"/>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Invalidity of Loan Documents</w:t>
      </w:r>
      <w:r>
        <w:rPr>
          <w:rFonts w:ascii="Times New Roman" w:hAnsi="Times New Roman"/>
          <w:sz w:val="20"/>
        </w:rPr>
        <w:t xml:space="preserve">. Any material provision of any Loan Document shall cease, for any reason (other than in accordance with its terms), to be in full force and effect, or any Loan Party shall so assert in writing or shall disavow any of its obligations thereunder. </w:t>
      </w:r>
    </w:p>
    <w:p>
      <w:pPr>
        <w:pStyle w:val="TextBody"/>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Liens</w:t>
      </w:r>
      <w:r>
        <w:rPr>
          <w:rFonts w:ascii="Times New Roman" w:hAnsi="Times New Roman"/>
          <w:sz w:val="20"/>
        </w:rPr>
        <w:t xml:space="preserve">. The Administrative Agent shall not have or shall cease to have a valid and perfected Lien in any material portion of the Collateral purported to be covered by the Collateral Documents with the priority required by this Agreement and the relevant Collateral Document, other than by reason of a release of Collateral in accordance with the terms of the Collateral Documents. </w:t>
      </w:r>
    </w:p>
    <w:p>
      <w:pPr>
        <w:pStyle w:val="TextBody"/>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Change of Control</w:t>
      </w:r>
      <w:r>
        <w:rPr>
          <w:rFonts w:ascii="Times New Roman" w:hAnsi="Times New Roman"/>
          <w:sz w:val="20"/>
        </w:rPr>
        <w:t xml:space="preserve">. A Change of Control shall occur. </w:t>
      </w:r>
    </w:p>
    <w:p>
      <w:pPr>
        <w:pStyle w:val="TextBody"/>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Invalidity of Subordination Provisions</w:t>
      </w:r>
      <w:r>
        <w:rPr>
          <w:rFonts w:ascii="Times New Roman" w:hAnsi="Times New Roman"/>
          <w:sz w:val="20"/>
        </w:rPr>
        <w:t xml:space="preserve">. The subordination provisions of any agreement or instrument governing any Subordinated Debt shall for any reason be revoked or invalidated, or otherwise cease to be in full force and effect, or any Loan Party shall contest in any manner the validity or enforceability thereof or deny that it has any further liability or obligation thereunder, or the Obligations for any reason shall not have the priority contemplated by this Credit Agreement or such subordination provisions.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- 85 -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Remedies Upon Event of Default</w:t>
      </w:r>
      <w:r>
        <w:rPr>
          <w:rFonts w:ascii="Times New Roman" w:hAnsi="Times New Roman"/>
          <w:sz w:val="20"/>
        </w:rPr>
        <w:t xml:space="preserve">. If any Event of Default occurs and is continuing, then, and in every such event (other than an event described in </w:t>
      </w:r>
      <w:r>
        <w:rPr>
          <w:rFonts w:ascii="Times New Roman" w:hAnsi="Times New Roman"/>
          <w:sz w:val="20"/>
          <w:u w:val="single"/>
        </w:rPr>
        <w:t>Section 8.1(h)</w:t>
      </w:r>
      <w:r>
        <w:rPr>
          <w:rFonts w:ascii="Times New Roman" w:hAnsi="Times New Roman"/>
          <w:sz w:val="20"/>
        </w:rPr>
        <w:t xml:space="preserve"> or </w:t>
      </w:r>
      <w:r>
        <w:rPr>
          <w:rFonts w:ascii="Times New Roman" w:hAnsi="Times New Roman"/>
          <w:sz w:val="20"/>
          <w:u w:val="single"/>
        </w:rPr>
        <w:t>(i)</w:t>
      </w:r>
      <w:r>
        <w:rPr>
          <w:rFonts w:ascii="Times New Roman" w:hAnsi="Times New Roman"/>
          <w:sz w:val="20"/>
        </w:rPr>
        <w:t xml:space="preserve">), and at any time thereafter during the continuance of such event, the Administrative Agent shall, at the direction of the Required Lenders, by notice to the Borrower, take the following actions, at the same or different times: (i)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each Loan Party accrued under the Loan Documents, shall become due and payable immediately, without presentment, demand, protest or other notice of any kind, all of which are hereby waived by the Borrower, and in case of any event described in </w:t>
      </w:r>
      <w:r>
        <w:rPr>
          <w:rFonts w:ascii="Times New Roman" w:hAnsi="Times New Roman"/>
          <w:sz w:val="20"/>
          <w:u w:val="single"/>
        </w:rPr>
        <w:t>Section 8.1(h)</w:t>
      </w:r>
      <w:r>
        <w:rPr>
          <w:rFonts w:ascii="Times New Roman" w:hAnsi="Times New Roman"/>
          <w:sz w:val="20"/>
        </w:rPr>
        <w:t xml:space="preserve"> or </w:t>
      </w:r>
      <w:r>
        <w:rPr>
          <w:rFonts w:ascii="Times New Roman" w:hAnsi="Times New Roman"/>
          <w:sz w:val="20"/>
          <w:u w:val="single"/>
        </w:rPr>
        <w:t>(i)</w:t>
      </w:r>
      <w:r>
        <w:rPr>
          <w:rFonts w:ascii="Times New Roman" w:hAnsi="Times New Roman"/>
          <w:sz w:val="20"/>
        </w:rPr>
        <w:t xml:space="preserve">, the principal of the Loans then outstanding, together with accrued interest thereon and all fees and other obligations of each Loan Party accrued under the Loan Documents, shall automatically become due and payable, without presentment, demand, protest or other notice of any kind, all of which are hereby waived by the Borrower and (ii) exercise all other rights under the Loan Documents and applicable law. </w:t>
      </w:r>
    </w:p>
    <w:p>
      <w:pPr>
        <w:pStyle w:val="TextBody"/>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Application of Funds</w:t>
      </w:r>
      <w:r>
        <w:rPr>
          <w:rFonts w:ascii="Times New Roman" w:hAnsi="Times New Roman"/>
          <w:sz w:val="20"/>
        </w:rPr>
        <w:t xml:space="preserve">. After the exercise of remedies provided for in </w:t>
      </w:r>
      <w:r>
        <w:rPr>
          <w:rFonts w:ascii="Times New Roman" w:hAnsi="Times New Roman"/>
          <w:sz w:val="20"/>
          <w:u w:val="single"/>
        </w:rPr>
        <w:t>Section 8.2</w:t>
      </w:r>
      <w:r>
        <w:rPr>
          <w:rFonts w:ascii="Times New Roman" w:hAnsi="Times New Roman"/>
          <w:sz w:val="20"/>
        </w:rPr>
        <w:t xml:space="preserve"> (or after the Loans have automatically become immediately due and payable), any amounts received on account of the Secured Obligations shall be applied by the Administrative Agent in the following order: </w:t>
      </w:r>
    </w:p>
    <w:p>
      <w:pPr>
        <w:pStyle w:val="TextBody"/>
        <w:spacing w:before="120" w:after="0"/>
        <w:jc w:val="left"/>
        <w:rPr>
          <w:rFonts w:ascii="Times New Roman" w:hAnsi="Times New Roman"/>
          <w:sz w:val="20"/>
        </w:rPr>
      </w:pPr>
      <w:r>
        <w:rPr>
          <w:rFonts w:ascii="Times New Roman" w:hAnsi="Times New Roman"/>
          <w:sz w:val="20"/>
          <w:u w:val="single"/>
        </w:rPr>
        <w:t>First</w:t>
      </w:r>
      <w:r>
        <w:rPr>
          <w:rFonts w:ascii="Times New Roman" w:hAnsi="Times New Roman"/>
          <w:sz w:val="20"/>
        </w:rPr>
        <w:t xml:space="preserve">, to the payment of that portion of the Secured Obligations constituting fees, indemnities, expenses and other amounts (including fees, charges and disbursements of counsel to the Administrative Agent and amounts payable under </w:t>
      </w:r>
      <w:r>
        <w:rPr>
          <w:rFonts w:ascii="Times New Roman" w:hAnsi="Times New Roman"/>
          <w:sz w:val="20"/>
          <w:u w:val="single"/>
        </w:rPr>
        <w:t>Article 3)</w:t>
      </w:r>
      <w:r>
        <w:rPr>
          <w:rFonts w:ascii="Times New Roman" w:hAnsi="Times New Roman"/>
          <w:sz w:val="20"/>
        </w:rPr>
        <w:t xml:space="preserve">, in each case payable to the Administrative Agent in its capacity as such; </w:t>
      </w:r>
    </w:p>
    <w:p>
      <w:pPr>
        <w:pStyle w:val="TextBody"/>
        <w:spacing w:before="120" w:after="0"/>
        <w:jc w:val="left"/>
        <w:rPr>
          <w:rFonts w:ascii="Times New Roman" w:hAnsi="Times New Roman"/>
          <w:sz w:val="20"/>
        </w:rPr>
      </w:pPr>
      <w:r>
        <w:rPr>
          <w:rFonts w:ascii="Times New Roman" w:hAnsi="Times New Roman"/>
          <w:sz w:val="20"/>
          <w:u w:val="single"/>
        </w:rPr>
        <w:t>Second</w:t>
      </w:r>
      <w:r>
        <w:rPr>
          <w:rFonts w:ascii="Times New Roman" w:hAnsi="Times New Roman"/>
          <w:sz w:val="20"/>
        </w:rPr>
        <w:t xml:space="preserve">, to the extent of any excess of such proceeds, to the payment of that portion of the Secured Obligations constituting fees, indemnities and other amounts, payable to the Lenders (including fees, charges and disbursements of counsel to the Lenders and amounts payable under </w:t>
      </w:r>
      <w:r>
        <w:rPr>
          <w:rFonts w:ascii="Times New Roman" w:hAnsi="Times New Roman"/>
          <w:sz w:val="20"/>
          <w:u w:val="single"/>
        </w:rPr>
        <w:t>Article 3)</w:t>
      </w:r>
      <w:r>
        <w:rPr>
          <w:rFonts w:ascii="Times New Roman" w:hAnsi="Times New Roman"/>
          <w:sz w:val="20"/>
        </w:rPr>
        <w:t xml:space="preserve">, ratably among them in proportion to the respective amounts described in this clause </w:t>
      </w:r>
      <w:r>
        <w:rPr>
          <w:rFonts w:ascii="Times New Roman" w:hAnsi="Times New Roman"/>
          <w:sz w:val="20"/>
          <w:u w:val="single"/>
        </w:rPr>
        <w:t>Second</w:t>
      </w:r>
      <w:r>
        <w:rPr>
          <w:rFonts w:ascii="Times New Roman" w:hAnsi="Times New Roman"/>
          <w:sz w:val="20"/>
        </w:rPr>
        <w:t xml:space="preserve"> payable to them; </w:t>
      </w:r>
    </w:p>
    <w:p>
      <w:pPr>
        <w:pStyle w:val="TextBody"/>
        <w:spacing w:before="120" w:after="0"/>
        <w:jc w:val="left"/>
        <w:rPr>
          <w:rFonts w:ascii="Times New Roman" w:hAnsi="Times New Roman"/>
          <w:sz w:val="20"/>
        </w:rPr>
      </w:pPr>
      <w:r>
        <w:rPr>
          <w:rFonts w:ascii="Times New Roman" w:hAnsi="Times New Roman"/>
          <w:sz w:val="20"/>
          <w:u w:val="single"/>
        </w:rPr>
        <w:t>Third</w:t>
      </w:r>
      <w:r>
        <w:rPr>
          <w:rFonts w:ascii="Times New Roman" w:hAnsi="Times New Roman"/>
          <w:sz w:val="20"/>
        </w:rPr>
        <w:t xml:space="preserve">, to the extent of any excess of such proceeds, to the payment of that portion of the Secured Obligations constituting accrued and unpaid interest on the Loans, ratably among the Lenders in proportion to the respective amounts described in this clause </w:t>
      </w:r>
      <w:r>
        <w:rPr>
          <w:rFonts w:ascii="Times New Roman" w:hAnsi="Times New Roman"/>
          <w:sz w:val="20"/>
          <w:u w:val="single"/>
        </w:rPr>
        <w:t>Third</w:t>
      </w:r>
      <w:r>
        <w:rPr>
          <w:rFonts w:ascii="Times New Roman" w:hAnsi="Times New Roman"/>
          <w:sz w:val="20"/>
        </w:rPr>
        <w:t xml:space="preserve"> payable to them; </w:t>
      </w:r>
    </w:p>
    <w:p>
      <w:pPr>
        <w:pStyle w:val="TextBody"/>
        <w:spacing w:before="120" w:after="0"/>
        <w:jc w:val="left"/>
        <w:rPr>
          <w:rFonts w:ascii="Times New Roman" w:hAnsi="Times New Roman"/>
          <w:sz w:val="20"/>
        </w:rPr>
      </w:pPr>
      <w:r>
        <w:rPr>
          <w:rFonts w:ascii="Times New Roman" w:hAnsi="Times New Roman"/>
          <w:sz w:val="20"/>
          <w:u w:val="single"/>
        </w:rPr>
        <w:t>Fourth</w:t>
      </w:r>
      <w:r>
        <w:rPr>
          <w:rFonts w:ascii="Times New Roman" w:hAnsi="Times New Roman"/>
          <w:sz w:val="20"/>
        </w:rPr>
        <w:t xml:space="preserve">, to the extent of any excess of such proceeds, to the payment of that portion of the Secured Obligations constituting unpaid principal of the Loans, ratably among the Lenders in proportion to the respective amounts described in this clause </w:t>
      </w:r>
      <w:r>
        <w:rPr>
          <w:rFonts w:ascii="Times New Roman" w:hAnsi="Times New Roman"/>
          <w:sz w:val="20"/>
          <w:u w:val="single"/>
        </w:rPr>
        <w:t>Fourth</w:t>
      </w:r>
      <w:r>
        <w:rPr>
          <w:rFonts w:ascii="Times New Roman" w:hAnsi="Times New Roman"/>
          <w:sz w:val="20"/>
        </w:rPr>
        <w:t xml:space="preserve"> held by them; </w:t>
      </w:r>
    </w:p>
    <w:p>
      <w:pPr>
        <w:pStyle w:val="TextBody"/>
        <w:spacing w:before="120" w:after="0"/>
        <w:jc w:val="left"/>
        <w:rPr>
          <w:rFonts w:ascii="Times New Roman" w:hAnsi="Times New Roman"/>
          <w:sz w:val="20"/>
        </w:rPr>
      </w:pPr>
      <w:r>
        <w:rPr>
          <w:rFonts w:ascii="Times New Roman" w:hAnsi="Times New Roman"/>
          <w:sz w:val="20"/>
          <w:u w:val="single"/>
        </w:rPr>
        <w:t>Fifth</w:t>
      </w:r>
      <w:r>
        <w:rPr>
          <w:rFonts w:ascii="Times New Roman" w:hAnsi="Times New Roman"/>
          <w:sz w:val="20"/>
        </w:rPr>
        <w:t xml:space="preserve">, to the extent of any excess of such proceeds, to the payment of all other Secured Obligations of the Loan Parties owing under or in respect of the Loan Documents that are due and payable to the Secured Parties, or any of them, on such date, ratably based on the respective aggregate amounts of all such Secured Obligations owing to the Secured Parties on such date; and </w:t>
      </w:r>
    </w:p>
    <w:p>
      <w:pPr>
        <w:pStyle w:val="TextBody"/>
        <w:spacing w:before="120" w:after="0"/>
        <w:jc w:val="left"/>
        <w:rPr>
          <w:rFonts w:ascii="Times New Roman" w:hAnsi="Times New Roman"/>
          <w:sz w:val="20"/>
        </w:rPr>
      </w:pPr>
      <w:r>
        <w:rPr>
          <w:rFonts w:ascii="Times New Roman" w:hAnsi="Times New Roman"/>
          <w:sz w:val="20"/>
          <w:u w:val="single"/>
        </w:rPr>
        <w:t>Last</w:t>
      </w:r>
      <w:r>
        <w:rPr>
          <w:rFonts w:ascii="Times New Roman" w:hAnsi="Times New Roman"/>
          <w:sz w:val="20"/>
        </w:rPr>
        <w:t xml:space="preserve">, to the extent of any excess of such proceeds, the balance, if any, after all of the Secured Obligations (other than unasserted contingent, indemnification or expense reimbursement obligations in each case not yet due and payable) have been paid in full, to the Borrower or as otherwise required by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- 86 -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ARTICLE 9 </w:t>
      </w:r>
    </w:p>
    <w:p>
      <w:pPr>
        <w:pStyle w:val="TextBody"/>
        <w:spacing w:before="120" w:after="0"/>
        <w:jc w:val="center"/>
        <w:rPr>
          <w:rFonts w:ascii="Times New Roman" w:hAnsi="Times New Roman"/>
          <w:sz w:val="20"/>
        </w:rPr>
      </w:pPr>
      <w:r>
        <w:rPr>
          <w:rFonts w:ascii="Times New Roman" w:hAnsi="Times New Roman"/>
          <w:sz w:val="20"/>
        </w:rPr>
        <w:t xml:space="preserve">THE ADMINISTRATIVE AGENT </w:t>
      </w:r>
    </w:p>
    <w:p>
      <w:pPr>
        <w:pStyle w:val="TextBody"/>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Appointment and Authority</w:t>
      </w:r>
      <w:r>
        <w:rPr>
          <w:rFonts w:ascii="Times New Roman" w:hAnsi="Times New Roman"/>
          <w:sz w:val="20"/>
        </w:rPr>
        <w:t xml:space="preserve">. Each of the Lenders hereby irrevocably appoints Alter Domus (US) LLC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Each of the Lenders hereby releases, to the extent legally possible, the Administrative Agent from any restrictions of multi-representation under any Applicable Law. Any Lender prevented by Applicable Law or its constitutional documents from granting the release from the restrictions under Section 181 German Civil Code shall notify the Administrative Agent in writing without undue delay. The provisions of this Article are solely for the benefit of the Administrative Agent and the Lenders and neither the Borrower nor any other Loan Party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and in performing its functions and duties under this Agreement, the Administrative Agent does not assume and shall not be deemed to have assumed any obligation toward or relationship of agency or trust with or for any Loan Party or any other Person. The Administrative Agent is hereby directed and authorized to enter into the Loan Documents on behalf of the Lenders. </w:t>
      </w:r>
    </w:p>
    <w:p>
      <w:pPr>
        <w:pStyle w:val="TextBody"/>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Rights as a Lender</w:t>
      </w:r>
      <w:r>
        <w:rPr>
          <w:rFonts w:ascii="Times New Roman" w:hAnsi="Times New Roman"/>
          <w:sz w:val="20"/>
        </w:rPr>
        <w:t xml:space="preserve">. To the extent the Person serving as the Administrative Agent hereunder shall be a Lender, such Person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branches and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 </w:t>
      </w:r>
    </w:p>
    <w:p>
      <w:pPr>
        <w:pStyle w:val="TextBody"/>
        <w:spacing w:before="240" w:after="0"/>
        <w:jc w:val="left"/>
        <w:rPr>
          <w:rFonts w:ascii="Times New Roman" w:hAnsi="Times New Roman"/>
          <w:sz w:val="20"/>
        </w:rPr>
      </w:pPr>
      <w:r>
        <w:rPr>
          <w:rFonts w:ascii="Times New Roman" w:hAnsi="Times New Roman"/>
          <w:sz w:val="20"/>
        </w:rPr>
        <w:t xml:space="preserve">Section 9.3 </w:t>
      </w:r>
      <w:r>
        <w:rPr>
          <w:rFonts w:ascii="Times New Roman" w:hAnsi="Times New Roman"/>
          <w:sz w:val="20"/>
          <w:u w:val="single"/>
        </w:rPr>
        <w:t>Exculpatory Provisions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The Administrative Agent shall not have any duties or obligations except those expressly set forth herein and in the other Loan Documents and no implied covenants or obligations shall be read into this Agreement or any other loan Document against the Administrative Agent, and its duties hereunder shall be mechanical and administrative in nature. Without limiting the generality of the foregoing, the Administrative Agent: </w:t>
      </w:r>
    </w:p>
    <w:p>
      <w:pPr>
        <w:pStyle w:val="TextBody"/>
        <w:spacing w:before="120" w:after="0"/>
        <w:jc w:val="left"/>
        <w:rPr>
          <w:rFonts w:ascii="Times New Roman" w:hAnsi="Times New Roman"/>
          <w:sz w:val="20"/>
        </w:rPr>
      </w:pPr>
      <w:r>
        <w:rPr>
          <w:rFonts w:ascii="Times New Roman" w:hAnsi="Times New Roman"/>
          <w:sz w:val="20"/>
        </w:rPr>
        <w:t xml:space="preserve">(i) shall not be subject to any fiduciary or other implied duties, regardless of whether a Default has occurred and is continuing; </w:t>
      </w:r>
    </w:p>
    <w:p>
      <w:pPr>
        <w:pStyle w:val="TextBody"/>
        <w:spacing w:before="120" w:after="0"/>
        <w:jc w:val="left"/>
        <w:rPr>
          <w:rFonts w:ascii="Times New Roman" w:hAnsi="Times New Roman"/>
          <w:sz w:val="20"/>
        </w:rPr>
      </w:pPr>
      <w:r>
        <w:rPr>
          <w:rFonts w:ascii="Times New Roman" w:hAnsi="Times New Roman"/>
          <w:sz w:val="20"/>
        </w:rPr>
        <w:t xml:space="preserve">(ii)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hAnsi="Times New Roman"/>
          <w:sz w:val="20"/>
          <w:u w:val="single"/>
        </w:rPr>
        <w:t>provided</w:t>
      </w:r>
      <w:r>
        <w:rPr>
          <w:rFonts w:ascii="Times New Roman" w:hAnsi="Times New Roman"/>
          <w:sz w:val="20"/>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- 87 -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(iii) 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branches or Affiliates in any capacity. </w:t>
      </w:r>
    </w:p>
    <w:p>
      <w:pPr>
        <w:pStyle w:val="TextBody"/>
        <w:spacing w:before="240" w:after="0"/>
        <w:jc w:val="left"/>
        <w:rPr>
          <w:rFonts w:ascii="Times New Roman" w:hAnsi="Times New Roman"/>
          <w:sz w:val="20"/>
        </w:rPr>
      </w:pPr>
      <w:r>
        <w:rPr>
          <w:rFonts w:ascii="Times New Roman" w:hAnsi="Times New Roman"/>
          <w:sz w:val="20"/>
        </w:rPr>
        <w:t xml:space="preserve">(b) None of the Administrative Agent, its Affiliates or any of their respective officers, directors, employees, agents or representatives shall be liable for any action taken or not taken by it (i) with the consent or at the request or direction of the Required Lenders (or such other number or percentage of the Lenders as shall be necessary, or as the Administrative Agent shall believe in good faith shall be necessary, under the circumstances as provided in </w:t>
      </w:r>
      <w:r>
        <w:rPr>
          <w:rFonts w:ascii="Times New Roman" w:hAnsi="Times New Roman"/>
          <w:sz w:val="20"/>
          <w:u w:val="single"/>
        </w:rPr>
        <w:t>Section 8.2</w:t>
      </w:r>
      <w:r>
        <w:rPr>
          <w:rFonts w:ascii="Times New Roman" w:hAnsi="Times New Roman"/>
          <w:sz w:val="20"/>
        </w:rPr>
        <w:t xml:space="preserve"> and </w:t>
      </w:r>
      <w:r>
        <w:rPr>
          <w:rFonts w:ascii="Times New Roman" w:hAnsi="Times New Roman"/>
          <w:sz w:val="20"/>
          <w:u w:val="single"/>
        </w:rPr>
        <w:t>Section 10.2</w:t>
      </w:r>
      <w:r>
        <w:rPr>
          <w:rFonts w:ascii="Times New Roman" w:hAnsi="Times New Roman"/>
          <w:sz w:val="20"/>
        </w:rPr>
        <w:t xml:space="preserve">), or (ii) in the absence of its own gross negligence or willful misconduct as determined by a court of competent jurisdiction by final and nonappealable judgment. The Administrative Agent shall be deemed not to have knowledge of any Default or Event of Default unless and until written notice describing such Default or Event of Default is received by a Responsible Officer of the Administrative Agent from the Borrower or a Lender. </w:t>
      </w:r>
    </w:p>
    <w:p>
      <w:pPr>
        <w:pStyle w:val="TextBody"/>
        <w:spacing w:before="240" w:after="0"/>
        <w:jc w:val="left"/>
        <w:rPr>
          <w:rFonts w:ascii="Times New Roman" w:hAnsi="Times New Roman"/>
          <w:sz w:val="20"/>
        </w:rPr>
      </w:pPr>
      <w:r>
        <w:rPr>
          <w:rFonts w:ascii="Times New Roman" w:hAnsi="Times New Roman"/>
          <w:sz w:val="20"/>
        </w:rPr>
        <w:t xml:space="preserve">(c) The Administrative Agent shall not be responsible for or have any duty to ascertain or inquire into (i) any statement, warranty or representation made in or in connection with this Credit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sufficiency or genuineness of this Credit Agreement, any other Loan Document or any other agreement, instrument or document, or (v) the satisfaction of any condition set forth in </w:t>
      </w:r>
      <w:r>
        <w:rPr>
          <w:rFonts w:ascii="Times New Roman" w:hAnsi="Times New Roman"/>
          <w:sz w:val="20"/>
          <w:u w:val="single"/>
        </w:rPr>
        <w:t>Article 4</w:t>
      </w:r>
      <w:r>
        <w:rPr>
          <w:rFonts w:ascii="Times New Roman" w:hAnsi="Times New Roman"/>
          <w:sz w:val="20"/>
        </w:rPr>
        <w:t xml:space="preserve"> or elsewhere in any Loan Document, other than to confirm receipt of items expressly required to be delivered to the Administrative Agent. </w:t>
      </w:r>
    </w:p>
    <w:p>
      <w:pPr>
        <w:pStyle w:val="TextBody"/>
        <w:spacing w:before="240" w:after="0"/>
        <w:jc w:val="left"/>
        <w:rPr>
          <w:rFonts w:ascii="Times New Roman" w:hAnsi="Times New Roman"/>
          <w:sz w:val="20"/>
        </w:rPr>
      </w:pPr>
      <w:r>
        <w:rPr>
          <w:rFonts w:ascii="Times New Roman" w:hAnsi="Times New Roman"/>
          <w:sz w:val="20"/>
        </w:rPr>
        <w:t xml:space="preserve">(d) The Administrative Agent shall not be responsible or have any liability for, or have any duty to investigate a violation or potential violation of an Environmental Law or a Release or threat of Release of a Hazardous Material pursuant to </w:t>
      </w:r>
      <w:r>
        <w:rPr>
          <w:rFonts w:ascii="Times New Roman" w:hAnsi="Times New Roman"/>
          <w:sz w:val="20"/>
          <w:u w:val="single"/>
        </w:rPr>
        <w:t>Section 6.13</w:t>
      </w:r>
      <w:r>
        <w:rPr>
          <w:rFonts w:ascii="Times New Roman" w:hAnsi="Times New Roman"/>
          <w:sz w:val="20"/>
        </w:rPr>
        <w:t xml:space="preserve">, nor shall it have any liability for any action it takes or does not take in connection with any such investigation. The Administrative Agent will not be liable to any Person for any environmental liability or any environmental claims or contribution actions under any federal, state or local law, rule or regulation by reason of the Administrative Agents actions and conduct as authorized, empowered and directed hereunder or relating to any kind of discharge or release or threatened discharge or release of any materials into the environment. </w:t>
      </w:r>
    </w:p>
    <w:p>
      <w:pPr>
        <w:pStyle w:val="TextBody"/>
        <w:spacing w:before="240" w:after="0"/>
        <w:jc w:val="left"/>
        <w:rPr>
          <w:rFonts w:ascii="Times New Roman" w:hAnsi="Times New Roman"/>
          <w:sz w:val="20"/>
        </w:rPr>
      </w:pPr>
      <w:r>
        <w:rPr>
          <w:rFonts w:ascii="Times New Roman" w:hAnsi="Times New Roman"/>
          <w:sz w:val="20"/>
        </w:rPr>
        <w:t xml:space="preserve">(e) The Administrative Agent shall not be liable for interest on any money received by it. No provision of this Agreement or any other Loan Document shall require the Administrative Agent to expend or risk its own funds or otherwise incur any liability in the performance of any of its duties or in the exercise of any of its rights or powers, if it shall have grounds to believe that repayment of such funds or indemnity satisfactory to it against such risk or liability is not assured to it. Every provision of this Agreement or any other Loan Document relating to the conduct or affecting the liability of or affording protection to the Administrative Agent shall be subject to the provisions of this </w:t>
      </w:r>
      <w:r>
        <w:rPr>
          <w:rFonts w:ascii="Times New Roman" w:hAnsi="Times New Roman"/>
          <w:sz w:val="20"/>
          <w:u w:val="single"/>
        </w:rPr>
        <w:t>Article 9</w:t>
      </w:r>
      <w:r>
        <w:rPr>
          <w:rFonts w:ascii="Times New Roman" w:hAnsi="Times New Roman"/>
          <w:sz w:val="20"/>
        </w:rPr>
        <w:t xml:space="preserve">. The rights, privileges, protections, immunities and benefits given to the Administrative Agent, including its right to be indemnified, are extended to, and shall be enforceable by the Administrative Agent in each document related hereto to which it is a party. Before the Administrative Agent acts or refrains from acting, as to any fact or matter the manner of ascertainment of which is not specifically described herein, it may require a direction from the Required Lenders and shall not be liable for any action it takes or omits to take in good faith in reliance thereon.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- 88 -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(f) In no event shall the Administrative Agent be responsible or liable for special, indirect, punitive or consequential loss or damage of any kind whatsoever (including loss of profit), even if the Administrative Agent has been advised of the likelihood of such loss or damage and regardless of the form of action. In no event shall the Administrative Agent be liable for any failure or delay in the performance of its obligations under this Agreement or any related documents because of circumstances beyond the Administrative Agents control, including a failure, termination, or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Agreement or any other Loan Document,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Agents control whether or not of the same class or kind as specified above. </w:t>
      </w:r>
    </w:p>
    <w:p>
      <w:pPr>
        <w:pStyle w:val="TextBody"/>
        <w:spacing w:before="240" w:after="0"/>
        <w:jc w:val="left"/>
        <w:rPr>
          <w:rFonts w:ascii="Times New Roman" w:hAnsi="Times New Roman"/>
          <w:sz w:val="20"/>
        </w:rPr>
      </w:pPr>
      <w:r>
        <w:rPr>
          <w:rFonts w:ascii="Times New Roman" w:hAnsi="Times New Roman"/>
          <w:sz w:val="20"/>
        </w:rPr>
        <w:t xml:space="preserve">(g) The Administrative Agent shall not be liable for failing to comply with its obligations under this Agreement in so far as the performance of such obligations is dependent upon the timely receipt of instructions and/or other information from any other person which are not received or not received by the time required. If the Administrative Agent shall request instructions from the Required Lenders with respect to any act or action (including failure to act) in connection with this Agreement or any other Loan Document, then the Administrative Agent shall be entitled to refrain from such act or taking such action unless and until it shall have received instructions from the Required Lenders, and the Administrative Agent shall incur no liability by reason of so refraining. The Administrative Agent shall not be required to take any action under this Agreement or any related document (i) if taking such action (1) would subject the Administrative Agent to a tax in any jurisdiction where it is not then subject to a tax, (2) would require the Administrative Agent to qualify to do business in any jurisdiction where it is not then so qualified, (3) would, in the opinion of the Administrative Agent, be contrary to applicable law or the terms of this Agreement or any other Loan Document, or (4) would, in the opinion of the Administrative Agent, expose Agent to liabilities, or (ii) if the Administrative Agent shall not first be indemnified to its satisfaction against any and all liability and expense which may be incurred by it by reason of taking or continuing to take any such action. The delivery (including through the posting in the Platform) of reports and other documents and information to the Administrative Agent hereunder or under any other Loan Document is for informational purposes only and the Administrative Agents receipt of such documents and information shall not constitute constructive notice of any information contained therein or determinable from information contained therein. </w:t>
      </w:r>
    </w:p>
    <w:p>
      <w:pPr>
        <w:pStyle w:val="TextBody"/>
        <w:spacing w:before="240" w:after="0"/>
        <w:jc w:val="left"/>
        <w:rPr>
          <w:rFonts w:ascii="Times New Roman" w:hAnsi="Times New Roman"/>
          <w:sz w:val="20"/>
        </w:rPr>
      </w:pPr>
      <w:r>
        <w:rPr>
          <w:rFonts w:ascii="Times New Roman" w:hAnsi="Times New Roman"/>
          <w:sz w:val="20"/>
        </w:rPr>
        <w:t xml:space="preserve">(h) Nothing contained in this Agreement shall require the Administrative Agent to exercise any discretionary acts. For purposes of clarity, but without limiting any rights, protections, immunities or indemnities afforded to the Administrative Agent hereunder or under any other Loan Document, phrases such as satisfactory to the Administrative Agent, approved by the Administrative Agent, acceptable to the Administrative Agent, as determined by the Administrative Agent, in the Administrative Agents discretion, selected by the Administrative Agent, elected by the Administrative Agent, requested by the Administrative Agent, consented to by Administrative Agent and phrases of similar import that authorize or permit an Agent to approve, disapprove, determine, act or decline to act in its discretion shall be subject to such Administrative Agent receiving written direction from the Required Lenders (or such other number or percentage of the Lenders as shall be expressly provided for herein or in the other Loan Documents) to take such action or to exercise such rights. </w:t>
      </w:r>
    </w:p>
    <w:p>
      <w:pPr>
        <w:pStyle w:val="TextBody"/>
        <w:spacing w:before="240" w:after="0"/>
        <w:jc w:val="left"/>
        <w:rPr>
          <w:rFonts w:ascii="Times New Roman" w:hAnsi="Times New Roman"/>
          <w:sz w:val="20"/>
        </w:rPr>
      </w:pPr>
      <w:r>
        <w:rPr>
          <w:rFonts w:ascii="Times New Roman" w:hAnsi="Times New Roman"/>
          <w:sz w:val="20"/>
        </w:rPr>
        <w:t xml:space="preserve">(i) In the event that the Administrative Agent deems that it may be considered an owner or operator under any environmental laws or otherwise cause the Administrative Agent to incur, or be exposed to, any environmental liability or any liability under any other federal, state or local law, the Administrative Agent reserves the right, instead of taking such action, either to resign as the Administrative Agent subject to the terms and conditions of Section 9.6 or arrange for the transfer of the title or control of the asset to a court appointed receiver.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- 89 -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(j) 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(i) be obligated to ascertain, monitor or inquire as to whether any Lender or Participant or prospective Lender or Participant is a Disqualified Institution or (ii) have any liability with respect to or arising out of any assignment or participation of Loans, or disclosure of confidential information to, any Disqualified Institution. The Administrative Agent shall be conclusively entitled to assume that any Lender or any other Person is not a Disqualified Institution unless it has received written notice that such Lender or Person is a Disqualified Institution. </w:t>
      </w:r>
    </w:p>
    <w:p>
      <w:pPr>
        <w:pStyle w:val="TextBody"/>
        <w:spacing w:before="240" w:after="0"/>
        <w:jc w:val="left"/>
        <w:rPr>
          <w:rFonts w:ascii="Times New Roman" w:hAnsi="Times New Roman"/>
          <w:sz w:val="20"/>
        </w:rPr>
      </w:pPr>
      <w:r>
        <w:rPr>
          <w:rFonts w:ascii="Times New Roman" w:hAnsi="Times New Roman"/>
          <w:sz w:val="20"/>
        </w:rPr>
        <w:t xml:space="preserve">Section 9.4 </w:t>
      </w:r>
      <w:r>
        <w:rPr>
          <w:rFonts w:ascii="Times New Roman" w:hAnsi="Times New Roman"/>
          <w:sz w:val="20"/>
          <w:u w:val="single"/>
        </w:rPr>
        <w:t>Reliance by Administrative Agent</w:t>
      </w:r>
      <w:r>
        <w:rPr>
          <w:rFonts w:ascii="Times New Roman" w:hAnsi="Times New Roman"/>
          <w:sz w:val="20"/>
        </w:rPr>
        <w:t xml:space="preserve">.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written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 </w:t>
      </w:r>
    </w:p>
    <w:p>
      <w:pPr>
        <w:pStyle w:val="TextBody"/>
        <w:spacing w:before="240" w:after="0"/>
        <w:jc w:val="left"/>
        <w:rPr>
          <w:rFonts w:ascii="Times New Roman" w:hAnsi="Times New Roman"/>
          <w:sz w:val="20"/>
        </w:rPr>
      </w:pPr>
      <w:r>
        <w:rPr>
          <w:rFonts w:ascii="Times New Roman" w:hAnsi="Times New Roman"/>
          <w:sz w:val="20"/>
        </w:rPr>
        <w:t xml:space="preserve">Section 9.5 </w:t>
      </w:r>
      <w:r>
        <w:rPr>
          <w:rFonts w:ascii="Times New Roman" w:hAnsi="Times New Roman"/>
          <w:sz w:val="20"/>
          <w:u w:val="single"/>
        </w:rPr>
        <w:t>Delegation of Duties</w:t>
      </w:r>
      <w:r>
        <w:rPr>
          <w:rFonts w:ascii="Times New Roman" w:hAnsi="Times New Roman"/>
          <w:sz w:val="20"/>
        </w:rPr>
        <w:t xml:space="preserve">. The Administrative Agent may perform any and all of its duties and exercise its rights and powers hereunder or under any other Loan Document by or through any one or more sub-agents, attorneys, custodians or nominees appointed by the Administrative Agent. The Administrative Agent and any such sub-agent, attorney, custodian or nominee may perform any and all of its duties and exercise its rights and powers by or through their respective Related Parties. The exculpatory provisions of this Article shall apply to any such sub-agent, custodian or nominee and to the Related Parties of the Administrative Agent and any such sub-agent, custodian or nominee and shall apply to their respective activities in connection with the syndication of the Term Facility as well as activities as Administrative Agent. The Administrative Agent shall not be responsible for the negligence or misconduct, or for the supervision of any sub-agents, attorneys, custodians or nominees appointed in good faith and with due care. </w:t>
      </w:r>
    </w:p>
    <w:p>
      <w:pPr>
        <w:pStyle w:val="TextBody"/>
        <w:spacing w:before="240" w:after="0"/>
        <w:jc w:val="left"/>
        <w:rPr>
          <w:rFonts w:ascii="Times New Roman" w:hAnsi="Times New Roman"/>
          <w:sz w:val="20"/>
        </w:rPr>
      </w:pPr>
      <w:r>
        <w:rPr>
          <w:rFonts w:ascii="Times New Roman" w:hAnsi="Times New Roman"/>
          <w:sz w:val="20"/>
        </w:rPr>
        <w:t xml:space="preserve">Section 9.6 </w:t>
      </w:r>
      <w:r>
        <w:rPr>
          <w:rFonts w:ascii="Times New Roman" w:hAnsi="Times New Roman"/>
          <w:sz w:val="20"/>
          <w:u w:val="single"/>
        </w:rPr>
        <w:t>Resignation of Administrative Agent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The Administrative Agent may at any time give notice of its resignation to the Lenders and the Borrower. Upon receipt of any such notice of resignation, the Required Lenders shall have the right, in consultation with the Borrower, to appoint a successor, which shall be a bank with an office in New York, New York, or an Affiliate of any such bank with an office in New York, New York (it being understood and agreed, for the avoidance of doubt, that the initial Administrative Agent appointed under this Agreement shall not be required to be a bank with an office in New York, New York, or an Affiliate of any such bank with an office in New York, New York). If no such successor shall have been so appointed by the Required Lenders and shall have accepted such appointment within 30 days after the retiring Administrative Agent gives notice of its resignation (or such earlier day as shall be agreed by the Required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- 90 -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Lenders) (the </w:t>
      </w:r>
      <w:r>
        <w:rPr>
          <w:rFonts w:ascii="Times New Roman" w:hAnsi="Times New Roman"/>
          <w:sz w:val="20"/>
          <w:u w:val="single"/>
        </w:rPr>
        <w:t>Resignation Effective Date</w:t>
      </w:r>
      <w:r>
        <w:rPr>
          <w:rFonts w:ascii="Times New Roman" w:hAnsi="Times New Roman"/>
          <w:sz w:val="20"/>
        </w:rPr>
        <w:t xml:space="preserve">), then the retiring Administrative Agent may (but shall not be obligated to), on behalf of the Lenders, appoint a successor Administrative Agent meeting the qualifications set forth above; </w:t>
      </w:r>
      <w:r>
        <w:rPr>
          <w:rFonts w:ascii="Times New Roman" w:hAnsi="Times New Roman"/>
          <w:sz w:val="20"/>
          <w:u w:val="single"/>
        </w:rPr>
        <w:t>provided</w:t>
      </w:r>
      <w:r>
        <w:rPr>
          <w:rFonts w:ascii="Times New Roman" w:hAnsi="Times New Roman"/>
          <w:sz w:val="20"/>
        </w:rPr>
        <w:t xml:space="preserve"> that in no event shall any such successor Administrative Agent be a Disqualified Institution. Whether or not a successor has been appointed, such resignation shall become effective in accordance with such notice on the Resignation Effective Date. </w:t>
      </w:r>
    </w:p>
    <w:p>
      <w:pPr>
        <w:pStyle w:val="TextBody"/>
        <w:spacing w:before="240" w:after="0"/>
        <w:jc w:val="left"/>
        <w:rPr>
          <w:rFonts w:ascii="Times New Roman" w:hAnsi="Times New Roman"/>
          <w:sz w:val="20"/>
        </w:rPr>
      </w:pPr>
      <w:r>
        <w:rPr>
          <w:rFonts w:ascii="Times New Roman" w:hAnsi="Times New Roman"/>
          <w:sz w:val="20"/>
        </w:rPr>
        <w:t>(b) If the Person serving as Administrative Agent is subject to a proceeding under any Debtor Relief Law,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Times New Roman" w:hAnsi="Times New Roman"/>
          <w:sz w:val="20"/>
          <w:u w:val="single"/>
        </w:rPr>
        <w:t>Removal Effective Date</w:t>
      </w:r>
      <w:r>
        <w:rPr>
          <w:rFonts w:ascii="Times New Roman" w:hAnsi="Times New Roman"/>
          <w:sz w:val="20"/>
        </w:rPr>
        <w:t xml:space="preserve">), then such removal shall nonetheless become effective in accordance with such notice on the Removal Effective Date. </w:t>
      </w:r>
    </w:p>
    <w:p>
      <w:pPr>
        <w:pStyle w:val="TextBody"/>
        <w:spacing w:before="240" w:after="0"/>
        <w:jc w:val="left"/>
        <w:rPr>
          <w:rFonts w:ascii="Times New Roman" w:hAnsi="Times New Roman"/>
          <w:sz w:val="20"/>
        </w:rPr>
      </w:pPr>
      <w:r>
        <w:rPr>
          <w:rFonts w:ascii="Times New Roman" w:hAnsi="Times New Roman"/>
          <w:sz w:val="20"/>
        </w:rPr>
        <w:t xml:space="preserve">(c) With effect from the Resignation Effective Date or the Removal Effective Date (as applicable) (i) the retiring or removed Administrative Agent shall be discharged from its duties and obligations hereunder and under the other Loan Documents and (ii) except for any indemnity payments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Times New Roman" w:hAnsi="Times New Roman"/>
          <w:sz w:val="20"/>
          <w:u w:val="single"/>
        </w:rPr>
        <w:t>Section 10.3</w:t>
      </w:r>
      <w:r>
        <w:rPr>
          <w:rFonts w:ascii="Times New Roman" w:hAnsi="Times New Roman"/>
          <w:sz w:val="20"/>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 </w:t>
      </w:r>
    </w:p>
    <w:p>
      <w:pPr>
        <w:pStyle w:val="TextBody"/>
        <w:spacing w:before="240" w:after="0"/>
        <w:jc w:val="left"/>
        <w:rPr>
          <w:rFonts w:ascii="Times New Roman" w:hAnsi="Times New Roman"/>
          <w:sz w:val="20"/>
        </w:rPr>
      </w:pPr>
      <w:r>
        <w:rPr>
          <w:rFonts w:ascii="Times New Roman" w:hAnsi="Times New Roman"/>
          <w:sz w:val="20"/>
        </w:rPr>
        <w:t xml:space="preserve">Section 9.7 </w:t>
      </w:r>
      <w:r>
        <w:rPr>
          <w:rFonts w:ascii="Times New Roman" w:hAnsi="Times New Roman"/>
          <w:sz w:val="20"/>
          <w:u w:val="single"/>
        </w:rPr>
        <w:t>Non-Reliance on Administrative Agent and Other Lenders</w:t>
      </w:r>
      <w:r>
        <w:rPr>
          <w:rFonts w:ascii="Times New Roman" w:hAnsi="Times New Roman"/>
          <w:sz w:val="20"/>
        </w:rPr>
        <w:t xml:space="preserve">. Each Lender expressly acknowledges that the Administrative Agent has not made any representation or warranty to it, and that no act by the Administrative Agent hereafter taken, including any consent to, and acceptance of any assignment or review of the affairs of any Loan Party or any Affiliate thereof, shall be deemed to constitute any representation or warranty by the Administrative Agent to any Lender as to any matter, including whether the Administrative Agent has disclosed material information in their (or their Related Parties) possession. Each Lender represents to the Administrative Agent that it has, independently and without reliance upon the Administrative Agent or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Credit Agreement and to extend credit to the Borrower hereunder. Each Lender also acknowledges that it will, independently and without reliance upon the Administrative Agent, or any other Lender or any of their Related Parties and based on such documents and information as it shall from time to time deem appropriate, continue to make its own credit analyses, appraisals and decisions in taking or not taking action under or based upon this Credit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- 91 -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Parties. Each Lender represents and warrants that (i) the Loan Documents set forth the terms of a commercial lending facility and (ii) it is engaged in making, acquiring and/or holding commercial loans in the ordinary course and is entering into this Credit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and/or holding such commercial loans or providing such other facilities. </w:t>
      </w:r>
    </w:p>
    <w:p>
      <w:pPr>
        <w:pStyle w:val="TextBody"/>
        <w:spacing w:before="240" w:after="0"/>
        <w:jc w:val="left"/>
        <w:rPr>
          <w:rFonts w:ascii="Times New Roman" w:hAnsi="Times New Roman"/>
          <w:sz w:val="20"/>
        </w:rPr>
      </w:pPr>
      <w:r>
        <w:rPr>
          <w:rFonts w:ascii="Times New Roman" w:hAnsi="Times New Roman"/>
          <w:sz w:val="20"/>
        </w:rPr>
        <w:t xml:space="preserve">Section 9.8 </w:t>
      </w:r>
      <w:r>
        <w:rPr>
          <w:rFonts w:ascii="Times New Roman" w:hAnsi="Times New Roman"/>
          <w:sz w:val="20"/>
          <w:u w:val="single"/>
        </w:rPr>
        <w:t>[Reserved].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9.9 </w:t>
      </w:r>
      <w:r>
        <w:rPr>
          <w:rFonts w:ascii="Times New Roman" w:hAnsi="Times New Roman"/>
          <w:sz w:val="20"/>
          <w:u w:val="single"/>
        </w:rPr>
        <w:t>Administrative Agent May File Proofs of Claim</w:t>
      </w:r>
      <w:r>
        <w:rPr>
          <w:rFonts w:ascii="Times New Roman" w:hAnsi="Times New Roman"/>
          <w:sz w:val="20"/>
        </w:rPr>
        <w:t xml:space="preserve">. In case of the pendency of any proceeding under any Debtor Relief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(but not obligated) by intervention in such proceeding or otherwise: </w:t>
      </w:r>
    </w:p>
    <w:p>
      <w:pPr>
        <w:pStyle w:val="TextBody"/>
        <w:spacing w:before="120" w:after="0"/>
        <w:jc w:val="left"/>
        <w:rPr>
          <w:rFonts w:ascii="Times New Roman" w:hAnsi="Times New Roman"/>
          <w:sz w:val="20"/>
        </w:rPr>
      </w:pPr>
      <w:r>
        <w:rPr>
          <w:rFonts w:ascii="Times New Roman" w:hAnsi="Times New Roman"/>
          <w:sz w:val="20"/>
        </w:rPr>
        <w:t xml:space="preserve">(a) to file and prove a claim for the whole amount of the principal and interest owing and unpaid in respect of the Loans and all other Loan Document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hAnsi="Times New Roman"/>
          <w:sz w:val="20"/>
          <w:u w:val="single"/>
        </w:rPr>
        <w:t>Section 10.3</w:t>
      </w:r>
      <w:r>
        <w:rPr>
          <w:rFonts w:ascii="Times New Roman" w:hAnsi="Times New Roman"/>
          <w:sz w:val="20"/>
        </w:rPr>
        <w:t xml:space="preserve">) allowed in such judicial proceeding; and </w:t>
      </w:r>
    </w:p>
    <w:p>
      <w:pPr>
        <w:pStyle w:val="TextBody"/>
        <w:spacing w:before="240" w:after="0"/>
        <w:jc w:val="left"/>
        <w:rPr>
          <w:rFonts w:ascii="Times New Roman" w:hAnsi="Times New Roman"/>
          <w:sz w:val="20"/>
        </w:rPr>
      </w:pPr>
      <w:r>
        <w:rPr>
          <w:rFonts w:ascii="Times New Roman" w:hAnsi="Times New Roman"/>
          <w:sz w:val="20"/>
        </w:rPr>
        <w:t xml:space="preserve">(b) to collect and receive any monies or other property payable or deliverable on any such claims and to distribute the same; </w:t>
      </w:r>
    </w:p>
    <w:p>
      <w:pPr>
        <w:pStyle w:val="TextBody"/>
        <w:spacing w:before="240" w:after="0"/>
        <w:jc w:val="left"/>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w:t>
      </w:r>
      <w:r>
        <w:rPr>
          <w:rFonts w:ascii="Times New Roman" w:hAnsi="Times New Roman"/>
          <w:sz w:val="20"/>
          <w:u w:val="single"/>
        </w:rPr>
        <w:t>Section 10.3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9.10 </w:t>
      </w:r>
      <w:r>
        <w:rPr>
          <w:rFonts w:ascii="Times New Roman" w:hAnsi="Times New Roman"/>
          <w:sz w:val="20"/>
          <w:u w:val="single"/>
        </w:rPr>
        <w:t>Collateral and Guarantee Matters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The Secured Parties irrevocably authorize and direct the Administrative Agent, </w:t>
      </w:r>
    </w:p>
    <w:p>
      <w:pPr>
        <w:pStyle w:val="TextBody"/>
        <w:spacing w:before="120" w:after="0"/>
        <w:jc w:val="left"/>
        <w:rPr>
          <w:rFonts w:ascii="Times New Roman" w:hAnsi="Times New Roman"/>
          <w:sz w:val="20"/>
        </w:rPr>
      </w:pPr>
      <w:r>
        <w:rPr>
          <w:rFonts w:ascii="Times New Roman" w:hAnsi="Times New Roman"/>
          <w:sz w:val="20"/>
        </w:rPr>
        <w:t xml:space="preserve">(i) to release any Lien on any property granted to or held by the Administrative Agent under any Loan Document (A) at the Termination Date, (B) that is sold or otherwise Disposed of or to be sold or otherwise Disposed of as part of or in connection with any sale or other Disposition permitted under the Loan Documents to a Person that is not and is not required to become a Loan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sale or Disposition of all or substantially all of the Collateral or all or substantially all of the value of the Guarantees under the Guarantee Agreement shall be subject to </w:t>
      </w:r>
      <w:r>
        <w:rPr>
          <w:rFonts w:ascii="Times New Roman" w:hAnsi="Times New Roman"/>
          <w:sz w:val="20"/>
          <w:u w:val="single"/>
        </w:rPr>
        <w:t>Section 10.2(b)</w:t>
      </w:r>
      <w:r>
        <w:rPr>
          <w:rFonts w:ascii="Times New Roman" w:hAnsi="Times New Roman"/>
          <w:sz w:val="20"/>
        </w:rPr>
        <w:t xml:space="preserve">, or (C) subject to </w:t>
      </w:r>
      <w:r>
        <w:rPr>
          <w:rFonts w:ascii="Times New Roman" w:hAnsi="Times New Roman"/>
          <w:sz w:val="20"/>
          <w:u w:val="single"/>
        </w:rPr>
        <w:t>Section 10.2</w:t>
      </w:r>
      <w:r>
        <w:rPr>
          <w:rFonts w:ascii="Times New Roman" w:hAnsi="Times New Roman"/>
          <w:sz w:val="20"/>
        </w:rPr>
        <w:t xml:space="preserve">, if approved, authorized or ratified in writing by the Required Lenders;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- 92 -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(ii) to subordinate any Lien on any property granted to or held by the Administrative Agent under any Loan Document to the holder of any Lien on such property that is permitted by </w:t>
      </w:r>
      <w:r>
        <w:rPr>
          <w:rFonts w:ascii="Times New Roman" w:hAnsi="Times New Roman"/>
          <w:sz w:val="20"/>
          <w:u w:val="single"/>
        </w:rPr>
        <w:t>Section 7.2(d)</w:t>
      </w:r>
      <w:r>
        <w:rPr>
          <w:rFonts w:ascii="Times New Roman" w:hAnsi="Times New Roman"/>
          <w:sz w:val="20"/>
        </w:rPr>
        <w:t xml:space="preserve">; and </w:t>
      </w:r>
    </w:p>
    <w:p>
      <w:pPr>
        <w:pStyle w:val="TextBody"/>
        <w:spacing w:before="120" w:after="0"/>
        <w:jc w:val="left"/>
        <w:rPr>
          <w:rFonts w:ascii="Times New Roman" w:hAnsi="Times New Roman"/>
          <w:sz w:val="20"/>
        </w:rPr>
      </w:pPr>
      <w:r>
        <w:rPr>
          <w:rFonts w:ascii="Times New Roman" w:hAnsi="Times New Roman"/>
          <w:sz w:val="20"/>
        </w:rPr>
        <w:t xml:space="preserve">(iii) to release any Guarantor from its obligations under the Loan Documents if such Person ceases to be a Subsidiary as a result of a transaction permitted under the Loan Documents;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release of all or substantially all of the Collateral or all or substantially all of the value of the Guarantees under the Guarantee Agreement shall be subject to </w:t>
      </w:r>
      <w:r>
        <w:rPr>
          <w:rFonts w:ascii="Times New Roman" w:hAnsi="Times New Roman"/>
          <w:sz w:val="20"/>
          <w:u w:val="single"/>
        </w:rPr>
        <w:t>Section 10.2(b)</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Loan Documents pursuant to this </w:t>
      </w:r>
      <w:r>
        <w:rPr>
          <w:rFonts w:ascii="Times New Roman" w:hAnsi="Times New Roman"/>
          <w:sz w:val="20"/>
          <w:u w:val="single"/>
        </w:rPr>
        <w:t>Section 9.10</w:t>
      </w:r>
      <w:r>
        <w:rPr>
          <w:rFonts w:ascii="Times New Roman" w:hAnsi="Times New Roman"/>
          <w:sz w:val="20"/>
        </w:rPr>
        <w:t xml:space="preserve">. Notwithstanding anything contained herein or in any other Loan Document to the contrary, in no event shall the Administrative Agent be obligated to execute or deliver any release, subordination or re-conveyance of Collateral or any Guarantor unless it shall have received a certificate executed by a duly authorized officer of the applicable Loan Party certifying that such release, subordination or re-conveyance is permitted by this Agreement and the other Loan Documents. </w:t>
      </w:r>
    </w:p>
    <w:p>
      <w:pPr>
        <w:pStyle w:val="TextBody"/>
        <w:spacing w:before="240" w:after="0"/>
        <w:jc w:val="left"/>
        <w:rPr>
          <w:rFonts w:ascii="Times New Roman" w:hAnsi="Times New Roman"/>
          <w:sz w:val="20"/>
        </w:rPr>
      </w:pPr>
      <w:r>
        <w:rPr>
          <w:rFonts w:ascii="Times New Roman" w:hAnsi="Times New Roman"/>
          <w:sz w:val="20"/>
        </w:rPr>
        <w:t xml:space="preserve">(b) The Administrative Agent shall not be responsible or liable for or have a duty to ascertain or inquire into (i) any representation or warranty regarding the existence, value or collectability of the Collateral, (ii) the existence, continuation or maintenance of the priority or perfection of the Administrative Agents Lien on the Collateral, (iv) the acquisition or maintenance of any insurance with respect to the Collateral or otherwise, (v) the payment or discharge of any tax, assessment, or other governmental charge or any lien or encumbrance of any kind owing with respect to, assessed or levied against, any part of the Collateral, or (vi) any certificate prepared by any Loan Party in connection therewith, nor shall the Administrative Agent be responsible or liable to the Lenders for any failure to monitor or maintain any portion of the Collateral. </w:t>
      </w:r>
    </w:p>
    <w:p>
      <w:pPr>
        <w:pStyle w:val="TextBody"/>
        <w:spacing w:before="240" w:after="0"/>
        <w:jc w:val="left"/>
        <w:rPr>
          <w:rFonts w:ascii="Times New Roman" w:hAnsi="Times New Roman"/>
          <w:sz w:val="20"/>
        </w:rPr>
      </w:pPr>
      <w:r>
        <w:rPr>
          <w:rFonts w:ascii="Times New Roman" w:hAnsi="Times New Roman"/>
          <w:sz w:val="20"/>
        </w:rPr>
        <w:t xml:space="preserve">Section 9.11 </w:t>
      </w:r>
      <w:r>
        <w:rPr>
          <w:rFonts w:ascii="Times New Roman" w:hAnsi="Times New Roman"/>
          <w:sz w:val="20"/>
          <w:u w:val="single"/>
        </w:rPr>
        <w:t>Erroneous Payments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(a) Each Lender hereby agrees that (i) if the Administrative Agent notifies such Lender that the Administrative Agent has determined in its sole discretion that any funds received by such Lender from the Administrative Agent or any of its Affiliates were erroneously or mistakenly transmitted to, or otherwise erroneously or mistakenly received by, such Lender (whether or not known to such Lender) (whether as a payment, prepayment or repayment of principal, interest, fees or otherwise; individually and collectively, an </w:t>
      </w:r>
      <w:r>
        <w:rPr>
          <w:rFonts w:ascii="Times New Roman" w:hAnsi="Times New Roman"/>
          <w:sz w:val="20"/>
          <w:u w:val="single"/>
        </w:rPr>
        <w:t>Erroneous Payment</w:t>
      </w:r>
      <w:r>
        <w:rPr>
          <w:rFonts w:ascii="Times New Roman" w:hAnsi="Times New Roman"/>
          <w:sz w:val="20"/>
        </w:rPr>
        <w:t xml:space="preserve">) and demands the return of such Erroneous Payment (or a portion thereof), such Lender shall promptly, but in no event later than one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to the date such amount is repaid to the Administrative Agent in same day funds at the greater of the Federal Funds Effective Rate and a rate determined by the Administrative Agent in accordance with banking industry rules on interbank compensation from time to time in effect and (ii) to the extent permitted by applicable law, such Lender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waiver of any defense based on discharge for value or any similar theory or doctrine. A notice of the Administrative Agent to any Lender under this clause (a) shall be conclusive, absent manifest error.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- 93 -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Without limiting the immediately preceding clause (a), each Lender hereby further agrees that if it receives a payment from the Administrative Agent (or any of its Affiliates) (x) that is in a different amount than, or on a different date from, that specified in a notice of payment sent by the Administrative Agent, (y) that was not preceded or accompanied by notice of payment, or (z) that such Lender otherwise becomes aware was transmitted, or received, in error or by mistake (in whole or in part), then in each case, if an error has been made each such Lender is deemed to have knowledge of such error at the time of receipt of such Erroneous Payment, and to the extent permitted by applicable law, such Lender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waiver of any defense based on discharge for value or any similar theory or doctrine. Each Lender agrees that, in each such case, it shall promptly (and, in all events, within one Business Day of its knowledge (or deemed knowledge) of such error) notify the Administrative Agent of such occurrence and, upon demand from the Administrative Agent, it shall promptly, but in all events no later than one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to the date such amount is repaid to the Administrative Agent in same day funds at the greater of the Federal Funds Effective Rate and a rate determined by the Administrative Agent in accordance with banking industry rules on interbank compensation from time to time in effect. </w:t>
      </w:r>
    </w:p>
    <w:p>
      <w:pPr>
        <w:pStyle w:val="TextBody"/>
        <w:spacing w:before="240" w:after="0"/>
        <w:jc w:val="left"/>
        <w:rPr>
          <w:rFonts w:ascii="Times New Roman" w:hAnsi="Times New Roman"/>
          <w:sz w:val="20"/>
        </w:rPr>
      </w:pPr>
      <w:r>
        <w:rPr>
          <w:rFonts w:ascii="Times New Roman" w:hAnsi="Times New Roman"/>
          <w:sz w:val="20"/>
        </w:rPr>
        <w:t xml:space="preserve">(c) The Borrower and each other Loan Party hereby agrees that (x) in the event an Erroneous Payment (or portion thereof) is not recovered from any Lender that has received such Erroneous Payment (or portion thereof) for any reason (and without limiting the Administrative Agents rights and remedies under this </w:t>
      </w:r>
      <w:r>
        <w:rPr>
          <w:rFonts w:ascii="Times New Roman" w:hAnsi="Times New Roman"/>
          <w:sz w:val="20"/>
          <w:u w:val="single"/>
        </w:rPr>
        <w:t>Section 9.11</w:t>
      </w:r>
      <w:r>
        <w:rPr>
          <w:rFonts w:ascii="Times New Roman" w:hAnsi="Times New Roman"/>
          <w:sz w:val="20"/>
        </w:rPr>
        <w:t xml:space="preserve">), the Administrative Agent shall be subrogated to all the rights of such Lender with respect to such amount and (y) an Erroneous Payment shall not pay, prepay, repay, discharge or otherwise satisfy any Loan Document Obligations owed by the Borrower or any other Loan Party;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clause (c)</w:t>
      </w:r>
      <w:r>
        <w:rPr>
          <w:rFonts w:ascii="Times New Roman" w:hAnsi="Times New Roman"/>
          <w:sz w:val="20"/>
        </w:rPr>
        <w:t xml:space="preserve"> shall not be interpreted to increase (or accelerate the due date for), or have the effect of increasing (or accelerating the due date for), the obligations of any Loan Party relative to the amount (and/or timing for payment) of the obligations that would have been payable had such Erroneous Payment not been made by the Administrative Agent;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for the avoidance of doubt, the foregoing shall not apply to the extent any such Erroneous Payment is, and solely with respect to the amount of such Erroneous Payment that is, comprised of funds received by the Administrative Agent from the Borrower for the purpose of making a payment to the Lenders. </w:t>
      </w:r>
    </w:p>
    <w:p>
      <w:pPr>
        <w:pStyle w:val="TextBody"/>
        <w:spacing w:before="240" w:after="0"/>
        <w:jc w:val="left"/>
        <w:rPr>
          <w:rFonts w:ascii="Times New Roman" w:hAnsi="Times New Roman"/>
          <w:sz w:val="20"/>
        </w:rPr>
      </w:pPr>
      <w:r>
        <w:rPr>
          <w:rFonts w:ascii="Times New Roman" w:hAnsi="Times New Roman"/>
          <w:sz w:val="20"/>
        </w:rPr>
        <w:t xml:space="preserve">(d) In addition to any rights and remedies of the Administrative Agent provided by law, the Administrative Agent shall have the right, without prior notice to any Lender, any such notice being expressly waived by such Lender to the extent permitted by applicable law, with respect to any Erroneous Payment for which a demand has been made in accordance with this </w:t>
      </w:r>
      <w:r>
        <w:rPr>
          <w:rFonts w:ascii="Times New Roman" w:hAnsi="Times New Roman"/>
          <w:sz w:val="20"/>
          <w:u w:val="single"/>
        </w:rPr>
        <w:t>Section 9.11</w:t>
      </w:r>
      <w:r>
        <w:rPr>
          <w:rFonts w:ascii="Times New Roman" w:hAnsi="Times New Roman"/>
          <w:sz w:val="20"/>
        </w:rPr>
        <w:t xml:space="preserve"> and which has not been returned to the Administrative Agent, to set off and appropriate and apply against such amount any and all deposits (general or special, time or demand, provisional or final but excluding trust accounts), in any currency, and any other credits, indebtedness or claims, in any currency, in each case whether direct or indirect, absolute or contingent, matured or unmatured, at any time held or owing by the Administrative Agent or any of its Affiliates, branches or agencies thereof to or for the credit or the account of such Lender. The Administrative Agent agrees promptly to notify the Lender after any such setoff and application made by the Administrative Agent; </w:t>
      </w:r>
      <w:r>
        <w:rPr>
          <w:rFonts w:ascii="Times New Roman" w:hAnsi="Times New Roman"/>
          <w:sz w:val="20"/>
          <w:u w:val="single"/>
        </w:rPr>
        <w:t>provided</w:t>
      </w:r>
      <w:r>
        <w:rPr>
          <w:rFonts w:ascii="Times New Roman" w:hAnsi="Times New Roman"/>
          <w:sz w:val="20"/>
        </w:rPr>
        <w:t xml:space="preserve"> that the failure to give such notice shall not affect the validity of such setoff and application. </w:t>
      </w:r>
    </w:p>
    <w:p>
      <w:pPr>
        <w:pStyle w:val="TextBody"/>
        <w:spacing w:before="240" w:after="0"/>
        <w:jc w:val="left"/>
        <w:rPr>
          <w:rFonts w:ascii="Times New Roman" w:hAnsi="Times New Roman"/>
          <w:sz w:val="20"/>
        </w:rPr>
      </w:pPr>
      <w:r>
        <w:rPr>
          <w:rFonts w:ascii="Times New Roman" w:hAnsi="Times New Roman"/>
          <w:sz w:val="20"/>
        </w:rPr>
        <w:t xml:space="preserve">(e) Each partys obligations under this </w:t>
      </w:r>
      <w:r>
        <w:rPr>
          <w:rFonts w:ascii="Times New Roman" w:hAnsi="Times New Roman"/>
          <w:sz w:val="20"/>
          <w:u w:val="single"/>
        </w:rPr>
        <w:t>Section 9.11</w:t>
      </w:r>
      <w:r>
        <w:rPr>
          <w:rFonts w:ascii="Times New Roman" w:hAnsi="Times New Roman"/>
          <w:sz w:val="20"/>
        </w:rPr>
        <w:t xml:space="preserve"> shall survive the resignation or replacement of the Administrative Agent, the termination of the Commitments and the repayment, satisfaction or discharge of all Loan Document Obligations (or any portion thereof) under any Loan Document.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- 94 -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ARTICLE 10 </w:t>
      </w:r>
    </w:p>
    <w:p>
      <w:pPr>
        <w:pStyle w:val="TextBody"/>
        <w:spacing w:before="120" w:after="0"/>
        <w:jc w:val="center"/>
        <w:rPr>
          <w:rFonts w:ascii="Times New Roman" w:hAnsi="Times New Roman"/>
          <w:sz w:val="20"/>
        </w:rPr>
      </w:pPr>
      <w:r>
        <w:rPr>
          <w:rFonts w:ascii="Times New Roman" w:hAnsi="Times New Roman"/>
          <w:sz w:val="20"/>
        </w:rPr>
        <w:t xml:space="preserve">MISCELLANEOUS </w:t>
      </w:r>
    </w:p>
    <w:p>
      <w:pPr>
        <w:pStyle w:val="TextBody"/>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Notices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Notices Generally</w:t>
      </w:r>
      <w:r>
        <w:rPr>
          <w:rFonts w:ascii="Times New Roman" w:hAnsi="Times New Roman"/>
          <w:sz w:val="20"/>
        </w:rPr>
        <w:t xml:space="preserve">. Except in the case of notices and other communications expressly permitted to be given by telephone (and except as provided in </w:t>
      </w:r>
      <w:r>
        <w:rPr>
          <w:rFonts w:ascii="Times New Roman" w:hAnsi="Times New Roman"/>
          <w:sz w:val="20"/>
          <w:u w:val="single"/>
        </w:rPr>
        <w:t>paragraph (b)</w:t>
      </w:r>
      <w:r>
        <w:rPr>
          <w:rFonts w:ascii="Times New Roman" w:hAnsi="Times New Roman"/>
          <w:sz w:val="20"/>
        </w:rPr>
        <w:t xml:space="preserve"> below), all notices and other communications provided for herein shall be in writing and shall be delivered by hand or overnight courier service, mailed by certified or registered mail or sent by facsimile or email as follows: </w:t>
      </w:r>
    </w:p>
    <w:p>
      <w:pPr>
        <w:pStyle w:val="TextBody"/>
        <w:spacing w:before="120" w:after="0"/>
        <w:jc w:val="left"/>
        <w:rPr>
          <w:rFonts w:ascii="Times New Roman" w:hAnsi="Times New Roman"/>
          <w:sz w:val="20"/>
        </w:rPr>
      </w:pPr>
      <w:r>
        <w:rPr>
          <w:rFonts w:ascii="Times New Roman" w:hAnsi="Times New Roman"/>
          <w:sz w:val="20"/>
        </w:rPr>
        <w:t xml:space="preserve">(i) if to any Loan Party, to such Loan Party at the following address and electronic mail addresses: </w:t>
      </w:r>
    </w:p>
    <w:p>
      <w:pPr>
        <w:pStyle w:val="TextBody"/>
        <w:spacing w:before="120" w:after="0"/>
        <w:jc w:val="left"/>
        <w:rPr>
          <w:rFonts w:ascii="Times New Roman" w:hAnsi="Times New Roman"/>
          <w:sz w:val="20"/>
        </w:rPr>
      </w:pPr>
      <w:r>
        <w:rPr>
          <w:rFonts w:ascii="Times New Roman" w:hAnsi="Times New Roman"/>
          <w:sz w:val="20"/>
        </w:rPr>
        <w:t xml:space="preserve">c/o Mynaric AG </w:t>
      </w:r>
    </w:p>
    <w:p>
      <w:pPr>
        <w:pStyle w:val="TextBody"/>
        <w:spacing w:before="0" w:after="0"/>
        <w:jc w:val="left"/>
        <w:rPr>
          <w:rFonts w:ascii="Times New Roman" w:hAnsi="Times New Roman"/>
          <w:sz w:val="20"/>
        </w:rPr>
      </w:pPr>
      <w:r>
        <w:rPr>
          <w:rFonts w:ascii="Times New Roman" w:hAnsi="Times New Roman"/>
          <w:sz w:val="20"/>
        </w:rPr>
        <w:t xml:space="preserve">Dornierstraße 19, </w:t>
      </w:r>
    </w:p>
    <w:p>
      <w:pPr>
        <w:pStyle w:val="TextBody"/>
        <w:spacing w:before="0" w:after="0"/>
        <w:jc w:val="left"/>
        <w:rPr>
          <w:rFonts w:ascii="Times New Roman" w:hAnsi="Times New Roman"/>
          <w:sz w:val="20"/>
        </w:rPr>
      </w:pPr>
      <w:r>
        <w:rPr>
          <w:rFonts w:ascii="Times New Roman" w:hAnsi="Times New Roman"/>
          <w:sz w:val="20"/>
        </w:rPr>
        <w:t xml:space="preserve">82205 Gilching </w:t>
      </w:r>
    </w:p>
    <w:p>
      <w:pPr>
        <w:pStyle w:val="TextBody"/>
        <w:spacing w:before="0" w:after="0"/>
        <w:jc w:val="left"/>
        <w:rPr>
          <w:rFonts w:ascii="Times New Roman" w:hAnsi="Times New Roman"/>
          <w:sz w:val="20"/>
        </w:rPr>
      </w:pPr>
      <w:r>
        <w:rPr>
          <w:rFonts w:ascii="Times New Roman" w:hAnsi="Times New Roman"/>
          <w:sz w:val="20"/>
        </w:rPr>
        <w:t xml:space="preserve">Germany </w:t>
      </w:r>
    </w:p>
    <w:p>
      <w:pPr>
        <w:pStyle w:val="TextBody"/>
        <w:spacing w:before="0" w:after="0"/>
        <w:jc w:val="left"/>
        <w:rPr>
          <w:rFonts w:ascii="Times New Roman" w:hAnsi="Times New Roman"/>
          <w:sz w:val="20"/>
        </w:rPr>
      </w:pPr>
      <w:r>
        <w:rPr>
          <w:rFonts w:ascii="Times New Roman" w:hAnsi="Times New Roman"/>
          <w:sz w:val="20"/>
        </w:rPr>
        <w:t xml:space="preserve">Attn: Stefan Berndt-von Bülow, Emin Bulent Altan, Markus Mannl, Thomas </w:t>
      </w:r>
    </w:p>
    <w:p>
      <w:pPr>
        <w:pStyle w:val="TextBody"/>
        <w:spacing w:before="0" w:after="0"/>
        <w:jc w:val="left"/>
        <w:rPr>
          <w:rFonts w:ascii="Times New Roman" w:hAnsi="Times New Roman"/>
          <w:sz w:val="20"/>
        </w:rPr>
      </w:pPr>
      <w:r>
        <w:rPr>
          <w:rFonts w:ascii="Times New Roman" w:hAnsi="Times New Roman"/>
          <w:sz w:val="20"/>
        </w:rPr>
        <w:t xml:space="preserve">Karst and Felix Hackle </w:t>
      </w:r>
    </w:p>
    <w:p>
      <w:pPr>
        <w:pStyle w:val="TextBody"/>
        <w:spacing w:before="0" w:after="0"/>
        <w:jc w:val="left"/>
        <w:rPr>
          <w:rFonts w:ascii="Times New Roman" w:hAnsi="Times New Roman"/>
          <w:sz w:val="20"/>
        </w:rPr>
      </w:pPr>
      <w:r>
        <w:rPr>
          <w:rFonts w:ascii="Times New Roman" w:hAnsi="Times New Roman"/>
          <w:sz w:val="20"/>
        </w:rPr>
        <w:t xml:space="preserve">E-mail: stefan.berndtvonbuelow@mynaric.com, bulent.altan@mynaricusa.com, </w:t>
      </w:r>
    </w:p>
    <w:p>
      <w:pPr>
        <w:pStyle w:val="TextBody"/>
        <w:spacing w:before="0" w:after="0"/>
        <w:jc w:val="left"/>
        <w:rPr>
          <w:rFonts w:ascii="Times New Roman" w:hAnsi="Times New Roman"/>
          <w:sz w:val="20"/>
        </w:rPr>
      </w:pPr>
      <w:r>
        <w:rPr>
          <w:rFonts w:ascii="Times New Roman" w:hAnsi="Times New Roman"/>
          <w:sz w:val="20"/>
        </w:rPr>
        <w:t xml:space="preserve">markus.mannl@mynaric.com; ext_thomas.karst@mynaric.com; and </w:t>
      </w:r>
    </w:p>
    <w:p>
      <w:pPr>
        <w:pStyle w:val="TextBody"/>
        <w:spacing w:before="0" w:after="0"/>
        <w:jc w:val="left"/>
        <w:rPr>
          <w:rFonts w:ascii="Times New Roman" w:hAnsi="Times New Roman"/>
          <w:sz w:val="20"/>
        </w:rPr>
      </w:pPr>
      <w:r>
        <w:rPr>
          <w:rFonts w:ascii="Times New Roman" w:hAnsi="Times New Roman"/>
          <w:sz w:val="20"/>
        </w:rPr>
        <w:t xml:space="preserve">felix.hacke@mynaric.com </w:t>
      </w:r>
    </w:p>
    <w:p>
      <w:pPr>
        <w:pStyle w:val="TextBody"/>
        <w:spacing w:before="120" w:after="0"/>
        <w:jc w:val="left"/>
        <w:rPr>
          <w:rFonts w:ascii="Times New Roman" w:hAnsi="Times New Roman"/>
          <w:sz w:val="20"/>
        </w:rPr>
      </w:pPr>
      <w:r>
        <w:rPr>
          <w:rFonts w:ascii="Times New Roman" w:hAnsi="Times New Roman"/>
          <w:sz w:val="20"/>
        </w:rPr>
        <w:t xml:space="preserve">(ii) if to the Administrative Agent, to the address, facsimile number, electronic mail address or telephone number specified for such Person on </w:t>
      </w:r>
      <w:r>
        <w:rPr>
          <w:rFonts w:ascii="Times New Roman" w:hAnsi="Times New Roman"/>
          <w:sz w:val="20"/>
          <w:u w:val="single"/>
        </w:rPr>
        <w:t>Schedule 10.1</w:t>
      </w:r>
      <w:r>
        <w:rPr>
          <w:rFonts w:ascii="Times New Roman" w:hAnsi="Times New Roman"/>
          <w:sz w:val="20"/>
        </w:rPr>
        <w:t xml:space="preserve">; and </w:t>
      </w:r>
    </w:p>
    <w:p>
      <w:pPr>
        <w:pStyle w:val="TextBody"/>
        <w:spacing w:before="120" w:after="0"/>
        <w:jc w:val="left"/>
        <w:rPr>
          <w:rFonts w:ascii="Times New Roman" w:hAnsi="Times New Roman"/>
          <w:sz w:val="20"/>
        </w:rPr>
      </w:pPr>
      <w:r>
        <w:rPr>
          <w:rFonts w:ascii="Times New Roman" w:hAnsi="Times New Roman"/>
          <w:sz w:val="20"/>
        </w:rPr>
        <w:t xml:space="preserve">(iii) if to any other Credit Party, the address, facsimile number, electronic mail address or telephone number specified in its Administrative Questionnaire. </w:t>
      </w:r>
    </w:p>
    <w:p>
      <w:pPr>
        <w:pStyle w:val="TextBody"/>
        <w:spacing w:before="240" w:after="0"/>
        <w:jc w:val="left"/>
        <w:rPr>
          <w:rFonts w:ascii="Times New Roman" w:hAnsi="Times New Roman"/>
          <w:sz w:val="20"/>
        </w:rPr>
      </w:pPr>
      <w:r>
        <w:rPr>
          <w:rFonts w:ascii="Times New Roman" w:hAnsi="Times New Roman"/>
          <w:sz w:val="20"/>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w:t>
      </w:r>
      <w:r>
        <w:rPr>
          <w:rFonts w:ascii="Times New Roman" w:hAnsi="Times New Roman"/>
          <w:sz w:val="20"/>
          <w:u w:val="single"/>
        </w:rPr>
        <w:t>paragraph (b)</w:t>
      </w:r>
      <w:r>
        <w:rPr>
          <w:rFonts w:ascii="Times New Roman" w:hAnsi="Times New Roman"/>
          <w:sz w:val="20"/>
        </w:rPr>
        <w:t xml:space="preserve"> below, shall be effective as provided in said </w:t>
      </w:r>
      <w:r>
        <w:rPr>
          <w:rFonts w:ascii="Times New Roman" w:hAnsi="Times New Roman"/>
          <w:sz w:val="20"/>
          <w:u w:val="single"/>
        </w:rPr>
        <w:t>paragraph (b)</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Electronic Communications</w:t>
      </w:r>
      <w:r>
        <w:rPr>
          <w:rFonts w:ascii="Times New Roman" w:hAnsi="Times New Roman"/>
          <w:sz w:val="20"/>
        </w:rPr>
        <w:t xml:space="preserve">. Notices and other communications hereunder may be delivered or furnished by electronic communication (including e-mail and Internet or intranet websites) pursuant to procedures approved by the Administrative Agent; </w:t>
      </w:r>
      <w:r>
        <w:rPr>
          <w:rFonts w:ascii="Times New Roman" w:hAnsi="Times New Roman"/>
          <w:sz w:val="20"/>
          <w:u w:val="single"/>
        </w:rPr>
        <w:t>provided</w:t>
      </w:r>
      <w:r>
        <w:rPr>
          <w:rFonts w:ascii="Times New Roman" w:hAnsi="Times New Roman"/>
          <w:sz w:val="20"/>
        </w:rPr>
        <w:t xml:space="preserve"> that the foregoing shall not apply to notices to any Credit Party pursuant to </w:t>
      </w:r>
      <w:r>
        <w:rPr>
          <w:rFonts w:ascii="Times New Roman" w:hAnsi="Times New Roman"/>
          <w:sz w:val="20"/>
          <w:u w:val="single"/>
        </w:rPr>
        <w:t>Article 2</w:t>
      </w:r>
      <w:r>
        <w:rPr>
          <w:rFonts w:ascii="Times New Roman" w:hAnsi="Times New Roman"/>
          <w:sz w:val="20"/>
        </w:rPr>
        <w:t xml:space="preserve"> if such Credit Party has notified the Administrative Agent in writing that it is incapable of receiving notices under such Article by electronic communication. </w:t>
      </w:r>
    </w:p>
    <w:p>
      <w:pPr>
        <w:pStyle w:val="TextBody"/>
        <w:spacing w:before="240" w:after="0"/>
        <w:jc w:val="left"/>
        <w:rPr>
          <w:rFonts w:ascii="Times New Roman" w:hAnsi="Times New Roman"/>
          <w:sz w:val="20"/>
        </w:rPr>
      </w:pPr>
      <w:r>
        <w:rPr>
          <w:rFonts w:ascii="Times New Roman" w:hAnsi="Times New Roman"/>
          <w:sz w:val="20"/>
        </w:rPr>
        <w:t xml:space="preserve">Unless the Administrative Agent otherwise prescribes, (i) notices and other communications sent to an e-mail address shall be deemed received upon the senders receipt of an acknowledgement of transmission to the intended recipient (such as by the delivery receipt requested function, return e-mail, confirmation of system-generated posting notices by a Platform or other written acknowledgement) and (ii) notices or communications posted to a Platform or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hAnsi="Times New Roman"/>
          <w:sz w:val="20"/>
          <w:u w:val="single"/>
        </w:rPr>
        <w:t>provided</w:t>
      </w:r>
      <w:r>
        <w:rPr>
          <w:rFonts w:ascii="Times New Roman" w:hAnsi="Times New Roman"/>
          <w:sz w:val="20"/>
        </w:rPr>
        <w:t xml:space="preserve"> that for both clauses (i) and (ii) above, if such notice or other communication is not sent during the normal business hours of the recipient, such notice or communication shall be deemed to have been sent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- 95 -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at the opening of business on the next Business Day for the recipient. Notwithstanding anything to the contrary herein, borrowing requests and other notices to Administrative Agent sent by email or posted to a Platform or an Internet or intranet website shall only be effective against such party if receipt of such transmission is affirmatively acknowledged by such party.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Change of Address, Etc</w:t>
      </w:r>
      <w:r>
        <w:rPr>
          <w:rFonts w:ascii="Times New Roman" w:hAnsi="Times New Roman"/>
          <w:sz w:val="20"/>
        </w:rPr>
        <w:t xml:space="preserve">. Any party hereto may change its address, facsimile number or email address for notices and other communications hereunder by notice to the other parties hereto. </w:t>
      </w:r>
    </w:p>
    <w:p>
      <w:pPr>
        <w:pStyle w:val="TextBody"/>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Platform</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(i) The Borrower agrees that the Administrative Agent may, but shall not be obligated to, make any Approved Electronic Communications available to the Lenders by posting such Approved Electronic Communications on the Platform if requested by Required Lenders. </w:t>
      </w:r>
    </w:p>
    <w:p>
      <w:pPr>
        <w:pStyle w:val="TextBody"/>
        <w:spacing w:before="240" w:after="0"/>
        <w:jc w:val="left"/>
        <w:rPr>
          <w:rFonts w:ascii="Times New Roman" w:hAnsi="Times New Roman"/>
          <w:sz w:val="20"/>
        </w:rPr>
      </w:pPr>
      <w:r>
        <w:rPr>
          <w:rFonts w:ascii="Times New Roman" w:hAnsi="Times New Roman"/>
          <w:sz w:val="20"/>
        </w:rPr>
        <w:t xml:space="preserve">(ii) The Platform and any Approved Electronic Communications are provided as is and as available. None of the Administrative Agent nor any of its Related Parties warrants the accuracy, adequacy or completeness of the Platform or any Approved Electronic Communications and each expressly disclaims liability for errors or omissions in the Approved Electronic Communications. No warranty of any kind, express, implied or statutory, including any warranty of merchantability, fitness for a particular purpose, non-infringement of third-party rights or freedom from viruses or other code defects, is made by the Administrative Agent or any of its Related Parties in connection with the Platform or the Approved Electronic Communications. Each party hereto agrees that the Administrative Agent does not have any responsibility for maintaining or providing any equipment, software, services or any testing required in connection with any Approved Electronic Communication or otherwise required for the Platform. In no event shall the Administrative Agent or any of its Related Parties have any liability to any Loan Party, any Lender or any other Person or entity for damages of any kind, whether or not based on strict liability and including (A) direct damages, losses or expenses (whether in tort, contract or otherwise) arising out of any Loan Partys or the Administrative Agents transmission of communications through the Platform, except to the extent the same resulted primarily from the gross negligence or willful misconduct of such Administrative Agent or its Related Parties, in each case as determined by a court of competent jurisdiction in a final and non-appealable judgment or (B) indirect, special, incidental or consequential damages, losses or expenses (whether in tort, contract or otherwise) arising out of any Loan Partys or the Administrative Agents transmission of communications through the Platform. In no event shall the Administrative Agent or any of its Related Parties have any liability for any damages arising from the use by others of any information or other materials obtained through internet, electronic, telecommunications or other information transmission systems, except to the extent the same resulted primarily from the gross negligence or willful misconduct of such Administrative Agent or its Related Parties, in each case as determined by a court of competent jurisdiction in a final and non-appealable judgment. </w:t>
      </w:r>
    </w:p>
    <w:p>
      <w:pPr>
        <w:pStyle w:val="TextBody"/>
        <w:spacing w:before="240" w:after="0"/>
        <w:jc w:val="left"/>
        <w:rPr>
          <w:rFonts w:ascii="Times New Roman" w:hAnsi="Times New Roman"/>
          <w:sz w:val="20"/>
        </w:rPr>
      </w:pPr>
      <w:r>
        <w:rPr>
          <w:rFonts w:ascii="Times New Roman" w:hAnsi="Times New Roman"/>
          <w:sz w:val="20"/>
        </w:rPr>
        <w:t xml:space="preserve">(iii) Each Loan Party, each Lender and the Administrative Agent agrees that the Administrative Agent may, but shall not be obligated to, store any Approved Electronic Communications on the Platform in accordance with the Administrative Agents customary document retention procedures and policies. </w:t>
      </w:r>
    </w:p>
    <w:p>
      <w:pPr>
        <w:pStyle w:val="TextBody"/>
        <w:spacing w:before="240" w:after="0"/>
        <w:jc w:val="left"/>
        <w:rPr>
          <w:rFonts w:ascii="Times New Roman" w:hAnsi="Times New Roman"/>
          <w:sz w:val="20"/>
        </w:rPr>
      </w:pPr>
      <w:r>
        <w:rPr>
          <w:rFonts w:ascii="Times New Roman" w:hAnsi="Times New Roman"/>
          <w:sz w:val="20"/>
        </w:rPr>
        <w:t xml:space="preserve">(iv) All uses of the Platform shall be governed by and subject to, in addition to this </w:t>
      </w:r>
      <w:r>
        <w:rPr>
          <w:rFonts w:ascii="Times New Roman" w:hAnsi="Times New Roman"/>
          <w:sz w:val="20"/>
          <w:u w:val="single"/>
        </w:rPr>
        <w:t>Section 10.1</w:t>
      </w:r>
      <w:r>
        <w:rPr>
          <w:rFonts w:ascii="Times New Roman" w:hAnsi="Times New Roman"/>
          <w:sz w:val="20"/>
        </w:rPr>
        <w:t xml:space="preserve">, separate terms and conditions posted or referenced in such Platform and related agreements executed by the Lenders and their Affiliates in connection with the use of such Platform. </w:t>
      </w:r>
    </w:p>
    <w:p>
      <w:pPr>
        <w:pStyle w:val="TextBody"/>
        <w:spacing w:before="240" w:after="0"/>
        <w:jc w:val="left"/>
        <w:rPr>
          <w:rFonts w:ascii="Times New Roman" w:hAnsi="Times New Roman"/>
          <w:sz w:val="20"/>
        </w:rPr>
      </w:pPr>
      <w:r>
        <w:rPr>
          <w:rFonts w:ascii="Times New Roman" w:hAnsi="Times New Roman"/>
          <w:sz w:val="20"/>
        </w:rPr>
        <w:t xml:space="preserve">(v) Each Loan Party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willful misconduct or gross negligence of the Administrative Agent, in each case as determined by a court of competent jurisdiction in a final and non-appealable judgment.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- 96 -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(vi) The Borrower and each Lender acknowledge that certain of the Lenders may be Public Lenders and, if documents or notices required to be delivered pursuant to </w:t>
      </w:r>
      <w:r>
        <w:rPr>
          <w:rFonts w:ascii="Times New Roman" w:hAnsi="Times New Roman"/>
          <w:sz w:val="20"/>
          <w:u w:val="single"/>
        </w:rPr>
        <w:t>Section 6.1</w:t>
      </w:r>
      <w:r>
        <w:rPr>
          <w:rFonts w:ascii="Times New Roman" w:hAnsi="Times New Roman"/>
          <w:sz w:val="20"/>
        </w:rPr>
        <w:t xml:space="preserve"> or otherwise are being distributed through the Platform, any document or notice that the Borrower has indicated contains Non-Public Information shall not be posted on that portion of the Platform designated for Public Lenders. If the Borrower has not indicated whether a document or notice delivered pursuant to </w:t>
      </w:r>
      <w:r>
        <w:rPr>
          <w:rFonts w:ascii="Times New Roman" w:hAnsi="Times New Roman"/>
          <w:sz w:val="20"/>
          <w:u w:val="single"/>
        </w:rPr>
        <w:t>Section 6.1</w:t>
      </w:r>
      <w:r>
        <w:rPr>
          <w:rFonts w:ascii="Times New Roman" w:hAnsi="Times New Roman"/>
          <w:sz w:val="20"/>
        </w:rPr>
        <w:t xml:space="preserve"> or otherwise contains Non-Public Information, the Administrative Agent reserves the right to post such document or notice solely on that portion of the Platform designated for Lenders who wish to receive material non-public information with respect to Holdings, the Borrower, its Subsidiaries and their respective securities. </w:t>
      </w:r>
    </w:p>
    <w:p>
      <w:pPr>
        <w:pStyle w:val="TextBody"/>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Public Side Information Contacts</w:t>
      </w:r>
      <w:r>
        <w:rPr>
          <w:rFonts w:ascii="Times New Roman" w:hAnsi="Times New Roman"/>
          <w:sz w:val="20"/>
        </w:rPr>
        <w:t xml:space="preserve">. Each Public Lender agrees to cause at least one individual at or on behalf of such Public Lender to have selected the Private Side Information or similar designation on the content declaration screen of the Platform in order to enable such Public Lender or its delegate, in accordance with such Public Lenders compliance procedures and applicable Requirements of Law, including the U.S. Federal and state securities Requirements of Law, to make reference to Approved Electronic Communications that are not made available through the Public Side Information portion of the Platform and that may contain material non-public information with respect to the Borrower or its securities for purposes of the U.S. Federal or state securities Requirements of Law. In the event that any Public Lender has elected for itself to not access any information disclosed through the Platform or otherwise, such Public Lender acknowledges that (i) the Administrative Agent and other Lenders may have access to such information and (ii) neither the Borrower nor the Administrative Agent or other Lender with access to such information shall have (x) any responsibility for such Public Lenders decision to limit the scope of information it has obtained in connection with this Agreement and the other Loan Documents or (y) any duty to disclose such information to such electing Lender or to use such information on behalf of such electing Lender, and shall not be liable for the failure to so disclose or use such information. </w:t>
      </w:r>
    </w:p>
    <w:p>
      <w:pPr>
        <w:pStyle w:val="TextBody"/>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Waivers; Amendments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No failure or delay by any Credit Party in exercising any right or power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Credit Parties under the Loan Documents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shall not be construed as a waiver of any Default, regardless of whether any Credit Party may have had notice or knowledge of such Default at the time. </w:t>
      </w:r>
    </w:p>
    <w:p>
      <w:pPr>
        <w:pStyle w:val="TextBody"/>
        <w:spacing w:before="240" w:after="0"/>
        <w:jc w:val="left"/>
        <w:rPr>
          <w:rFonts w:ascii="Times New Roman" w:hAnsi="Times New Roman"/>
          <w:sz w:val="20"/>
        </w:rPr>
      </w:pPr>
      <w:r>
        <w:rPr>
          <w:rFonts w:ascii="Times New Roman" w:hAnsi="Times New Roman"/>
          <w:sz w:val="20"/>
        </w:rPr>
        <w:t xml:space="preserve">Notwithstanding anything to the contrary contained herein or in any other Loan Document, the authority to enforce rights and remedies hereunder and under the other Loan Documents against the Loan Parties shall be vested exclusively in, and all actions and proceedings at law in connection with such enforcement shall be instituted and maintained exclusively by, the Administrative Agent in accordance with the Loan Documents for the benefit of all the Lenders; </w:t>
      </w:r>
      <w:r>
        <w:rPr>
          <w:rFonts w:ascii="Times New Roman" w:hAnsi="Times New Roman"/>
          <w:sz w:val="20"/>
          <w:u w:val="single"/>
        </w:rPr>
        <w:t>provided</w:t>
      </w:r>
      <w:r>
        <w:rPr>
          <w:rFonts w:ascii="Times New Roman" w:hAnsi="Times New Roman"/>
          <w:sz w:val="20"/>
        </w:rPr>
        <w:t xml:space="preserve"> that the foregoing shall not prohibit (i) the Administrative Agent from exercising on its own behalf the rights and remedies that inure to its benefit (solely in its capacity as Administrative Agent) hereunder and under the other Loan Documents, (ii) any Lender from exercising setoff rights in accordance with </w:t>
      </w:r>
      <w:r>
        <w:rPr>
          <w:rFonts w:ascii="Times New Roman" w:hAnsi="Times New Roman"/>
          <w:sz w:val="20"/>
          <w:u w:val="single"/>
        </w:rPr>
        <w:t>Section 10.9</w:t>
      </w:r>
      <w:r>
        <w:rPr>
          <w:rFonts w:ascii="Times New Roman" w:hAnsi="Times New Roman"/>
          <w:sz w:val="20"/>
        </w:rPr>
        <w:t xml:space="preserve"> (subject to the terms of </w:t>
      </w:r>
      <w:r>
        <w:rPr>
          <w:rFonts w:ascii="Times New Roman" w:hAnsi="Times New Roman"/>
          <w:sz w:val="20"/>
          <w:u w:val="single"/>
        </w:rPr>
        <w:t>Section 2.8(h)</w:t>
      </w:r>
      <w:r>
        <w:rPr>
          <w:rFonts w:ascii="Times New Roman" w:hAnsi="Times New Roman"/>
          <w:sz w:val="20"/>
        </w:rPr>
        <w:t xml:space="preserve">) or (iii) any Lender from filing proofs of claim or appearing and filing pleadings on its own behalf during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- 97 -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pendency of a proceeding relative to the Borrower under any Debtor Relief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at any time there is no Person acting as Administrative Agent hereunder and under the other Loan Documents, then (x) the Required Lenders shall have the rights otherwise provided to the Administrative Agent pursuant to the Loan Documents and (y) in addition to the matters set forth in </w:t>
      </w:r>
      <w:r>
        <w:rPr>
          <w:rFonts w:ascii="Times New Roman" w:hAnsi="Times New Roman"/>
          <w:sz w:val="20"/>
          <w:u w:val="single"/>
        </w:rPr>
        <w:t>clauses (ii)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of the preceding proviso and subject to </w:t>
      </w:r>
      <w:r>
        <w:rPr>
          <w:rFonts w:ascii="Times New Roman" w:hAnsi="Times New Roman"/>
          <w:sz w:val="20"/>
          <w:u w:val="single"/>
        </w:rPr>
        <w:t>Section 2.8(h)</w:t>
      </w:r>
      <w:r>
        <w:rPr>
          <w:rFonts w:ascii="Times New Roman" w:hAnsi="Times New Roman"/>
          <w:sz w:val="20"/>
        </w:rPr>
        <w:t xml:space="preserve">, any Lender may, with the consent of the Required Lenders, enforce any rights or remedies available to it and as authorized by the Required Lenders. </w:t>
      </w:r>
    </w:p>
    <w:p>
      <w:pPr>
        <w:pStyle w:val="TextBody"/>
        <w:spacing w:before="240" w:after="0"/>
        <w:jc w:val="left"/>
        <w:rPr>
          <w:rFonts w:ascii="Times New Roman" w:hAnsi="Times New Roman"/>
          <w:sz w:val="20"/>
        </w:rPr>
      </w:pPr>
      <w:r>
        <w:rPr>
          <w:rFonts w:ascii="Times New Roman" w:hAnsi="Times New Roman"/>
          <w:sz w:val="20"/>
        </w:rPr>
        <w:t xml:space="preserve">(b) Except as expressly provided by </w:t>
      </w:r>
      <w:r>
        <w:rPr>
          <w:rFonts w:ascii="Times New Roman" w:hAnsi="Times New Roman"/>
          <w:sz w:val="20"/>
          <w:u w:val="single"/>
        </w:rPr>
        <w:t>Section 2.11</w:t>
      </w:r>
      <w:r>
        <w:rPr>
          <w:rFonts w:ascii="Times New Roman" w:hAnsi="Times New Roman"/>
          <w:sz w:val="20"/>
        </w:rPr>
        <w:t xml:space="preserve">, </w:t>
      </w:r>
      <w:r>
        <w:rPr>
          <w:rFonts w:ascii="Times New Roman" w:hAnsi="Times New Roman"/>
          <w:sz w:val="20"/>
          <w:u w:val="single"/>
        </w:rPr>
        <w:t>Section 3.1(f)</w:t>
      </w:r>
      <w:r>
        <w:rPr>
          <w:rFonts w:ascii="Times New Roman" w:hAnsi="Times New Roman"/>
          <w:sz w:val="20"/>
        </w:rPr>
        <w:t xml:space="preserve">, </w:t>
      </w:r>
      <w:r>
        <w:rPr>
          <w:rFonts w:ascii="Times New Roman" w:hAnsi="Times New Roman"/>
          <w:sz w:val="20"/>
          <w:u w:val="single"/>
        </w:rPr>
        <w:t>Section 3.8</w:t>
      </w:r>
      <w:r>
        <w:rPr>
          <w:rFonts w:ascii="Times New Roman" w:hAnsi="Times New Roman"/>
          <w:sz w:val="20"/>
        </w:rPr>
        <w:t xml:space="preserve"> or in the other paragraphs of this </w:t>
      </w:r>
      <w:r>
        <w:rPr>
          <w:rFonts w:ascii="Times New Roman" w:hAnsi="Times New Roman"/>
          <w:sz w:val="20"/>
          <w:u w:val="single"/>
        </w:rPr>
        <w:t>Section 10.2</w:t>
      </w:r>
      <w:r>
        <w:rPr>
          <w:rFonts w:ascii="Times New Roman" w:hAnsi="Times New Roman"/>
          <w:sz w:val="20"/>
        </w:rPr>
        <w:t xml:space="preserve">, neither this Credit Agreement, any other Loan Document nor any provision thereof may be waived, amended or modified except pursuant to an agreement or agreements in writing entered into by the Loan Parties party to the applicable Loan Document and the Required Lenders, or by the Loan Parties party to the applicable Loan Documents and the Administrative Agent at the direction of the Required Lenders; </w:t>
      </w:r>
      <w:r>
        <w:rPr>
          <w:rFonts w:ascii="Times New Roman" w:hAnsi="Times New Roman"/>
          <w:sz w:val="20"/>
          <w:u w:val="single"/>
        </w:rPr>
        <w:t>provided</w:t>
      </w:r>
      <w:r>
        <w:rPr>
          <w:rFonts w:ascii="Times New Roman" w:hAnsi="Times New Roman"/>
          <w:sz w:val="20"/>
        </w:rPr>
        <w:t xml:space="preserve"> that no such agreement shall: </w:t>
      </w:r>
    </w:p>
    <w:p>
      <w:pPr>
        <w:pStyle w:val="TextBody"/>
        <w:spacing w:before="120" w:after="0"/>
        <w:jc w:val="left"/>
        <w:rPr>
          <w:rFonts w:ascii="Times New Roman" w:hAnsi="Times New Roman"/>
          <w:sz w:val="20"/>
        </w:rPr>
      </w:pPr>
      <w:r>
        <w:rPr>
          <w:rFonts w:ascii="Times New Roman" w:hAnsi="Times New Roman"/>
          <w:sz w:val="20"/>
        </w:rPr>
        <w:t xml:space="preserve">(i) extend or increase any Commitment of any Lender without the written consent of such Lender (it being understood that a waiver of any condition precedent set forth in </w:t>
      </w:r>
      <w:r>
        <w:rPr>
          <w:rFonts w:ascii="Times New Roman" w:hAnsi="Times New Roman"/>
          <w:sz w:val="20"/>
          <w:u w:val="single"/>
        </w:rPr>
        <w:t>Article 4</w:t>
      </w:r>
      <w:r>
        <w:rPr>
          <w:rFonts w:ascii="Times New Roman" w:hAnsi="Times New Roman"/>
          <w:sz w:val="20"/>
        </w:rPr>
        <w:t xml:space="preserve"> or the waiver of any Default shall not constitute an extension or increase of any Commitment of any Lender); </w:t>
      </w:r>
    </w:p>
    <w:p>
      <w:pPr>
        <w:pStyle w:val="TextBody"/>
        <w:spacing w:before="120" w:after="0"/>
        <w:jc w:val="left"/>
        <w:rPr>
          <w:rFonts w:ascii="Times New Roman" w:hAnsi="Times New Roman"/>
          <w:sz w:val="20"/>
        </w:rPr>
      </w:pPr>
      <w:r>
        <w:rPr>
          <w:rFonts w:ascii="Times New Roman" w:hAnsi="Times New Roman"/>
          <w:sz w:val="20"/>
        </w:rPr>
        <w:t xml:space="preserve">(ii) reduce the principal amount of any Loan, or reduce the rate of any interest, or reduce any fees or other amounts, payable under the Loan Documents, without the written consent of each Credit Party directly and adversely affected thereby; </w:t>
      </w:r>
      <w:r>
        <w:rPr>
          <w:rFonts w:ascii="Times New Roman" w:hAnsi="Times New Roman"/>
          <w:sz w:val="20"/>
          <w:u w:val="single"/>
        </w:rPr>
        <w:t>provided</w:t>
      </w:r>
      <w:r>
        <w:rPr>
          <w:rFonts w:ascii="Times New Roman" w:hAnsi="Times New Roman"/>
          <w:sz w:val="20"/>
        </w:rPr>
        <w:t xml:space="preserve"> that only the consent of the Required Lenders shall be necessary to amend or modify any Financial Covenant, any defined terms used therein or the definition of Default Rate or to waive any obligation of the Borrower to pay interest at the Default Rate, in each case, notwithstanding the fact that any such amendment or modification actually results in reduction in the rate of interest or fees; </w:t>
      </w:r>
    </w:p>
    <w:p>
      <w:pPr>
        <w:pStyle w:val="TextBody"/>
        <w:spacing w:before="120" w:after="0"/>
        <w:jc w:val="left"/>
        <w:rPr>
          <w:rFonts w:ascii="Times New Roman" w:hAnsi="Times New Roman"/>
          <w:sz w:val="20"/>
        </w:rPr>
      </w:pPr>
      <w:r>
        <w:rPr>
          <w:rFonts w:ascii="Times New Roman" w:hAnsi="Times New Roman"/>
          <w:sz w:val="20"/>
        </w:rPr>
        <w:t xml:space="preserve">(iii) postpone any date scheduled for any payment of principal of, or interest on, any Loan, or any fees or other amounts payable hereunder or under any other Loan Document, or reduce the amount of, waive or excuse any such payment (but not to reduce the amount of or postpone the date of any prepayment required by </w:t>
      </w:r>
      <w:r>
        <w:rPr>
          <w:rFonts w:ascii="Times New Roman" w:hAnsi="Times New Roman"/>
          <w:sz w:val="20"/>
          <w:u w:val="single"/>
        </w:rPr>
        <w:t>Section 2.7(b)</w:t>
      </w:r>
      <w:r>
        <w:rPr>
          <w:rFonts w:ascii="Times New Roman" w:hAnsi="Times New Roman"/>
          <w:sz w:val="20"/>
        </w:rPr>
        <w:t xml:space="preserve">) without the written consent of each Credit Party directly and adversely affected thereby; </w:t>
      </w:r>
    </w:p>
    <w:p>
      <w:pPr>
        <w:pStyle w:val="TextBody"/>
        <w:spacing w:before="120" w:after="0"/>
        <w:jc w:val="left"/>
        <w:rPr>
          <w:rFonts w:ascii="Times New Roman" w:hAnsi="Times New Roman"/>
          <w:sz w:val="20"/>
        </w:rPr>
      </w:pPr>
      <w:r>
        <w:rPr>
          <w:rFonts w:ascii="Times New Roman" w:hAnsi="Times New Roman"/>
          <w:sz w:val="20"/>
        </w:rPr>
        <w:t xml:space="preserve">(iv) except as provided in </w:t>
      </w:r>
      <w:r>
        <w:rPr>
          <w:rFonts w:ascii="Times New Roman" w:hAnsi="Times New Roman"/>
          <w:sz w:val="20"/>
          <w:u w:val="single"/>
        </w:rPr>
        <w:t>Section 2.10</w:t>
      </w:r>
      <w:r>
        <w:rPr>
          <w:rFonts w:ascii="Times New Roman" w:hAnsi="Times New Roman"/>
          <w:sz w:val="20"/>
        </w:rPr>
        <w:t xml:space="preserve"> and </w:t>
      </w:r>
      <w:r>
        <w:rPr>
          <w:rFonts w:ascii="Times New Roman" w:hAnsi="Times New Roman"/>
          <w:sz w:val="20"/>
          <w:u w:val="single"/>
        </w:rPr>
        <w:t>subsection (c)</w:t>
      </w:r>
      <w:r>
        <w:rPr>
          <w:rFonts w:ascii="Times New Roman" w:hAnsi="Times New Roman"/>
          <w:sz w:val="20"/>
        </w:rPr>
        <w:t xml:space="preserve"> below, change any provision hereof in a manner that would alter the pro rata sharing of payments required by </w:t>
      </w:r>
      <w:r>
        <w:rPr>
          <w:rFonts w:ascii="Times New Roman" w:hAnsi="Times New Roman"/>
          <w:sz w:val="20"/>
          <w:u w:val="single"/>
        </w:rPr>
        <w:t>Section 2.8(b)</w:t>
      </w:r>
      <w:r>
        <w:rPr>
          <w:rFonts w:ascii="Times New Roman" w:hAnsi="Times New Roman"/>
          <w:sz w:val="20"/>
        </w:rPr>
        <w:t xml:space="preserve">, without the written consent of each Credit Party directly and adversely affected thereby; </w:t>
      </w:r>
    </w:p>
    <w:p>
      <w:pPr>
        <w:pStyle w:val="TextBody"/>
        <w:spacing w:before="120" w:after="0"/>
        <w:jc w:val="left"/>
        <w:rPr>
          <w:rFonts w:ascii="Times New Roman" w:hAnsi="Times New Roman"/>
          <w:sz w:val="20"/>
        </w:rPr>
      </w:pPr>
      <w:r>
        <w:rPr>
          <w:rFonts w:ascii="Times New Roman" w:hAnsi="Times New Roman"/>
          <w:sz w:val="20"/>
        </w:rPr>
        <w:t>(v) change any of the provisions of this Section or the percentage in the definition of the term </w:t>
      </w:r>
      <w:r>
        <w:rPr>
          <w:rFonts w:ascii="Times New Roman" w:hAnsi="Times New Roman"/>
          <w:sz w:val="20"/>
          <w:u w:val="single"/>
        </w:rPr>
        <w:t>Required Lenders</w:t>
      </w:r>
      <w:r>
        <w:rPr>
          <w:rFonts w:ascii="Times New Roman" w:hAnsi="Times New Roman"/>
          <w:sz w:val="20"/>
        </w:rPr>
        <w:t xml:space="preserve"> or any other provision hereof specifying the number or percentage of Lenders required to waive, amend or modify any rights hereunder or make any determination or grant any consent hereunder, without the written consent of each Lender; </w:t>
      </w:r>
    </w:p>
    <w:p>
      <w:pPr>
        <w:pStyle w:val="TextBody"/>
        <w:spacing w:before="120" w:after="0"/>
        <w:jc w:val="left"/>
        <w:rPr>
          <w:rFonts w:ascii="Times New Roman" w:hAnsi="Times New Roman"/>
          <w:sz w:val="20"/>
        </w:rPr>
      </w:pPr>
      <w:r>
        <w:rPr>
          <w:rFonts w:ascii="Times New Roman" w:hAnsi="Times New Roman"/>
          <w:sz w:val="20"/>
        </w:rPr>
        <w:t xml:space="preserve">(vi) change the currency in which any Commitment or Loan is, or is to be, denominated, or payment under the Loan Documents is to be made without the written consent of each Lender directly affected thereby; </w:t>
      </w:r>
    </w:p>
    <w:p>
      <w:pPr>
        <w:pStyle w:val="TextBody"/>
        <w:spacing w:before="120" w:after="0"/>
        <w:jc w:val="left"/>
        <w:rPr>
          <w:rFonts w:ascii="Times New Roman" w:hAnsi="Times New Roman"/>
          <w:sz w:val="20"/>
        </w:rPr>
      </w:pPr>
      <w:r>
        <w:rPr>
          <w:rFonts w:ascii="Times New Roman" w:hAnsi="Times New Roman"/>
          <w:sz w:val="20"/>
        </w:rPr>
        <w:t xml:space="preserve">(vii) release any Guarantor from its Guarantee under the Guarantee Agreement (except as expressly provided therein or in </w:t>
      </w:r>
      <w:r>
        <w:rPr>
          <w:rFonts w:ascii="Times New Roman" w:hAnsi="Times New Roman"/>
          <w:sz w:val="20"/>
          <w:u w:val="single"/>
        </w:rPr>
        <w:t>Section 9.10</w:t>
      </w:r>
      <w:r>
        <w:rPr>
          <w:rFonts w:ascii="Times New Roman" w:hAnsi="Times New Roman"/>
          <w:sz w:val="20"/>
        </w:rPr>
        <w:t xml:space="preserve">), or limit its liability in respect of such Guarantee, without the written consent of each Lender;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- 98 -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(viii) release all or substantially all of the Collateral from the Liens of the Loan Documents (except as expressly provided in the applicable Collateral Document or in connection with a transaction permitted by the Loan Documents), without the consent of each Lender; and </w:t>
      </w:r>
    </w:p>
    <w:p>
      <w:pPr>
        <w:pStyle w:val="TextBody"/>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such amendment, waiver or consent shall amend, modify or otherwise affect any provision of </w:t>
      </w:r>
      <w:r>
        <w:rPr>
          <w:rFonts w:ascii="Times New Roman" w:hAnsi="Times New Roman"/>
          <w:sz w:val="20"/>
          <w:u w:val="single"/>
        </w:rPr>
        <w:t>Article 9</w:t>
      </w:r>
      <w:r>
        <w:rPr>
          <w:rFonts w:ascii="Times New Roman" w:hAnsi="Times New Roman"/>
          <w:sz w:val="20"/>
        </w:rPr>
        <w:t xml:space="preserve"> or any other provision affecting the rights, obligations or duties hereunder or under any other Loan Document of the Administrative Agent, unless in writing executed by the Administrative Agent, in addition to the Borrower and the Lenders required above. </w:t>
      </w:r>
    </w:p>
    <w:p>
      <w:pPr>
        <w:pStyle w:val="TextBody"/>
        <w:spacing w:before="240" w:after="0"/>
        <w:jc w:val="left"/>
        <w:rPr>
          <w:rFonts w:ascii="Times New Roman" w:hAnsi="Times New Roman"/>
          <w:sz w:val="20"/>
        </w:rPr>
      </w:pPr>
      <w:r>
        <w:rPr>
          <w:rFonts w:ascii="Times New Roman" w:hAnsi="Times New Roman"/>
          <w:sz w:val="20"/>
        </w:rPr>
        <w:t xml:space="preserve">(c) In addition, notwithstanding anything in this Section to the contrary, (i) if the Required Lenders and the Borrower shall have jointly identified an obvious error or any error or omission of a technical nature, in each case, in any provision of the Loan Documents, then the Required Lenders and the Borrower shall be permitted to amend such provision, and, in each case, such amendment shall become effective without any further action or consent of any other party to any Loan Document, and (ii) the Administrative Agent Fee Letter may be amended, waived or modified by the Administrative Agent and the Borrower without any further action or consent of any other party to any Loan Document. </w:t>
      </w:r>
    </w:p>
    <w:p>
      <w:pPr>
        <w:pStyle w:val="TextBody"/>
        <w:spacing w:before="240" w:after="0"/>
        <w:jc w:val="left"/>
        <w:rPr>
          <w:rFonts w:ascii="Times New Roman" w:hAnsi="Times New Roman"/>
          <w:sz w:val="20"/>
        </w:rPr>
      </w:pPr>
      <w:r>
        <w:rPr>
          <w:rFonts w:ascii="Times New Roman" w:hAnsi="Times New Roman"/>
          <w:sz w:val="20"/>
        </w:rPr>
        <w:t xml:space="preserve">(d) A copy of any amendments, restatements, supplements, modifications, waivers or consents to this Agreement or any other Loan Document shall be provided by the Borrower to the Administrative Agent promptly after execution, if the Administrative Agent is not a signatory thereto, and the Administrative Agent shall not be bound by any such amendments, restatements, supplements, modifications, waivers or consents unless and until it has received a copy thereof. </w:t>
      </w:r>
    </w:p>
    <w:p>
      <w:pPr>
        <w:pStyle w:val="TextBody"/>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Expenses; Indemnity; Damage Waiver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Costs and Expenses</w:t>
      </w:r>
      <w:r>
        <w:rPr>
          <w:rFonts w:ascii="Times New Roman" w:hAnsi="Times New Roman"/>
          <w:sz w:val="20"/>
        </w:rPr>
        <w:t xml:space="preserve">. The Loan Parties, jointly and severally, shall pay (i) all reasonable out-of-pocket expenses incurred by the Credit Parties and their Affiliates (including Attorney Costs of counsel for the Credit Parties), in connection with the syndication of the credit facilities provided for herein, the preparation, negotiation, execution, delivery and administration of this Credit Agreement, the Subscription Agreement and the other Loan Documents or any amendments, modifications or waivers of the provisions hereof or thereof (whether or not the transactions contemplated hereby or thereby shall be consummated) and (ii) all out-of-pocket expenses incurred by any Credit Party (including Attorney Costs of any Credit Party), in connection with the enforcement or protection of its rights (whether through negotiations, legal proceedings or otherwise) (A) in connection with this Credit Agreement, the Subscription Agreement and the other Loan Documents, including its rights under this Section, or (B) in connection with the Loans made hereunder, including all such out-of-pocket expenses incurred during any workout, restructuring or negotiations in respect of such Loans.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Indemnification by Loan Parties</w:t>
      </w:r>
      <w:r>
        <w:rPr>
          <w:rFonts w:ascii="Times New Roman" w:hAnsi="Times New Roman"/>
          <w:sz w:val="20"/>
        </w:rPr>
        <w:t>. The Loan Parties, jointly and severally, shall indemnify the Administrative Agent (and any sub-agent thereof), each Credit Party, and each Related Party of any of the foregoing Persons (each such Person being called an </w:t>
      </w:r>
      <w:r>
        <w:rPr>
          <w:rFonts w:ascii="Times New Roman" w:hAnsi="Times New Roman"/>
          <w:sz w:val="20"/>
          <w:u w:val="single"/>
        </w:rPr>
        <w:t>Indemnitee</w:t>
      </w:r>
      <w:r>
        <w:rPr>
          <w:rFonts w:ascii="Times New Roman" w:hAnsi="Times New Roman"/>
          <w:sz w:val="20"/>
        </w:rPr>
        <w:t xml:space="preserve">) against, and hold each Indemnitee harmless from, any and all losses, claims, damages, liabilities and related expenses (including Attorney Costs), incurred by any Indemnitee or asserted against any Indemnitee by any third party or by any Loan Party arising out of, in connection with, or as a result of (i) the execution or delivery of this Credit Agreement, any other Loan Document or any agreement or instrument contemplated hereby or thereby, the performance by the parties hereto of their respective obligations hereunder or thereunder or the consummation of the transactions contemplated hereby or thereby, (ii) any Loan or the use or proposed use of the proceeds therefrom, (iii) any actual or alleged presence or Release of Hazardous Materials at, on, under or from any property owned or operated by any Loan Party or any of its Subsidiaries, or any Environmental Claim or Environmental Liability related in any way to any Loan Party or any of its Subsidiaries, (iv) any actual or prospective claim, litigation, investigation or proceeding relating to any of the foregoing, whether based on contract, tort or any other theory, whether brought by a third party or by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- 99 -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any Loan Party, and regardless of whether any Indemnitee is a party thereto or (v) any government investigation, audit, hearing or enforcement action resulting from any Loan Partys or any of its Affiliates noncompliance (or purported noncompliance) with any applicable Sanctions, other Anti-Terrorism Laws or Anti-Corruption Laws (it being understood and agreed that the Indemnitees shall be entitled to indemnification pursuant to this clause (including indemnification for fines, penalties and other expenses) regardless of whether any adverse finding is made against any Loan Party or any of its Affiliates); </w:t>
      </w:r>
      <w:r>
        <w:rPr>
          <w:rFonts w:ascii="Times New Roman" w:hAnsi="Times New Roman"/>
          <w:sz w:val="20"/>
          <w:u w:val="single"/>
        </w:rPr>
        <w:t>provided</w:t>
      </w:r>
      <w:r>
        <w:rPr>
          <w:rFonts w:ascii="Times New Roman" w:hAnsi="Times New Roman"/>
          <w:sz w:val="20"/>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(y) other than with respect to the Administrative Agent (in its capacity as such), result from a claim brought by any Loan Party against an Indemnitee (other than the Administrative Agent) for breach in bad faith of such Indemnitees obligations hereunder or under any other Loan Document, if such Loan Party has obtained a final and non-appealable judgment in its favor on such claim as determined by a court of competent jurisdiction or (z) result from a claim not involving an act or omission of any Loan Party and that is brought by an Indemnitee against another Indemnitee (other than any claim asserted by or against the Administrative Agent in its capacity as such). To the extent that the indemnity set forth above in this paragraph shall be held to be unenforceable in whole or in part because it is violative of any law or public policy, the Borrower shall contribute the maximum portion that it is permitted to pay and satisfy under applicable law to the payment and satisfaction of all indemnified amounts incurred by Indemnitees or any of them. This </w:t>
      </w:r>
      <w:r>
        <w:rPr>
          <w:rFonts w:ascii="Times New Roman" w:hAnsi="Times New Roman"/>
          <w:sz w:val="20"/>
          <w:u w:val="single"/>
        </w:rPr>
        <w:t>paragraph (b)</w:t>
      </w:r>
      <w:r>
        <w:rPr>
          <w:rFonts w:ascii="Times New Roman" w:hAnsi="Times New Roman"/>
          <w:sz w:val="20"/>
        </w:rPr>
        <w:t xml:space="preserve"> shall not apply with respect to Taxes other than any Taxes that represent losses, claims, damages, etc. arising from any non-Tax claim.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Reimbursement by Lenders</w:t>
      </w:r>
      <w:r>
        <w:rPr>
          <w:rFonts w:ascii="Times New Roman" w:hAnsi="Times New Roman"/>
          <w:sz w:val="20"/>
        </w:rPr>
        <w:t xml:space="preserve">. To the extent that the Borrower for any reason fails to indefeasibly pay any amount required under </w:t>
      </w:r>
      <w:r>
        <w:rPr>
          <w:rFonts w:ascii="Times New Roman" w:hAnsi="Times New Roman"/>
          <w:sz w:val="20"/>
          <w:u w:val="single"/>
        </w:rPr>
        <w:t>paragraph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this Section to be paid by it to the Administrative Agent (or any sub-agent thereof) or any Related Party, each Lender severally agrees to pay to the Administrative Agent (or any such sub-agent),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The obligations of the Lenders under this </w:t>
      </w:r>
      <w:r>
        <w:rPr>
          <w:rFonts w:ascii="Times New Roman" w:hAnsi="Times New Roman"/>
          <w:sz w:val="20"/>
          <w:u w:val="single"/>
        </w:rPr>
        <w:t>paragraph (c)</w:t>
      </w:r>
      <w:r>
        <w:rPr>
          <w:rFonts w:ascii="Times New Roman" w:hAnsi="Times New Roman"/>
          <w:sz w:val="20"/>
        </w:rPr>
        <w:t xml:space="preserve"> are subject to the provisions of </w:t>
      </w:r>
      <w:r>
        <w:rPr>
          <w:rFonts w:ascii="Times New Roman" w:hAnsi="Times New Roman"/>
          <w:sz w:val="20"/>
          <w:u w:val="single"/>
        </w:rPr>
        <w:t>Section 2.8(d)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Waiver of Consequential Damages, Etc.</w:t>
      </w:r>
      <w:r>
        <w:rPr>
          <w:rFonts w:ascii="Times New Roman" w:hAnsi="Times New Roman"/>
          <w:sz w:val="20"/>
        </w:rPr>
        <w:t xml:space="preserve"> To the fullest extent permitted by Applicable Law, no Loan Party shall assert, and each Loan Party hereby waives, any claim against the Administrative Agent (and any sub-agent thereof), any Lender, and any Related Party of any of the foregoing Persons (each such Person being called a </w:t>
      </w:r>
      <w:r>
        <w:rPr>
          <w:rFonts w:ascii="Times New Roman" w:hAnsi="Times New Roman"/>
          <w:sz w:val="20"/>
          <w:u w:val="single"/>
        </w:rPr>
        <w:t>Protected Person</w:t>
      </w:r>
      <w:r>
        <w:rPr>
          <w:rFonts w:ascii="Times New Roman" w:hAnsi="Times New Roman"/>
          <w:sz w:val="20"/>
        </w:rPr>
        <w:t xml:space="preserve">), on any theory of liability, for special, indirect, consequential or punitive damages (as opposed to direct or actual damages) arising out of, in connection with, or as a result of, this Credit Agreement, any other Loan Document or any agreement or instrument contemplated hereby or thereby, the transactions contemplated hereby or thereby, any Loan or the use of the proceeds thereof. No Protected Person shall be liable for any damages arising from the use by unintended recipients of any information or other materials distributed by it through telecommunications, electronic or other information transmission systems in connection with this Credit Agreement or the other Loan Documents or the transactions contemplated hereby or thereby. </w:t>
      </w:r>
    </w:p>
    <w:p>
      <w:pPr>
        <w:pStyle w:val="TextBody"/>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Payments</w:t>
      </w:r>
      <w:r>
        <w:rPr>
          <w:rFonts w:ascii="Times New Roman" w:hAnsi="Times New Roman"/>
          <w:sz w:val="20"/>
        </w:rPr>
        <w:t xml:space="preserve">. All amounts due under this Section shall be payable promptly and in no event later than 30 days after demand therefor. </w:t>
      </w:r>
    </w:p>
    <w:p>
      <w:pPr>
        <w:pStyle w:val="TextBody"/>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Successors and Assigns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Successors and Assigns Generally</w:t>
      </w:r>
      <w:r>
        <w:rPr>
          <w:rFonts w:ascii="Times New Roman" w:hAnsi="Times New Roman"/>
          <w:sz w:val="20"/>
        </w:rPr>
        <w:t xml:space="preserve">. The provisions of this Credit Agreement shall be binding upon and inure to the benefit of the parties hereto and their respective successors and assigns permitted hereby, except that no Loan Party may assign or otherwise transfer any of its rights or obligations hereunder without the prior written consent of the Administrative Agent and each Lender (and any other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- 100 -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attempted assignment or transfer by any party hereto shall be null and void) and no Lender may assign or otherwise transfer any of its rights or obligations hereunder except (i) to an assignee in accordance with the provisions of </w:t>
      </w:r>
      <w:r>
        <w:rPr>
          <w:rFonts w:ascii="Times New Roman" w:hAnsi="Times New Roman"/>
          <w:sz w:val="20"/>
          <w:u w:val="single"/>
        </w:rPr>
        <w:t>paragraph (b)</w:t>
      </w:r>
      <w:r>
        <w:rPr>
          <w:rFonts w:ascii="Times New Roman" w:hAnsi="Times New Roman"/>
          <w:sz w:val="20"/>
        </w:rPr>
        <w:t xml:space="preserve"> of this Section, (ii) by way of participation in accordance with the provisions of </w:t>
      </w:r>
      <w:r>
        <w:rPr>
          <w:rFonts w:ascii="Times New Roman" w:hAnsi="Times New Roman"/>
          <w:sz w:val="20"/>
          <w:u w:val="single"/>
        </w:rPr>
        <w:t>paragraph (d)</w:t>
      </w:r>
      <w:r>
        <w:rPr>
          <w:rFonts w:ascii="Times New Roman" w:hAnsi="Times New Roman"/>
          <w:sz w:val="20"/>
        </w:rPr>
        <w:t xml:space="preserve"> of this Section or (iii) by way of pledge or assignment of a security interest subject to the restrictions of </w:t>
      </w:r>
      <w:r>
        <w:rPr>
          <w:rFonts w:ascii="Times New Roman" w:hAnsi="Times New Roman"/>
          <w:sz w:val="20"/>
          <w:u w:val="single"/>
        </w:rPr>
        <w:t>paragraph (e)</w:t>
      </w:r>
      <w:r>
        <w:rPr>
          <w:rFonts w:ascii="Times New Roman" w:hAnsi="Times New Roman"/>
          <w:sz w:val="20"/>
        </w:rPr>
        <w:t xml:space="preserve"> of this Section. Nothing in this Credit Agreement, expressed or implied, shall be construed to confer upon any Person (other than the parties hereto, their respective successors and assigns permitted hereby, Participants to the extent provided in </w:t>
      </w:r>
      <w:r>
        <w:rPr>
          <w:rFonts w:ascii="Times New Roman" w:hAnsi="Times New Roman"/>
          <w:sz w:val="20"/>
          <w:u w:val="single"/>
        </w:rPr>
        <w:t>paragraph (d)</w:t>
      </w:r>
      <w:r>
        <w:rPr>
          <w:rFonts w:ascii="Times New Roman" w:hAnsi="Times New Roman"/>
          <w:sz w:val="20"/>
        </w:rPr>
        <w:t xml:space="preserve"> of this Section and, to the extent expressly contemplated hereby, the Related Parties of each Credit Party) any legal or equitable right, remedy or claim under or by reason of this Credit Agreement.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Assignments by Lenders</w:t>
      </w:r>
      <w:r>
        <w:rPr>
          <w:rFonts w:ascii="Times New Roman" w:hAnsi="Times New Roman"/>
          <w:sz w:val="20"/>
        </w:rPr>
        <w:t xml:space="preserve">. Any Lender may at any time assign to one or more assignees all or a portion of its rights and obligations under this Credit Agreement; </w:t>
      </w:r>
      <w:r>
        <w:rPr>
          <w:rFonts w:ascii="Times New Roman" w:hAnsi="Times New Roman"/>
          <w:sz w:val="20"/>
          <w:u w:val="single"/>
        </w:rPr>
        <w:t>provided</w:t>
      </w:r>
      <w:r>
        <w:rPr>
          <w:rFonts w:ascii="Times New Roman" w:hAnsi="Times New Roman"/>
          <w:sz w:val="20"/>
        </w:rPr>
        <w:t xml:space="preserve"> that any such assignment shall be subject to the following conditions: </w:t>
      </w:r>
    </w:p>
    <w:p>
      <w:pPr>
        <w:pStyle w:val="TextBody"/>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Minimum Amounts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in the case of an assignment of the entire remaining amount of the assigning Lenders applicable Loans at the time owing to it or contemporaneous assignments to or by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 </w:t>
      </w:r>
    </w:p>
    <w:p>
      <w:pPr>
        <w:pStyle w:val="TextBody"/>
        <w:spacing w:before="120" w:after="0"/>
        <w:jc w:val="left"/>
        <w:rPr>
          <w:rFonts w:ascii="Times New Roman" w:hAnsi="Times New Roman"/>
          <w:sz w:val="20"/>
        </w:rPr>
      </w:pPr>
      <w:r>
        <w:rPr>
          <w:rFonts w:ascii="Times New Roman" w:hAnsi="Times New Roman"/>
          <w:sz w:val="20"/>
        </w:rPr>
        <w:t xml:space="preserve">(B) in any case not described in paragraph (b)(i)(A) of this Section, the principal outstanding balance of the applicable Loans of the assigning Lender subject to each such assignment (determined as of the date the Assignment and Assumption with respect to such assignment is delivered to the Administrative Agent and recorded in the Register) shall not be less than $10,000,000, unless each of the Administrative Agent and, so long as no Event of Default has occurred and is continuing, the Borrower otherwise consents (such consent of the Borrower not to be unreasonably withheld or delayed). </w:t>
      </w:r>
    </w:p>
    <w:p>
      <w:pPr>
        <w:pStyle w:val="TextBody"/>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[Reserved]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Required Consents</w:t>
      </w:r>
      <w:r>
        <w:rPr>
          <w:rFonts w:ascii="Times New Roman" w:hAnsi="Times New Roman"/>
          <w:sz w:val="20"/>
        </w:rPr>
        <w:t xml:space="preserve">. No consent shall be required for any assignment except to the extent required by </w:t>
      </w:r>
      <w:r>
        <w:rPr>
          <w:rFonts w:ascii="Times New Roman" w:hAnsi="Times New Roman"/>
          <w:sz w:val="20"/>
          <w:u w:val="single"/>
        </w:rPr>
        <w:t>paragraph (b)(i)(B)</w:t>
      </w:r>
      <w:r>
        <w:rPr>
          <w:rFonts w:ascii="Times New Roman" w:hAnsi="Times New Roman"/>
          <w:sz w:val="20"/>
        </w:rPr>
        <w:t xml:space="preserve"> of this Section and, in addition: </w:t>
      </w:r>
    </w:p>
    <w:p>
      <w:pPr>
        <w:pStyle w:val="TextBody"/>
        <w:spacing w:before="120" w:after="0"/>
        <w:jc w:val="left"/>
        <w:rPr>
          <w:rFonts w:ascii="Times New Roman" w:hAnsi="Times New Roman"/>
          <w:sz w:val="20"/>
        </w:rPr>
      </w:pPr>
      <w:r>
        <w:rPr>
          <w:rFonts w:ascii="Times New Roman" w:hAnsi="Times New Roman"/>
          <w:sz w:val="20"/>
        </w:rPr>
        <w:t xml:space="preserve">(A) the consent of the Borrower (such consent not to be unreasonably withheld or delayed) shall be required unless (x) an Event of Default has occurred and is continuing at the time of such assignment or (y) such assignment is to a Lender, an Affiliate of a Lender or an Approved Fund; </w:t>
      </w:r>
      <w:r>
        <w:rPr>
          <w:rFonts w:ascii="Times New Roman" w:hAnsi="Times New Roman"/>
          <w:sz w:val="20"/>
          <w:u w:val="single"/>
        </w:rPr>
        <w:t>provided</w:t>
      </w:r>
      <w:r>
        <w:rPr>
          <w:rFonts w:ascii="Times New Roman" w:hAnsi="Times New Roman"/>
          <w:sz w:val="20"/>
        </w:rPr>
        <w:t xml:space="preserve"> that the Borrower shall be deemed to have consented to any such assignment unless it shall object thereto by written notice to the Administrative Agent within five (5) Business Days after written notice of such assignment shall have delivered to the Borrower; and </w:t>
      </w:r>
    </w:p>
    <w:p>
      <w:pPr>
        <w:pStyle w:val="TextBody"/>
        <w:spacing w:before="120" w:after="0"/>
        <w:jc w:val="left"/>
        <w:rPr>
          <w:rFonts w:ascii="Times New Roman" w:hAnsi="Times New Roman"/>
          <w:sz w:val="20"/>
        </w:rPr>
      </w:pPr>
      <w:r>
        <w:rPr>
          <w:rFonts w:ascii="Times New Roman" w:hAnsi="Times New Roman"/>
          <w:sz w:val="20"/>
        </w:rPr>
        <w:t xml:space="preserve">(B) [reserved]. </w:t>
      </w:r>
    </w:p>
    <w:p>
      <w:pPr>
        <w:pStyle w:val="TextBody"/>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Assignment and Assumption</w:t>
      </w:r>
      <w:r>
        <w:rPr>
          <w:rFonts w:ascii="Times New Roman" w:hAnsi="Times New Roman"/>
          <w:sz w:val="20"/>
        </w:rPr>
        <w:t>. The parties to each assignment shall execute and deliver to the Administrative Agent an Assignment and Assumption, together with a processing and recordation fee of $3,500 (</w:t>
      </w:r>
      <w:r>
        <w:rPr>
          <w:rFonts w:ascii="Times New Roman" w:hAnsi="Times New Roman"/>
          <w:sz w:val="20"/>
          <w:u w:val="single"/>
        </w:rPr>
        <w:t>provided</w:t>
      </w:r>
      <w:r>
        <w:rPr>
          <w:rFonts w:ascii="Times New Roman" w:hAnsi="Times New Roman"/>
          <w:sz w:val="20"/>
        </w:rPr>
        <w:t xml:space="preserve"> no such fee shall be required with respect to assignments to Affiliates and Approved Funds of any Lender and the Administrative Agent may, in its sole discretion, elect to waive such processing and recordation fee in the case of any assignment). The assignee, if it is not a Lender, shall deliver to the Administrative Agent an Administrative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- 101 -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Questionnaire, a duly executed IRS Form W-9 (or other applicable tax form) and all know your customer documents requested by the Administrative Agent pursuant to anti-money laundering rules and regulations. In addition, each assignee shall, on or before the effective date of such assignment, deliver to the Borrower and the Administrative Agent certification as to exemption from deduction or withholding of any United States Taxes in accordance with </w:t>
      </w:r>
      <w:r>
        <w:rPr>
          <w:rFonts w:ascii="Times New Roman" w:hAnsi="Times New Roman"/>
          <w:sz w:val="20"/>
          <w:u w:val="single"/>
        </w:rPr>
        <w:t>Section 3.6(g)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No Assignment to Certain Persons</w:t>
      </w:r>
      <w:r>
        <w:rPr>
          <w:rFonts w:ascii="Times New Roman" w:hAnsi="Times New Roman"/>
          <w:sz w:val="20"/>
        </w:rPr>
        <w:t xml:space="preserve">. No such assignment shall be made to (A) the Borrower or any of the Borrowers Affiliates or Subsidiaries, (B) a Person who, at the time of such assignment, is a Sanctioned Person if such assignment would violate Applicable Law or (C) a Person who, at the time of such assignment, is, or is owned or controlled by one or Persons that are, located, organized or resident in (1) Russia, (2) China or (3) any other jurisdiction that is not a member of the North Atlantic Treaty Organization, to the extent, in the case of this </w:t>
      </w:r>
      <w:r>
        <w:rPr>
          <w:rFonts w:ascii="Times New Roman" w:hAnsi="Times New Roman"/>
          <w:sz w:val="20"/>
          <w:u w:val="single"/>
        </w:rPr>
        <w:t>clause (3)</w:t>
      </w:r>
      <w:r>
        <w:rPr>
          <w:rFonts w:ascii="Times New Roman" w:hAnsi="Times New Roman"/>
          <w:sz w:val="20"/>
        </w:rPr>
        <w:t xml:space="preserve">, such jurisdiction has been designated by the Borrower by written notice to the Administrative Agent and the Lenders (including by posting such notice to the Platform) not less than two (2) Business Days prior to the date of such assignment. The Administrative Agent shall not have any responsibility or liability to ascertain, monitor, determine or inquire as to whether any assignment complies with the terms of this </w:t>
      </w:r>
      <w:r>
        <w:rPr>
          <w:rFonts w:ascii="Times New Roman" w:hAnsi="Times New Roman"/>
          <w:sz w:val="20"/>
          <w:u w:val="single"/>
        </w:rPr>
        <w:t>clause (v)</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No Assignment to Natural Persons</w:t>
      </w:r>
      <w:r>
        <w:rPr>
          <w:rFonts w:ascii="Times New Roman" w:hAnsi="Times New Roman"/>
          <w:sz w:val="20"/>
        </w:rPr>
        <w:t xml:space="preserve">. No such assignment shall be made to a natural person (or a holding company, investment vehicle or trust for, or owned and operated for the primary benefit of, a natural person). </w:t>
      </w:r>
    </w:p>
    <w:p>
      <w:pPr>
        <w:pStyle w:val="TextBody"/>
        <w:spacing w:before="240" w:after="0"/>
        <w:jc w:val="left"/>
        <w:rPr>
          <w:rFonts w:ascii="Times New Roman" w:hAnsi="Times New Roman"/>
          <w:sz w:val="20"/>
        </w:rPr>
      </w:pPr>
      <w:r>
        <w:rPr>
          <w:rFonts w:ascii="Times New Roman" w:hAnsi="Times New Roman"/>
          <w:sz w:val="20"/>
        </w:rPr>
        <w:t xml:space="preserve">Subject to acceptance and recording thereof by the Administrative Agent pursuant to </w:t>
      </w:r>
      <w:r>
        <w:rPr>
          <w:rFonts w:ascii="Times New Roman" w:hAnsi="Times New Roman"/>
          <w:sz w:val="20"/>
          <w:u w:val="single"/>
        </w:rPr>
        <w:t>paragraph (c)</w:t>
      </w:r>
      <w:r>
        <w:rPr>
          <w:rFonts w:ascii="Times New Roman" w:hAnsi="Times New Roman"/>
          <w:sz w:val="20"/>
        </w:rPr>
        <w:t xml:space="preserve"> of this Section, from and after the recordation date specified in each Assignment and Assumption, the assignee thereunder shall be a party to this Credit Agreement and, to the extent of the interest assigned by such Assignment and Assumption, have the rights and obligations of a Lender under this Credit Agreement, and the assigning Lender thereunder shall, to the extent of the interest assigned by such Assignment and Assumption, be released from its obligations under this Credit Agreement (and, in the case of an Assignment and Assumption covering all of the assigning Lenders rights and obligations under this Credit Agreement, such Lender shall cease to be a party hereto) but shall continue to be entitled to the benefits of </w:t>
      </w:r>
      <w:r>
        <w:rPr>
          <w:rFonts w:ascii="Times New Roman" w:hAnsi="Times New Roman"/>
          <w:sz w:val="20"/>
          <w:u w:val="single"/>
        </w:rPr>
        <w:t>Section 3.5</w:t>
      </w:r>
      <w:r>
        <w:rPr>
          <w:rFonts w:ascii="Times New Roman" w:hAnsi="Times New Roman"/>
          <w:sz w:val="20"/>
        </w:rPr>
        <w:t xml:space="preserve"> and </w:t>
      </w:r>
      <w:r>
        <w:rPr>
          <w:rFonts w:ascii="Times New Roman" w:hAnsi="Times New Roman"/>
          <w:sz w:val="20"/>
          <w:u w:val="single"/>
        </w:rPr>
        <w:t>Section 10.3</w:t>
      </w:r>
      <w:r>
        <w:rPr>
          <w:rFonts w:ascii="Times New Roman" w:hAnsi="Times New Roman"/>
          <w:sz w:val="20"/>
        </w:rPr>
        <w:t xml:space="preserve"> with respect to facts and circumstances occurring prior to the effective date of such assignment. Any assignment or transfer by a Lender of rights or obligations under this Credit Agreement that does not comply with this paragraph shall be treated for purposes of this Credit Agreement as a sale by such Lender of a participation in such rights and obligations in accordance with </w:t>
      </w:r>
      <w:r>
        <w:rPr>
          <w:rFonts w:ascii="Times New Roman" w:hAnsi="Times New Roman"/>
          <w:sz w:val="20"/>
          <w:u w:val="single"/>
        </w:rPr>
        <w:t>paragraph (d)</w:t>
      </w:r>
      <w:r>
        <w:rPr>
          <w:rFonts w:ascii="Times New Roman" w:hAnsi="Times New Roman"/>
          <w:sz w:val="20"/>
        </w:rPr>
        <w:t xml:space="preserve"> of this Section.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Register</w:t>
      </w:r>
      <w:r>
        <w:rPr>
          <w:rFonts w:ascii="Times New Roman" w:hAnsi="Times New Roman"/>
          <w:sz w:val="20"/>
        </w:rPr>
        <w:t>. The Administrative Agent, acting solely for this purpose as a non-fiduciary agent of the Borrower, shall maintain a copy of each Assignment and Assumption delivered to it and a register for the recordation of the names and addresses of the applicable Lenders, and the applicable Commitments of, and principal amounts of the applicable Loans owing to, each Lender pursuant to the terms hereof from time to time (the </w:t>
      </w:r>
      <w:r>
        <w:rPr>
          <w:rFonts w:ascii="Times New Roman" w:hAnsi="Times New Roman"/>
          <w:sz w:val="20"/>
          <w:u w:val="single"/>
        </w:rPr>
        <w:t>Register</w:t>
      </w:r>
      <w:r>
        <w:rPr>
          <w:rFonts w:ascii="Times New Roman" w:hAnsi="Times New Roman"/>
          <w:sz w:val="20"/>
        </w:rPr>
        <w:t xml:space="preserve">). The entries in the Register shall be conclusive absent manifest error, and the Borrower, the Administrative Agent, and the applicable Lenders may treat each Person whose name is recorded in the Register pursuant to the terms hereof as a Lender hereunder for all purposes of this Credit Agreement, notwithstanding notice to the contrary. The Register shall be available for inspection by the Borrower and any Lender, at any reasonable time and from time to time upon reasonable prior written notice. </w:t>
      </w:r>
    </w:p>
    <w:p>
      <w:pPr>
        <w:pStyle w:val="TextBody"/>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Participations</w:t>
      </w:r>
      <w:r>
        <w:rPr>
          <w:rFonts w:ascii="Times New Roman" w:hAnsi="Times New Roman"/>
          <w:sz w:val="20"/>
        </w:rPr>
        <w:t xml:space="preserve">. Any Lender may at any time, without the consent of, or notice to, the Borrower, or the Administrative Agent, sell participations to any Person (other than (w) a natural person (or a holding company, investment vehicle or trust for, or owned and operated for the primary benefit of, a natural person), (x) the Borrower or any of the Borrowers Affiliates or Subsidiaries or (y) a Person who, at the time of such participation, is a Sanctioned Person if the sale of such participation would violate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- 102 -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Applicable Law) (each, a </w:t>
      </w:r>
      <w:r>
        <w:rPr>
          <w:rFonts w:ascii="Times New Roman" w:hAnsi="Times New Roman"/>
          <w:sz w:val="20"/>
          <w:u w:val="single"/>
        </w:rPr>
        <w:t>Participant</w:t>
      </w:r>
      <w:r>
        <w:rPr>
          <w:rFonts w:ascii="Times New Roman" w:hAnsi="Times New Roman"/>
          <w:sz w:val="20"/>
        </w:rPr>
        <w:t xml:space="preserve">) in all or a portion of such Lenders rights and/or obligations under this Credit Agreement; </w:t>
      </w:r>
      <w:r>
        <w:rPr>
          <w:rFonts w:ascii="Times New Roman" w:hAnsi="Times New Roman"/>
          <w:sz w:val="20"/>
          <w:u w:val="single"/>
        </w:rPr>
        <w:t>provided</w:t>
      </w:r>
      <w:r>
        <w:rPr>
          <w:rFonts w:ascii="Times New Roman" w:hAnsi="Times New Roman"/>
          <w:sz w:val="20"/>
        </w:rPr>
        <w:t xml:space="preserve"> that (i) such Lenders obligations under this Credit Agreement shall remain unchanged, (ii) such Lender shall remain solely responsible to the other parties hereto for the performance of such obligations and (iii) the Borrower, the Administrative Agent and each Credit Party shall continue to deal solely and directly with such Lender in connection with such Lenders rights and obligations under this Credit Agreement. </w:t>
      </w:r>
    </w:p>
    <w:p>
      <w:pPr>
        <w:pStyle w:val="TextBody"/>
        <w:spacing w:before="240" w:after="0"/>
        <w:jc w:val="left"/>
        <w:rPr>
          <w:rFonts w:ascii="Times New Roman" w:hAnsi="Times New Roman"/>
          <w:sz w:val="20"/>
        </w:rPr>
      </w:pPr>
      <w:r>
        <w:rPr>
          <w:rFonts w:ascii="Times New Roman" w:hAnsi="Times New Roman"/>
          <w:sz w:val="20"/>
        </w:rPr>
        <w:t xml:space="preserve">Any agreement or instrument pursuant to which a Lender sells such a participation shall provide that such Lender shall retain the sole right to enforce this Credit Agreement and to approve any amendment, modification or waiver of any provision of this Credit Agreement; </w:t>
      </w:r>
      <w:r>
        <w:rPr>
          <w:rFonts w:ascii="Times New Roman" w:hAnsi="Times New Roman"/>
          <w:sz w:val="20"/>
          <w:u w:val="single"/>
        </w:rPr>
        <w:t>provided</w:t>
      </w:r>
      <w:r>
        <w:rPr>
          <w:rFonts w:ascii="Times New Roman" w:hAnsi="Times New Roman"/>
          <w:sz w:val="20"/>
        </w:rPr>
        <w:t xml:space="preserve"> that such agreement or instrument may provide that such Lender will not, without the consent of the Participant, agree to any amendment, modification or waiver described in </w:t>
      </w:r>
      <w:r>
        <w:rPr>
          <w:rFonts w:ascii="Times New Roman" w:hAnsi="Times New Roman"/>
          <w:sz w:val="20"/>
          <w:u w:val="single"/>
        </w:rPr>
        <w:t>Section 10.2(b)</w:t>
      </w:r>
      <w:r>
        <w:rPr>
          <w:rFonts w:ascii="Times New Roman" w:hAnsi="Times New Roman"/>
          <w:sz w:val="20"/>
        </w:rPr>
        <w:t xml:space="preserve"> that affects such Participant. The Borrower agrees that each Participant shall be entitled to the benefits of </w:t>
      </w:r>
      <w:r>
        <w:rPr>
          <w:rFonts w:ascii="Times New Roman" w:hAnsi="Times New Roman"/>
          <w:sz w:val="20"/>
          <w:u w:val="single"/>
        </w:rPr>
        <w:t>Sections 3.4</w:t>
      </w:r>
      <w:r>
        <w:rPr>
          <w:rFonts w:ascii="Times New Roman" w:hAnsi="Times New Roman"/>
          <w:sz w:val="20"/>
        </w:rPr>
        <w:t xml:space="preserve">, </w:t>
      </w:r>
      <w:r>
        <w:rPr>
          <w:rFonts w:ascii="Times New Roman" w:hAnsi="Times New Roman"/>
          <w:sz w:val="20"/>
          <w:u w:val="single"/>
        </w:rPr>
        <w:t>3.5</w:t>
      </w:r>
      <w:r>
        <w:rPr>
          <w:rFonts w:ascii="Times New Roman" w:hAnsi="Times New Roman"/>
          <w:sz w:val="20"/>
        </w:rPr>
        <w:t xml:space="preserve"> and </w:t>
      </w:r>
      <w:r>
        <w:rPr>
          <w:rFonts w:ascii="Times New Roman" w:hAnsi="Times New Roman"/>
          <w:sz w:val="20"/>
          <w:u w:val="single"/>
        </w:rPr>
        <w:t>3.6</w:t>
      </w:r>
      <w:r>
        <w:rPr>
          <w:rFonts w:ascii="Times New Roman" w:hAnsi="Times New Roman"/>
          <w:sz w:val="20"/>
        </w:rPr>
        <w:t xml:space="preserve"> (subject to the requirements and limitations therein, including the requirements under </w:t>
      </w:r>
      <w:r>
        <w:rPr>
          <w:rFonts w:ascii="Times New Roman" w:hAnsi="Times New Roman"/>
          <w:sz w:val="20"/>
          <w:u w:val="single"/>
        </w:rPr>
        <w:t>Section 3.6</w:t>
      </w:r>
      <w:r>
        <w:rPr>
          <w:rFonts w:ascii="Times New Roman" w:hAnsi="Times New Roman"/>
          <w:sz w:val="20"/>
        </w:rPr>
        <w:t xml:space="preserve"> (it being understood that the documentation required under </w:t>
      </w:r>
      <w:r>
        <w:rPr>
          <w:rFonts w:ascii="Times New Roman" w:hAnsi="Times New Roman"/>
          <w:sz w:val="20"/>
          <w:u w:val="single"/>
        </w:rPr>
        <w:t>Section 3.6(g)</w:t>
      </w:r>
      <w:r>
        <w:rPr>
          <w:rFonts w:ascii="Times New Roman" w:hAnsi="Times New Roman"/>
          <w:sz w:val="20"/>
        </w:rPr>
        <w:t xml:space="preserve"> shall be delivered to the participating Lender)) to the same extent as if it were a Lender and had acquired its interest by assignment pursuant to paragraph (b) of this Section; </w:t>
      </w:r>
      <w:r>
        <w:rPr>
          <w:rFonts w:ascii="Times New Roman" w:hAnsi="Times New Roman"/>
          <w:sz w:val="20"/>
          <w:u w:val="single"/>
        </w:rPr>
        <w:t>provided</w:t>
      </w:r>
      <w:r>
        <w:rPr>
          <w:rFonts w:ascii="Times New Roman" w:hAnsi="Times New Roman"/>
          <w:sz w:val="20"/>
        </w:rPr>
        <w:t xml:space="preserve"> that such Participant shall not be entitled to receive any greater payment under </w:t>
      </w:r>
      <w:r>
        <w:rPr>
          <w:rFonts w:ascii="Times New Roman" w:hAnsi="Times New Roman"/>
          <w:sz w:val="20"/>
          <w:u w:val="single"/>
        </w:rPr>
        <w:t>Sections 3.4</w:t>
      </w:r>
      <w:r>
        <w:rPr>
          <w:rFonts w:ascii="Times New Roman" w:hAnsi="Times New Roman"/>
          <w:sz w:val="20"/>
        </w:rPr>
        <w:t xml:space="preserve"> or </w:t>
      </w:r>
      <w:r>
        <w:rPr>
          <w:rFonts w:ascii="Times New Roman" w:hAnsi="Times New Roman"/>
          <w:sz w:val="20"/>
          <w:u w:val="single"/>
        </w:rPr>
        <w:t>3.6</w:t>
      </w:r>
      <w:r>
        <w:rPr>
          <w:rFonts w:ascii="Times New Roman" w:hAnsi="Times New Roman"/>
          <w:sz w:val="20"/>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w:t>
      </w:r>
      <w:r>
        <w:rPr>
          <w:rFonts w:ascii="Times New Roman" w:hAnsi="Times New Roman"/>
          <w:sz w:val="20"/>
          <w:u w:val="single"/>
        </w:rPr>
        <w:t>Section 10.9</w:t>
      </w:r>
      <w:r>
        <w:rPr>
          <w:rFonts w:ascii="Times New Roman" w:hAnsi="Times New Roman"/>
          <w:sz w:val="20"/>
        </w:rPr>
        <w:t xml:space="preserve"> as though it were a Lender; </w:t>
      </w:r>
      <w:r>
        <w:rPr>
          <w:rFonts w:ascii="Times New Roman" w:hAnsi="Times New Roman"/>
          <w:sz w:val="20"/>
          <w:u w:val="single"/>
        </w:rPr>
        <w:t>provided</w:t>
      </w:r>
      <w:r>
        <w:rPr>
          <w:rFonts w:ascii="Times New Roman" w:hAnsi="Times New Roman"/>
          <w:sz w:val="20"/>
        </w:rPr>
        <w:t xml:space="preserve"> that such Participant agrees to be subject to </w:t>
      </w:r>
      <w:r>
        <w:rPr>
          <w:rFonts w:ascii="Times New Roman" w:hAnsi="Times New Roman"/>
          <w:sz w:val="20"/>
          <w:u w:val="single"/>
        </w:rPr>
        <w:t>Section 2.8(h)</w:t>
      </w:r>
      <w:r>
        <w:rPr>
          <w:rFonts w:ascii="Times New Roman" w:hAnsi="Times New Roman"/>
          <w:sz w:val="20"/>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hAnsi="Times New Roman"/>
          <w:sz w:val="20"/>
          <w:u w:val="single"/>
        </w:rPr>
        <w:t>Participant Register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Credit Agreement notwithstanding any notice to the contrary. For the avoidance of doubt, the Administrative Agent (in its capacity as Administrative Agent) shall have no responsibility for maintaining a Participant Register. </w:t>
      </w:r>
    </w:p>
    <w:p>
      <w:pPr>
        <w:pStyle w:val="TextBody"/>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Certain Pledges</w:t>
      </w:r>
      <w:r>
        <w:rPr>
          <w:rFonts w:ascii="Times New Roman" w:hAnsi="Times New Roman"/>
          <w:sz w:val="20"/>
        </w:rPr>
        <w:t xml:space="preserve">. Any Lender may at any time pledge or assign a security interest in all or any portion of its rights under this Credit Agreement and the Loan Documents to secure obligations of such Lender, including any pledge or assignment to secure obligations to a Federal Reserve Bank; </w:t>
      </w:r>
      <w:r>
        <w:rPr>
          <w:rFonts w:ascii="Times New Roman" w:hAnsi="Times New Roman"/>
          <w:sz w:val="20"/>
          <w:u w:val="single"/>
        </w:rPr>
        <w:t>provided</w:t>
      </w:r>
      <w:r>
        <w:rPr>
          <w:rFonts w:ascii="Times New Roman" w:hAnsi="Times New Roman"/>
          <w:sz w:val="20"/>
        </w:rPr>
        <w:t xml:space="preserve"> that no such pledge or assignment shall release such Lender from any of its obligations hereunder or substitute any such pledgee or assignee for such Lender as a party hereto. </w:t>
      </w:r>
    </w:p>
    <w:p>
      <w:pPr>
        <w:pStyle w:val="TextBody"/>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Disqualified Institutions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(i) No assignment or participation shall be made to any Person that was a Disqualified Institution as of the date (the </w:t>
      </w:r>
      <w:r>
        <w:rPr>
          <w:rFonts w:ascii="Times New Roman" w:hAnsi="Times New Roman"/>
          <w:sz w:val="20"/>
          <w:u w:val="single"/>
        </w:rPr>
        <w:t>Trade Date</w:t>
      </w:r>
      <w:r>
        <w:rPr>
          <w:rFonts w:ascii="Times New Roman" w:hAnsi="Times New Roman"/>
          <w:sz w:val="20"/>
        </w:rPr>
        <w:t xml:space="preserve">) on which the assigning Lender entered into a binding agreement to sell and assign or participate all or a portion of its rights and obligations under this Agreement to such Person (unless the Borrower has consented to such assignment or participation in writing in its sole and absolute discretion, in which case such Person will not be considered a Disqualified Institution for the purpose of such assignment or participation). For the avoidance of doubt, with respect to any assignee that becomes a Disqualified Institution after the applicable Trade Date (including as a result of the delivery of a notice pursuant to, or the expiration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- 103 -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of the notice period referred to in, the definition of Disqualified Institution), (x) such assignee shall not retroactively be disqualified from becoming a Lender and (y) the execution by the Borrower of an Assignment and Assumption with respect to such assignee will not by itself result in such assignee no longer being considered a Disqualified Institution. Any assignment or participation in violation of this </w:t>
      </w:r>
      <w:r>
        <w:rPr>
          <w:rFonts w:ascii="Times New Roman" w:hAnsi="Times New Roman"/>
          <w:sz w:val="20"/>
          <w:u w:val="single"/>
        </w:rPr>
        <w:t>clause (f)(i)</w:t>
      </w:r>
      <w:r>
        <w:rPr>
          <w:rFonts w:ascii="Times New Roman" w:hAnsi="Times New Roman"/>
          <w:sz w:val="20"/>
        </w:rPr>
        <w:t xml:space="preserve"> shall be void. </w:t>
      </w:r>
    </w:p>
    <w:p>
      <w:pPr>
        <w:pStyle w:val="TextBody"/>
        <w:spacing w:before="120" w:after="0"/>
        <w:jc w:val="left"/>
        <w:rPr>
          <w:rFonts w:ascii="Times New Roman" w:hAnsi="Times New Roman"/>
          <w:sz w:val="20"/>
        </w:rPr>
      </w:pPr>
      <w:r>
        <w:rPr>
          <w:rFonts w:ascii="Times New Roman" w:hAnsi="Times New Roman"/>
          <w:sz w:val="20"/>
        </w:rPr>
        <w:t xml:space="preserve">(ii) The Administrative Agent shall, and the Borrower hereby expressly authorizes the Administrative Agent, to (A) post the list of Disqualified Institutions provided by the Borrower and any updates thereto from time to time on the Platform, including that portion of the Platform that is designated for public side Lenders or (B) provide such list to each Lender requesting the same. </w:t>
      </w:r>
    </w:p>
    <w:p>
      <w:pPr>
        <w:pStyle w:val="TextBody"/>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Equitably Subordinated Parties</w:t>
      </w:r>
      <w:r>
        <w:rPr>
          <w:rFonts w:ascii="Times New Roman" w:hAnsi="Times New Roman"/>
          <w:sz w:val="20"/>
        </w:rPr>
        <w:t xml:space="preserve">(a) . In this </w:t>
      </w:r>
      <w:r>
        <w:rPr>
          <w:rFonts w:ascii="Times New Roman" w:hAnsi="Times New Roman"/>
          <w:sz w:val="20"/>
          <w:u w:val="single"/>
        </w:rPr>
        <w:t>Section 10.5</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Equitably Subordinated Party</w:t>
      </w:r>
      <w:r>
        <w:rPr>
          <w:rFonts w:ascii="Times New Roman" w:hAnsi="Times New Roman"/>
          <w:sz w:val="20"/>
        </w:rPr>
        <w:t> means any Secured Party whose commitments in relation to the Secured Obligations, any other participation rights (including by way of sub-participation) or any other rights and claims under the Loan Documents against a Loan Party or a security grantor incorporated or established under the laws of Germany which, prior to or in an insolvency of such Loan Party or security grantor, would be subordinated or could be subject to potential avoidance claims pursuant to section 39 para. 1 no. 5, section 39 para. 2 or section 135 of the German Insolvency Code (</w:t>
      </w:r>
      <w:r>
        <w:rPr>
          <w:rFonts w:ascii="Times New Roman" w:hAnsi="Times New Roman"/>
          <w:i/>
          <w:sz w:val="20"/>
        </w:rPr>
        <w:t>Insolvenzordnung</w:t>
      </w:r>
      <w:r>
        <w:rPr>
          <w:rFonts w:ascii="Times New Roman" w:hAnsi="Times New Roman"/>
          <w:sz w:val="20"/>
        </w:rPr>
        <w:t>) or section 6 of the German Avoidance Act (</w:t>
      </w:r>
      <w:r>
        <w:rPr>
          <w:rFonts w:ascii="Times New Roman" w:hAnsi="Times New Roman"/>
          <w:i/>
          <w:sz w:val="20"/>
        </w:rPr>
        <w:t>Anfechtungsgesetz</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Equitably Subordinated Liabilities</w:t>
      </w:r>
      <w:r>
        <w:rPr>
          <w:rFonts w:ascii="Times New Roman" w:hAnsi="Times New Roman"/>
          <w:sz w:val="20"/>
        </w:rPr>
        <w:t xml:space="preserve"> means the Secured Obligations owed to an Equitably Subordinated Party. </w:t>
      </w:r>
    </w:p>
    <w:p>
      <w:pPr>
        <w:pStyle w:val="TextBody"/>
        <w:spacing w:before="240" w:after="0"/>
        <w:jc w:val="left"/>
        <w:rPr>
          <w:rFonts w:ascii="Times New Roman" w:hAnsi="Times New Roman"/>
          <w:sz w:val="20"/>
        </w:rPr>
      </w:pPr>
      <w:r>
        <w:rPr>
          <w:rFonts w:ascii="Times New Roman" w:hAnsi="Times New Roman"/>
          <w:sz w:val="20"/>
        </w:rPr>
        <w:t xml:space="preserve">(b) To the extent that the recoveries held by the Administrative Agent are insufficient to discharge the Secured Obligations owed to all the creditors in any priority class and this is due to any Equitably Subordinated Party being part of that class of creditors, the amount to be applied by the Administrative Agent in discharge of the liabilities of that class of creditors shall be distributed to the other creditors of that class and the Equitably Subordinated Party shall not be entitled to receive any part of that amount. </w:t>
      </w:r>
    </w:p>
    <w:p>
      <w:pPr>
        <w:pStyle w:val="TextBody"/>
        <w:spacing w:before="240" w:after="0"/>
        <w:jc w:val="left"/>
        <w:rPr>
          <w:rFonts w:ascii="Times New Roman" w:hAnsi="Times New Roman"/>
          <w:sz w:val="20"/>
        </w:rPr>
      </w:pPr>
      <w:r>
        <w:rPr>
          <w:rFonts w:ascii="Times New Roman" w:hAnsi="Times New Roman"/>
          <w:sz w:val="20"/>
        </w:rPr>
        <w:t xml:space="preserve">(c) An Equitably Subordinated Party shall not have the benefit, but only the obligations, of any sharing provisions under the Loan Documents and shall not be entitled to receive any payment, and the Administrative Agent shall not be required to make any payment to the Equitably Subordinated Party, under or in connection with the Loan Documents in respect of any Equitably Subordinated Liabilities. </w:t>
      </w:r>
    </w:p>
    <w:p>
      <w:pPr>
        <w:pStyle w:val="TextBody"/>
        <w:spacing w:before="240" w:after="0"/>
        <w:jc w:val="left"/>
        <w:rPr>
          <w:rFonts w:ascii="Times New Roman" w:hAnsi="Times New Roman"/>
          <w:sz w:val="20"/>
        </w:rPr>
      </w:pPr>
      <w:r>
        <w:rPr>
          <w:rFonts w:ascii="Times New Roman" w:hAnsi="Times New Roman"/>
          <w:sz w:val="20"/>
        </w:rPr>
        <w:t>(d) To the extent that any Equitably Subordinated Liabilities would result in the subordination of the Secured Obligations towards any (other) Claimholder under any Loan Document pursuant to section 39 para. 1 no. 5 of the German Insolvency Code (</w:t>
      </w:r>
      <w:r>
        <w:rPr>
          <w:rFonts w:ascii="Times New Roman" w:hAnsi="Times New Roman"/>
          <w:i/>
          <w:sz w:val="20"/>
        </w:rPr>
        <w:t>Insolvenzordnung</w:t>
      </w:r>
      <w:r>
        <w:rPr>
          <w:rFonts w:ascii="Times New Roman" w:hAnsi="Times New Roman"/>
          <w:sz w:val="20"/>
        </w:rPr>
        <w:t xml:space="preserve">) or prejudice the validity or enforceability of any Collateral or guarantee and/or indemnity provided to any creditor pursuant to the Loan Documents in any way the relevant Equitably Subordinated Party shall be deemed not to be a Secured Party under any Collateral Document and shall not benefit from the guarantee and/or indemnity. </w:t>
      </w:r>
    </w:p>
    <w:p>
      <w:pPr>
        <w:pStyle w:val="TextBody"/>
        <w:spacing w:before="240" w:after="0"/>
        <w:jc w:val="left"/>
        <w:rPr>
          <w:rFonts w:ascii="Times New Roman" w:hAnsi="Times New Roman"/>
          <w:sz w:val="20"/>
        </w:rPr>
      </w:pPr>
      <w:r>
        <w:rPr>
          <w:rFonts w:ascii="Times New Roman" w:hAnsi="Times New Roman"/>
          <w:sz w:val="20"/>
        </w:rPr>
        <w:t xml:space="preserve">(e) Each Equitably Subordinated Party agrees that to the extent and for so long as its Commitment, participation or sub-participation or other agreement or arrangement relating to a Commitment, including following the assignment of a Commitment, could result in the subordination of claims of any other Lender pursuant to any law regarding the subordination of shareholder loans or prejudice or adversely affect the Collateral or guarantee and indemnity under the Guaranty Agreement (or their enforceability) in any way, the relevant Equitably Subordinated Party shall not be a secured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- 104 -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guaranteed party (however described) under and for the purposes of any Loan Document and no amount owing to it under any Loan Document shall be secured by the Collateral Documents (unless the subordination ceases to apply or subsequently or at the same time applies to the Lenders generally (other than where such subordination of the Lenders generally is caused by an assignment of a Commitment by a Equitably Subordinated Party)). </w:t>
      </w:r>
    </w:p>
    <w:p>
      <w:pPr>
        <w:pStyle w:val="TextBody"/>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Survival</w:t>
      </w:r>
      <w:r>
        <w:rPr>
          <w:rFonts w:ascii="Times New Roman" w:hAnsi="Times New Roman"/>
          <w:sz w:val="20"/>
        </w:rPr>
        <w:t xml:space="preserve">. All covenants, agreements, representations and warranties made by the Borrower herein and in the certificates or other instruments prepared or delivered in connection with or pursuant to this Credit Agreement or any other Loan Document shall be considered to have been relied upon by the other parties hereto and shall survive the execution and delivery of any Loan Document and the making of any Loans, regardless of any investigation made by any such other party or on its behalf and notwithstanding that any Credit Party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the Loan Documents is outstanding and unpaid. The provisions of </w:t>
      </w:r>
      <w:r>
        <w:rPr>
          <w:rFonts w:ascii="Times New Roman" w:hAnsi="Times New Roman"/>
          <w:sz w:val="20"/>
          <w:u w:val="single"/>
        </w:rPr>
        <w:t>Sections 3.4</w:t>
      </w:r>
      <w:r>
        <w:rPr>
          <w:rFonts w:ascii="Times New Roman" w:hAnsi="Times New Roman"/>
          <w:sz w:val="20"/>
        </w:rPr>
        <w:t xml:space="preserve">, </w:t>
      </w:r>
      <w:r>
        <w:rPr>
          <w:rFonts w:ascii="Times New Roman" w:hAnsi="Times New Roman"/>
          <w:sz w:val="20"/>
          <w:u w:val="single"/>
        </w:rPr>
        <w:t>3.5</w:t>
      </w:r>
      <w:r>
        <w:rPr>
          <w:rFonts w:ascii="Times New Roman" w:hAnsi="Times New Roman"/>
          <w:sz w:val="20"/>
        </w:rPr>
        <w:t xml:space="preserve">, </w:t>
      </w:r>
      <w:r>
        <w:rPr>
          <w:rFonts w:ascii="Times New Roman" w:hAnsi="Times New Roman"/>
          <w:sz w:val="20"/>
          <w:u w:val="single"/>
        </w:rPr>
        <w:t>3.6</w:t>
      </w:r>
      <w:r>
        <w:rPr>
          <w:rFonts w:ascii="Times New Roman" w:hAnsi="Times New Roman"/>
          <w:sz w:val="20"/>
        </w:rPr>
        <w:t xml:space="preserve">, </w:t>
      </w:r>
      <w:r>
        <w:rPr>
          <w:rFonts w:ascii="Times New Roman" w:hAnsi="Times New Roman"/>
          <w:sz w:val="20"/>
          <w:u w:val="single"/>
        </w:rPr>
        <w:t>10.3</w:t>
      </w:r>
      <w:r>
        <w:rPr>
          <w:rFonts w:ascii="Times New Roman" w:hAnsi="Times New Roman"/>
          <w:sz w:val="20"/>
        </w:rPr>
        <w:t xml:space="preserve">, </w:t>
      </w:r>
      <w:r>
        <w:rPr>
          <w:rFonts w:ascii="Times New Roman" w:hAnsi="Times New Roman"/>
          <w:sz w:val="20"/>
          <w:u w:val="single"/>
        </w:rPr>
        <w:t>10.10</w:t>
      </w:r>
      <w:r>
        <w:rPr>
          <w:rFonts w:ascii="Times New Roman" w:hAnsi="Times New Roman"/>
          <w:sz w:val="20"/>
        </w:rPr>
        <w:t xml:space="preserve">, </w:t>
      </w:r>
      <w:r>
        <w:rPr>
          <w:rFonts w:ascii="Times New Roman" w:hAnsi="Times New Roman"/>
          <w:sz w:val="20"/>
          <w:u w:val="single"/>
        </w:rPr>
        <w:t>10.11</w:t>
      </w:r>
      <w:r>
        <w:rPr>
          <w:rFonts w:ascii="Times New Roman" w:hAnsi="Times New Roman"/>
          <w:sz w:val="20"/>
        </w:rPr>
        <w:t xml:space="preserve"> and </w:t>
      </w:r>
      <w:r>
        <w:rPr>
          <w:rFonts w:ascii="Times New Roman" w:hAnsi="Times New Roman"/>
          <w:sz w:val="20"/>
          <w:u w:val="single"/>
        </w:rPr>
        <w:t>10.15</w:t>
      </w:r>
      <w:r>
        <w:rPr>
          <w:rFonts w:ascii="Times New Roman" w:hAnsi="Times New Roman"/>
          <w:sz w:val="20"/>
        </w:rPr>
        <w:t xml:space="preserve"> and </w:t>
      </w:r>
      <w:r>
        <w:rPr>
          <w:rFonts w:ascii="Times New Roman" w:hAnsi="Times New Roman"/>
          <w:sz w:val="20"/>
          <w:u w:val="single"/>
        </w:rPr>
        <w:t>Article 9</w:t>
      </w:r>
      <w:r>
        <w:rPr>
          <w:rFonts w:ascii="Times New Roman" w:hAnsi="Times New Roman"/>
          <w:sz w:val="20"/>
        </w:rPr>
        <w:t xml:space="preserve"> shall survive and remain in full force and effect regardless of the consummation of the transactions contemplated hereby, the Termination Date or the resignation or removal of the Administrative Agent. </w:t>
      </w:r>
    </w:p>
    <w:p>
      <w:pPr>
        <w:pStyle w:val="TextBody"/>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Counterparts; Integration; Effectiveness; Electronic Execution; Entire Agreement</w:t>
      </w:r>
      <w:r>
        <w:rPr>
          <w:rFonts w:ascii="Times New Roman" w:hAnsi="Times New Roman"/>
          <w:sz w:val="20"/>
        </w:rPr>
        <w:t xml:space="preserve">. This Credit Agreement may be executed in one or more counterparts, each of which shall be deemed an original, but all of which together shall constitute one and the same instrument. Except as provided in </w:t>
      </w:r>
      <w:r>
        <w:rPr>
          <w:rFonts w:ascii="Times New Roman" w:hAnsi="Times New Roman"/>
          <w:sz w:val="20"/>
          <w:u w:val="single"/>
        </w:rPr>
        <w:t>Section 4.1</w:t>
      </w:r>
      <w:r>
        <w:rPr>
          <w:rFonts w:ascii="Times New Roman" w:hAnsi="Times New Roman"/>
          <w:sz w:val="20"/>
        </w:rPr>
        <w:t xml:space="preserve">, this Credit Agreement shall become effective when it shall have been executed by the Administrative Agent and when the Administrative Agent shall have received counterparts hereof that, when taken together, bear the signatures of each of the other parties hereto. Delivery of an executed signature page counterpart hereof by telecopy, emailed .pdf or any other electronic means that reproduces an image of the actual executed signature page shall be effective as delivery of a manually executed counterpart hereof. The words execution, signed, signature, delivery, and words of like import in or relating to any document to be signed in connection with this Credit Agreement and the transactions contemplated hereby shall be deemed to include electronic signatures, the electronic association of signatures and records on electronic platforms,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any other similar state laws based on the Uniform Electronic Transactions Act or the Uniform Commercial Code, each as amended, and the parties hereto hereby waive any objection to the contrary; </w:t>
      </w:r>
      <w:r>
        <w:rPr>
          <w:rFonts w:ascii="Times New Roman" w:hAnsi="Times New Roman"/>
          <w:sz w:val="20"/>
          <w:u w:val="single"/>
        </w:rPr>
        <w:t>provided</w:t>
      </w:r>
      <w:r>
        <w:rPr>
          <w:rFonts w:ascii="Times New Roman" w:hAnsi="Times New Roman"/>
          <w:sz w:val="20"/>
        </w:rPr>
        <w:t xml:space="preserve"> that (x) nothing herein shall require the Administrative Agent to accept electronic signature counterparts in any form or format and (y) the Administrative Agent reserves the right to require, at any time and at its sole discretion, the delivery of manually executed counterpart signature pages to any Loan Document and the parties hereto agree to promptly deliver such manually executed counterpart signature pages. This Credit Agreement and the other Loan Documents, and any separate letter agreements with respect to fees payable to Administrative Agent or any Lender, constitute the entire contract among the parties relating to the subject matter hereof and supersede any and all previous agreements and understandings, oral or written, relating to the subject matter hereof. </w:t>
      </w:r>
    </w:p>
    <w:p>
      <w:pPr>
        <w:pStyle w:val="TextBody"/>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Severability</w:t>
      </w:r>
      <w:r>
        <w:rPr>
          <w:rFonts w:ascii="Times New Roman" w:hAnsi="Times New Roman"/>
          <w:sz w:val="20"/>
        </w:rPr>
        <w:t xml:space="preserve">. In the event any one or more of the provisions contained in this Credit Agreement should be held invalid, illegal or unenforceable in any respect, the validity, legality and enforceability of the remaining provisions contained 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 faith negotiations to replace the invalid, illegal or unenforceable provisions with valid provisions the economic effect of which comes as close as possible to that of the invalid, illegal or unenforceable provisions.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- 105 -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Setoff</w:t>
      </w:r>
      <w:r>
        <w:rPr>
          <w:rFonts w:ascii="Times New Roman" w:hAnsi="Times New Roman"/>
          <w:sz w:val="20"/>
        </w:rPr>
        <w:t xml:space="preserve">. If an Event of Default shall have occurred and be continuing, each Credit Party and each of their respective branches and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Credit Party or any such branch or Affiliate to or for the credit or the account of any Loan Party or any of its Subsidiaries against any and all of the obligations of such Loan Party or such Subsidiary now or hereafter existing under this Credit Agreement or any other Loan Document to such Credit Party or such branch or Affiliate, irrespective of whether or not such Credit Party, branch or Affiliate shall have made any demand under this Credit Agreement or any other Loan Document and although such obligations of such Loan Party or Subsidiary may be contingent or unmatured or are owed to a branch, office or Affiliate of such Credit Party different from the branch, office or Affiliate holding such deposit or obligated on such indebtedness. The rights of each Credit Party and its branches and Affiliates under this Section are in addition to other rights and remedies (including other rights of setoff) that such Credit Party and its branches and Affiliates may have. Each Credit Party agrees to notify the Borrower and the Administrative Agent promptly after any such setoff and application; </w:t>
      </w:r>
      <w:r>
        <w:rPr>
          <w:rFonts w:ascii="Times New Roman" w:hAnsi="Times New Roman"/>
          <w:sz w:val="20"/>
          <w:u w:val="single"/>
        </w:rPr>
        <w:t>provided</w:t>
      </w:r>
      <w:r>
        <w:rPr>
          <w:rFonts w:ascii="Times New Roman" w:hAnsi="Times New Roman"/>
          <w:sz w:val="20"/>
        </w:rPr>
        <w:t xml:space="preserve"> that the failure to give such notice shall not affect the validity of such setoff and application. </w:t>
      </w:r>
    </w:p>
    <w:p>
      <w:pPr>
        <w:pStyle w:val="TextBody"/>
        <w:spacing w:before="240" w:after="0"/>
        <w:jc w:val="left"/>
        <w:rPr>
          <w:rFonts w:ascii="Times New Roman" w:hAnsi="Times New Roman"/>
          <w:sz w:val="20"/>
        </w:rPr>
      </w:pPr>
      <w:r>
        <w:rPr>
          <w:rFonts w:ascii="Times New Roman" w:hAnsi="Times New Roman"/>
          <w:sz w:val="20"/>
        </w:rPr>
        <w:t xml:space="preserve">Section 10.10 </w:t>
      </w:r>
      <w:r>
        <w:rPr>
          <w:rFonts w:ascii="Times New Roman" w:hAnsi="Times New Roman"/>
          <w:sz w:val="20"/>
          <w:u w:val="single"/>
        </w:rPr>
        <w:t>Governing Law; Jurisdiction; Consent to Service of Process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Governing Law</w:t>
      </w:r>
      <w:r>
        <w:rPr>
          <w:rFonts w:ascii="Times New Roman" w:hAnsi="Times New Roman"/>
          <w:sz w:val="20"/>
        </w:rPr>
        <w:t xml:space="preserve">. This Credit Agreement shall be governed by, and construed in accordance with, the laws of the State of New York.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Submission to Jurisdiction</w:t>
      </w:r>
      <w:r>
        <w:rPr>
          <w:rFonts w:ascii="Times New Roman" w:hAnsi="Times New Roman"/>
          <w:sz w:val="20"/>
        </w:rPr>
        <w:t xml:space="preserve">. Each of the parties hereto irrevocably and unconditionally submits, for itself and its property, to the exclusive jurisdiction of the courts of the State of New York sitting in New York County and of the United States District Court of the for the Southern District of New York sitting in New York County and any appellate court from any thereof, in any action or proceeding arising out of or relating to this Credit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Credit Agreement or in any other Loan Document shall affect any right that any Credit Party may otherwise have to bring any action or proceeding relating to this Credit Agreement or any other Loan Document against the Borrower or any other Loan Party or its properties in the courts of any jurisdiction.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Waiver of Objection to Venue</w:t>
      </w:r>
      <w:r>
        <w:rPr>
          <w:rFonts w:ascii="Times New Roman" w:hAnsi="Times New Roman"/>
          <w:sz w:val="20"/>
        </w:rPr>
        <w:t xml:space="preserve">. Each of the parties hereto irrevocably and unconditionally waives, to the fullest extent permitted by Applicable Law, any objection that it may now or hereafter have to the laying of venue of any action or proceeding arising out of or relating to this Credit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 </w:t>
      </w:r>
    </w:p>
    <w:p>
      <w:pPr>
        <w:pStyle w:val="TextBody"/>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Service of Process</w:t>
      </w:r>
      <w:r>
        <w:rPr>
          <w:rFonts w:ascii="Times New Roman" w:hAnsi="Times New Roman"/>
          <w:sz w:val="20"/>
        </w:rPr>
        <w:t xml:space="preserve">. Each of the parties hereto irrevocably consents to service of process in the manner provided for notices in </w:t>
      </w:r>
      <w:r>
        <w:rPr>
          <w:rFonts w:ascii="Times New Roman" w:hAnsi="Times New Roman"/>
          <w:sz w:val="20"/>
          <w:u w:val="single"/>
        </w:rPr>
        <w:t>Section 10.1</w:t>
      </w:r>
      <w:r>
        <w:rPr>
          <w:rFonts w:ascii="Times New Roman" w:hAnsi="Times New Roman"/>
          <w:sz w:val="20"/>
        </w:rPr>
        <w:t xml:space="preserve">. Nothing in this Credit Agreement will affect the right of any party to this Credit Agreement to serve process in any other manner permitted by Applicable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- 106 -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10.11 </w:t>
      </w:r>
      <w:r>
        <w:rPr>
          <w:rFonts w:ascii="Times New Roman" w:hAnsi="Times New Roman"/>
          <w:sz w:val="20"/>
          <w:u w:val="single"/>
        </w:rPr>
        <w:t>WAIVER OF JURY TRIAL</w:t>
      </w:r>
      <w:r>
        <w:rPr>
          <w:rFonts w:ascii="Times New Roman" w:hAnsi="Times New Roman"/>
          <w:sz w:val="20"/>
        </w:rPr>
        <w:t xml:space="preserve">. EACH PARTY HERETO HEREBY IRREVOCABLY WAIVES, TO THE FULLEST EXTENT PERMITTED BY APPLICABLE LAW, ANY RIGHT IT MAY HAVE TO A TRIAL BY JURY IN ANY LEGAL PROCEEDING DIRECTLY OR INDIRECTLY ARISING OUT OF OR RELATING TO THIS CREDIT AGREEMENT OR ANY OTHER LOAN DOCUMENT OR THE TRANSACTIONS CONTEMPLATED HEREBY OR THEREBY (WHETHER BASED ON CONTRACT, TORT OR ANY OTHER THEORY). EACH PARTY HERETO HEREBY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CREDIT AGREEMENT AND THE OTHER LOAN DOCUMENTS BY, AMONG OTHER THINGS, THE MUTUAL WAIVERS AND CERTIFICATIONS IN THIS SECTION. </w:t>
      </w:r>
    </w:p>
    <w:p>
      <w:pPr>
        <w:pStyle w:val="TextBody"/>
        <w:spacing w:before="240" w:after="0"/>
        <w:jc w:val="left"/>
        <w:rPr>
          <w:rFonts w:ascii="Times New Roman" w:hAnsi="Times New Roman"/>
          <w:sz w:val="20"/>
        </w:rPr>
      </w:pPr>
      <w:r>
        <w:rPr>
          <w:rFonts w:ascii="Times New Roman" w:hAnsi="Times New Roman"/>
          <w:sz w:val="20"/>
        </w:rPr>
        <w:t xml:space="preserve">Section 10.12 </w:t>
      </w:r>
      <w:r>
        <w:rPr>
          <w:rFonts w:ascii="Times New Roman" w:hAnsi="Times New Roman"/>
          <w:sz w:val="20"/>
          <w:u w:val="single"/>
        </w:rPr>
        <w:t>Payments Set Aside</w:t>
      </w:r>
      <w:r>
        <w:rPr>
          <w:rFonts w:ascii="Times New Roman" w:hAnsi="Times New Roman"/>
          <w:sz w:val="20"/>
        </w:rPr>
        <w:t xml:space="preserve">.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Fraudulent Transfer Law,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the Administrative Agent, </w:t>
      </w:r>
      <w:r>
        <w:rPr>
          <w:rFonts w:ascii="Times New Roman" w:hAnsi="Times New Roman"/>
          <w:sz w:val="20"/>
          <w:u w:val="single"/>
        </w:rPr>
        <w:t>plus</w:t>
      </w:r>
      <w:r>
        <w:rPr>
          <w:rFonts w:ascii="Times New Roman" w:hAnsi="Times New Roman"/>
          <w:sz w:val="20"/>
        </w:rPr>
        <w:t xml:space="preserve"> interest thereon from the date of such demand to the date such payment is made at a rate per annum equal to the greater of the Federal Funds Rate from time to time in effect and a rate determined by the Administrative Agent in accordance with banking industry rules on interbank compensation. </w:t>
      </w:r>
    </w:p>
    <w:p>
      <w:pPr>
        <w:pStyle w:val="TextBody"/>
        <w:spacing w:before="240" w:after="0"/>
        <w:jc w:val="left"/>
        <w:rPr>
          <w:rFonts w:ascii="Times New Roman" w:hAnsi="Times New Roman"/>
          <w:sz w:val="20"/>
        </w:rPr>
      </w:pPr>
      <w:r>
        <w:rPr>
          <w:rFonts w:ascii="Times New Roman" w:hAnsi="Times New Roman"/>
          <w:sz w:val="20"/>
        </w:rPr>
        <w:t xml:space="preserve">Section 10.13 </w:t>
      </w:r>
      <w:r>
        <w:rPr>
          <w:rFonts w:ascii="Times New Roman" w:hAnsi="Times New Roman"/>
          <w:sz w:val="20"/>
          <w:u w:val="single"/>
        </w:rPr>
        <w:t>Headings</w:t>
      </w:r>
      <w:r>
        <w:rPr>
          <w:rFonts w:ascii="Times New Roman" w:hAnsi="Times New Roman"/>
          <w:sz w:val="20"/>
        </w:rPr>
        <w:t xml:space="preserve">. Article and Section headings and the Table of Contents used herein are for convenience of reference only, are not part of this Credit Agreement and shall not affect the construction of, or be taken into consideration in interpreting, this Credit Agreement. </w:t>
      </w:r>
    </w:p>
    <w:p>
      <w:pPr>
        <w:pStyle w:val="TextBody"/>
        <w:spacing w:before="240" w:after="0"/>
        <w:jc w:val="left"/>
        <w:rPr>
          <w:rFonts w:ascii="Times New Roman" w:hAnsi="Times New Roman"/>
          <w:sz w:val="20"/>
        </w:rPr>
      </w:pPr>
      <w:r>
        <w:rPr>
          <w:rFonts w:ascii="Times New Roman" w:hAnsi="Times New Roman"/>
          <w:sz w:val="20"/>
        </w:rPr>
        <w:t xml:space="preserve">Section 10.14 </w:t>
      </w:r>
      <w:r>
        <w:rPr>
          <w:rFonts w:ascii="Times New Roman" w:hAnsi="Times New Roman"/>
          <w:sz w:val="20"/>
          <w:u w:val="single"/>
        </w:rPr>
        <w:t>Interest Rate Limitation</w:t>
      </w:r>
      <w:r>
        <w:rPr>
          <w:rFonts w:ascii="Times New Roman" w:hAnsi="Times New Roman"/>
          <w:sz w:val="20"/>
        </w:rPr>
        <w:t>. Notwithstanding anything herein to the contrary, if at any time the interest rate applicable to any Loan, together with all fees, charges and other amounts that are treated as interest thereon under Applicable Law (collectively the </w:t>
      </w:r>
      <w:r>
        <w:rPr>
          <w:rFonts w:ascii="Times New Roman" w:hAnsi="Times New Roman"/>
          <w:sz w:val="20"/>
          <w:u w:val="single"/>
        </w:rPr>
        <w:t>charges</w:t>
      </w:r>
      <w:r>
        <w:rPr>
          <w:rFonts w:ascii="Times New Roman" w:hAnsi="Times New Roman"/>
          <w:sz w:val="20"/>
        </w:rPr>
        <w:t>), shall exceed the maximum lawful rate (the </w:t>
      </w:r>
      <w:r>
        <w:rPr>
          <w:rFonts w:ascii="Times New Roman" w:hAnsi="Times New Roman"/>
          <w:sz w:val="20"/>
          <w:u w:val="single"/>
        </w:rPr>
        <w:t>maximum rate</w:t>
      </w:r>
      <w:r>
        <w:rPr>
          <w:rFonts w:ascii="Times New Roman" w:hAnsi="Times New Roman"/>
          <w:sz w:val="20"/>
        </w:rPr>
        <w:t xml:space="preserve">) that may be contracted for, charged, taken, received or reserved by the Lender holding an interest in such Loan in accordance with Applicable Law, the rate of interest payable in respect of such Loan hereunder, together with all of the charges payable in respect thereof, shall be limited to the maximum rate and, to the extent lawful, the interest and the charges that would have been payable in respect of such Loan but were not payable as a result of the operation of this Section shall be cumulated, and the interest and the charges payable to such Lender in respect of other Loans or periods shall be increased (but not above the maximum rate therefor) until such cumulated amount, together with interest thereon at the Federal Funds Rate to the date of repayment, shall have been received by such Lender. </w:t>
      </w:r>
    </w:p>
    <w:p>
      <w:pPr>
        <w:pStyle w:val="TextBody"/>
        <w:spacing w:before="240" w:after="0"/>
        <w:jc w:val="left"/>
        <w:rPr>
          <w:rFonts w:ascii="Times New Roman" w:hAnsi="Times New Roman"/>
          <w:sz w:val="20"/>
        </w:rPr>
      </w:pPr>
      <w:r>
        <w:rPr>
          <w:rFonts w:ascii="Times New Roman" w:hAnsi="Times New Roman"/>
          <w:sz w:val="20"/>
        </w:rPr>
        <w:t xml:space="preserve">Section 10.15 </w:t>
      </w:r>
      <w:r>
        <w:rPr>
          <w:rFonts w:ascii="Times New Roman" w:hAnsi="Times New Roman"/>
          <w:sz w:val="20"/>
          <w:u w:val="single"/>
        </w:rPr>
        <w:t>Confidentiality; Treatment of Certain Information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Each Credit Party agrees to maintain the confidentiality of the Information (as defined below), except that Information may be disclosed (i) to its Affiliates and to its and its Affiliates Related Parties who have a need to know such Information in connection with the Transactions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such as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- 107 -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National Association of Insurance Commissioners), (iii) to the extent required by Applicable Law or by any subpoena or similar legal process, (iv) to any other party hereto, (v) in connection with the exercise of any remedies hereunder or under any other Loan Document or any action or proceeding relating to this Credit Agreement or any other Loan Document or the enforcement of rights hereunder or thereunder, (vi) subject to an agreement containing provisions substantially the same as those of this Section, to (A) any assignee of or Participant in, or any prospective assignee of or Participant in, any of its rights or obligations under this Credit Agreement or (B) any actual or prospective party (or its Related Parties) to any swap, derivative or other transaction under which payments are to be made by reference to the Borrower and its obligations, this Credit Agreement or payments hereunder, (vii) on a confidential basis to (A) any rating agency in connection with rating the Borrower, its Subsidiaries or the Term Facility or (B) the CUSIP Service Bureau or any similar agency in connection with the issuance and monitoring of CUSIP numbers with respect to the Term Facility, (viii) with the consent of the Borrower or (ix) to the extent such Information (A) becomes publicly available other than as a result of a breach of this Section or (B) becomes available to the Administrative Agent, any Credit Party or any of their respective Affiliates on a non-confidential basis from a source other than any Loan Party, any of their Subsidiaries or any of their respective Related Parties, who, to the knowledge of such Person, was not bound by any confidentiality obligation to any Loan Party or any of its Subsidiaries that would prohibit the disclosure of such information or (C) is independently generated by the Administrative Agent, any Credit Party or any of their respective Affiliates, in each case, without reference to any Information. In addition, the Administrative Agent and the Lenders may disclose the existence of this Credit Agreement and information about this Credit Agreement and the Loan Documents to (i) market data collectors, league table providers and other similar service providers to the lending industry and (ii) service providers to the Administrative Agent or any Lender in connection with the administration of this Credit Agreement, the other Loan Documents, and the Commitments. </w:t>
      </w:r>
    </w:p>
    <w:p>
      <w:pPr>
        <w:pStyle w:val="TextBody"/>
        <w:spacing w:before="240" w:after="0"/>
        <w:jc w:val="left"/>
        <w:rPr>
          <w:rFonts w:ascii="Times New Roman" w:hAnsi="Times New Roman"/>
          <w:sz w:val="20"/>
        </w:rPr>
      </w:pPr>
      <w:r>
        <w:rPr>
          <w:rFonts w:ascii="Times New Roman" w:hAnsi="Times New Roman"/>
          <w:sz w:val="20"/>
        </w:rPr>
        <w:t>(b) For purposes of this Section, </w:t>
      </w:r>
      <w:r>
        <w:rPr>
          <w:rFonts w:ascii="Times New Roman" w:hAnsi="Times New Roman"/>
          <w:sz w:val="20"/>
          <w:u w:val="single"/>
        </w:rPr>
        <w:t>Information</w:t>
      </w:r>
      <w:r>
        <w:rPr>
          <w:rFonts w:ascii="Times New Roman" w:hAnsi="Times New Roman"/>
          <w:sz w:val="20"/>
        </w:rPr>
        <w:t xml:space="preserve"> means any and all non-public, confidential and/or proprietary information furnished or disclosed to any Credit Party or any of its Related Parties by or on behalf of any Loan Party or any of its Subsidiaries or any of their respective Related Parties, whether such information is written, oral or graphic, and whether included in any analyses, compilations, studies, reports, or other documents or presentations, including but not limited to, financial plans and records, marketing plans, business strategies and relationships with third parties, present and proposed products, trade secrets, information regarding customer and suppliers, strategic planning and systems, and contractual terms.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Notwithstanding anything herein to the contrary, Information shall not include, and each Credit Party (and their Affiliates and respective partners, directors, officers, employees, agents, advisors and representatives) may disclose to any and all persons, without limitation of any kind, any information with respect to the U.S. federal income tax treatment and U.S. federal income tax structure of the transactions contemplated hereby and all materials of any kind (including opinions or other tax analyses) that are provided to such Credit Party relating to such tax treatment and tax structure. </w:t>
      </w:r>
    </w:p>
    <w:p>
      <w:pPr>
        <w:pStyle w:val="TextBody"/>
        <w:spacing w:before="240" w:after="0"/>
        <w:jc w:val="left"/>
        <w:rPr>
          <w:rFonts w:ascii="Times New Roman" w:hAnsi="Times New Roman"/>
          <w:sz w:val="20"/>
        </w:rPr>
      </w:pPr>
      <w:r>
        <w:rPr>
          <w:rFonts w:ascii="Times New Roman" w:hAnsi="Times New Roman"/>
          <w:sz w:val="20"/>
        </w:rPr>
        <w:t xml:space="preserve">(c) Each of Holdings and the Borrower agrees that it will not, and will cause its Subsidiaries not to, issue any press releases or other public disclosure relating to this Credit Agreement using the name of the Administrative Agent or any Lender or their respective Affiliates without the prior written consent of such Person, in each case, except to the extent required by, or advisable in light of, any Applicable Law, stock exchange requirement, subpoena or similar legal process or request of any Governmental Authority, including any requirement to issue an ad-hoc release or to make a filing with the U.S. Securities and Exchange Commission. The parties acknowledge and agree that in connection with the execution of the Loan Documents and the occurrence of the Closing Date, Holdings will issue an ad hoc release, describe the Credit Agreement in its filings with the Securities and Exchange Commission, including in its Annual Report on Form 20-F, and file the Credit Agreement as an exhibit to its Annual Report on Form 20-F.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- 108 -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10.16 </w:t>
      </w:r>
      <w:r>
        <w:rPr>
          <w:rFonts w:ascii="Times New Roman" w:hAnsi="Times New Roman"/>
          <w:sz w:val="20"/>
          <w:u w:val="single"/>
        </w:rPr>
        <w:t>USA PATRIOT Act</w:t>
      </w:r>
      <w:r>
        <w:rPr>
          <w:rFonts w:ascii="Times New Roman" w:hAnsi="Times New Roman"/>
          <w:sz w:val="20"/>
        </w:rPr>
        <w:t xml:space="preserve">. Each Lender that is subject to the USA PATRIOT Act and the Administrative Agent (for itself and not on behalf of any Lender) hereby notifies the Borrower that pursuant to the requirements of the USA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 Each of Holdings and the Borrower shall, and shall cause each Subsidiary to, provide such information and take such actions as are reasonably requested by the Administrative Agent or any Lender in order to assist the Administrative Agent and the Lenders in maintaining compliance with the USA PATRIOT Act. </w:t>
      </w:r>
    </w:p>
    <w:p>
      <w:pPr>
        <w:pStyle w:val="TextBody"/>
        <w:spacing w:before="240" w:after="0"/>
        <w:jc w:val="left"/>
        <w:rPr>
          <w:rFonts w:ascii="Times New Roman" w:hAnsi="Times New Roman"/>
          <w:sz w:val="20"/>
        </w:rPr>
      </w:pPr>
      <w:r>
        <w:rPr>
          <w:rFonts w:ascii="Times New Roman" w:hAnsi="Times New Roman"/>
          <w:sz w:val="20"/>
        </w:rPr>
        <w:t xml:space="preserve">Section 10.17 </w:t>
      </w:r>
      <w:r>
        <w:rPr>
          <w:rFonts w:ascii="Times New Roman" w:hAnsi="Times New Roman"/>
          <w:sz w:val="20"/>
          <w:u w:val="single"/>
        </w:rPr>
        <w:t>No Fiduciary Duty</w:t>
      </w:r>
      <w:r>
        <w:rPr>
          <w:rFonts w:ascii="Times New Roman" w:hAnsi="Times New Roman"/>
          <w:sz w:val="20"/>
        </w:rPr>
        <w:t xml:space="preserve">. Each Loan Party agrees that in connection with all aspects of the transactions contemplated hereby and any communications in connection therewith, such Loan Party and its Affiliates, on the one hand, and the Administrative Agent, the other Credit Parties and their respective Affiliates, on the other hand, will have a business relationship that does not create, by implication or otherwise, any fiduciary duty on the part of the Administrative Agent, the other Credit Parties or their respective Affiliates and no such duty will be deemed to have arisen in connection with any such transactions or communications. </w:t>
      </w:r>
    </w:p>
    <w:p>
      <w:pPr>
        <w:pStyle w:val="TextBody"/>
        <w:spacing w:before="240" w:after="0"/>
        <w:jc w:val="left"/>
        <w:rPr>
          <w:rFonts w:ascii="Times New Roman" w:hAnsi="Times New Roman"/>
          <w:sz w:val="20"/>
        </w:rPr>
      </w:pPr>
      <w:r>
        <w:rPr>
          <w:rFonts w:ascii="Times New Roman" w:hAnsi="Times New Roman"/>
          <w:sz w:val="20"/>
        </w:rPr>
        <w:t xml:space="preserve">Section 10.18 </w:t>
      </w:r>
      <w:r>
        <w:rPr>
          <w:rFonts w:ascii="Times New Roman" w:hAnsi="Times New Roman"/>
          <w:sz w:val="20"/>
          <w:u w:val="single"/>
        </w:rPr>
        <w:t>Acknowledgement and Consent to Bail-In of Affected Financial Institutions</w:t>
      </w:r>
      <w:r>
        <w:rPr>
          <w:rFonts w:ascii="Times New Roman" w:hAnsi="Times New Roman"/>
          <w:sz w:val="20"/>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w:t>
      </w:r>
    </w:p>
    <w:p>
      <w:pPr>
        <w:pStyle w:val="TextBody"/>
        <w:spacing w:before="12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party hereto that is an Affected Financial Institution; and </w:t>
      </w:r>
    </w:p>
    <w:p>
      <w:pPr>
        <w:pStyle w:val="TextBody"/>
        <w:spacing w:before="24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Credit Agreement or any other Loan Document; or </w:t>
      </w:r>
    </w:p>
    <w:p>
      <w:pPr>
        <w:pStyle w:val="TextBody"/>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any applicable Resolution Authority. </w:t>
      </w:r>
    </w:p>
    <w:p>
      <w:pPr>
        <w:pStyle w:val="TextBody"/>
        <w:spacing w:before="240" w:after="0"/>
        <w:jc w:val="center"/>
        <w:rPr>
          <w:rFonts w:ascii="Times New Roman" w:hAnsi="Times New Roman"/>
          <w:sz w:val="20"/>
        </w:rPr>
      </w:pPr>
      <w:r>
        <w:rPr>
          <w:rFonts w:ascii="Times New Roman" w:hAnsi="Times New Roman"/>
          <w:sz w:val="20"/>
        </w:rPr>
        <w:t xml:space="preserve">[Signature pages follow]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- 109 -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IN WITNESS WHEREOF, the parties hereto have caused this Credit Agreement to be duly executed by their respective authorized officers as of the day and year first above written.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68"/>
        <w:gridCol w:w="60"/>
        <w:gridCol w:w="665"/>
        <w:gridCol w:w="60"/>
        <w:gridCol w:w="2929"/>
      </w:tblGrid>
      <w:tr>
        <w:trPr/>
        <w:tc>
          <w:tcPr>
            <w:tcW w:w="36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29"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b/>
              </w:rPr>
              <w:t>MYNARIC USA INC.</w:t>
            </w:r>
            <w:r>
              <w:rPr/>
              <w:t>, as the Borrower</w:t>
            </w:r>
          </w:p>
        </w:tc>
      </w:tr>
      <w:tr>
        <w:trPr>
          <w:trHeight w:val="240" w:hRule="atLeast"/>
        </w:trPr>
        <w:tc>
          <w:tcPr>
            <w:tcW w:w="368" w:type="dxa"/>
            <w:tcBorders/>
            <w:shd w:fill="auto" w:val="clear"/>
            <w:vAlign w:val="center"/>
          </w:tcPr>
          <w:p>
            <w:pPr>
              <w:pStyle w:val="TableContents"/>
              <w:spacing w:before="0" w:after="283"/>
              <w:rPr>
                <w:sz w:val="4"/>
                <w:szCs w:val="4"/>
              </w:rPr>
            </w:pPr>
            <w:r>
              <w:rPr>
                <w:sz w:val="4"/>
                <w:szCs w:val="4"/>
              </w:rPr>
            </w:r>
          </w:p>
        </w:tc>
        <w:tc>
          <w:tcPr>
            <w:tcW w:w="3714" w:type="dxa"/>
            <w:gridSpan w:val="4"/>
            <w:tcBorders/>
            <w:shd w:fill="auto" w:val="clear"/>
            <w:vAlign w:val="center"/>
          </w:tcPr>
          <w:p>
            <w:pPr>
              <w:pStyle w:val="TableContents"/>
              <w:spacing w:before="0" w:after="283"/>
              <w:rPr>
                <w:sz w:val="4"/>
                <w:szCs w:val="4"/>
              </w:rPr>
            </w:pPr>
            <w:r>
              <w:rPr>
                <w:sz w:val="4"/>
                <w:szCs w:val="4"/>
              </w:rPr>
            </w:r>
          </w:p>
        </w:tc>
      </w:tr>
      <w:tr>
        <w:trPr/>
        <w:tc>
          <w:tcPr>
            <w:tcW w:w="368" w:type="dxa"/>
            <w:tcBorders/>
            <w:shd w:fill="auto" w:val="clear"/>
          </w:tcPr>
          <w:p>
            <w:pPr>
              <w:pStyle w:val="TableContents"/>
              <w:spacing w:before="0" w:after="283"/>
              <w:rPr/>
            </w:pPr>
            <w:r>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54" w:type="dxa"/>
            <w:gridSpan w:val="3"/>
            <w:tcBorders>
              <w:bottom w:val="single" w:sz="2" w:space="0" w:color="000000"/>
            </w:tcBorders>
            <w:shd w:fill="auto" w:val="clear"/>
            <w:tcMar>
              <w:bottom w:w="28" w:type="dxa"/>
            </w:tcMar>
          </w:tcPr>
          <w:p>
            <w:pPr>
              <w:pStyle w:val="TableContents"/>
              <w:spacing w:before="0" w:after="283"/>
              <w:rPr/>
            </w:pPr>
            <w:r>
              <w:rPr/>
              <w:t> </w:t>
            </w:r>
          </w:p>
        </w:tc>
      </w:tr>
      <w:tr>
        <w:trPr/>
        <w:tc>
          <w:tcPr>
            <w:tcW w:w="36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929" w:type="dxa"/>
            <w:tcBorders/>
            <w:shd w:fill="auto" w:val="clear"/>
            <w:vAlign w:val="bottom"/>
          </w:tcPr>
          <w:p>
            <w:pPr>
              <w:pStyle w:val="TableContents"/>
              <w:spacing w:before="0" w:after="283"/>
              <w:rPr/>
            </w:pPr>
            <w:r>
              <w:rPr/>
              <w:t>Bulent Altan</w:t>
            </w:r>
          </w:p>
        </w:tc>
      </w:tr>
      <w:tr>
        <w:trPr/>
        <w:tc>
          <w:tcPr>
            <w:tcW w:w="36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929" w:type="dxa"/>
            <w:tcBorders/>
            <w:shd w:fill="auto" w:val="clear"/>
            <w:vAlign w:val="bottom"/>
          </w:tcPr>
          <w:p>
            <w:pPr>
              <w:pStyle w:val="TableContents"/>
              <w:spacing w:before="0" w:after="283"/>
              <w:rPr/>
            </w:pPr>
            <w:r>
              <w:rPr/>
              <w:t>President</w:t>
            </w:r>
          </w:p>
        </w:tc>
      </w:tr>
    </w:tbl>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61"/>
        <w:gridCol w:w="60"/>
        <w:gridCol w:w="657"/>
        <w:gridCol w:w="60"/>
        <w:gridCol w:w="2944"/>
      </w:tblGrid>
      <w:tr>
        <w:trPr/>
        <w:tc>
          <w:tcPr>
            <w:tcW w:w="36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44"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b/>
              </w:rPr>
              <w:t>MYNARIC AG</w:t>
            </w:r>
            <w:r>
              <w:rPr/>
              <w:t>, as Holdings</w:t>
            </w:r>
          </w:p>
        </w:tc>
      </w:tr>
      <w:tr>
        <w:trPr>
          <w:trHeight w:val="240" w:hRule="atLeast"/>
        </w:trPr>
        <w:tc>
          <w:tcPr>
            <w:tcW w:w="361" w:type="dxa"/>
            <w:tcBorders/>
            <w:shd w:fill="auto" w:val="clear"/>
            <w:vAlign w:val="center"/>
          </w:tcPr>
          <w:p>
            <w:pPr>
              <w:pStyle w:val="TableContents"/>
              <w:spacing w:before="0" w:after="283"/>
              <w:rPr>
                <w:sz w:val="4"/>
                <w:szCs w:val="4"/>
              </w:rPr>
            </w:pPr>
            <w:r>
              <w:rPr>
                <w:sz w:val="4"/>
                <w:szCs w:val="4"/>
              </w:rPr>
            </w:r>
          </w:p>
        </w:tc>
        <w:tc>
          <w:tcPr>
            <w:tcW w:w="3721" w:type="dxa"/>
            <w:gridSpan w:val="4"/>
            <w:tcBorders/>
            <w:shd w:fill="auto" w:val="clear"/>
            <w:vAlign w:val="center"/>
          </w:tcPr>
          <w:p>
            <w:pPr>
              <w:pStyle w:val="TableContents"/>
              <w:spacing w:before="0" w:after="283"/>
              <w:rPr>
                <w:sz w:val="4"/>
                <w:szCs w:val="4"/>
              </w:rPr>
            </w:pPr>
            <w:r>
              <w:rPr>
                <w:sz w:val="4"/>
                <w:szCs w:val="4"/>
              </w:rPr>
            </w:r>
          </w:p>
        </w:tc>
      </w:tr>
      <w:tr>
        <w:trPr/>
        <w:tc>
          <w:tcPr>
            <w:tcW w:w="361" w:type="dxa"/>
            <w:tcBorders/>
            <w:shd w:fill="auto" w:val="clear"/>
          </w:tcPr>
          <w:p>
            <w:pPr>
              <w:pStyle w:val="TableContents"/>
              <w:spacing w:before="0" w:after="283"/>
              <w:rPr/>
            </w:pPr>
            <w:r>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61" w:type="dxa"/>
            <w:gridSpan w:val="3"/>
            <w:tcBorders>
              <w:bottom w:val="single" w:sz="2" w:space="0" w:color="000000"/>
            </w:tcBorders>
            <w:shd w:fill="auto" w:val="clear"/>
            <w:tcMar>
              <w:bottom w:w="28" w:type="dxa"/>
            </w:tcMar>
          </w:tcPr>
          <w:p>
            <w:pPr>
              <w:pStyle w:val="TableContents"/>
              <w:spacing w:before="0" w:after="283"/>
              <w:rPr/>
            </w:pPr>
            <w:r>
              <w:rPr/>
              <w:t> </w:t>
            </w:r>
          </w:p>
        </w:tc>
      </w:tr>
      <w:tr>
        <w:trPr/>
        <w:tc>
          <w:tcPr>
            <w:tcW w:w="36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944" w:type="dxa"/>
            <w:tcBorders/>
            <w:shd w:fill="auto" w:val="clear"/>
            <w:vAlign w:val="bottom"/>
          </w:tcPr>
          <w:p>
            <w:pPr>
              <w:pStyle w:val="TableContents"/>
              <w:spacing w:before="0" w:after="283"/>
              <w:rPr/>
            </w:pPr>
            <w:r>
              <w:rPr/>
              <w:t>Joachim Horwath</w:t>
            </w:r>
          </w:p>
        </w:tc>
      </w:tr>
      <w:tr>
        <w:trPr/>
        <w:tc>
          <w:tcPr>
            <w:tcW w:w="36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944" w:type="dxa"/>
            <w:tcBorders/>
            <w:shd w:fill="auto" w:val="clear"/>
            <w:vAlign w:val="bottom"/>
          </w:tcPr>
          <w:p>
            <w:pPr>
              <w:pStyle w:val="TableContents"/>
              <w:spacing w:before="0" w:after="283"/>
              <w:rPr/>
            </w:pPr>
            <w:r>
              <w:rPr/>
              <w:t>Member of the Management Board</w:t>
            </w:r>
          </w:p>
        </w:tc>
      </w:tr>
      <w:tr>
        <w:trPr>
          <w:trHeight w:val="240" w:hRule="atLeast"/>
        </w:trPr>
        <w:tc>
          <w:tcPr>
            <w:tcW w:w="361" w:type="dxa"/>
            <w:tcBorders/>
            <w:shd w:fill="auto" w:val="clear"/>
            <w:vAlign w:val="center"/>
          </w:tcPr>
          <w:p>
            <w:pPr>
              <w:pStyle w:val="TableContents"/>
              <w:spacing w:before="0" w:after="283"/>
              <w:rPr>
                <w:sz w:val="4"/>
                <w:szCs w:val="4"/>
              </w:rPr>
            </w:pPr>
            <w:r>
              <w:rPr>
                <w:sz w:val="4"/>
                <w:szCs w:val="4"/>
              </w:rPr>
            </w:r>
          </w:p>
        </w:tc>
        <w:tc>
          <w:tcPr>
            <w:tcW w:w="3721" w:type="dxa"/>
            <w:gridSpan w:val="4"/>
            <w:tcBorders/>
            <w:shd w:fill="auto" w:val="clear"/>
            <w:vAlign w:val="center"/>
          </w:tcPr>
          <w:p>
            <w:pPr>
              <w:pStyle w:val="TableContents"/>
              <w:spacing w:before="0" w:after="283"/>
              <w:rPr>
                <w:sz w:val="4"/>
                <w:szCs w:val="4"/>
              </w:rPr>
            </w:pPr>
            <w:r>
              <w:rPr>
                <w:sz w:val="4"/>
                <w:szCs w:val="4"/>
              </w:rPr>
            </w:r>
          </w:p>
        </w:tc>
      </w:tr>
      <w:tr>
        <w:trPr/>
        <w:tc>
          <w:tcPr>
            <w:tcW w:w="361" w:type="dxa"/>
            <w:tcBorders/>
            <w:shd w:fill="auto" w:val="clear"/>
          </w:tcPr>
          <w:p>
            <w:pPr>
              <w:pStyle w:val="TableContents"/>
              <w:spacing w:before="0" w:after="283"/>
              <w:rPr/>
            </w:pPr>
            <w:r>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61" w:type="dxa"/>
            <w:gridSpan w:val="3"/>
            <w:tcBorders>
              <w:bottom w:val="single" w:sz="2" w:space="0" w:color="000000"/>
            </w:tcBorders>
            <w:shd w:fill="auto" w:val="clear"/>
            <w:tcMar>
              <w:bottom w:w="28" w:type="dxa"/>
            </w:tcMar>
          </w:tcPr>
          <w:p>
            <w:pPr>
              <w:pStyle w:val="TableContents"/>
              <w:spacing w:before="0" w:after="283"/>
              <w:rPr/>
            </w:pPr>
            <w:r>
              <w:rPr/>
              <w:t> </w:t>
            </w:r>
          </w:p>
        </w:tc>
      </w:tr>
      <w:tr>
        <w:trPr/>
        <w:tc>
          <w:tcPr>
            <w:tcW w:w="36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944" w:type="dxa"/>
            <w:tcBorders/>
            <w:shd w:fill="auto" w:val="clear"/>
            <w:vAlign w:val="bottom"/>
          </w:tcPr>
          <w:p>
            <w:pPr>
              <w:pStyle w:val="TableContents"/>
              <w:spacing w:before="0" w:after="283"/>
              <w:rPr/>
            </w:pPr>
            <w:r>
              <w:rPr/>
              <w:t>Stefan Berndt-von Bülow</w:t>
            </w:r>
          </w:p>
        </w:tc>
      </w:tr>
      <w:tr>
        <w:trPr/>
        <w:tc>
          <w:tcPr>
            <w:tcW w:w="36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944" w:type="dxa"/>
            <w:tcBorders/>
            <w:shd w:fill="auto" w:val="clear"/>
            <w:vAlign w:val="bottom"/>
          </w:tcPr>
          <w:p>
            <w:pPr>
              <w:pStyle w:val="TableContents"/>
              <w:spacing w:before="0" w:after="283"/>
              <w:rPr/>
            </w:pPr>
            <w:r>
              <w:rPr/>
              <w:t>Member of the Management Board</w:t>
            </w:r>
          </w:p>
        </w:tc>
      </w:tr>
    </w:tbl>
    <w:p>
      <w:pPr>
        <w:pStyle w:val="HorizontalLine"/>
        <w:pBdr>
          <w:bottom w:val="double" w:sz="6" w:space="0" w:color="808080"/>
        </w:pBdr>
        <w:rPr/>
      </w:pPr>
      <w:r>
        <w:br w:type="page"/>
      </w:r>
      <w:r>
        <w:rPr/>
      </w:r>
    </w:p>
    <w:tbl>
      <w:tblPr>
        <w:tblW w:w="2000" w:type="pct"/>
        <w:jc w:val="right"/>
        <w:tblInd w:w="0" w:type="dxa"/>
        <w:tblCellMar>
          <w:top w:w="0" w:type="dxa"/>
          <w:left w:w="0" w:type="dxa"/>
          <w:bottom w:w="0" w:type="dxa"/>
          <w:right w:w="0" w:type="dxa"/>
        </w:tblCellMar>
      </w:tblPr>
      <w:tblGrid>
        <w:gridCol w:w="510"/>
        <w:gridCol w:w="88"/>
        <w:gridCol w:w="3484"/>
      </w:tblGrid>
      <w:tr>
        <w:trPr/>
        <w:tc>
          <w:tcPr>
            <w:tcW w:w="51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sz w:val="4"/>
                <w:szCs w:val="4"/>
              </w:rPr>
            </w:pPr>
            <w:r>
              <w:rPr>
                <w:sz w:val="4"/>
                <w:szCs w:val="4"/>
              </w:rPr>
            </w:r>
          </w:p>
        </w:tc>
        <w:tc>
          <w:tcPr>
            <w:tcW w:w="348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b/>
              </w:rPr>
              <w:t>ALTER DOMUS (US) LLC</w:t>
            </w:r>
            <w:r>
              <w:rPr/>
              <w:t>, not in its individual capacity but solely in its capacity as Administrative Agent</w:t>
            </w:r>
          </w:p>
        </w:tc>
      </w:tr>
      <w:tr>
        <w:trPr>
          <w:trHeight w:val="240" w:hRule="atLeast"/>
        </w:trPr>
        <w:tc>
          <w:tcPr>
            <w:tcW w:w="510" w:type="dxa"/>
            <w:tcBorders/>
            <w:shd w:fill="auto" w:val="clear"/>
            <w:vAlign w:val="center"/>
          </w:tcPr>
          <w:p>
            <w:pPr>
              <w:pStyle w:val="TableContents"/>
              <w:spacing w:before="0" w:after="283"/>
              <w:rPr>
                <w:sz w:val="4"/>
                <w:szCs w:val="4"/>
              </w:rPr>
            </w:pPr>
            <w:r>
              <w:rPr>
                <w:sz w:val="4"/>
                <w:szCs w:val="4"/>
              </w:rPr>
            </w:r>
          </w:p>
        </w:tc>
        <w:tc>
          <w:tcPr>
            <w:tcW w:w="3572" w:type="dxa"/>
            <w:gridSpan w:val="2"/>
            <w:tcBorders/>
            <w:shd w:fill="auto" w:val="clear"/>
            <w:vAlign w:val="center"/>
          </w:tcPr>
          <w:p>
            <w:pPr>
              <w:pStyle w:val="TableContents"/>
              <w:spacing w:before="0" w:after="283"/>
              <w:rPr>
                <w:sz w:val="4"/>
                <w:szCs w:val="4"/>
              </w:rPr>
            </w:pPr>
            <w:r>
              <w:rPr>
                <w:sz w:val="4"/>
                <w:szCs w:val="4"/>
              </w:rPr>
            </w:r>
          </w:p>
        </w:tc>
      </w:tr>
      <w:tr>
        <w:trPr/>
        <w:tc>
          <w:tcPr>
            <w:tcW w:w="510" w:type="dxa"/>
            <w:tcBorders/>
            <w:shd w:fill="auto" w:val="clear"/>
          </w:tcPr>
          <w:p>
            <w:pPr>
              <w:pStyle w:val="TableContents"/>
              <w:spacing w:before="0" w:after="283"/>
              <w:rPr/>
            </w:pPr>
            <w:r>
              <w:rPr/>
              <w:t>By:</w:t>
            </w:r>
          </w:p>
        </w:tc>
        <w:tc>
          <w:tcPr>
            <w:tcW w:w="88" w:type="dxa"/>
            <w:tcBorders>
              <w:bottom w:val="single" w:sz="2" w:space="0" w:color="000000"/>
            </w:tcBorders>
            <w:shd w:fill="auto" w:val="clear"/>
            <w:tcMar>
              <w:bottom w:w="28" w:type="dxa"/>
            </w:tcMar>
            <w:vAlign w:val="bottom"/>
          </w:tcPr>
          <w:p>
            <w:pPr>
              <w:pStyle w:val="TableContents"/>
              <w:spacing w:before="0" w:after="283"/>
              <w:rPr/>
            </w:pPr>
            <w:r>
              <w:rPr/>
              <w:t> </w:t>
            </w:r>
          </w:p>
        </w:tc>
        <w:tc>
          <w:tcPr>
            <w:tcW w:w="3484" w:type="dxa"/>
            <w:tcBorders>
              <w:bottom w:val="single" w:sz="2" w:space="0" w:color="000000"/>
            </w:tcBorders>
            <w:shd w:fill="auto" w:val="clear"/>
            <w:tcMar>
              <w:bottom w:w="28" w:type="dxa"/>
            </w:tcMar>
          </w:tcPr>
          <w:p>
            <w:pPr>
              <w:pStyle w:val="TableContents"/>
              <w:spacing w:before="0" w:after="283"/>
              <w:rPr/>
            </w:pPr>
            <w:r>
              <w:rPr/>
              <w:t> </w:t>
            </w:r>
          </w:p>
        </w:tc>
      </w:tr>
      <w:tr>
        <w:trPr/>
        <w:tc>
          <w:tcPr>
            <w:tcW w:w="510" w:type="dxa"/>
            <w:tcBorders/>
            <w:shd w:fill="auto" w:val="clear"/>
            <w:vAlign w:val="bottom"/>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pPr>
            <w:r>
              <w:rPr/>
              <w:t> </w:t>
            </w:r>
          </w:p>
        </w:tc>
        <w:tc>
          <w:tcPr>
            <w:tcW w:w="3484" w:type="dxa"/>
            <w:tcBorders/>
            <w:shd w:fill="auto" w:val="clear"/>
            <w:vAlign w:val="bottom"/>
          </w:tcPr>
          <w:p>
            <w:pPr>
              <w:pStyle w:val="TableContents"/>
              <w:spacing w:before="0" w:after="283"/>
              <w:rPr/>
            </w:pPr>
            <w:r>
              <w:rPr/>
              <w:t>Name:</w:t>
            </w:r>
          </w:p>
        </w:tc>
      </w:tr>
      <w:tr>
        <w:trPr/>
        <w:tc>
          <w:tcPr>
            <w:tcW w:w="510" w:type="dxa"/>
            <w:tcBorders/>
            <w:shd w:fill="auto" w:val="clear"/>
            <w:vAlign w:val="bottom"/>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pPr>
            <w:r>
              <w:rPr/>
              <w:t> </w:t>
            </w:r>
          </w:p>
        </w:tc>
        <w:tc>
          <w:tcPr>
            <w:tcW w:w="3484" w:type="dxa"/>
            <w:tcBorders/>
            <w:shd w:fill="auto" w:val="clear"/>
            <w:vAlign w:val="bottom"/>
          </w:tcPr>
          <w:p>
            <w:pPr>
              <w:pStyle w:val="TableContents"/>
              <w:spacing w:before="0" w:after="283"/>
              <w:rPr/>
            </w:pPr>
            <w:r>
              <w:rPr/>
              <w:t>Title:</w:t>
            </w:r>
          </w:p>
        </w:tc>
      </w:tr>
    </w:tbl>
    <w:p>
      <w:pPr>
        <w:pStyle w:val="HorizontalLine"/>
        <w:pBdr>
          <w:bottom w:val="double" w:sz="6" w:space="0" w:color="808080"/>
        </w:pBdr>
        <w:rPr/>
      </w:pPr>
      <w:r>
        <w:br w:type="page"/>
      </w:r>
      <w:r>
        <w:rPr/>
      </w:r>
    </w:p>
    <w:tbl>
      <w:tblPr>
        <w:tblW w:w="2000" w:type="pct"/>
        <w:jc w:val="right"/>
        <w:tblInd w:w="0" w:type="dxa"/>
        <w:tblCellMar>
          <w:top w:w="0" w:type="dxa"/>
          <w:left w:w="0" w:type="dxa"/>
          <w:bottom w:w="0" w:type="dxa"/>
          <w:right w:w="0" w:type="dxa"/>
        </w:tblCellMar>
      </w:tblPr>
      <w:tblGrid>
        <w:gridCol w:w="429"/>
        <w:gridCol w:w="71"/>
        <w:gridCol w:w="3582"/>
      </w:tblGrid>
      <w:tr>
        <w:trPr/>
        <w:tc>
          <w:tcPr>
            <w:tcW w:w="429"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3582"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b/>
              </w:rPr>
              <w:t>CO FINANCE II LVS I LLC</w:t>
            </w:r>
            <w:r>
              <w:rPr/>
              <w:t>, as a Lender</w:t>
            </w:r>
          </w:p>
        </w:tc>
      </w:tr>
      <w:tr>
        <w:trPr>
          <w:trHeight w:val="240" w:hRule="atLeast"/>
        </w:trPr>
        <w:tc>
          <w:tcPr>
            <w:tcW w:w="429" w:type="dxa"/>
            <w:tcBorders/>
            <w:shd w:fill="auto" w:val="clear"/>
            <w:vAlign w:val="center"/>
          </w:tcPr>
          <w:p>
            <w:pPr>
              <w:pStyle w:val="TableContents"/>
              <w:spacing w:before="0" w:after="283"/>
              <w:rPr>
                <w:sz w:val="4"/>
                <w:szCs w:val="4"/>
              </w:rPr>
            </w:pPr>
            <w:r>
              <w:rPr>
                <w:sz w:val="4"/>
                <w:szCs w:val="4"/>
              </w:rPr>
            </w:r>
          </w:p>
        </w:tc>
        <w:tc>
          <w:tcPr>
            <w:tcW w:w="3653" w:type="dxa"/>
            <w:gridSpan w:val="2"/>
            <w:tcBorders/>
            <w:shd w:fill="auto" w:val="clear"/>
            <w:vAlign w:val="center"/>
          </w:tcPr>
          <w:p>
            <w:pPr>
              <w:pStyle w:val="TableContents"/>
              <w:spacing w:before="0" w:after="283"/>
              <w:rPr>
                <w:sz w:val="4"/>
                <w:szCs w:val="4"/>
              </w:rPr>
            </w:pPr>
            <w:r>
              <w:rPr>
                <w:sz w:val="4"/>
                <w:szCs w:val="4"/>
              </w:rPr>
            </w:r>
          </w:p>
        </w:tc>
      </w:tr>
      <w:tr>
        <w:trPr/>
        <w:tc>
          <w:tcPr>
            <w:tcW w:w="429" w:type="dxa"/>
            <w:tcBorders/>
            <w:shd w:fill="auto" w:val="clear"/>
          </w:tcPr>
          <w:p>
            <w:pPr>
              <w:pStyle w:val="TableContents"/>
              <w:spacing w:before="0" w:after="283"/>
              <w:rPr/>
            </w:pPr>
            <w:r>
              <w:rPr/>
              <w:t>By:</w:t>
            </w:r>
          </w:p>
        </w:tc>
        <w:tc>
          <w:tcPr>
            <w:tcW w:w="71" w:type="dxa"/>
            <w:tcBorders>
              <w:bottom w:val="single" w:sz="2" w:space="0" w:color="000000"/>
            </w:tcBorders>
            <w:shd w:fill="auto" w:val="clear"/>
            <w:tcMar>
              <w:bottom w:w="28" w:type="dxa"/>
            </w:tcMar>
            <w:vAlign w:val="bottom"/>
          </w:tcPr>
          <w:p>
            <w:pPr>
              <w:pStyle w:val="TableContents"/>
              <w:spacing w:before="0" w:after="283"/>
              <w:rPr/>
            </w:pPr>
            <w:r>
              <w:rPr/>
              <w:t> </w:t>
            </w:r>
          </w:p>
        </w:tc>
        <w:tc>
          <w:tcPr>
            <w:tcW w:w="3582" w:type="dxa"/>
            <w:tcBorders>
              <w:bottom w:val="single" w:sz="2" w:space="0" w:color="000000"/>
            </w:tcBorders>
            <w:shd w:fill="auto" w:val="clear"/>
            <w:tcMar>
              <w:bottom w:w="28" w:type="dxa"/>
            </w:tcMar>
          </w:tcPr>
          <w:p>
            <w:pPr>
              <w:pStyle w:val="TableContents"/>
              <w:spacing w:before="0" w:after="283"/>
              <w:rPr/>
            </w:pPr>
            <w:r>
              <w:rPr/>
              <w:t> </w:t>
            </w:r>
          </w:p>
        </w:tc>
      </w:tr>
      <w:tr>
        <w:trPr/>
        <w:tc>
          <w:tcPr>
            <w:tcW w:w="429"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3582" w:type="dxa"/>
            <w:tcBorders/>
            <w:shd w:fill="auto" w:val="clear"/>
            <w:vAlign w:val="bottom"/>
          </w:tcPr>
          <w:p>
            <w:pPr>
              <w:pStyle w:val="TableContents"/>
              <w:spacing w:before="0" w:after="283"/>
              <w:rPr/>
            </w:pPr>
            <w:r>
              <w:rPr/>
              <w:t>Name:</w:t>
            </w:r>
          </w:p>
        </w:tc>
      </w:tr>
      <w:tr>
        <w:trPr/>
        <w:tc>
          <w:tcPr>
            <w:tcW w:w="429"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3582" w:type="dxa"/>
            <w:tcBorders/>
            <w:shd w:fill="auto" w:val="clear"/>
            <w:vAlign w:val="bottom"/>
          </w:tcPr>
          <w:p>
            <w:pPr>
              <w:pStyle w:val="TableContents"/>
              <w:spacing w:before="0" w:after="283"/>
              <w:rPr/>
            </w:pPr>
            <w:r>
              <w:rPr/>
              <w:t>Title:</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b/>
              </w:rPr>
              <w:t>CO FINANCE LVS XL LLC</w:t>
            </w:r>
            <w:r>
              <w:rPr/>
              <w:t>, as a Lender</w:t>
            </w:r>
          </w:p>
        </w:tc>
      </w:tr>
      <w:tr>
        <w:trPr>
          <w:trHeight w:val="240" w:hRule="atLeast"/>
        </w:trPr>
        <w:tc>
          <w:tcPr>
            <w:tcW w:w="429" w:type="dxa"/>
            <w:tcBorders/>
            <w:shd w:fill="auto" w:val="clear"/>
            <w:vAlign w:val="center"/>
          </w:tcPr>
          <w:p>
            <w:pPr>
              <w:pStyle w:val="TableContents"/>
              <w:spacing w:before="0" w:after="283"/>
              <w:rPr>
                <w:sz w:val="4"/>
                <w:szCs w:val="4"/>
              </w:rPr>
            </w:pPr>
            <w:r>
              <w:rPr>
                <w:sz w:val="4"/>
                <w:szCs w:val="4"/>
              </w:rPr>
            </w:r>
          </w:p>
        </w:tc>
        <w:tc>
          <w:tcPr>
            <w:tcW w:w="3653" w:type="dxa"/>
            <w:gridSpan w:val="2"/>
            <w:tcBorders/>
            <w:shd w:fill="auto" w:val="clear"/>
            <w:vAlign w:val="center"/>
          </w:tcPr>
          <w:p>
            <w:pPr>
              <w:pStyle w:val="TableContents"/>
              <w:spacing w:before="0" w:after="283"/>
              <w:rPr>
                <w:sz w:val="4"/>
                <w:szCs w:val="4"/>
              </w:rPr>
            </w:pPr>
            <w:r>
              <w:rPr>
                <w:sz w:val="4"/>
                <w:szCs w:val="4"/>
              </w:rPr>
            </w:r>
          </w:p>
        </w:tc>
      </w:tr>
      <w:tr>
        <w:trPr/>
        <w:tc>
          <w:tcPr>
            <w:tcW w:w="429" w:type="dxa"/>
            <w:tcBorders/>
            <w:shd w:fill="auto" w:val="clear"/>
          </w:tcPr>
          <w:p>
            <w:pPr>
              <w:pStyle w:val="TableContents"/>
              <w:spacing w:before="0" w:after="283"/>
              <w:rPr/>
            </w:pPr>
            <w:r>
              <w:rPr/>
              <w:t>By:</w:t>
            </w:r>
          </w:p>
        </w:tc>
        <w:tc>
          <w:tcPr>
            <w:tcW w:w="71" w:type="dxa"/>
            <w:tcBorders>
              <w:bottom w:val="single" w:sz="2" w:space="0" w:color="000000"/>
            </w:tcBorders>
            <w:shd w:fill="auto" w:val="clear"/>
            <w:tcMar>
              <w:bottom w:w="28" w:type="dxa"/>
            </w:tcMar>
            <w:vAlign w:val="bottom"/>
          </w:tcPr>
          <w:p>
            <w:pPr>
              <w:pStyle w:val="TableContents"/>
              <w:spacing w:before="0" w:after="283"/>
              <w:rPr/>
            </w:pPr>
            <w:r>
              <w:rPr/>
              <w:t> </w:t>
            </w:r>
          </w:p>
        </w:tc>
        <w:tc>
          <w:tcPr>
            <w:tcW w:w="3582" w:type="dxa"/>
            <w:tcBorders>
              <w:bottom w:val="single" w:sz="2" w:space="0" w:color="000000"/>
            </w:tcBorders>
            <w:shd w:fill="auto" w:val="clear"/>
            <w:tcMar>
              <w:bottom w:w="28" w:type="dxa"/>
            </w:tcMar>
          </w:tcPr>
          <w:p>
            <w:pPr>
              <w:pStyle w:val="TableContents"/>
              <w:spacing w:before="0" w:after="283"/>
              <w:rPr/>
            </w:pPr>
            <w:r>
              <w:rPr/>
              <w:t> </w:t>
            </w:r>
          </w:p>
        </w:tc>
      </w:tr>
      <w:tr>
        <w:trPr/>
        <w:tc>
          <w:tcPr>
            <w:tcW w:w="429"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3582" w:type="dxa"/>
            <w:tcBorders/>
            <w:shd w:fill="auto" w:val="clear"/>
            <w:vAlign w:val="bottom"/>
          </w:tcPr>
          <w:p>
            <w:pPr>
              <w:pStyle w:val="TableContents"/>
              <w:spacing w:before="0" w:after="283"/>
              <w:rPr/>
            </w:pPr>
            <w:r>
              <w:rPr/>
              <w:t>Name:</w:t>
            </w:r>
          </w:p>
        </w:tc>
      </w:tr>
      <w:tr>
        <w:trPr/>
        <w:tc>
          <w:tcPr>
            <w:tcW w:w="429"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3582" w:type="dxa"/>
            <w:tcBorders/>
            <w:shd w:fill="auto" w:val="clear"/>
            <w:vAlign w:val="bottom"/>
          </w:tcPr>
          <w:p>
            <w:pPr>
              <w:pStyle w:val="TableContents"/>
              <w:spacing w:before="0" w:after="283"/>
              <w:rPr/>
            </w:pPr>
            <w:r>
              <w:rPr/>
              <w:t>Title:</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SCHEDULE 2.1 </w:t>
      </w:r>
    </w:p>
    <w:p>
      <w:pPr>
        <w:pStyle w:val="TextBody"/>
        <w:spacing w:before="120" w:after="0"/>
        <w:jc w:val="center"/>
        <w:rPr>
          <w:rFonts w:ascii="Times New Roman" w:hAnsi="Times New Roman"/>
          <w:b/>
          <w:sz w:val="20"/>
          <w:u w:val="single"/>
        </w:rPr>
      </w:pPr>
      <w:r>
        <w:rPr>
          <w:rFonts w:ascii="Times New Roman" w:hAnsi="Times New Roman"/>
          <w:b/>
          <w:sz w:val="20"/>
          <w:u w:val="single"/>
        </w:rPr>
        <w:t xml:space="preserve">COMMITMENTS </w:t>
      </w:r>
    </w:p>
    <w:p>
      <w:pPr>
        <w:pStyle w:val="TextBody"/>
        <w:spacing w:before="12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4.1(f) </w:t>
      </w:r>
    </w:p>
    <w:p>
      <w:pPr>
        <w:pStyle w:val="TextBody"/>
        <w:spacing w:before="120" w:after="0"/>
        <w:jc w:val="center"/>
        <w:rPr>
          <w:rFonts w:ascii="Times New Roman" w:hAnsi="Times New Roman"/>
          <w:b/>
          <w:sz w:val="20"/>
          <w:u w:val="single"/>
        </w:rPr>
      </w:pPr>
      <w:r>
        <w:rPr>
          <w:rFonts w:ascii="Times New Roman" w:hAnsi="Times New Roman"/>
          <w:b/>
          <w:sz w:val="20"/>
          <w:u w:val="single"/>
        </w:rPr>
        <w:t xml:space="preserve">CLOSING CHECKLIST </w:t>
      </w:r>
    </w:p>
    <w:p>
      <w:pPr>
        <w:pStyle w:val="TextBody"/>
        <w:spacing w:before="12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5.6 </w:t>
      </w:r>
    </w:p>
    <w:p>
      <w:pPr>
        <w:pStyle w:val="TextBody"/>
        <w:spacing w:before="120" w:after="0"/>
        <w:jc w:val="center"/>
        <w:rPr>
          <w:rFonts w:ascii="Times New Roman" w:hAnsi="Times New Roman"/>
          <w:b/>
          <w:sz w:val="20"/>
          <w:u w:val="single"/>
        </w:rPr>
      </w:pPr>
      <w:r>
        <w:rPr>
          <w:rFonts w:ascii="Times New Roman" w:hAnsi="Times New Roman"/>
          <w:b/>
          <w:sz w:val="20"/>
          <w:u w:val="single"/>
        </w:rPr>
        <w:t xml:space="preserve">DISCLOSED MATTERS </w:t>
      </w:r>
    </w:p>
    <w:p>
      <w:pPr>
        <w:pStyle w:val="TextBody"/>
        <w:spacing w:before="120" w:after="0"/>
        <w:jc w:val="center"/>
        <w:rPr>
          <w:rFonts w:ascii="Times New Roman" w:hAnsi="Times New Roman"/>
          <w:sz w:val="22"/>
        </w:rPr>
      </w:pPr>
      <w:r>
        <w:rPr>
          <w:rFonts w:ascii="Times New Roman" w:hAnsi="Times New Roman"/>
          <w:sz w:val="22"/>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5.13 </w:t>
      </w:r>
    </w:p>
    <w:p>
      <w:pPr>
        <w:pStyle w:val="TextBody"/>
        <w:spacing w:before="120" w:after="0"/>
        <w:jc w:val="center"/>
        <w:rPr>
          <w:rFonts w:ascii="Times New Roman" w:hAnsi="Times New Roman"/>
          <w:b/>
          <w:sz w:val="20"/>
          <w:u w:val="single"/>
        </w:rPr>
      </w:pPr>
      <w:r>
        <w:rPr>
          <w:rFonts w:ascii="Times New Roman" w:hAnsi="Times New Roman"/>
          <w:b/>
          <w:sz w:val="20"/>
          <w:u w:val="single"/>
        </w:rPr>
        <w:t xml:space="preserve">SUBSIDIARIES; EQUITY INTERESTS </w:t>
      </w:r>
    </w:p>
    <w:p>
      <w:pPr>
        <w:pStyle w:val="TextBody"/>
        <w:spacing w:before="12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5.14 </w:t>
      </w:r>
    </w:p>
    <w:p>
      <w:pPr>
        <w:pStyle w:val="TextBody"/>
        <w:spacing w:before="120" w:after="0"/>
        <w:jc w:val="center"/>
        <w:rPr>
          <w:rFonts w:ascii="Times New Roman" w:hAnsi="Times New Roman"/>
          <w:b/>
          <w:sz w:val="20"/>
          <w:u w:val="single"/>
        </w:rPr>
      </w:pPr>
      <w:r>
        <w:rPr>
          <w:rFonts w:ascii="Times New Roman" w:hAnsi="Times New Roman"/>
          <w:b/>
          <w:sz w:val="20"/>
          <w:u w:val="single"/>
        </w:rPr>
        <w:t xml:space="preserve">INSURANCE </w:t>
      </w:r>
    </w:p>
    <w:p>
      <w:pPr>
        <w:pStyle w:val="TextBody"/>
        <w:spacing w:before="12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5.16(a) </w:t>
      </w:r>
    </w:p>
    <w:p>
      <w:pPr>
        <w:pStyle w:val="TextBody"/>
        <w:spacing w:before="120" w:after="0"/>
        <w:jc w:val="center"/>
        <w:rPr>
          <w:rFonts w:ascii="Times New Roman" w:hAnsi="Times New Roman"/>
          <w:b/>
          <w:sz w:val="20"/>
          <w:u w:val="single"/>
        </w:rPr>
      </w:pPr>
      <w:r>
        <w:rPr>
          <w:rFonts w:ascii="Times New Roman" w:hAnsi="Times New Roman"/>
          <w:b/>
          <w:sz w:val="20"/>
          <w:u w:val="single"/>
        </w:rPr>
        <w:t xml:space="preserve">UCC FILING OFFICES </w:t>
      </w:r>
    </w:p>
    <w:p>
      <w:pPr>
        <w:pStyle w:val="TextBody"/>
        <w:spacing w:before="12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5.19 </w:t>
      </w:r>
    </w:p>
    <w:p>
      <w:pPr>
        <w:pStyle w:val="TextBody"/>
        <w:spacing w:before="120" w:after="0"/>
        <w:jc w:val="center"/>
        <w:rPr>
          <w:rFonts w:ascii="Times New Roman" w:hAnsi="Times New Roman"/>
          <w:b/>
          <w:sz w:val="20"/>
          <w:u w:val="single"/>
        </w:rPr>
      </w:pPr>
      <w:r>
        <w:rPr>
          <w:rFonts w:ascii="Times New Roman" w:hAnsi="Times New Roman"/>
          <w:b/>
          <w:sz w:val="20"/>
          <w:u w:val="single"/>
        </w:rPr>
        <w:t xml:space="preserve">MATERIAL OWNED REAL PROPERTY </w:t>
      </w:r>
    </w:p>
    <w:p>
      <w:pPr>
        <w:pStyle w:val="TextBody"/>
        <w:spacing w:before="12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6.15 </w:t>
      </w:r>
    </w:p>
    <w:p>
      <w:pPr>
        <w:pStyle w:val="TextBody"/>
        <w:spacing w:before="120" w:after="0"/>
        <w:jc w:val="center"/>
        <w:rPr>
          <w:rFonts w:ascii="Times New Roman" w:hAnsi="Times New Roman"/>
          <w:b/>
          <w:sz w:val="20"/>
          <w:u w:val="single"/>
        </w:rPr>
      </w:pPr>
      <w:r>
        <w:rPr>
          <w:rFonts w:ascii="Times New Roman" w:hAnsi="Times New Roman"/>
          <w:b/>
          <w:sz w:val="20"/>
          <w:u w:val="single"/>
        </w:rPr>
        <w:t xml:space="preserve">CERTAIN POST-CLOSING OBLIGATIONS </w:t>
      </w:r>
    </w:p>
    <w:p>
      <w:pPr>
        <w:pStyle w:val="TextBody"/>
        <w:spacing w:before="12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7.1 </w:t>
      </w:r>
    </w:p>
    <w:p>
      <w:pPr>
        <w:pStyle w:val="TextBody"/>
        <w:spacing w:before="120" w:after="0"/>
        <w:jc w:val="center"/>
        <w:rPr>
          <w:rFonts w:ascii="Times New Roman" w:hAnsi="Times New Roman"/>
          <w:b/>
          <w:sz w:val="20"/>
          <w:u w:val="single"/>
        </w:rPr>
      </w:pPr>
      <w:r>
        <w:rPr>
          <w:rFonts w:ascii="Times New Roman" w:hAnsi="Times New Roman"/>
          <w:b/>
          <w:sz w:val="20"/>
          <w:u w:val="single"/>
        </w:rPr>
        <w:t xml:space="preserve">EXISTING INDEBTEDNESS </w:t>
      </w:r>
    </w:p>
    <w:p>
      <w:pPr>
        <w:pStyle w:val="TextBody"/>
        <w:spacing w:before="12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7.2 </w:t>
      </w:r>
    </w:p>
    <w:p>
      <w:pPr>
        <w:pStyle w:val="TextBody"/>
        <w:spacing w:before="120" w:after="0"/>
        <w:jc w:val="center"/>
        <w:rPr>
          <w:rFonts w:ascii="Times New Roman" w:hAnsi="Times New Roman"/>
          <w:b/>
          <w:sz w:val="20"/>
          <w:u w:val="single"/>
        </w:rPr>
      </w:pPr>
      <w:r>
        <w:rPr>
          <w:rFonts w:ascii="Times New Roman" w:hAnsi="Times New Roman"/>
          <w:b/>
          <w:sz w:val="20"/>
          <w:u w:val="single"/>
        </w:rPr>
        <w:t xml:space="preserve">EXISTING LIENS </w:t>
      </w:r>
    </w:p>
    <w:p>
      <w:pPr>
        <w:pStyle w:val="TextBody"/>
        <w:spacing w:before="12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7.4 </w:t>
      </w:r>
    </w:p>
    <w:p>
      <w:pPr>
        <w:pStyle w:val="TextBody"/>
        <w:spacing w:before="120" w:after="0"/>
        <w:jc w:val="center"/>
        <w:rPr>
          <w:rFonts w:ascii="Times New Roman" w:hAnsi="Times New Roman"/>
          <w:b/>
          <w:sz w:val="20"/>
          <w:u w:val="single"/>
        </w:rPr>
      </w:pPr>
      <w:r>
        <w:rPr>
          <w:rFonts w:ascii="Times New Roman" w:hAnsi="Times New Roman"/>
          <w:b/>
          <w:sz w:val="20"/>
          <w:u w:val="single"/>
        </w:rPr>
        <w:t xml:space="preserve">EXISTING INVESTMENTS </w:t>
      </w:r>
    </w:p>
    <w:p>
      <w:pPr>
        <w:pStyle w:val="TextBody"/>
        <w:spacing w:before="12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7.10 </w:t>
      </w:r>
    </w:p>
    <w:p>
      <w:pPr>
        <w:pStyle w:val="TextBody"/>
        <w:spacing w:before="120" w:after="0"/>
        <w:jc w:val="center"/>
        <w:rPr>
          <w:rFonts w:ascii="Times New Roman" w:hAnsi="Times New Roman"/>
          <w:b/>
          <w:sz w:val="20"/>
          <w:u w:val="single"/>
        </w:rPr>
      </w:pPr>
      <w:r>
        <w:rPr>
          <w:rFonts w:ascii="Times New Roman" w:hAnsi="Times New Roman"/>
          <w:b/>
          <w:sz w:val="20"/>
          <w:u w:val="single"/>
        </w:rPr>
        <w:t xml:space="preserve">EXISTING RESTRICTIONS </w:t>
      </w:r>
    </w:p>
    <w:p>
      <w:pPr>
        <w:pStyle w:val="TextBody"/>
        <w:spacing w:before="12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10.1 </w:t>
      </w:r>
    </w:p>
    <w:p>
      <w:pPr>
        <w:pStyle w:val="TextBody"/>
        <w:spacing w:before="120" w:after="0"/>
        <w:jc w:val="center"/>
        <w:rPr>
          <w:rFonts w:ascii="Times New Roman" w:hAnsi="Times New Roman"/>
          <w:b/>
          <w:sz w:val="20"/>
          <w:u w:val="single"/>
        </w:rPr>
      </w:pPr>
      <w:r>
        <w:rPr>
          <w:rFonts w:ascii="Times New Roman" w:hAnsi="Times New Roman"/>
          <w:b/>
          <w:sz w:val="20"/>
          <w:u w:val="single"/>
        </w:rPr>
        <w:t xml:space="preserve">NOTICE INFORMATION </w:t>
      </w:r>
    </w:p>
    <w:p>
      <w:pPr>
        <w:pStyle w:val="TextBody"/>
        <w:spacing w:before="12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A </w:t>
      </w:r>
    </w:p>
    <w:p>
      <w:pPr>
        <w:pStyle w:val="TextBody"/>
        <w:spacing w:before="120" w:after="0"/>
        <w:jc w:val="center"/>
        <w:rPr>
          <w:rFonts w:ascii="Times New Roman" w:hAnsi="Times New Roman"/>
          <w:b/>
          <w:sz w:val="20"/>
          <w:u w:val="single"/>
        </w:rPr>
      </w:pPr>
      <w:r>
        <w:rPr>
          <w:rFonts w:ascii="Times New Roman" w:hAnsi="Times New Roman"/>
          <w:b/>
          <w:sz w:val="20"/>
          <w:u w:val="single"/>
        </w:rPr>
        <w:t xml:space="preserve">FORM OF ASSIGNMENT AND ASSUMPTION </w:t>
      </w:r>
    </w:p>
    <w:p>
      <w:pPr>
        <w:pStyle w:val="TextBody"/>
        <w:spacing w:before="12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B </w:t>
      </w:r>
    </w:p>
    <w:p>
      <w:pPr>
        <w:pStyle w:val="TextBody"/>
        <w:spacing w:before="120" w:after="0"/>
        <w:jc w:val="center"/>
        <w:rPr>
          <w:rFonts w:ascii="Times New Roman" w:hAnsi="Times New Roman"/>
          <w:b/>
          <w:sz w:val="20"/>
          <w:u w:val="single"/>
        </w:rPr>
      </w:pPr>
      <w:r>
        <w:rPr>
          <w:rFonts w:ascii="Times New Roman" w:hAnsi="Times New Roman"/>
          <w:b/>
          <w:sz w:val="20"/>
          <w:u w:val="single"/>
        </w:rPr>
        <w:t xml:space="preserve">FORM OF TERM LOAN NOTE </w:t>
      </w:r>
    </w:p>
    <w:p>
      <w:pPr>
        <w:pStyle w:val="TextBody"/>
        <w:spacing w:before="12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C </w:t>
      </w:r>
    </w:p>
    <w:p>
      <w:pPr>
        <w:pStyle w:val="TextBody"/>
        <w:spacing w:before="120" w:after="0"/>
        <w:jc w:val="center"/>
        <w:rPr>
          <w:rFonts w:ascii="Times New Roman" w:hAnsi="Times New Roman"/>
          <w:b/>
          <w:sz w:val="20"/>
          <w:u w:val="single"/>
        </w:rPr>
      </w:pPr>
      <w:r>
        <w:rPr>
          <w:rFonts w:ascii="Times New Roman" w:hAnsi="Times New Roman"/>
          <w:b/>
          <w:sz w:val="20"/>
          <w:u w:val="single"/>
        </w:rPr>
        <w:t xml:space="preserve">FORM OF COMPLIANCE CERTIFICATE </w:t>
      </w:r>
    </w:p>
    <w:p>
      <w:pPr>
        <w:pStyle w:val="TextBody"/>
        <w:spacing w:before="12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D </w:t>
      </w:r>
    </w:p>
    <w:p>
      <w:pPr>
        <w:pStyle w:val="TextBody"/>
        <w:spacing w:before="120" w:after="0"/>
        <w:jc w:val="center"/>
        <w:rPr>
          <w:rFonts w:ascii="Times New Roman" w:hAnsi="Times New Roman"/>
          <w:b/>
          <w:sz w:val="20"/>
          <w:u w:val="single"/>
        </w:rPr>
      </w:pPr>
      <w:r>
        <w:rPr>
          <w:rFonts w:ascii="Times New Roman" w:hAnsi="Times New Roman"/>
          <w:b/>
          <w:sz w:val="20"/>
          <w:u w:val="single"/>
        </w:rPr>
        <w:t xml:space="preserve">FORMS OF CLOSING CERTIFICATE OF [NAME OF LOAN PARTY] </w:t>
      </w:r>
    </w:p>
    <w:p>
      <w:pPr>
        <w:pStyle w:val="TextBody"/>
        <w:spacing w:before="12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E </w:t>
      </w:r>
    </w:p>
    <w:p>
      <w:pPr>
        <w:pStyle w:val="TextBody"/>
        <w:spacing w:before="120" w:after="0"/>
        <w:jc w:val="center"/>
        <w:rPr>
          <w:rFonts w:ascii="Times New Roman" w:hAnsi="Times New Roman"/>
          <w:b/>
          <w:sz w:val="20"/>
          <w:u w:val="single"/>
        </w:rPr>
      </w:pPr>
      <w:r>
        <w:rPr>
          <w:rFonts w:ascii="Times New Roman" w:hAnsi="Times New Roman"/>
          <w:b/>
          <w:sz w:val="20"/>
          <w:u w:val="single"/>
        </w:rPr>
        <w:t xml:space="preserve">FORM OF SUBSIDIARY JOINDER AGREEMENT </w:t>
      </w:r>
    </w:p>
    <w:p>
      <w:pPr>
        <w:pStyle w:val="TextBody"/>
        <w:spacing w:before="12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F-1 </w:t>
      </w:r>
    </w:p>
    <w:p>
      <w:pPr>
        <w:pStyle w:val="TextBody"/>
        <w:spacing w:before="120" w:after="0"/>
        <w:jc w:val="center"/>
        <w:rPr>
          <w:rFonts w:ascii="Times New Roman" w:hAnsi="Times New Roman"/>
          <w:b/>
          <w:sz w:val="20"/>
          <w:u w:val="single"/>
        </w:rPr>
      </w:pPr>
      <w:r>
        <w:rPr>
          <w:rFonts w:ascii="Times New Roman" w:hAnsi="Times New Roman"/>
          <w:b/>
          <w:sz w:val="20"/>
          <w:u w:val="single"/>
        </w:rPr>
        <w:t xml:space="preserve">FORM OF U.S. TAX COMPLIANCE CERTIFICATE </w:t>
      </w:r>
    </w:p>
    <w:p>
      <w:pPr>
        <w:pStyle w:val="TextBody"/>
        <w:spacing w:before="120" w:after="0"/>
        <w:jc w:val="center"/>
        <w:rPr>
          <w:rFonts w:ascii="Times New Roman" w:hAnsi="Times New Roman"/>
          <w:b/>
          <w:sz w:val="20"/>
        </w:rPr>
      </w:pPr>
      <w:r>
        <w:rPr>
          <w:rFonts w:ascii="Times New Roman" w:hAnsi="Times New Roman"/>
          <w:b/>
          <w:sz w:val="20"/>
        </w:rPr>
        <w:t xml:space="preserve">(For Foreign Lenders That Are Not Partnerships For U.S. Federal Income Tax Purposes) </w:t>
      </w:r>
    </w:p>
    <w:p>
      <w:pPr>
        <w:pStyle w:val="TextBody"/>
        <w:spacing w:before="12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F-2 </w:t>
      </w:r>
    </w:p>
    <w:p>
      <w:pPr>
        <w:pStyle w:val="TextBody"/>
        <w:spacing w:before="120" w:after="0"/>
        <w:jc w:val="center"/>
        <w:rPr>
          <w:rFonts w:ascii="Times New Roman" w:hAnsi="Times New Roman"/>
          <w:b/>
          <w:sz w:val="20"/>
          <w:u w:val="single"/>
        </w:rPr>
      </w:pPr>
      <w:r>
        <w:rPr>
          <w:rFonts w:ascii="Times New Roman" w:hAnsi="Times New Roman"/>
          <w:b/>
          <w:sz w:val="20"/>
          <w:u w:val="single"/>
        </w:rPr>
        <w:t xml:space="preserve">FORM OF U.S. TAX COMPLIANCE CERTIFICATE </w:t>
      </w:r>
    </w:p>
    <w:p>
      <w:pPr>
        <w:pStyle w:val="TextBody"/>
        <w:spacing w:before="120" w:after="0"/>
        <w:jc w:val="center"/>
        <w:rPr>
          <w:rFonts w:ascii="Times New Roman" w:hAnsi="Times New Roman"/>
          <w:b/>
          <w:sz w:val="20"/>
        </w:rPr>
      </w:pPr>
      <w:r>
        <w:rPr>
          <w:rFonts w:ascii="Times New Roman" w:hAnsi="Times New Roman"/>
          <w:b/>
          <w:sz w:val="20"/>
        </w:rPr>
        <w:t xml:space="preserve">(For Foreign Participants That Are Not Partnerships For U.S. Federal Income Tax Purposes) </w:t>
      </w:r>
    </w:p>
    <w:p>
      <w:pPr>
        <w:pStyle w:val="TextBody"/>
        <w:spacing w:before="12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F-3 </w:t>
      </w:r>
    </w:p>
    <w:p>
      <w:pPr>
        <w:pStyle w:val="TextBody"/>
        <w:spacing w:before="120" w:after="0"/>
        <w:jc w:val="center"/>
        <w:rPr>
          <w:rFonts w:ascii="Times New Roman" w:hAnsi="Times New Roman"/>
          <w:b/>
          <w:sz w:val="20"/>
          <w:u w:val="single"/>
        </w:rPr>
      </w:pPr>
      <w:r>
        <w:rPr>
          <w:rFonts w:ascii="Times New Roman" w:hAnsi="Times New Roman"/>
          <w:b/>
          <w:sz w:val="20"/>
          <w:u w:val="single"/>
        </w:rPr>
        <w:t xml:space="preserve">FORM OF U.S. TAX COMPLIANCE CERTIFICATE </w:t>
      </w:r>
    </w:p>
    <w:p>
      <w:pPr>
        <w:pStyle w:val="TextBody"/>
        <w:spacing w:before="120" w:after="0"/>
        <w:jc w:val="center"/>
        <w:rPr>
          <w:rFonts w:ascii="Times New Roman" w:hAnsi="Times New Roman"/>
          <w:b/>
          <w:sz w:val="20"/>
        </w:rPr>
      </w:pPr>
      <w:r>
        <w:rPr>
          <w:rFonts w:ascii="Times New Roman" w:hAnsi="Times New Roman"/>
          <w:b/>
          <w:sz w:val="20"/>
        </w:rPr>
        <w:t xml:space="preserve">(For Foreign Participants That Are Partnerships For U.S. Federal Income Tax Purposes) </w:t>
      </w:r>
    </w:p>
    <w:p>
      <w:pPr>
        <w:pStyle w:val="TextBody"/>
        <w:spacing w:before="12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F-4 </w:t>
      </w:r>
    </w:p>
    <w:p>
      <w:pPr>
        <w:pStyle w:val="TextBody"/>
        <w:spacing w:before="120" w:after="0"/>
        <w:jc w:val="center"/>
        <w:rPr>
          <w:rFonts w:ascii="Times New Roman" w:hAnsi="Times New Roman"/>
          <w:b/>
          <w:sz w:val="20"/>
          <w:u w:val="single"/>
        </w:rPr>
      </w:pPr>
      <w:r>
        <w:rPr>
          <w:rFonts w:ascii="Times New Roman" w:hAnsi="Times New Roman"/>
          <w:b/>
          <w:sz w:val="20"/>
          <w:u w:val="single"/>
        </w:rPr>
        <w:t xml:space="preserve">FORM OF U.S. TAX COMPLIANCE CERTIFICATE </w:t>
      </w:r>
    </w:p>
    <w:p>
      <w:pPr>
        <w:pStyle w:val="TextBody"/>
        <w:spacing w:before="120" w:after="0"/>
        <w:jc w:val="center"/>
        <w:rPr>
          <w:rFonts w:ascii="Times New Roman" w:hAnsi="Times New Roman"/>
          <w:b/>
          <w:sz w:val="20"/>
        </w:rPr>
      </w:pPr>
      <w:r>
        <w:rPr>
          <w:rFonts w:ascii="Times New Roman" w:hAnsi="Times New Roman"/>
          <w:b/>
          <w:sz w:val="20"/>
        </w:rPr>
        <w:t xml:space="preserve">(For Foreign Lenders That Are Partnerships For U.S. Federal Income Tax Purposes) </w:t>
      </w:r>
    </w:p>
    <w:p>
      <w:pPr>
        <w:pStyle w:val="TextBody"/>
        <w:spacing w:before="12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G </w:t>
      </w:r>
    </w:p>
    <w:p>
      <w:pPr>
        <w:pStyle w:val="TextBody"/>
        <w:spacing w:before="120" w:after="0"/>
        <w:jc w:val="center"/>
        <w:rPr>
          <w:rFonts w:ascii="Times New Roman" w:hAnsi="Times New Roman"/>
          <w:b/>
          <w:sz w:val="20"/>
          <w:u w:val="single"/>
        </w:rPr>
      </w:pPr>
      <w:r>
        <w:rPr>
          <w:rFonts w:ascii="Times New Roman" w:hAnsi="Times New Roman"/>
          <w:b/>
          <w:sz w:val="20"/>
          <w:u w:val="single"/>
        </w:rPr>
        <w:t xml:space="preserve">FORM OF PERFECTION CERTIFICATE </w:t>
      </w:r>
    </w:p>
    <w:p>
      <w:pPr>
        <w:pStyle w:val="TextBody"/>
        <w:spacing w:before="12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H </w:t>
      </w:r>
    </w:p>
    <w:p>
      <w:pPr>
        <w:pStyle w:val="TextBody"/>
        <w:spacing w:before="120" w:after="0"/>
        <w:jc w:val="center"/>
        <w:rPr>
          <w:rFonts w:ascii="Times New Roman" w:hAnsi="Times New Roman"/>
          <w:b/>
          <w:sz w:val="20"/>
          <w:u w:val="single"/>
        </w:rPr>
      </w:pPr>
      <w:r>
        <w:rPr>
          <w:rFonts w:ascii="Times New Roman" w:hAnsi="Times New Roman"/>
          <w:b/>
          <w:sz w:val="20"/>
          <w:u w:val="single"/>
        </w:rPr>
        <w:t xml:space="preserve">FORM OF SOLVENCY CERTIFICATE </w:t>
      </w:r>
    </w:p>
    <w:p>
      <w:pPr>
        <w:pStyle w:val="TextBody"/>
        <w:spacing w:before="120" w:after="0"/>
        <w:jc w:val="center"/>
        <w:rPr>
          <w:rFonts w:ascii="Times New Roman" w:hAnsi="Times New Roman"/>
          <w:sz w:val="20"/>
        </w:rPr>
      </w:pPr>
      <w:r>
        <w:rPr>
          <w:rFonts w:ascii="Times New Roman" w:hAnsi="Times New Roman"/>
          <w:sz w:val="20"/>
        </w:rPr>
        <w:t xml:space="preserve">[*] </w:t>
      </w:r>
      <w:r>
        <w:br w:type="page"/>
      </w:r>
    </w:p>
    <w:p>
      <w:pPr>
        <w:pStyle w:val="TextBody"/>
        <w:spacing w:before="0" w:after="0"/>
        <w:jc w:val="right"/>
        <w:rPr>
          <w:rFonts w:ascii="Times New Roman" w:hAnsi="Times New Roman"/>
          <w:b/>
          <w:sz w:val="20"/>
        </w:rPr>
      </w:pPr>
      <w:bookmarkStart w:id="85" w:name="d497326dex121.htm"/>
      <w:bookmarkStart w:id="86" w:name="ksd497326dex121"/>
      <w:bookmarkEnd w:id="85"/>
      <w:bookmarkEnd w:id="86"/>
      <w:r>
        <w:rPr>
          <w:rFonts w:ascii="Times New Roman" w:hAnsi="Times New Roman"/>
          <w:b/>
          <w:sz w:val="20"/>
        </w:rPr>
        <w:t xml:space="preserve">Exhibit 12.1 </w:t>
      </w:r>
    </w:p>
    <w:p>
      <w:pPr>
        <w:pStyle w:val="TextBody"/>
        <w:spacing w:before="240" w:after="0"/>
        <w:jc w:val="center"/>
        <w:rPr>
          <w:rFonts w:ascii="Times New Roman" w:hAnsi="Times New Roman"/>
          <w:b/>
          <w:sz w:val="20"/>
        </w:rPr>
      </w:pPr>
      <w:r>
        <w:rPr>
          <w:rFonts w:ascii="Times New Roman" w:hAnsi="Times New Roman"/>
          <w:b/>
          <w:sz w:val="20"/>
        </w:rPr>
        <w:t xml:space="preserve">CERTIFICATION PURSUANT TO </w:t>
      </w:r>
    </w:p>
    <w:p>
      <w:pPr>
        <w:pStyle w:val="TextBody"/>
        <w:spacing w:before="0" w:after="0"/>
        <w:jc w:val="center"/>
        <w:rPr>
          <w:rFonts w:ascii="Times New Roman" w:hAnsi="Times New Roman"/>
          <w:b/>
          <w:sz w:val="20"/>
        </w:rPr>
      </w:pPr>
      <w:r>
        <w:rPr>
          <w:rFonts w:ascii="Times New Roman" w:hAnsi="Times New Roman"/>
          <w:b/>
          <w:sz w:val="20"/>
        </w:rPr>
        <w:t xml:space="preserve">RULES 13a-14(a) AND 15d-14(a) UNDER THE SECURITIES EXCHANGE ACT OF 1934, </w:t>
      </w:r>
    </w:p>
    <w:p>
      <w:pPr>
        <w:pStyle w:val="TextBody"/>
        <w:spacing w:before="0" w:after="0"/>
        <w:jc w:val="center"/>
        <w:rPr>
          <w:rFonts w:ascii="Times New Roman" w:hAnsi="Times New Roman"/>
          <w:b/>
          <w:sz w:val="20"/>
        </w:rPr>
      </w:pPr>
      <w:r>
        <w:rPr>
          <w:rFonts w:ascii="Times New Roman" w:hAnsi="Times New Roman"/>
          <w:b/>
          <w:sz w:val="20"/>
        </w:rPr>
        <w:t xml:space="preserve">AS ADOPTED PURSUANT TO SECTION 302 OF THE SARBANES-OXLEY ACT OF 2002 </w:t>
      </w:r>
    </w:p>
    <w:p>
      <w:pPr>
        <w:pStyle w:val="TextBody"/>
        <w:spacing w:before="240" w:after="0"/>
        <w:jc w:val="left"/>
        <w:rPr>
          <w:rFonts w:ascii="Times New Roman" w:hAnsi="Times New Roman"/>
          <w:sz w:val="20"/>
        </w:rPr>
      </w:pPr>
      <w:r>
        <w:rPr>
          <w:rFonts w:ascii="Times New Roman" w:hAnsi="Times New Roman"/>
          <w:sz w:val="20"/>
        </w:rPr>
        <w:t xml:space="preserve">I, Emin Bulent Altan, Co-Chief Executive Officer, certify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 have reviewed this annual report on Form 20-F of Mynaric AG;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(c)</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evaluated the effectiveness of the companys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9"/>
        <w:gridCol w:w="9288"/>
      </w:tblGrid>
      <w:tr>
        <w:trPr/>
        <w:tc>
          <w:tcPr>
            <w:tcW w:w="4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(d)</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companys other certifying officer(s) and I have disclosed, based on our most recent evaluation of internal control over financial reporting, to the companys auditors and the audit committee of the companys board of directors (or persons performing the equivalent functions):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companys ability to record, process, summarize and report financial information;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companys internal control over financial reporting. </w:t>
            </w:r>
          </w:p>
        </w:tc>
      </w:tr>
    </w:tbl>
    <w:p>
      <w:pPr>
        <w:pStyle w:val="TextBody"/>
        <w:spacing w:before="240" w:after="0"/>
        <w:jc w:val="left"/>
        <w:rPr>
          <w:rFonts w:ascii="Times New Roman" w:hAnsi="Times New Roman"/>
          <w:sz w:val="20"/>
        </w:rPr>
      </w:pPr>
      <w:r>
        <w:rPr>
          <w:rFonts w:ascii="Times New Roman" w:hAnsi="Times New Roman"/>
          <w:sz w:val="20"/>
        </w:rPr>
        <w:t xml:space="preserve">Date: May 1, 2023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72"/>
        <w:gridCol w:w="60"/>
        <w:gridCol w:w="3650"/>
      </w:tblGrid>
      <w:tr>
        <w:trPr/>
        <w:tc>
          <w:tcPr>
            <w:tcW w:w="3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50" w:type="dxa"/>
            <w:tcBorders/>
            <w:shd w:fill="auto" w:val="clear"/>
            <w:vAlign w:val="center"/>
          </w:tcPr>
          <w:p>
            <w:pPr>
              <w:pStyle w:val="TableContents"/>
              <w:spacing w:before="0" w:after="283"/>
              <w:rPr>
                <w:sz w:val="4"/>
                <w:szCs w:val="4"/>
              </w:rPr>
            </w:pPr>
            <w:r>
              <w:rPr>
                <w:sz w:val="4"/>
                <w:szCs w:val="4"/>
              </w:rPr>
            </w:r>
          </w:p>
        </w:tc>
      </w:tr>
      <w:tr>
        <w:trPr/>
        <w:tc>
          <w:tcPr>
            <w:tcW w:w="372" w:type="dxa"/>
            <w:tcBorders/>
            <w:shd w:fill="auto" w:val="clear"/>
          </w:tcPr>
          <w:p>
            <w:pPr>
              <w:pStyle w:val="TableContents"/>
              <w:spacing w:before="0" w:after="283"/>
              <w:rPr/>
            </w:pPr>
            <w:r>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50" w:type="dxa"/>
            <w:tcBorders>
              <w:bottom w:val="single" w:sz="2" w:space="0" w:color="000000"/>
            </w:tcBorders>
            <w:shd w:fill="auto" w:val="clear"/>
            <w:tcMar>
              <w:bottom w:w="28" w:type="dxa"/>
            </w:tcMar>
          </w:tcPr>
          <w:p>
            <w:pPr>
              <w:pStyle w:val="TableContents"/>
              <w:spacing w:before="0" w:after="283"/>
              <w:rPr/>
            </w:pPr>
            <w:r>
              <w:rPr/>
              <w:t>/s/ Emin Bulent Altan</w:t>
            </w:r>
          </w:p>
        </w:tc>
      </w:tr>
      <w:tr>
        <w:trPr/>
        <w:tc>
          <w:tcPr>
            <w:tcW w:w="37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0" w:type="dxa"/>
            <w:tcBorders/>
            <w:shd w:fill="auto" w:val="clear"/>
          </w:tcPr>
          <w:p>
            <w:pPr>
              <w:pStyle w:val="TableContents"/>
              <w:spacing w:before="0" w:after="283"/>
              <w:rPr/>
            </w:pPr>
            <w:r>
              <w:rPr/>
              <w:t>Emin Bulent Altan</w:t>
            </w:r>
          </w:p>
        </w:tc>
      </w:tr>
      <w:tr>
        <w:trPr/>
        <w:tc>
          <w:tcPr>
            <w:tcW w:w="37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0" w:type="dxa"/>
            <w:tcBorders/>
            <w:shd w:fill="auto" w:val="clear"/>
          </w:tcPr>
          <w:p>
            <w:pPr>
              <w:pStyle w:val="TableContents"/>
              <w:spacing w:before="0" w:after="283"/>
              <w:rPr/>
            </w:pPr>
            <w:r>
              <w:rPr/>
              <w:t>Co-Chief Executive Officer</w:t>
            </w:r>
          </w:p>
        </w:tc>
      </w:tr>
    </w:tbl>
    <w:p>
      <w:pPr>
        <w:pStyle w:val="TextBody"/>
        <w:spacing w:before="0" w:after="0"/>
        <w:jc w:val="right"/>
        <w:rPr>
          <w:rFonts w:ascii="Times New Roman" w:hAnsi="Times New Roman"/>
          <w:b/>
          <w:sz w:val="20"/>
        </w:rPr>
      </w:pPr>
      <w:r>
        <w:br w:type="page"/>
      </w:r>
      <w:bookmarkStart w:id="87" w:name="d497326dex122.htm"/>
      <w:bookmarkStart w:id="88" w:name="ksd497326dex122"/>
      <w:bookmarkEnd w:id="87"/>
      <w:bookmarkEnd w:id="88"/>
      <w:r>
        <w:rPr>
          <w:rFonts w:ascii="Times New Roman" w:hAnsi="Times New Roman"/>
          <w:b/>
          <w:sz w:val="20"/>
        </w:rPr>
        <w:t xml:space="preserve">Exhibit 12.2 </w:t>
      </w:r>
    </w:p>
    <w:p>
      <w:pPr>
        <w:pStyle w:val="TextBody"/>
        <w:spacing w:before="240" w:after="0"/>
        <w:jc w:val="center"/>
        <w:rPr>
          <w:rFonts w:ascii="Times New Roman" w:hAnsi="Times New Roman"/>
          <w:b/>
          <w:sz w:val="20"/>
        </w:rPr>
      </w:pPr>
      <w:r>
        <w:rPr>
          <w:rFonts w:ascii="Times New Roman" w:hAnsi="Times New Roman"/>
          <w:b/>
          <w:sz w:val="20"/>
        </w:rPr>
        <w:t xml:space="preserve">CERTIFICATION PURSUANT TO </w:t>
      </w:r>
    </w:p>
    <w:p>
      <w:pPr>
        <w:pStyle w:val="TextBody"/>
        <w:spacing w:before="0" w:after="0"/>
        <w:jc w:val="center"/>
        <w:rPr>
          <w:rFonts w:ascii="Times New Roman" w:hAnsi="Times New Roman"/>
          <w:b/>
          <w:sz w:val="20"/>
        </w:rPr>
      </w:pPr>
      <w:r>
        <w:rPr>
          <w:rFonts w:ascii="Times New Roman" w:hAnsi="Times New Roman"/>
          <w:b/>
          <w:sz w:val="20"/>
        </w:rPr>
        <w:t xml:space="preserve">RULES 13a-14(a) AND 15d-14(a) UNDER THE SECURITIES EXCHANGE ACT OF 1934, </w:t>
      </w:r>
    </w:p>
    <w:p>
      <w:pPr>
        <w:pStyle w:val="TextBody"/>
        <w:spacing w:before="0" w:after="0"/>
        <w:jc w:val="center"/>
        <w:rPr>
          <w:rFonts w:ascii="Times New Roman" w:hAnsi="Times New Roman"/>
          <w:b/>
          <w:sz w:val="20"/>
        </w:rPr>
      </w:pPr>
      <w:r>
        <w:rPr>
          <w:rFonts w:ascii="Times New Roman" w:hAnsi="Times New Roman"/>
          <w:b/>
          <w:sz w:val="20"/>
        </w:rPr>
        <w:t xml:space="preserve">AS ADOPTED PURSUANT TO SECTION 302 OF THE SARBANES-OXLEY ACT OF 2002 </w:t>
      </w:r>
    </w:p>
    <w:p>
      <w:pPr>
        <w:pStyle w:val="TextBody"/>
        <w:spacing w:before="240" w:after="0"/>
        <w:jc w:val="left"/>
        <w:rPr>
          <w:rFonts w:ascii="Times New Roman" w:hAnsi="Times New Roman"/>
          <w:sz w:val="20"/>
        </w:rPr>
      </w:pPr>
      <w:r>
        <w:rPr>
          <w:rFonts w:ascii="Times New Roman" w:hAnsi="Times New Roman"/>
          <w:sz w:val="20"/>
        </w:rPr>
        <w:t xml:space="preserve">I, Mustafa Veziroglu, Co-Chief Executive Officer, certify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 have reviewed this annual report on Form 20-F of Mynaric AG;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(c)</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evaluated the effectiveness of the companys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9"/>
        <w:gridCol w:w="9288"/>
      </w:tblGrid>
      <w:tr>
        <w:trPr/>
        <w:tc>
          <w:tcPr>
            <w:tcW w:w="4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(d)</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companys other certifying officer(s) and I have disclosed, based on our most recent evaluation of internal control over financial reporting, to the companys auditors and the audit committee of the companys board of directors (or persons performing the equivalent functions):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companys ability to record, process, summarize and report financial information;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companys internal control over financial reporting. </w:t>
            </w:r>
          </w:p>
        </w:tc>
      </w:tr>
    </w:tbl>
    <w:p>
      <w:pPr>
        <w:pStyle w:val="TextBody"/>
        <w:spacing w:before="240" w:after="0"/>
        <w:jc w:val="left"/>
        <w:rPr>
          <w:rFonts w:ascii="Times New Roman" w:hAnsi="Times New Roman"/>
          <w:sz w:val="20"/>
        </w:rPr>
      </w:pPr>
      <w:r>
        <w:rPr>
          <w:rFonts w:ascii="Times New Roman" w:hAnsi="Times New Roman"/>
          <w:sz w:val="20"/>
        </w:rPr>
        <w:t xml:space="preserve">Date: May 1, 2023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72"/>
        <w:gridCol w:w="60"/>
        <w:gridCol w:w="3650"/>
      </w:tblGrid>
      <w:tr>
        <w:trPr/>
        <w:tc>
          <w:tcPr>
            <w:tcW w:w="3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50" w:type="dxa"/>
            <w:tcBorders/>
            <w:shd w:fill="auto" w:val="clear"/>
            <w:vAlign w:val="center"/>
          </w:tcPr>
          <w:p>
            <w:pPr>
              <w:pStyle w:val="TableContents"/>
              <w:spacing w:before="0" w:after="283"/>
              <w:rPr>
                <w:sz w:val="4"/>
                <w:szCs w:val="4"/>
              </w:rPr>
            </w:pPr>
            <w:r>
              <w:rPr>
                <w:sz w:val="4"/>
                <w:szCs w:val="4"/>
              </w:rPr>
            </w:r>
          </w:p>
        </w:tc>
      </w:tr>
      <w:tr>
        <w:trPr/>
        <w:tc>
          <w:tcPr>
            <w:tcW w:w="372" w:type="dxa"/>
            <w:tcBorders/>
            <w:shd w:fill="auto" w:val="clear"/>
          </w:tcPr>
          <w:p>
            <w:pPr>
              <w:pStyle w:val="TableContents"/>
              <w:spacing w:before="0" w:after="283"/>
              <w:rPr/>
            </w:pPr>
            <w:r>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50" w:type="dxa"/>
            <w:tcBorders>
              <w:bottom w:val="single" w:sz="2" w:space="0" w:color="000000"/>
            </w:tcBorders>
            <w:shd w:fill="auto" w:val="clear"/>
            <w:tcMar>
              <w:bottom w:w="28" w:type="dxa"/>
            </w:tcMar>
          </w:tcPr>
          <w:p>
            <w:pPr>
              <w:pStyle w:val="TableContents"/>
              <w:spacing w:before="0" w:after="283"/>
              <w:rPr/>
            </w:pPr>
            <w:r>
              <w:rPr/>
              <w:t>/s/ Mustafa Veziroglu</w:t>
            </w:r>
          </w:p>
        </w:tc>
      </w:tr>
      <w:tr>
        <w:trPr/>
        <w:tc>
          <w:tcPr>
            <w:tcW w:w="37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0" w:type="dxa"/>
            <w:tcBorders/>
            <w:shd w:fill="auto" w:val="clear"/>
          </w:tcPr>
          <w:p>
            <w:pPr>
              <w:pStyle w:val="TableContents"/>
              <w:spacing w:before="0" w:after="283"/>
              <w:rPr/>
            </w:pPr>
            <w:r>
              <w:rPr/>
              <w:t>Mustafa Veziroglu</w:t>
            </w:r>
          </w:p>
        </w:tc>
      </w:tr>
      <w:tr>
        <w:trPr/>
        <w:tc>
          <w:tcPr>
            <w:tcW w:w="37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0" w:type="dxa"/>
            <w:tcBorders/>
            <w:shd w:fill="auto" w:val="clear"/>
          </w:tcPr>
          <w:p>
            <w:pPr>
              <w:pStyle w:val="TableContents"/>
              <w:spacing w:before="0" w:after="283"/>
              <w:rPr/>
            </w:pPr>
            <w:r>
              <w:rPr/>
              <w:t>Co-Chief Executive Officer</w:t>
            </w:r>
          </w:p>
        </w:tc>
      </w:tr>
    </w:tbl>
    <w:p>
      <w:pPr>
        <w:pStyle w:val="TextBody"/>
        <w:spacing w:before="0" w:after="0"/>
        <w:jc w:val="right"/>
        <w:rPr>
          <w:rFonts w:ascii="Times New Roman" w:hAnsi="Times New Roman"/>
          <w:b/>
          <w:sz w:val="20"/>
        </w:rPr>
      </w:pPr>
      <w:r>
        <w:br w:type="page"/>
      </w:r>
      <w:bookmarkStart w:id="89" w:name="d497326dex123.htm"/>
      <w:bookmarkStart w:id="90" w:name="ksd497326dex123"/>
      <w:bookmarkEnd w:id="89"/>
      <w:bookmarkEnd w:id="90"/>
      <w:r>
        <w:rPr>
          <w:rFonts w:ascii="Times New Roman" w:hAnsi="Times New Roman"/>
          <w:b/>
          <w:sz w:val="20"/>
        </w:rPr>
        <w:t xml:space="preserve">Exhibit 12.3 </w:t>
      </w:r>
    </w:p>
    <w:p>
      <w:pPr>
        <w:pStyle w:val="TextBody"/>
        <w:spacing w:before="240" w:after="0"/>
        <w:jc w:val="center"/>
        <w:rPr>
          <w:rFonts w:ascii="Times New Roman" w:hAnsi="Times New Roman"/>
          <w:b/>
          <w:sz w:val="20"/>
        </w:rPr>
      </w:pPr>
      <w:r>
        <w:rPr>
          <w:rFonts w:ascii="Times New Roman" w:hAnsi="Times New Roman"/>
          <w:b/>
          <w:sz w:val="20"/>
        </w:rPr>
        <w:t xml:space="preserve">CERTIFICATION PURSUANT TO </w:t>
      </w:r>
    </w:p>
    <w:p>
      <w:pPr>
        <w:pStyle w:val="TextBody"/>
        <w:spacing w:before="0" w:after="0"/>
        <w:jc w:val="center"/>
        <w:rPr>
          <w:rFonts w:ascii="Times New Roman" w:hAnsi="Times New Roman"/>
          <w:b/>
          <w:sz w:val="20"/>
        </w:rPr>
      </w:pPr>
      <w:r>
        <w:rPr>
          <w:rFonts w:ascii="Times New Roman" w:hAnsi="Times New Roman"/>
          <w:b/>
          <w:sz w:val="20"/>
        </w:rPr>
        <w:t xml:space="preserve">RULES 13a-14(a) AND 15d-14(a) UNDER THE SECURITIES EXCHANGE ACT OF 1934, </w:t>
      </w:r>
    </w:p>
    <w:p>
      <w:pPr>
        <w:pStyle w:val="TextBody"/>
        <w:spacing w:before="0" w:after="0"/>
        <w:jc w:val="center"/>
        <w:rPr>
          <w:rFonts w:ascii="Times New Roman" w:hAnsi="Times New Roman"/>
          <w:b/>
          <w:sz w:val="20"/>
        </w:rPr>
      </w:pPr>
      <w:r>
        <w:rPr>
          <w:rFonts w:ascii="Times New Roman" w:hAnsi="Times New Roman"/>
          <w:b/>
          <w:sz w:val="20"/>
        </w:rPr>
        <w:t xml:space="preserve">AS ADOPTED PURSUANT TO SECTION 302 OF THE SARBANES-OXLEY ACT OF 2002 </w:t>
      </w:r>
    </w:p>
    <w:p>
      <w:pPr>
        <w:pStyle w:val="TextBody"/>
        <w:spacing w:before="240" w:after="0"/>
        <w:jc w:val="left"/>
        <w:rPr>
          <w:rFonts w:ascii="Times New Roman" w:hAnsi="Times New Roman"/>
          <w:sz w:val="20"/>
        </w:rPr>
      </w:pPr>
      <w:r>
        <w:rPr>
          <w:rFonts w:ascii="Times New Roman" w:hAnsi="Times New Roman"/>
          <w:sz w:val="20"/>
        </w:rPr>
        <w:t xml:space="preserve">I, Stefan Berndt-von Bülow, Chief Financial Officer, certify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 have reviewed this annual report on Form 20-F of Mynaric AG;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(c)</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evaluated the effectiveness of the companys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9"/>
        <w:gridCol w:w="9288"/>
      </w:tblGrid>
      <w:tr>
        <w:trPr/>
        <w:tc>
          <w:tcPr>
            <w:tcW w:w="4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(d)</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companys other certifying officer(s) and I have disclosed, based on our most recent evaluation of internal control over financial reporting, to the companys auditors and the audit committee of the companys board of directors (or persons performing the equivalent functions):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companys ability to record, process, summarize and report financial information;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companys internal control over financial reporting. </w:t>
            </w:r>
          </w:p>
        </w:tc>
      </w:tr>
    </w:tbl>
    <w:p>
      <w:pPr>
        <w:pStyle w:val="TextBody"/>
        <w:spacing w:before="240" w:after="0"/>
        <w:jc w:val="left"/>
        <w:rPr>
          <w:rFonts w:ascii="Times New Roman" w:hAnsi="Times New Roman"/>
          <w:sz w:val="20"/>
        </w:rPr>
      </w:pPr>
      <w:r>
        <w:rPr>
          <w:rFonts w:ascii="Times New Roman" w:hAnsi="Times New Roman"/>
          <w:sz w:val="20"/>
        </w:rPr>
        <w:t xml:space="preserve">Date: May 1, 2023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72"/>
        <w:gridCol w:w="60"/>
        <w:gridCol w:w="3650"/>
      </w:tblGrid>
      <w:tr>
        <w:trPr/>
        <w:tc>
          <w:tcPr>
            <w:tcW w:w="3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50" w:type="dxa"/>
            <w:tcBorders/>
            <w:shd w:fill="auto" w:val="clear"/>
            <w:vAlign w:val="center"/>
          </w:tcPr>
          <w:p>
            <w:pPr>
              <w:pStyle w:val="TableContents"/>
              <w:spacing w:before="0" w:after="283"/>
              <w:rPr>
                <w:sz w:val="4"/>
                <w:szCs w:val="4"/>
              </w:rPr>
            </w:pPr>
            <w:r>
              <w:rPr>
                <w:sz w:val="4"/>
                <w:szCs w:val="4"/>
              </w:rPr>
            </w:r>
          </w:p>
        </w:tc>
      </w:tr>
      <w:tr>
        <w:trPr/>
        <w:tc>
          <w:tcPr>
            <w:tcW w:w="372" w:type="dxa"/>
            <w:tcBorders/>
            <w:shd w:fill="auto" w:val="clear"/>
          </w:tcPr>
          <w:p>
            <w:pPr>
              <w:pStyle w:val="TableContents"/>
              <w:spacing w:before="0" w:after="283"/>
              <w:rPr/>
            </w:pPr>
            <w:r>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50" w:type="dxa"/>
            <w:tcBorders>
              <w:bottom w:val="single" w:sz="2" w:space="0" w:color="000000"/>
            </w:tcBorders>
            <w:shd w:fill="auto" w:val="clear"/>
            <w:tcMar>
              <w:bottom w:w="28" w:type="dxa"/>
            </w:tcMar>
          </w:tcPr>
          <w:p>
            <w:pPr>
              <w:pStyle w:val="TableContents"/>
              <w:spacing w:before="0" w:after="283"/>
              <w:rPr/>
            </w:pPr>
            <w:r>
              <w:rPr/>
              <w:t>/s/ Stefan Berndt-von Bülow</w:t>
            </w:r>
          </w:p>
        </w:tc>
      </w:tr>
      <w:tr>
        <w:trPr/>
        <w:tc>
          <w:tcPr>
            <w:tcW w:w="37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0" w:type="dxa"/>
            <w:tcBorders/>
            <w:shd w:fill="auto" w:val="clear"/>
          </w:tcPr>
          <w:p>
            <w:pPr>
              <w:pStyle w:val="TableContents"/>
              <w:spacing w:before="0" w:after="283"/>
              <w:rPr/>
            </w:pPr>
            <w:r>
              <w:rPr/>
              <w:t>Stefan Berndt-von Bülow</w:t>
            </w:r>
          </w:p>
        </w:tc>
      </w:tr>
      <w:tr>
        <w:trPr/>
        <w:tc>
          <w:tcPr>
            <w:tcW w:w="37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0" w:type="dxa"/>
            <w:tcBorders/>
            <w:shd w:fill="auto" w:val="clear"/>
          </w:tcPr>
          <w:p>
            <w:pPr>
              <w:pStyle w:val="TableContents"/>
              <w:spacing w:before="0" w:after="283"/>
              <w:rPr/>
            </w:pPr>
            <w:r>
              <w:rPr/>
              <w:t>Chief Financial Officer</w:t>
            </w:r>
          </w:p>
        </w:tc>
      </w:tr>
    </w:tbl>
    <w:p>
      <w:pPr>
        <w:pStyle w:val="TextBody"/>
        <w:spacing w:before="0" w:after="0"/>
        <w:jc w:val="right"/>
        <w:rPr>
          <w:rFonts w:ascii="Times New Roman" w:hAnsi="Times New Roman"/>
          <w:b/>
          <w:sz w:val="20"/>
        </w:rPr>
      </w:pPr>
      <w:r>
        <w:br w:type="page"/>
      </w:r>
      <w:bookmarkStart w:id="91" w:name="d497326dex131.htm"/>
      <w:bookmarkStart w:id="92" w:name="ksd497326dex131"/>
      <w:bookmarkEnd w:id="91"/>
      <w:bookmarkEnd w:id="92"/>
      <w:r>
        <w:rPr>
          <w:rFonts w:ascii="Times New Roman" w:hAnsi="Times New Roman"/>
          <w:b/>
          <w:sz w:val="20"/>
        </w:rPr>
        <w:t xml:space="preserve">Exhibit 13.1 </w:t>
      </w:r>
    </w:p>
    <w:p>
      <w:pPr>
        <w:pStyle w:val="TextBody"/>
        <w:spacing w:before="240" w:after="0"/>
        <w:jc w:val="center"/>
        <w:rPr>
          <w:rFonts w:ascii="Times New Roman" w:hAnsi="Times New Roman"/>
          <w:b/>
          <w:sz w:val="20"/>
        </w:rPr>
      </w:pPr>
      <w:r>
        <w:rPr>
          <w:rFonts w:ascii="Times New Roman" w:hAnsi="Times New Roman"/>
          <w:b/>
          <w:sz w:val="20"/>
        </w:rPr>
        <w:t xml:space="preserve">CERTIFICATION PURSUANT TO </w:t>
      </w:r>
    </w:p>
    <w:p>
      <w:pPr>
        <w:pStyle w:val="TextBody"/>
        <w:spacing w:before="0" w:after="0"/>
        <w:jc w:val="center"/>
        <w:rPr>
          <w:rFonts w:ascii="Times New Roman" w:hAnsi="Times New Roman"/>
          <w:b/>
          <w:sz w:val="20"/>
        </w:rPr>
      </w:pPr>
      <w:r>
        <w:rPr>
          <w:rFonts w:ascii="Times New Roman" w:hAnsi="Times New Roman"/>
          <w:b/>
          <w:sz w:val="20"/>
        </w:rPr>
        <w:t xml:space="preserve">18 U.S.C. SECTION 1350, AS ADOPTED PURSUANT TO </w:t>
      </w:r>
    </w:p>
    <w:p>
      <w:pPr>
        <w:pStyle w:val="TextBody"/>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spacing w:before="240" w:after="0"/>
        <w:jc w:val="left"/>
        <w:rPr>
          <w:rFonts w:ascii="Times New Roman" w:hAnsi="Times New Roman"/>
          <w:sz w:val="20"/>
        </w:rPr>
      </w:pPr>
      <w:r>
        <w:rPr>
          <w:rFonts w:ascii="Times New Roman" w:hAnsi="Times New Roman"/>
          <w:sz w:val="20"/>
        </w:rPr>
        <w:t xml:space="preserve">I, Emin Bulent Altan, Co-Chief Executive Officer of Mynaric AG (the Company) hereby certify, pursuant to 18 U.S.C. Section 1350, as adopted pursuant to Section 906 of the Sarbanes-Oxley Act of 2002, that to the best of my knowledge: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Annual Report on Form 20-F of the Company for the year ended December 31, 2022 (the Report) fully complies with the requirements of Section 13(a) or 15(d) of the Exchange Act;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240" w:after="0"/>
        <w:jc w:val="left"/>
        <w:rPr>
          <w:rFonts w:ascii="Times New Roman" w:hAnsi="Times New Roman"/>
          <w:sz w:val="20"/>
        </w:rPr>
      </w:pPr>
      <w:r>
        <w:rPr>
          <w:rFonts w:ascii="Times New Roman" w:hAnsi="Times New Roman"/>
          <w:sz w:val="20"/>
        </w:rPr>
        <w:t xml:space="preserve">Date: May 1, 2023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72"/>
        <w:gridCol w:w="60"/>
        <w:gridCol w:w="3650"/>
      </w:tblGrid>
      <w:tr>
        <w:trPr/>
        <w:tc>
          <w:tcPr>
            <w:tcW w:w="3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50" w:type="dxa"/>
            <w:tcBorders/>
            <w:shd w:fill="auto" w:val="clear"/>
            <w:vAlign w:val="center"/>
          </w:tcPr>
          <w:p>
            <w:pPr>
              <w:pStyle w:val="TableContents"/>
              <w:spacing w:before="0" w:after="283"/>
              <w:rPr>
                <w:sz w:val="4"/>
                <w:szCs w:val="4"/>
              </w:rPr>
            </w:pPr>
            <w:r>
              <w:rPr>
                <w:sz w:val="4"/>
                <w:szCs w:val="4"/>
              </w:rPr>
            </w:r>
          </w:p>
        </w:tc>
      </w:tr>
      <w:tr>
        <w:trPr/>
        <w:tc>
          <w:tcPr>
            <w:tcW w:w="372" w:type="dxa"/>
            <w:tcBorders/>
            <w:shd w:fill="auto" w:val="clear"/>
          </w:tcPr>
          <w:p>
            <w:pPr>
              <w:pStyle w:val="TableContents"/>
              <w:spacing w:before="0" w:after="283"/>
              <w:rPr/>
            </w:pPr>
            <w:r>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50" w:type="dxa"/>
            <w:tcBorders>
              <w:bottom w:val="single" w:sz="2" w:space="0" w:color="000000"/>
            </w:tcBorders>
            <w:shd w:fill="auto" w:val="clear"/>
            <w:tcMar>
              <w:bottom w:w="28" w:type="dxa"/>
            </w:tcMar>
          </w:tcPr>
          <w:p>
            <w:pPr>
              <w:pStyle w:val="TableContents"/>
              <w:spacing w:before="0" w:after="283"/>
              <w:rPr/>
            </w:pPr>
            <w:r>
              <w:rPr/>
              <w:t>/s/ Emin Bulent Altan</w:t>
            </w:r>
          </w:p>
        </w:tc>
      </w:tr>
      <w:tr>
        <w:trPr/>
        <w:tc>
          <w:tcPr>
            <w:tcW w:w="37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0" w:type="dxa"/>
            <w:tcBorders/>
            <w:shd w:fill="auto" w:val="clear"/>
          </w:tcPr>
          <w:p>
            <w:pPr>
              <w:pStyle w:val="TableContents"/>
              <w:spacing w:before="0" w:after="283"/>
              <w:rPr/>
            </w:pPr>
            <w:r>
              <w:rPr/>
              <w:t>Emin Bulent Altan</w:t>
            </w:r>
          </w:p>
        </w:tc>
      </w:tr>
      <w:tr>
        <w:trPr/>
        <w:tc>
          <w:tcPr>
            <w:tcW w:w="37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0" w:type="dxa"/>
            <w:tcBorders/>
            <w:shd w:fill="auto" w:val="clear"/>
          </w:tcPr>
          <w:p>
            <w:pPr>
              <w:pStyle w:val="TableContents"/>
              <w:spacing w:before="0" w:after="283"/>
              <w:rPr/>
            </w:pPr>
            <w:r>
              <w:rPr/>
              <w:t>Co-Chief Executive Officer</w:t>
            </w:r>
          </w:p>
        </w:tc>
      </w:tr>
    </w:tbl>
    <w:p>
      <w:pPr>
        <w:pStyle w:val="TextBody"/>
        <w:spacing w:before="240" w:after="0"/>
        <w:jc w:val="left"/>
        <w:rPr>
          <w:rFonts w:ascii="Times New Roman" w:hAnsi="Times New Roman"/>
          <w:sz w:val="20"/>
        </w:rPr>
      </w:pPr>
      <w:r>
        <w:rPr>
          <w:rFonts w:ascii="Times New Roman" w:hAnsi="Times New Roman"/>
          <w:sz w:val="20"/>
        </w:rPr>
        <w:t xml:space="preserve">The foregoing certification is being furnished solely pursuant to 18 U.S.C. § 1350 and is not being filed as part of the Report or as a separate disclosure document. </w:t>
      </w:r>
      <w:r>
        <w:br w:type="page"/>
      </w:r>
    </w:p>
    <w:p>
      <w:pPr>
        <w:pStyle w:val="TextBody"/>
        <w:spacing w:before="0" w:after="0"/>
        <w:jc w:val="right"/>
        <w:rPr>
          <w:rFonts w:ascii="Times New Roman" w:hAnsi="Times New Roman"/>
          <w:b/>
          <w:sz w:val="20"/>
        </w:rPr>
      </w:pPr>
      <w:bookmarkStart w:id="93" w:name="d497326dex132.htm"/>
      <w:bookmarkStart w:id="94" w:name="ksd497326dex132"/>
      <w:bookmarkEnd w:id="93"/>
      <w:bookmarkEnd w:id="94"/>
      <w:r>
        <w:rPr>
          <w:rFonts w:ascii="Times New Roman" w:hAnsi="Times New Roman"/>
          <w:b/>
          <w:sz w:val="20"/>
        </w:rPr>
        <w:t xml:space="preserve">Exhibit 13.2 </w:t>
      </w:r>
    </w:p>
    <w:p>
      <w:pPr>
        <w:pStyle w:val="TextBody"/>
        <w:spacing w:before="240" w:after="0"/>
        <w:jc w:val="center"/>
        <w:rPr>
          <w:rFonts w:ascii="Times New Roman" w:hAnsi="Times New Roman"/>
          <w:b/>
          <w:sz w:val="20"/>
        </w:rPr>
      </w:pPr>
      <w:r>
        <w:rPr>
          <w:rFonts w:ascii="Times New Roman" w:hAnsi="Times New Roman"/>
          <w:b/>
          <w:sz w:val="20"/>
        </w:rPr>
        <w:t xml:space="preserve">CERTIFICATION PURSUANT TO </w:t>
      </w:r>
    </w:p>
    <w:p>
      <w:pPr>
        <w:pStyle w:val="TextBody"/>
        <w:spacing w:before="0" w:after="0"/>
        <w:jc w:val="center"/>
        <w:rPr>
          <w:rFonts w:ascii="Times New Roman" w:hAnsi="Times New Roman"/>
          <w:b/>
          <w:sz w:val="20"/>
        </w:rPr>
      </w:pPr>
      <w:r>
        <w:rPr>
          <w:rFonts w:ascii="Times New Roman" w:hAnsi="Times New Roman"/>
          <w:b/>
          <w:sz w:val="20"/>
        </w:rPr>
        <w:t xml:space="preserve">18 U.S.C. SECTION 1350, AS ADOPTED PURSUANT TO </w:t>
      </w:r>
    </w:p>
    <w:p>
      <w:pPr>
        <w:pStyle w:val="TextBody"/>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spacing w:before="240" w:after="0"/>
        <w:jc w:val="left"/>
        <w:rPr>
          <w:rFonts w:ascii="Times New Roman" w:hAnsi="Times New Roman"/>
          <w:sz w:val="20"/>
        </w:rPr>
      </w:pPr>
      <w:r>
        <w:rPr>
          <w:rFonts w:ascii="Times New Roman" w:hAnsi="Times New Roman"/>
          <w:sz w:val="20"/>
        </w:rPr>
        <w:t xml:space="preserve">I, Mustafa Veziroglu, Co-Chief Executive Officer of Mynaric AG (the Company) hereby certify, pursuant to 18 U.S.C. Section 1350, as adopted pursuant to Section 906 of the Sarbanes-Oxley Act of 2002, that to the best of my knowledge: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Annual Report on Form 20-F of the Company for the year ended December 31, 2022 (the Report) fully complies with the requirements of Section 13(a) or 15(d) of the Exchange Act;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240" w:after="0"/>
        <w:jc w:val="left"/>
        <w:rPr>
          <w:rFonts w:ascii="Times New Roman" w:hAnsi="Times New Roman"/>
          <w:sz w:val="20"/>
        </w:rPr>
      </w:pPr>
      <w:r>
        <w:rPr>
          <w:rFonts w:ascii="Times New Roman" w:hAnsi="Times New Roman"/>
          <w:sz w:val="20"/>
        </w:rPr>
        <w:t xml:space="preserve">Date: May 1, 2023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72"/>
        <w:gridCol w:w="60"/>
        <w:gridCol w:w="3650"/>
      </w:tblGrid>
      <w:tr>
        <w:trPr/>
        <w:tc>
          <w:tcPr>
            <w:tcW w:w="3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50"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372" w:type="dxa"/>
            <w:tcBorders/>
            <w:shd w:fill="auto" w:val="clear"/>
            <w:vAlign w:val="center"/>
          </w:tcPr>
          <w:p>
            <w:pPr>
              <w:pStyle w:val="TableContents"/>
              <w:spacing w:before="0" w:after="283"/>
              <w:rPr>
                <w:sz w:val="4"/>
                <w:szCs w:val="4"/>
              </w:rPr>
            </w:pPr>
            <w:r>
              <w:rPr>
                <w:sz w:val="4"/>
                <w:szCs w:val="4"/>
              </w:rPr>
            </w:r>
          </w:p>
        </w:tc>
        <w:tc>
          <w:tcPr>
            <w:tcW w:w="3710" w:type="dxa"/>
            <w:gridSpan w:val="2"/>
            <w:tcBorders/>
            <w:shd w:fill="auto" w:val="clear"/>
            <w:vAlign w:val="center"/>
          </w:tcPr>
          <w:p>
            <w:pPr>
              <w:pStyle w:val="TableContents"/>
              <w:spacing w:before="0" w:after="283"/>
              <w:rPr>
                <w:sz w:val="4"/>
                <w:szCs w:val="4"/>
              </w:rPr>
            </w:pPr>
            <w:r>
              <w:rPr>
                <w:sz w:val="4"/>
                <w:szCs w:val="4"/>
              </w:rPr>
            </w:r>
          </w:p>
        </w:tc>
      </w:tr>
      <w:tr>
        <w:trPr/>
        <w:tc>
          <w:tcPr>
            <w:tcW w:w="372" w:type="dxa"/>
            <w:tcBorders/>
            <w:shd w:fill="auto" w:val="clear"/>
          </w:tcPr>
          <w:p>
            <w:pPr>
              <w:pStyle w:val="TableContents"/>
              <w:spacing w:before="0" w:after="283"/>
              <w:rPr/>
            </w:pPr>
            <w:r>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50" w:type="dxa"/>
            <w:tcBorders>
              <w:bottom w:val="single" w:sz="2" w:space="0" w:color="000000"/>
            </w:tcBorders>
            <w:shd w:fill="auto" w:val="clear"/>
            <w:tcMar>
              <w:bottom w:w="28" w:type="dxa"/>
            </w:tcMar>
          </w:tcPr>
          <w:p>
            <w:pPr>
              <w:pStyle w:val="TableContents"/>
              <w:spacing w:before="0" w:after="283"/>
              <w:rPr/>
            </w:pPr>
            <w:r>
              <w:rPr/>
              <w:t>/s/ Mustafa Veziroglu</w:t>
            </w:r>
          </w:p>
        </w:tc>
      </w:tr>
      <w:tr>
        <w:trPr/>
        <w:tc>
          <w:tcPr>
            <w:tcW w:w="37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0" w:type="dxa"/>
            <w:tcBorders/>
            <w:shd w:fill="auto" w:val="clear"/>
          </w:tcPr>
          <w:p>
            <w:pPr>
              <w:pStyle w:val="TableContents"/>
              <w:spacing w:before="0" w:after="283"/>
              <w:rPr/>
            </w:pPr>
            <w:r>
              <w:rPr/>
              <w:t>Mustafa Veziroglu</w:t>
            </w:r>
          </w:p>
        </w:tc>
      </w:tr>
      <w:tr>
        <w:trPr/>
        <w:tc>
          <w:tcPr>
            <w:tcW w:w="37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0" w:type="dxa"/>
            <w:tcBorders/>
            <w:shd w:fill="auto" w:val="clear"/>
          </w:tcPr>
          <w:p>
            <w:pPr>
              <w:pStyle w:val="TableContents"/>
              <w:spacing w:before="0" w:after="283"/>
              <w:rPr/>
            </w:pPr>
            <w:r>
              <w:rPr/>
              <w:t>Co-Chief Executive Officer</w:t>
            </w:r>
          </w:p>
        </w:tc>
      </w:tr>
    </w:tbl>
    <w:p>
      <w:pPr>
        <w:pStyle w:val="TextBody"/>
        <w:spacing w:before="240" w:after="0"/>
        <w:jc w:val="left"/>
        <w:rPr>
          <w:rFonts w:ascii="Times New Roman" w:hAnsi="Times New Roman"/>
          <w:sz w:val="20"/>
        </w:rPr>
      </w:pPr>
      <w:r>
        <w:rPr>
          <w:rFonts w:ascii="Times New Roman" w:hAnsi="Times New Roman"/>
          <w:sz w:val="20"/>
        </w:rPr>
        <w:t xml:space="preserve">The foregoing certification is being furnished solely pursuant to 18 U.S.C. § 1350 and is not being filed as part of the Report or as a separate disclosure document. </w:t>
      </w:r>
    </w:p>
    <w:p>
      <w:pPr>
        <w:pStyle w:val="TextBody"/>
        <w:spacing w:before="0" w:after="0"/>
        <w:jc w:val="left"/>
        <w:rPr/>
      </w:pPr>
      <w:r>
        <w:rPr/>
        <w:t> </w:t>
      </w:r>
      <w:r>
        <w:br w:type="page"/>
      </w:r>
    </w:p>
    <w:p>
      <w:pPr>
        <w:pStyle w:val="TextBody"/>
        <w:spacing w:before="0" w:after="0"/>
        <w:jc w:val="right"/>
        <w:rPr>
          <w:rFonts w:ascii="Times New Roman" w:hAnsi="Times New Roman"/>
          <w:b/>
          <w:sz w:val="20"/>
        </w:rPr>
      </w:pPr>
      <w:bookmarkStart w:id="95" w:name="d497326dex133.htm"/>
      <w:bookmarkStart w:id="96" w:name="ksd497326dex133"/>
      <w:bookmarkEnd w:id="95"/>
      <w:bookmarkEnd w:id="96"/>
      <w:r>
        <w:rPr>
          <w:rFonts w:ascii="Times New Roman" w:hAnsi="Times New Roman"/>
          <w:b/>
          <w:sz w:val="20"/>
        </w:rPr>
        <w:t xml:space="preserve">Exhibit 13.3 </w:t>
      </w:r>
    </w:p>
    <w:p>
      <w:pPr>
        <w:pStyle w:val="TextBody"/>
        <w:spacing w:before="240" w:after="0"/>
        <w:jc w:val="center"/>
        <w:rPr>
          <w:rFonts w:ascii="Times New Roman" w:hAnsi="Times New Roman"/>
          <w:b/>
          <w:sz w:val="20"/>
        </w:rPr>
      </w:pPr>
      <w:r>
        <w:rPr>
          <w:rFonts w:ascii="Times New Roman" w:hAnsi="Times New Roman"/>
          <w:b/>
          <w:sz w:val="20"/>
        </w:rPr>
        <w:t xml:space="preserve">CERTIFICATION PURSUANT TO </w:t>
      </w:r>
    </w:p>
    <w:p>
      <w:pPr>
        <w:pStyle w:val="TextBody"/>
        <w:spacing w:before="0" w:after="0"/>
        <w:jc w:val="center"/>
        <w:rPr>
          <w:rFonts w:ascii="Times New Roman" w:hAnsi="Times New Roman"/>
          <w:b/>
          <w:sz w:val="20"/>
        </w:rPr>
      </w:pPr>
      <w:r>
        <w:rPr>
          <w:rFonts w:ascii="Times New Roman" w:hAnsi="Times New Roman"/>
          <w:b/>
          <w:sz w:val="20"/>
        </w:rPr>
        <w:t xml:space="preserve">18 U.S.C. SECTION 1350, AS ADOPTED PURSUANT TO </w:t>
      </w:r>
    </w:p>
    <w:p>
      <w:pPr>
        <w:pStyle w:val="TextBody"/>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spacing w:before="240" w:after="0"/>
        <w:jc w:val="left"/>
        <w:rPr>
          <w:rFonts w:ascii="Times New Roman" w:hAnsi="Times New Roman"/>
          <w:sz w:val="20"/>
        </w:rPr>
      </w:pPr>
      <w:r>
        <w:rPr>
          <w:rFonts w:ascii="Times New Roman" w:hAnsi="Times New Roman"/>
          <w:sz w:val="20"/>
        </w:rPr>
        <w:t xml:space="preserve">I, Stefan Berndt-von Bülow, Chief Financial Officer of Mynaric AG (the Company) hereby certify, pursuant to 18 U.S.C. Section 1350, as adopted pursuant to Section 906 of the Sarbanes-Oxley Act of 2002, that to the best of my knowledge: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Annual Report on Form 20-F of the Company for the year ended December 31, 2022 (the Report) fully complies with the requirements of Section 13(a) or 15(d) of the Exchange Act;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240" w:after="0"/>
        <w:jc w:val="left"/>
        <w:rPr>
          <w:rFonts w:ascii="Times New Roman" w:hAnsi="Times New Roman"/>
          <w:sz w:val="20"/>
        </w:rPr>
      </w:pPr>
      <w:r>
        <w:rPr>
          <w:rFonts w:ascii="Times New Roman" w:hAnsi="Times New Roman"/>
          <w:sz w:val="20"/>
        </w:rPr>
        <w:t xml:space="preserve">Date: May 1, 2023 </w:t>
      </w:r>
    </w:p>
    <w:tbl>
      <w:tblPr>
        <w:tblW w:w="2000" w:type="pct"/>
        <w:jc w:val="right"/>
        <w:tblInd w:w="0" w:type="dxa"/>
        <w:tblCellMar>
          <w:top w:w="0" w:type="dxa"/>
          <w:left w:w="0" w:type="dxa"/>
          <w:bottom w:w="0" w:type="dxa"/>
          <w:right w:w="0" w:type="dxa"/>
        </w:tblCellMar>
      </w:tblPr>
      <w:tblGrid>
        <w:gridCol w:w="372"/>
        <w:gridCol w:w="60"/>
        <w:gridCol w:w="3650"/>
      </w:tblGrid>
      <w:tr>
        <w:trPr/>
        <w:tc>
          <w:tcPr>
            <w:tcW w:w="3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50"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372" w:type="dxa"/>
            <w:tcBorders/>
            <w:shd w:fill="auto" w:val="clear"/>
            <w:vAlign w:val="center"/>
          </w:tcPr>
          <w:p>
            <w:pPr>
              <w:pStyle w:val="TableContents"/>
              <w:spacing w:before="0" w:after="283"/>
              <w:rPr>
                <w:sz w:val="4"/>
                <w:szCs w:val="4"/>
              </w:rPr>
            </w:pPr>
            <w:r>
              <w:rPr>
                <w:sz w:val="4"/>
                <w:szCs w:val="4"/>
              </w:rPr>
            </w:r>
          </w:p>
        </w:tc>
        <w:tc>
          <w:tcPr>
            <w:tcW w:w="3710" w:type="dxa"/>
            <w:gridSpan w:val="2"/>
            <w:tcBorders/>
            <w:shd w:fill="auto" w:val="clear"/>
            <w:vAlign w:val="center"/>
          </w:tcPr>
          <w:p>
            <w:pPr>
              <w:pStyle w:val="TableContents"/>
              <w:spacing w:before="0" w:after="283"/>
              <w:rPr>
                <w:sz w:val="4"/>
                <w:szCs w:val="4"/>
              </w:rPr>
            </w:pPr>
            <w:r>
              <w:rPr>
                <w:sz w:val="4"/>
                <w:szCs w:val="4"/>
              </w:rPr>
            </w:r>
          </w:p>
        </w:tc>
      </w:tr>
      <w:tr>
        <w:trPr/>
        <w:tc>
          <w:tcPr>
            <w:tcW w:w="372" w:type="dxa"/>
            <w:tcBorders/>
            <w:shd w:fill="auto" w:val="clear"/>
          </w:tcPr>
          <w:p>
            <w:pPr>
              <w:pStyle w:val="TableContents"/>
              <w:spacing w:before="0" w:after="283"/>
              <w:rPr/>
            </w:pPr>
            <w:r>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50" w:type="dxa"/>
            <w:tcBorders>
              <w:bottom w:val="single" w:sz="2" w:space="0" w:color="000000"/>
            </w:tcBorders>
            <w:shd w:fill="auto" w:val="clear"/>
            <w:tcMar>
              <w:bottom w:w="28" w:type="dxa"/>
            </w:tcMar>
          </w:tcPr>
          <w:p>
            <w:pPr>
              <w:pStyle w:val="TableContents"/>
              <w:spacing w:before="0" w:after="283"/>
              <w:rPr/>
            </w:pPr>
            <w:r>
              <w:rPr/>
              <w:t>/s/ Stefan Berndt-von Bülow</w:t>
            </w:r>
          </w:p>
        </w:tc>
      </w:tr>
      <w:tr>
        <w:trPr/>
        <w:tc>
          <w:tcPr>
            <w:tcW w:w="37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0" w:type="dxa"/>
            <w:tcBorders/>
            <w:shd w:fill="auto" w:val="clear"/>
          </w:tcPr>
          <w:p>
            <w:pPr>
              <w:pStyle w:val="TableContents"/>
              <w:spacing w:before="0" w:after="283"/>
              <w:rPr/>
            </w:pPr>
            <w:r>
              <w:rPr/>
              <w:t>Stefan Berndt-von Bülow</w:t>
            </w:r>
          </w:p>
        </w:tc>
      </w:tr>
      <w:tr>
        <w:trPr/>
        <w:tc>
          <w:tcPr>
            <w:tcW w:w="37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0" w:type="dxa"/>
            <w:tcBorders/>
            <w:shd w:fill="auto" w:val="clear"/>
          </w:tcPr>
          <w:p>
            <w:pPr>
              <w:pStyle w:val="TableContents"/>
              <w:spacing w:before="0" w:after="283"/>
              <w:rPr/>
            </w:pPr>
            <w:r>
              <w:rPr/>
              <w:t>Chief Financial Officer</w:t>
            </w:r>
          </w:p>
        </w:tc>
      </w:tr>
    </w:tbl>
    <w:p>
      <w:pPr>
        <w:pStyle w:val="TextBody"/>
        <w:spacing w:before="240" w:after="0"/>
        <w:jc w:val="left"/>
        <w:rPr>
          <w:rFonts w:ascii="Times New Roman" w:hAnsi="Times New Roman"/>
          <w:sz w:val="20"/>
        </w:rPr>
      </w:pPr>
      <w:r>
        <w:rPr>
          <w:rFonts w:ascii="Times New Roman" w:hAnsi="Times New Roman"/>
          <w:sz w:val="20"/>
        </w:rPr>
        <w:t xml:space="preserve">The foregoing certification is being furnished solely pursuant to 18 U.S.C. § 1350 and is not being filed as part of the Report or as a separate disclosure document. </w:t>
      </w:r>
      <w:r>
        <w:br w:type="page"/>
      </w:r>
    </w:p>
    <w:p>
      <w:pPr>
        <w:pStyle w:val="TextBody"/>
        <w:spacing w:before="0" w:after="0"/>
        <w:jc w:val="right"/>
        <w:rPr>
          <w:rFonts w:ascii="Times New Roman" w:hAnsi="Times New Roman"/>
          <w:b/>
          <w:sz w:val="20"/>
        </w:rPr>
      </w:pPr>
      <w:bookmarkStart w:id="97" w:name="d497326dex151.htm"/>
      <w:bookmarkStart w:id="98" w:name="ksd497326dex151"/>
      <w:bookmarkEnd w:id="97"/>
      <w:bookmarkEnd w:id="98"/>
      <w:r>
        <w:rPr>
          <w:rFonts w:ascii="Times New Roman" w:hAnsi="Times New Roman"/>
          <w:b/>
          <w:sz w:val="20"/>
        </w:rPr>
        <w:t xml:space="preserve">Exhibit 15.1 </w:t>
      </w:r>
    </w:p>
    <w:p>
      <w:pPr>
        <w:pStyle w:val="TextBody"/>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120" w:after="0"/>
        <w:jc w:val="both"/>
        <w:rPr>
          <w:rFonts w:ascii="Times New Roman" w:hAnsi="Times New Roman"/>
          <w:sz w:val="20"/>
        </w:rPr>
      </w:pPr>
      <w:r>
        <w:rPr>
          <w:rFonts w:ascii="Times New Roman" w:hAnsi="Times New Roman"/>
          <w:sz w:val="20"/>
        </w:rPr>
        <w:t xml:space="preserve">We consent to the incorporation by reference in the registration statement (No. 333-266365) on Form S-8 of our report dated May 1, 2023, with respect to the consolidated financial statements of Mynaric AG. </w:t>
      </w:r>
    </w:p>
    <w:p>
      <w:pPr>
        <w:pStyle w:val="TextBody"/>
        <w:spacing w:before="240" w:after="0"/>
        <w:jc w:val="center"/>
        <w:rPr>
          <w:rFonts w:ascii="Times New Roman" w:hAnsi="Times New Roman"/>
          <w:i/>
          <w:sz w:val="20"/>
        </w:rPr>
      </w:pPr>
      <w:r>
        <w:rPr>
          <w:rFonts w:ascii="Times New Roman" w:hAnsi="Times New Roman"/>
          <w:i/>
          <w:sz w:val="20"/>
        </w:rPr>
        <w:t xml:space="preserve">/s/ KPMG AG Wirtschaftsprüfungsgesellschaft </w:t>
      </w:r>
    </w:p>
    <w:p>
      <w:pPr>
        <w:pStyle w:val="TextBody"/>
        <w:spacing w:before="240" w:after="0"/>
        <w:jc w:val="left"/>
        <w:rPr>
          <w:rFonts w:ascii="Times New Roman" w:hAnsi="Times New Roman"/>
          <w:sz w:val="20"/>
        </w:rPr>
      </w:pPr>
      <w:r>
        <w:rPr>
          <w:rFonts w:ascii="Times New Roman" w:hAnsi="Times New Roman"/>
          <w:sz w:val="20"/>
        </w:rPr>
        <w:t xml:space="preserve">Munich, Germany </w:t>
      </w:r>
    </w:p>
    <w:p>
      <w:pPr>
        <w:pStyle w:val="TextBody"/>
        <w:spacing w:before="0" w:after="0"/>
        <w:jc w:val="left"/>
        <w:rPr>
          <w:rFonts w:ascii="Times New Roman" w:hAnsi="Times New Roman"/>
          <w:sz w:val="20"/>
        </w:rPr>
      </w:pPr>
      <w:r>
        <w:rPr>
          <w:rFonts w:ascii="Times New Roman" w:hAnsi="Times New Roman"/>
          <w:sz w:val="20"/>
        </w:rPr>
        <w:t xml:space="preserve">May 1, 2023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www.sec.gov/Archives/edgar/data/1850453/000119312521313560/d165359dex32.htm" TargetMode="External"/><Relationship Id="rId6" Type="http://schemas.openxmlformats.org/officeDocument/2006/relationships/hyperlink" Target="http://www.sec.gov/Archives/edgar/data/1850453/000119312521313560/d165359dex33.htm" TargetMode="External"/><Relationship Id="rId7" Type="http://schemas.openxmlformats.org/officeDocument/2006/relationships/hyperlink" Target="http://www.sec.gov/Archives/edgar/data/1850453/000119312521317388/d165359dex41.htm" TargetMode="External"/><Relationship Id="rId8" Type="http://schemas.openxmlformats.org/officeDocument/2006/relationships/hyperlink" Target="http://www.sec.gov/Archives/edgar/data/1850453/000119312521317388/d165359dex41.htm" TargetMode="External"/><Relationship Id="rId9" Type="http://schemas.openxmlformats.org/officeDocument/2006/relationships/hyperlink" Target="http://www.sec.gov/Archives/edgar/data/1850453/000119312521317388/d165359dex41.htm" TargetMode="External"/><Relationship Id="rId10" Type="http://schemas.openxmlformats.org/officeDocument/2006/relationships/hyperlink" Target="http://www.sec.gov/Archives/edgar/data/1850453/000119312521301967/d165359dex102.htm" TargetMode="External"/><Relationship Id="rId11" Type="http://schemas.openxmlformats.org/officeDocument/2006/relationships/hyperlink" Target="http://www.sec.gov/Archives/edgar/data/1850453/000119312521301967/d165359dex103.htm" TargetMode="External"/><Relationship Id="rId12" Type="http://schemas.openxmlformats.org/officeDocument/2006/relationships/hyperlink" Target="http://www.sec.gov/Archives/edgar/data/1850453/000119312521301967/d165359dex104.htm" TargetMode="External"/><Relationship Id="rId13" Type="http://schemas.openxmlformats.org/officeDocument/2006/relationships/hyperlink" Target="http://www.sec.gov/Archives/edgar/data/1850453/000119312521317388/d165359dex105.htm" TargetMode="External"/><Relationship Id="rId14" Type="http://schemas.openxmlformats.org/officeDocument/2006/relationships/hyperlink" Target="http://www.sec.gov/Archives/edgar/data/1850453/000119312522143674/d310942dex81.htm" TargetMode="External"/><Relationship Id="rId15" Type="http://schemas.openxmlformats.org/officeDocument/2006/relationships/image" Target="media/image4.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336</Pages>
  <Words>209860</Words>
  <CharactersWithSpaces>1337370</CharactersWithSpaces>
  <Paragraphs>24539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EX-15.1</dc:title>
</cp:coreProperties>
</file>