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514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1306195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1" w:lineRule="exact"/>
        <w:rPr>
          <w:sz w:val="24"/>
          <w:szCs w:val="24"/>
          <w:color w:val="auto"/>
        </w:rPr>
      </w:pPr>
    </w:p>
    <w:p>
      <w:pPr>
        <w:jc w:val="center"/>
        <w:ind w:right="-799"/>
        <w:spacing w:after="0" w:line="207" w:lineRule="exact"/>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 OR 15d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w:t>
      </w:r>
    </w:p>
    <w:p>
      <w:pPr>
        <w:spacing w:after="0" w:line="70"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1"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FOR THE MONTH OF NOVEMBER 2024</w:t>
      </w:r>
    </w:p>
    <w:p>
      <w:pPr>
        <w:spacing w:after="0" w:line="225"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COMMISSION FILE NUMBER 001-41045</w:t>
      </w:r>
    </w:p>
    <w:p>
      <w:pPr>
        <w:spacing w:after="0" w:line="214"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32"/>
          <w:szCs w:val="32"/>
          <w:b w:val="1"/>
          <w:bCs w:val="1"/>
          <w:color w:val="auto"/>
        </w:rPr>
        <w:t>Mynaric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36195</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44"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Registrant’s name</w:t>
      </w:r>
      <w:r>
        <w:rPr>
          <w:rFonts w:ascii="Times New Roman" w:cs="Times New Roman" w:eastAsia="Times New Roman" w:hAnsi="Times New Roman"/>
          <w:sz w:val="18"/>
          <w:szCs w:val="18"/>
          <w:color w:val="auto"/>
        </w:rPr>
        <w:t>)</w:t>
      </w:r>
    </w:p>
    <w:p>
      <w:pPr>
        <w:spacing w:after="0" w:line="237"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Bertha-Kipfmüller Straße 2-8</w:t>
      </w:r>
    </w:p>
    <w:p>
      <w:pPr>
        <w:spacing w:after="0" w:line="3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81249 München</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+49 (0) 89 5589 4280</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Address of principal executive offices</w:t>
      </w:r>
      <w:r>
        <w:rPr>
          <w:rFonts w:ascii="Times New Roman" w:cs="Times New Roman" w:eastAsia="Times New Roman" w:hAnsi="Times New Roman"/>
          <w:sz w:val="18"/>
          <w:szCs w:val="18"/>
          <w:color w:val="auto"/>
        </w:rPr>
        <w:t>)</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or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514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November 15, 2024, Mynaric AG issued an ad-hoc. A copy of the ad-hoc is furnished as Exhibit 99.1 hereto.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1633220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1440" w:right="11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20" w:type="dxa"/>
            <w:vAlign w:val="bottom"/>
            <w:gridSpan w:val="2"/>
          </w:tcPr>
          <w:p>
            <w:pPr>
              <w:ind w:left="2180"/>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tc>
      </w:tr>
      <w:tr>
        <w:trPr>
          <w:trHeight w:val="453"/>
        </w:trPr>
        <w:tc>
          <w:tcPr>
            <w:tcW w:w="9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189"/>
        </w:trPr>
        <w:tc>
          <w:tcPr>
            <w:tcW w:w="96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1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Ad-hoc Loan Amendment and Production Increase Incentive Agreement</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220" w:type="dxa"/>
            <w:vAlign w:val="bottom"/>
            <w:tcBorders>
              <w:top w:val="single" w:sz="8" w:color="0000FF"/>
            </w:tcBorders>
            <w:shd w:val="clear" w:color="auto" w:fill="CCEEFF"/>
          </w:tcPr>
          <w:p>
            <w:pPr>
              <w:spacing w:after="0"/>
              <w:rPr>
                <w:sz w:val="2"/>
                <w:szCs w:val="2"/>
                <w:color w:val="auto"/>
              </w:rPr>
            </w:pPr>
          </w:p>
        </w:tc>
        <w:tc>
          <w:tcPr>
            <w:tcW w:w="490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8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Joachim Horwath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2494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0"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Name:</w:t>
        <w:tab/>
        <w:t>Joachim Horwath</w:t>
      </w:r>
    </w:p>
    <w:p>
      <w:pPr>
        <w:spacing w:after="0" w:line="36"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Technology Officer</w:t>
      </w:r>
    </w:p>
    <w:p>
      <w:pPr>
        <w:spacing w:after="0" w:line="27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Andreas Reif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2494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0"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Name:</w:t>
        <w:tab/>
        <w:t>Andreas Reif</w:t>
      </w:r>
    </w:p>
    <w:p>
      <w:pPr>
        <w:spacing w:after="0" w:line="36"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Restructuring Officer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121" w:lineRule="exact"/>
        <w:rPr>
          <w:sz w:val="20"/>
          <w:szCs w:val="20"/>
          <w:color w:val="auto"/>
        </w:rPr>
      </w:pPr>
    </w:p>
    <w:p>
      <w:pPr>
        <w:jc w:val="center"/>
        <w:ind w:right="40"/>
        <w:spacing w:after="0" w:line="270" w:lineRule="auto"/>
        <w:rPr>
          <w:sz w:val="20"/>
          <w:szCs w:val="20"/>
          <w:color w:val="auto"/>
        </w:rPr>
      </w:pPr>
      <w:r>
        <w:rPr>
          <w:rFonts w:ascii="Arial" w:cs="Arial" w:eastAsia="Arial" w:hAnsi="Arial"/>
          <w:sz w:val="20"/>
          <w:szCs w:val="20"/>
          <w:b w:val="1"/>
          <w:bCs w:val="1"/>
          <w:color w:val="auto"/>
        </w:rPr>
        <w:t>Mynaric secures USD 11 million bridge loan and expects to agree on an up to USD 9 million production increase incentive agreement to meet immediate working capital needs</w:t>
      </w:r>
    </w:p>
    <w:p>
      <w:pPr>
        <w:spacing w:after="0" w:line="131" w:lineRule="exact"/>
        <w:rPr>
          <w:sz w:val="20"/>
          <w:szCs w:val="20"/>
          <w:color w:val="auto"/>
        </w:rPr>
      </w:pPr>
    </w:p>
    <w:p>
      <w:pPr>
        <w:jc w:val="both"/>
        <w:spacing w:after="0" w:line="249" w:lineRule="auto"/>
        <w:rPr>
          <w:sz w:val="20"/>
          <w:szCs w:val="20"/>
          <w:color w:val="auto"/>
        </w:rPr>
      </w:pPr>
      <w:r>
        <w:rPr>
          <w:rFonts w:ascii="Arial" w:cs="Arial" w:eastAsia="Arial" w:hAnsi="Arial"/>
          <w:sz w:val="19"/>
          <w:szCs w:val="19"/>
          <w:b w:val="1"/>
          <w:bCs w:val="1"/>
          <w:color w:val="auto"/>
        </w:rPr>
        <w:t xml:space="preserve">MUNICH, November 15, 2024 </w:t>
      </w:r>
      <w:r>
        <w:rPr>
          <w:rFonts w:ascii="Arial" w:cs="Arial" w:eastAsia="Arial" w:hAnsi="Arial"/>
          <w:sz w:val="19"/>
          <w:szCs w:val="19"/>
          <w:color w:val="auto"/>
        </w:rPr>
        <w:t>– Mynaric AG (NASDAQ: MYNA; ISIN: US62857X1019) (FRA: M0YN; ISIN: DE000A31C305)</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today entered into an amendment to its existing loan agreement with its U.S.-based lenders, which are funds affiliated with a U.S.-based global investment management firm, pursuant to which such lenders have agreed to provide a bridge loan in the amount of USD 11 million. Such bridge loan is in addition to the USD 95 million originally provided under such loan agreement and an initial bridge loan in the amount of USD 5.5 million that such lenders agreed to provide on October 2, 2024.</w:t>
      </w:r>
    </w:p>
    <w:p>
      <w:pPr>
        <w:spacing w:after="0" w:line="16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As is the case for the original USD 95 million term loans and the initial USD 5.5 million bridge loan, the new bridge loan will be guaranteed and secured by the Company and each of its subsidiaries and bear interest at a rate equal to the Term Secured Overnight Financing Rate (SOFR) for a 3-month tenor, subject to a 2% floor, plus a margin of 10% or, at the option of the borrower, a certain alternative base rate, subject to a 2% floor, plus a margin of 9%. The new bridge loan will mature on December 30, 2024.</w:t>
      </w:r>
    </w:p>
    <w:p>
      <w:pPr>
        <w:spacing w:after="0" w:line="175"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In addition, the maturity date of the initial USD 5.5 million bridge loan is being extended and will now also be December 30, 2024.</w:t>
      </w:r>
    </w:p>
    <w:p>
      <w:pPr>
        <w:spacing w:after="0" w:line="155"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The availability of the new bridge loan is subject to the satisfaction of certain conditions, including the delivery of an updated liquidity plan from an independent restructuring expert showing that it is more likely than not that the Company and its subsidiaries will be able to pay their obligations when due during the period that the bridge loan is outstanding. The Company expects to satisfy this condition as well as all other necessary conditions and have the bridge loan fully available as of November 18, 2024. Shortly thereafter, the Company expects to draw the full amount of the bridge loan to meet immediate working capital needs. The bridge loan can be terminated early if, among other things, the previously commissioned independent German restructuring expert provides notice on or prior to the maturity date of the bridge loan that it is no longer more likely than not that the Company is capable of being restructured.</w:t>
      </w:r>
    </w:p>
    <w:p>
      <w:pPr>
        <w:spacing w:after="0" w:line="173"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In addition, the Company expects to enter into a production increase incentive agreement with an undisclosed customer for up to USD 9 million based on the achievement of agreed upon milestones. Under the terms of this agreement, the Company would receive USD 4.3 million within 30 days upon execution of the agreement and the remaining funds if and only when specific shipment milestones are achieved over the next six months. The Company expects to execute the agreement by November 15, 2024.</w:t>
      </w:r>
    </w:p>
    <w:p>
      <w:pPr>
        <w:spacing w:after="0" w:line="310"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Excluding the USD 11 million related to the additional loan commitment and the initial USD 4.3 million payment from the production increase incentive agreement, as of November 15, 2024, the Company had cash and cash equivalents on hand of EUR 3.8 million, which the Company will also use to meet its on-going operational and working capital needs. The Company continues to pursue other funding options to secure the additional capital needed to meet its on-going operational and working capital needs over the next 12 months.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Mynaric</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Mynaric (NASDAQ: MYNA) (FRA: M0YN)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both"/>
        <w:ind w:right="20"/>
        <w:spacing w:after="0" w:line="257" w:lineRule="auto"/>
        <w:rPr>
          <w:sz w:val="20"/>
          <w:szCs w:val="20"/>
          <w:color w:val="auto"/>
        </w:rPr>
      </w:pPr>
      <w:r>
        <w:rPr>
          <w:rFonts w:ascii="Arial" w:cs="Arial" w:eastAsia="Arial" w:hAnsi="Arial"/>
          <w:sz w:val="20"/>
          <w:szCs w:val="20"/>
          <w:color w:val="auto"/>
        </w:rPr>
        <w:t>headquartered in Munich, Germany, with additional locations in Los Angeles, California, and Washington, D.C. For more information, visit mynaric.com.</w:t>
      </w: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w:t>
      </w:r>
    </w:p>
    <w:p>
      <w:pPr>
        <w:spacing w:after="0" w:line="204" w:lineRule="exact"/>
        <w:rPr>
          <w:sz w:val="20"/>
          <w:szCs w:val="20"/>
          <w:color w:val="auto"/>
        </w:rPr>
      </w:pPr>
    </w:p>
    <w:p>
      <w:pPr>
        <w:jc w:val="both"/>
        <w:spacing w:after="0" w:line="232" w:lineRule="auto"/>
        <w:rPr>
          <w:sz w:val="20"/>
          <w:szCs w:val="20"/>
          <w:color w:val="auto"/>
        </w:rPr>
      </w:pPr>
      <w:r>
        <w:rPr>
          <w:rFonts w:ascii="Arial" w:cs="Arial" w:eastAsia="Arial" w:hAnsi="Arial"/>
          <w:sz w:val="20"/>
          <w:szCs w:val="20"/>
          <w:i w:val="1"/>
          <w:iCs w:val="1"/>
          <w:color w:val="auto"/>
        </w:rPr>
        <w:t>This release includes forward-looking statements. All statements other than statements of historical or current facts contained in this release, including statements regarding our future results of operations and financial position, industry dynamics, business strategy and plans and our objectives for future operations, are forward-looking statements. These statements represent our opinions, expectations, assumptions, beliefs, intentions, estimates or strategies regarding the future, which may not be realized. Forward looking statements are often indicated by terms such as “anticipate,” “believe,” “could,” “estimate,” “expect,” “forecast,” “goal,” “intend,” “look forward to,” “may,” “plan,” “potential,” “predict,” “project,” “should,” “target” “will,” “would” and/or the negative of these terms or other similar expressions that are intended to identify forward-looking statements.</w:t>
      </w:r>
    </w:p>
    <w:p>
      <w:pPr>
        <w:spacing w:after="0" w:line="17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i w:val="1"/>
          <w:iCs w:val="1"/>
          <w:color w:val="auto"/>
        </w:rPr>
        <w:t>The forward-looking statements included in this release are based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involve known and unknown risks, uncertainties and assumptions that are difficult to predict or are beyond our control, and actual results may differ materially from those expected or implied as forward-looking statements. These risks, uncertainties and assumptions include, but are not limited to (i) the impact of any geopolitical tensions or the global COVID-19 pandemic on the global economy, our industry and markets as well as our business, (ii) risks related to our limited operating history, our history of significant losses and the execution of our business strategy, (iii) risks related to our ability to successfully manufacture and deploy our products and risks related to serial production of our products, (iv) risks related to our sales cycle which can be long and complicated, (v) risks related to our limited experience with order processing, our dependency on third-party suppliers and external procurement risks, (vi) risks related to defects or performance problems in our products, (vii) effects of competition and the development of the market for laser communication technology in general, (viii) risks related to our ability to manage future growth effectively and to obtain sufficient financing for the operations and ongoing growth of our business, (ix) risks relating to the uncertainty of the projected financial information, (x) risks related to our ability to adequately protect our intellectual property and proprietary rights and (xi) changes in regulatory requirements, governmental incentives and market developments. Moreover, new risks emerge from time to time. It is not possible for our management to predict all risks, nor can we assess the impact of all factors on our business or the extent to which any factor, or combination of factors, may cause actual results to differ from those contained in any forward-looking statements we may make. In light of these risks, uncertainties and assumptions, the forward-looking events and circumstances discussed in this release may not occur and actual results could differ materially and adversely from those anticipated or implied in the forward-looking statements. We caution you therefore against relying on these forward-looking statements, and we qualify all of our forward-looking statements by these cautionary statements.</w:t>
      </w:r>
    </w:p>
    <w:p>
      <w:pPr>
        <w:spacing w:after="0" w:line="183" w:lineRule="exact"/>
        <w:rPr>
          <w:sz w:val="20"/>
          <w:szCs w:val="20"/>
          <w:color w:val="auto"/>
        </w:rPr>
      </w:pPr>
    </w:p>
    <w:p>
      <w:pPr>
        <w:jc w:val="both"/>
        <w:spacing w:after="0" w:line="234" w:lineRule="auto"/>
        <w:rPr>
          <w:sz w:val="20"/>
          <w:szCs w:val="20"/>
          <w:color w:val="auto"/>
        </w:rPr>
      </w:pPr>
      <w:r>
        <w:rPr>
          <w:rFonts w:ascii="Arial" w:cs="Arial" w:eastAsia="Arial" w:hAnsi="Arial"/>
          <w:sz w:val="20"/>
          <w:szCs w:val="20"/>
          <w:i w:val="1"/>
          <w:iCs w:val="1"/>
          <w:color w:val="auto"/>
        </w:rPr>
        <w:t>The forward-looking statements included in this release are made only as of the date hereof. Although we believe that the expectations reflected in the forward-looking statements are reasonable, we cannot guarantee that the future results, levels of activity, performance or events and circumstances reflected in the forward-looking statements will be achieved or occur. Neither we nor any other person assumes responsibility for the accuracy and completeness of the forward-looking statements. Unless required under applicable law, neither we nor any other person undertakes any obligation to update any forward-looking</w:t>
      </w:r>
    </w:p>
    <w:p>
      <w:pPr>
        <w:spacing w:after="0" w:line="108" w:lineRule="exact"/>
        <w:rPr>
          <w:sz w:val="20"/>
          <w:szCs w:val="20"/>
          <w:color w:val="auto"/>
        </w:rPr>
      </w:pPr>
    </w:p>
    <w:p>
      <w:pPr>
        <w:ind w:left="380"/>
        <w:spacing w:after="0"/>
        <w:rPr>
          <w:sz w:val="20"/>
          <w:szCs w:val="20"/>
          <w:color w:val="auto"/>
        </w:rPr>
      </w:pPr>
      <w:r>
        <w:rPr>
          <w:rFonts w:ascii="Calibri" w:cs="Calibri" w:eastAsia="Calibri" w:hAnsi="Calibri"/>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642620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4" w:name="page5"/>
    <w:bookmarkEnd w:id="4"/>
    <w:p>
      <w:pPr>
        <w:spacing w:after="0" w:line="12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i w:val="1"/>
          <w:iCs w:val="1"/>
          <w:color w:val="auto"/>
        </w:rPr>
        <w:t>statement to reflect events or circumstances after the date of this release or otherwise. You should read this release with the understanding that our actual future results, levels of activity, performance and events and circumstances may materially differ from what we expect.</w:t>
      </w:r>
    </w:p>
    <w:p>
      <w:pPr>
        <w:spacing w:after="0" w:line="171" w:lineRule="exact"/>
        <w:rPr>
          <w:sz w:val="20"/>
          <w:szCs w:val="20"/>
          <w:color w:val="auto"/>
        </w:rPr>
      </w:pPr>
    </w:p>
    <w:p>
      <w:pPr>
        <w:jc w:val="both"/>
        <w:spacing w:after="0" w:line="233" w:lineRule="auto"/>
        <w:rPr>
          <w:sz w:val="20"/>
          <w:szCs w:val="20"/>
          <w:color w:val="auto"/>
        </w:rPr>
      </w:pPr>
      <w:r>
        <w:rPr>
          <w:rFonts w:ascii="Arial" w:cs="Arial" w:eastAsia="Arial" w:hAnsi="Arial"/>
          <w:sz w:val="20"/>
          <w:szCs w:val="20"/>
          <w:i w:val="1"/>
          <w:iCs w:val="1"/>
          <w:color w:val="auto"/>
        </w:rPr>
        <w:t>This release may include certain financial measures not presented in accordance with IFRS. Such financial measures are not measures of financial performance in accordance with IFRS and may exclude items that are significant in understanding and assessing our financial results. Therefore, these measures should not be considered in isolation or as an alternative to loss for the period or other measures of profitability, liquidity or performance under IFRS. You should be aware that our presentation of these measures may not be comparable to similarly titled measures used by other companies, which may be defined and calculated differently.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1224915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2024-11-15T15:48:59Z</dcterms:created>
  <dcterms:modified xsi:type="dcterms:W3CDTF">2024-11-15T15:48:59Z</dcterms:modified>
</cp:coreProperties>
</file>