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799"/>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FOR THE MONTH OF JANUARY 2025</w:t>
      </w:r>
    </w:p>
    <w:p>
      <w:pPr>
        <w:spacing w:after="0" w:line="225"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January 31, 2025, Mynaric AG issued an ad-hoc. A copy of the ad-hoc is furnished as Exhibit 99.1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1581785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40" w:right="11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tc>
      </w:tr>
      <w:tr>
        <w:trPr>
          <w:trHeight w:val="432"/>
        </w:trPr>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69"/>
        </w:trPr>
        <w:tc>
          <w:tcPr>
            <w:tcW w:w="960" w:type="dxa"/>
            <w:vAlign w:val="bottom"/>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1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Ad-hoc Loan Agreement maturity extension</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0000FF"/>
            </w:tcBorders>
            <w:shd w:val="clear" w:color="auto" w:fill="CCEEFF"/>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Joachim Horwath</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Technology Officer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Andreas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Andreas Reif</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Restructuring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ind w:right="520"/>
        <w:spacing w:after="0" w:line="341" w:lineRule="auto"/>
        <w:rPr>
          <w:sz w:val="20"/>
          <w:szCs w:val="20"/>
          <w:color w:val="auto"/>
        </w:rPr>
      </w:pPr>
      <w:r>
        <w:rPr>
          <w:rFonts w:ascii="Arial" w:cs="Arial" w:eastAsia="Arial" w:hAnsi="Arial"/>
          <w:sz w:val="20"/>
          <w:szCs w:val="20"/>
          <w:b w:val="1"/>
          <w:bCs w:val="1"/>
          <w:color w:val="auto"/>
        </w:rPr>
        <w:t>Mynaric extends maturity of three existing bridge loans until February 7, 2025 and expects additional bridge loan, restructuring loan and application for StaRUG proceedings</w:t>
      </w:r>
    </w:p>
    <w:p>
      <w:pPr>
        <w:spacing w:after="0" w:line="305"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color w:val="auto"/>
        </w:rPr>
        <w:t xml:space="preserve">MUNICH, January 31, 2025 </w:t>
      </w:r>
      <w:r>
        <w:rPr>
          <w:rFonts w:ascii="Arial" w:cs="Arial" w:eastAsia="Arial" w:hAnsi="Arial"/>
          <w:sz w:val="20"/>
          <w:szCs w:val="20"/>
          <w:color w:val="auto"/>
        </w:rPr>
        <w:t>– Mynaric AG (NASDAQ: MYNA; ISIN: US62857X1019) (FRA: M0YN; ISIN: DE000A31C305)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announces the extension of the maturity of its three bridge loans and the expectation to agree on a fourth bridge loan, a separate restructuring loan and an application for the initiation of a fnancial reorganization under the German Corporate Stabilization and Restructuring Act (</w:t>
      </w:r>
      <w:r>
        <w:rPr>
          <w:rFonts w:ascii="Arial" w:cs="Arial" w:eastAsia="Arial" w:hAnsi="Arial"/>
          <w:sz w:val="20"/>
          <w:szCs w:val="20"/>
          <w:b w:val="1"/>
          <w:bCs w:val="1"/>
          <w:i w:val="1"/>
          <w:iCs w:val="1"/>
          <w:color w:val="auto"/>
        </w:rPr>
        <w:t>Gesetz über den Stabilisierungs- und Restrukturierungsrahmen für</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Unternehmen </w:t>
      </w:r>
      <w:r>
        <w:rPr>
          <w:rFonts w:ascii="Arial" w:cs="Arial" w:eastAsia="Arial" w:hAnsi="Arial"/>
          <w:sz w:val="20"/>
          <w:szCs w:val="20"/>
          <w:color w:val="auto"/>
        </w:rPr>
        <w:t>(“StaRUG”).</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New maturity date of bridge loans</w:t>
      </w:r>
    </w:p>
    <w:p>
      <w:pPr>
        <w:spacing w:after="0" w:line="312"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Company today entered into an amendment to its existing loan agreement with its U.S.-based lenders, which are funds afliated with a U.S.-based global investment management frm (the “Lenders”), pursuant to which the Lenders have agreed to extend the maturity date of the three existing bridge loans in the aggregate amount of USD 21.5 million from January 31, 2025 to February 7, 2025. The Lenders provided such loans in October 2024, November 2024 and December 2024 .</w:t>
      </w:r>
    </w:p>
    <w:p>
      <w:pPr>
        <w:spacing w:after="0" w:line="200" w:lineRule="exact"/>
        <w:rPr>
          <w:sz w:val="20"/>
          <w:szCs w:val="20"/>
          <w:color w:val="auto"/>
        </w:rPr>
      </w:pPr>
    </w:p>
    <w:p>
      <w:pPr>
        <w:spacing w:after="0" w:line="270"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The three bridge loans can still be terminated early if, among other things, the previously commissioned independent German restructuring expert provides notice on or prior to the new maturity date that it is no longer more likely than not that the Company is capable of being restructured.</w:t>
      </w:r>
    </w:p>
    <w:p>
      <w:pPr>
        <w:spacing w:after="0" w:line="186" w:lineRule="exact"/>
        <w:rPr>
          <w:sz w:val="20"/>
          <w:szCs w:val="20"/>
          <w:color w:val="auto"/>
        </w:rPr>
      </w:pPr>
    </w:p>
    <w:p>
      <w:pPr>
        <w:jc w:val="both"/>
        <w:spacing w:after="0" w:line="341" w:lineRule="auto"/>
        <w:rPr>
          <w:sz w:val="20"/>
          <w:szCs w:val="20"/>
          <w:color w:val="auto"/>
        </w:rPr>
      </w:pPr>
      <w:r>
        <w:rPr>
          <w:rFonts w:ascii="Arial" w:cs="Arial" w:eastAsia="Arial" w:hAnsi="Arial"/>
          <w:sz w:val="20"/>
          <w:szCs w:val="20"/>
          <w:color w:val="auto"/>
        </w:rPr>
        <w:t>As of January 29, 2025, the Company had cash and cash equivalents on hand of EUR 8.4 million, which the Company will use to meet its ongoing operational and working capital needs.</w:t>
      </w:r>
    </w:p>
    <w:p>
      <w:pPr>
        <w:spacing w:after="0" w:line="156" w:lineRule="exact"/>
        <w:rPr>
          <w:sz w:val="20"/>
          <w:szCs w:val="20"/>
          <w:color w:val="auto"/>
        </w:rPr>
      </w:pPr>
    </w:p>
    <w:p>
      <w:pPr>
        <w:jc w:val="both"/>
        <w:spacing w:after="0" w:line="341" w:lineRule="auto"/>
        <w:rPr>
          <w:sz w:val="20"/>
          <w:szCs w:val="20"/>
          <w:color w:val="auto"/>
        </w:rPr>
      </w:pPr>
      <w:r>
        <w:rPr>
          <w:rFonts w:ascii="Arial" w:cs="Arial" w:eastAsia="Arial" w:hAnsi="Arial"/>
          <w:sz w:val="20"/>
          <w:szCs w:val="20"/>
          <w:color w:val="auto"/>
        </w:rPr>
        <w:t>The provision that the Company made in December 2024 for contingent liabilities resulting from guarantee obligations in the amount of all loans provided by the Lenders outstanding, including interest and exit fee, remains in place.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Preparation of StaRUG proceedings</w:t>
      </w:r>
    </w:p>
    <w:p>
      <w:pPr>
        <w:spacing w:after="0" w:line="312"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The extension of the maturity date is the result of very advanced discussions with the Lenders for a fourth bridge loan and a separate restructuring loan. Based thereon, the management board of the Company concluded today that it is mostly probable that the Company will apply for the initiation of StaRUG proceedings with the competent local court (</w:t>
      </w:r>
      <w:r>
        <w:rPr>
          <w:rFonts w:ascii="Arial" w:cs="Arial" w:eastAsia="Arial" w:hAnsi="Arial"/>
          <w:sz w:val="20"/>
          <w:szCs w:val="20"/>
          <w:b w:val="1"/>
          <w:bCs w:val="1"/>
          <w:i w:val="1"/>
          <w:iCs w:val="1"/>
          <w:color w:val="auto"/>
        </w:rPr>
        <w:t>Amtsgericht</w:t>
      </w:r>
      <w:r>
        <w:rPr>
          <w:rFonts w:ascii="Arial" w:cs="Arial" w:eastAsia="Arial" w:hAnsi="Arial"/>
          <w:sz w:val="20"/>
          <w:szCs w:val="20"/>
          <w:color w:val="auto"/>
        </w:rPr>
        <w:t>) of Munich in the upcoming days. The expected fling of the application for the initiation of StaRUG proceedings would, among other things, remain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832485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both"/>
        <w:ind w:right="20"/>
        <w:spacing w:after="0" w:line="341" w:lineRule="auto"/>
        <w:rPr>
          <w:sz w:val="20"/>
          <w:szCs w:val="20"/>
          <w:color w:val="auto"/>
        </w:rPr>
      </w:pPr>
      <w:r>
        <w:rPr>
          <w:rFonts w:ascii="Arial" w:cs="Arial" w:eastAsia="Arial" w:hAnsi="Arial"/>
          <w:sz w:val="20"/>
          <w:szCs w:val="20"/>
          <w:color w:val="auto"/>
        </w:rPr>
        <w:t>subject to the successful fnalization of the negotiations and resolutions of the management board and the supervisory board of the Company.</w:t>
      </w:r>
    </w:p>
    <w:p>
      <w:pPr>
        <w:spacing w:after="0" w:line="156" w:lineRule="exact"/>
        <w:rPr>
          <w:sz w:val="20"/>
          <w:szCs w:val="20"/>
          <w:color w:val="auto"/>
        </w:rPr>
      </w:pPr>
    </w:p>
    <w:p>
      <w:pPr>
        <w:jc w:val="both"/>
        <w:spacing w:after="0" w:line="301" w:lineRule="auto"/>
        <w:rPr>
          <w:sz w:val="20"/>
          <w:szCs w:val="20"/>
          <w:color w:val="auto"/>
        </w:rPr>
      </w:pPr>
      <w:r>
        <w:rPr>
          <w:rFonts w:ascii="Arial" w:cs="Arial" w:eastAsia="Arial" w:hAnsi="Arial"/>
          <w:sz w:val="20"/>
          <w:szCs w:val="20"/>
          <w:color w:val="auto"/>
        </w:rPr>
        <w:t>The fourth bridge loan is to cover the expected ongoing operational and working capital needs of the Company until the anticipated time of the conclusion of StaRUG proceedings and is expected to have similar terms to the three existing bridge loans. The Company is in the process of verifying the exact amount needed and expects it to be slightly higher than the aggregate initial principal amount of the three bridge loans.</w:t>
      </w:r>
    </w:p>
    <w:p>
      <w:pPr>
        <w:spacing w:after="0" w:line="196" w:lineRule="exact"/>
        <w:rPr>
          <w:sz w:val="20"/>
          <w:szCs w:val="20"/>
          <w:color w:val="auto"/>
        </w:rPr>
      </w:pPr>
    </w:p>
    <w:p>
      <w:pPr>
        <w:jc w:val="both"/>
        <w:spacing w:after="0" w:line="301" w:lineRule="auto"/>
        <w:rPr>
          <w:sz w:val="20"/>
          <w:szCs w:val="20"/>
          <w:color w:val="auto"/>
        </w:rPr>
      </w:pPr>
      <w:r>
        <w:rPr>
          <w:rFonts w:ascii="Arial" w:cs="Arial" w:eastAsia="Arial" w:hAnsi="Arial"/>
          <w:sz w:val="20"/>
          <w:szCs w:val="20"/>
          <w:color w:val="auto"/>
        </w:rPr>
        <w:t>The separate loan agreement pursuant to which the Lenders would provide additional capital would cover the capital expected to be needed to support the Company’s production plan and fund its ongoing operations per the restructuring plan and would be subject to the condition that the StaRUG proceedings are concluded successfully. The Company is also in the process of verifying the exact amount needed for such loan.</w:t>
      </w:r>
    </w:p>
    <w:p>
      <w:pPr>
        <w:spacing w:after="0" w:line="196" w:lineRule="exact"/>
        <w:rPr>
          <w:sz w:val="20"/>
          <w:szCs w:val="20"/>
          <w:color w:val="auto"/>
        </w:rPr>
      </w:pPr>
    </w:p>
    <w:p>
      <w:pPr>
        <w:jc w:val="both"/>
        <w:spacing w:after="0" w:line="301" w:lineRule="auto"/>
        <w:rPr>
          <w:sz w:val="20"/>
          <w:szCs w:val="20"/>
          <w:color w:val="auto"/>
        </w:rPr>
      </w:pPr>
      <w:r>
        <w:rPr>
          <w:rFonts w:ascii="Arial" w:cs="Arial" w:eastAsia="Arial" w:hAnsi="Arial"/>
          <w:sz w:val="20"/>
          <w:szCs w:val="20"/>
          <w:color w:val="auto"/>
        </w:rPr>
        <w:t>Currently, it is envisaged that the restructuring plan will provide for a reduction of the Company’s share capital to zero followed by a capital increase excluding statutory subscription rights. Accordingly, the StaRUG proceedings may result in shareholders losing all of their investment in the Company. Other fnancing opportunities for the Company are currently neither available nor in sight.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Mynaric</w:t>
      </w:r>
    </w:p>
    <w:p>
      <w:pPr>
        <w:spacing w:after="0" w:line="310"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 xml:space="preserve">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w:t>
      </w:r>
      <w:r>
        <w:rPr>
          <w:rFonts w:ascii="Arial" w:cs="Arial" w:eastAsia="Arial" w:hAnsi="Arial"/>
          <w:sz w:val="20"/>
          <w:szCs w:val="20"/>
          <w:u w:val="single" w:color="auto"/>
          <w:color w:val="auto"/>
        </w:rPr>
        <w:t>mynaric.com</w:t>
      </w:r>
      <w:r>
        <w:rPr>
          <w:rFonts w:ascii="Arial" w:cs="Arial" w:eastAsia="Arial" w:hAnsi="Arial"/>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w:t>
      </w:r>
    </w:p>
    <w:p>
      <w:pPr>
        <w:spacing w:after="0" w:line="30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b w:val="1"/>
          <w:bCs w:val="1"/>
          <w:i w:val="1"/>
          <w:iCs w:val="1"/>
          <w:color w:val="auto"/>
        </w:rPr>
        <w:t>This release includes forward-looking statements. All statements other than statements of historical or current facts contained in this release, including statements regarding our future results of operations and fnancial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20"/>
          <w:szCs w:val="20"/>
          <w:b w:val="1"/>
          <w:bCs w:val="1"/>
          <w:i w:val="1"/>
          <w:iCs w:val="1"/>
          <w:color w:val="auto"/>
        </w:rPr>
        <w:t>The forward-looking statements included in this release are based largely on our current expectations and projections about future events and fnancial trends that we believe may</w:t>
      </w:r>
    </w:p>
    <w:p>
      <w:pPr>
        <w:ind w:left="380"/>
        <w:spacing w:after="0" w:line="199" w:lineRule="auto"/>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313" w:lineRule="auto"/>
        <w:rPr>
          <w:sz w:val="20"/>
          <w:szCs w:val="20"/>
          <w:color w:val="auto"/>
        </w:rPr>
      </w:pPr>
      <w:r>
        <w:rPr>
          <w:rFonts w:ascii="Arial" w:cs="Arial" w:eastAsia="Arial" w:hAnsi="Arial"/>
          <w:sz w:val="18"/>
          <w:szCs w:val="18"/>
          <w:b w:val="1"/>
          <w:bCs w:val="1"/>
          <w:i w:val="1"/>
          <w:iCs w:val="1"/>
          <w:color w:val="auto"/>
        </w:rPr>
        <w:t>afect our fnancial condition, results of operations, business strategy, short-term and long-term business operations and objectives, and fnancial needs. These forward-looking statements involve known and unknown risks, uncertainties and assumptions that are difcult to predict or are beyond our control, and actual results may difer materially from those expected or implied as forward-looking statements. These risks, uncertainties and assumptions include, but are not limited to (i) the impact of any geopolitical tensions on the global economy, our industry and markets as well as our business, (ii) risks related to our limited operating history, our history of signifcant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efects of competition and the development of the market for laser communication technology in general,</w:t>
      </w:r>
    </w:p>
    <w:p>
      <w:pPr>
        <w:spacing w:after="0" w:line="3" w:lineRule="exact"/>
        <w:rPr>
          <w:sz w:val="20"/>
          <w:szCs w:val="20"/>
          <w:color w:val="auto"/>
        </w:rPr>
      </w:pPr>
    </w:p>
    <w:p>
      <w:pPr>
        <w:jc w:val="both"/>
        <w:ind w:firstLine="8"/>
        <w:spacing w:after="0" w:line="305" w:lineRule="auto"/>
        <w:tabs>
          <w:tab w:leader="none" w:pos="432" w:val="left"/>
        </w:tabs>
        <w:numPr>
          <w:ilvl w:val="0"/>
          <w:numId w:val="1"/>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risks related to our ability to manage future growth efectively and to obtain sufcient fnancing for the operations and ongoing growth of our business, (ix) risks relating to the uncertainty of the projected fnancial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difer from those contained in any forward-looking statements we may make. In light of these risks, uncertainties and assumptions, the forward-looking events and circumstances discussed in this release may not occur and actual results could difer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b w:val="1"/>
          <w:bCs w:val="1"/>
          <w:i w:val="1"/>
          <w:iCs w:val="1"/>
          <w:color w:val="auto"/>
        </w:rPr>
        <w:t>The forward-looking statements included in this release are made only as of the date hereof. Although we believe that the expectations refected in the forward-looking statements are reasonable, we cannot guarantee that the future results, levels of activity, performance or events and circumstances refected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refect events or circumstances after the date of this release or otherwise. You should read this release with the understanding that our actual future results, levels of activity, performance and events and circumstances may materially difer from what we expect.</w:t>
      </w:r>
    </w:p>
    <w:p>
      <w:pPr>
        <w:spacing w:after="0" w:line="207" w:lineRule="exact"/>
        <w:rPr>
          <w:sz w:val="20"/>
          <w:szCs w:val="20"/>
          <w:color w:val="auto"/>
        </w:rPr>
      </w:pPr>
    </w:p>
    <w:p>
      <w:pPr>
        <w:jc w:val="both"/>
        <w:spacing w:after="0" w:line="297" w:lineRule="auto"/>
        <w:rPr>
          <w:sz w:val="20"/>
          <w:szCs w:val="20"/>
          <w:color w:val="auto"/>
        </w:rPr>
      </w:pPr>
      <w:r>
        <w:rPr>
          <w:rFonts w:ascii="Arial" w:cs="Arial" w:eastAsia="Arial" w:hAnsi="Arial"/>
          <w:sz w:val="20"/>
          <w:szCs w:val="20"/>
          <w:b w:val="1"/>
          <w:bCs w:val="1"/>
          <w:i w:val="1"/>
          <w:iCs w:val="1"/>
          <w:color w:val="auto"/>
        </w:rPr>
        <w:t>This release may include certain fnancial measures not presented in accordance with IFRS. Such fnancial measures are not measures of fnancial performance in accordance with IFRS and may exclude items that are signifcant in understanding and assessing our fnancial results. Therefore, these measures should not be considered in isolation or as an alternative to loss for the period or other measures of proftability, liquidity or performance under IFRS. You should be aware that our presentation of these measures may not be comparable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831215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similarly titled measures used by other companies, which may be defned and calculated diferently.</w:t>
      </w:r>
    </w:p>
    <w:p>
      <w:pPr>
        <w:sectPr>
          <w:pgSz w:w="11900" w:h="16838" w:orient="portrait"/>
          <w:cols w:equalWidth="0" w:num="1">
            <w:col w:w="10139"/>
          </w:cols>
          <w:pgMar w:left="320" w:top="1438" w:right="1440" w:bottom="1440" w:gutter="0" w:footer="0" w:header="0"/>
        </w:sectPr>
      </w:pPr>
    </w:p>
    <w:p>
      <w:pPr>
        <w:spacing w:after="0" w:line="266" w:lineRule="exact"/>
        <w:rPr>
          <w:sz w:val="20"/>
          <w:szCs w:val="20"/>
          <w:color w:val="auto"/>
        </w:rPr>
      </w:pPr>
    </w:p>
    <w:p>
      <w:pPr>
        <w:ind w:left="380"/>
        <w:spacing w:after="0"/>
        <w:rPr>
          <w:sz w:val="20"/>
          <w:szCs w:val="20"/>
          <w:color w:val="auto"/>
        </w:rPr>
      </w:pPr>
      <w:r>
        <w:rPr>
          <w:rFonts w:ascii="Calibri" w:cs="Calibri" w:eastAsia="Calibri" w:hAnsi="Calibri"/>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139"/>
      </w:cols>
      <w:pgMar w:left="320" w:top="143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2025-01-31T11:18:00Z</dcterms:created>
  <dcterms:modified xsi:type="dcterms:W3CDTF">2025-01-31T11:18:00Z</dcterms:modified>
</cp:coreProperties>
</file>