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FOR THE MONTH OF August 2022</w:t>
      </w:r>
    </w:p>
    <w:p>
      <w:pPr>
        <w:spacing w:after="0" w:line="225"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COMMISSION FILE NUMBER 001-41045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43"/>
          <w:szCs w:val="43"/>
          <w:b w:val="1"/>
          <w:bCs w:val="1"/>
          <w:color w:val="auto"/>
        </w:rPr>
        <w:t>Mynaric AG</w:t>
      </w:r>
    </w:p>
    <w:p>
      <w:pPr>
        <w:spacing w:after="0" w:line="58"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Dornierstraße 19</w:t>
      </w:r>
    </w:p>
    <w:p>
      <w:pPr>
        <w:spacing w:after="0" w:line="3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82205 Gilching</w:t>
      </w:r>
    </w:p>
    <w:p>
      <w:pPr>
        <w:spacing w:after="0" w:line="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+49 (0) 8105 79990</w:t>
      </w:r>
    </w:p>
    <w:p>
      <w:pPr>
        <w:spacing w:after="0" w:line="2"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spacing w:after="0" w:line="207" w:lineRule="exact"/>
        <w:tabs>
          <w:tab w:leader="none" w:pos="954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580"/>
          </w:cols>
          <w:pgMar w:left="440" w:top="376" w:right="879" w:bottom="1440" w:gutter="0" w:footer="0" w:header="0"/>
        </w:sectPr>
      </w:pPr>
    </w:p>
    <w:bookmarkStart w:id="1" w:name="page2"/>
    <w:bookmarkEnd w:id="1"/>
    <w:p>
      <w:pPr>
        <w:ind w:left="31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DOCUMENTS INCLUDED AS PART OF THIS FORM 6-K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10, 2022, Mynaric AG issued a press release. A copy of the press release is furnished as Exhibit 99.1 hereto.</w:t>
      </w:r>
    </w:p>
    <w:p>
      <w:pPr>
        <w:sectPr>
          <w:pgSz w:w="11900" w:h="16838" w:orient="portrait"/>
          <w:cols w:equalWidth="0" w:num="1">
            <w:col w:w="10019"/>
          </w:cols>
          <w:pgMar w:left="440" w:top="266" w:right="1440" w:bottom="1440" w:gutter="0" w:footer="0" w:header="0"/>
        </w:sectPr>
      </w:pPr>
    </w:p>
    <w:bookmarkStart w:id="2" w:name="page3"/>
    <w:bookmarkEnd w:id="2"/>
    <w:p>
      <w:pPr>
        <w:jc w:val="right"/>
        <w:ind w:right="2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DOCUMENTS INCLUDED AS PART OF THIS FORM 6-K</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u w:val="single" w:color="auto"/>
          <w:color w:val="auto"/>
        </w:rPr>
        <w:t>Exhibit</w:t>
      </w:r>
      <w:r>
        <w:rPr>
          <w:sz w:val="20"/>
          <w:szCs w:val="20"/>
          <w:color w:val="auto"/>
        </w:rPr>
        <w:tab/>
      </w:r>
      <w:r>
        <w:rPr>
          <w:rFonts w:ascii="Times New Roman" w:cs="Times New Roman" w:eastAsia="Times New Roman" w:hAnsi="Times New Roman"/>
          <w:sz w:val="14"/>
          <w:szCs w:val="14"/>
          <w:u w:val="single" w:color="auto"/>
          <w:color w:val="auto"/>
        </w:rPr>
        <w:t>Description of Exhibit</w:t>
      </w:r>
    </w:p>
    <w:p>
      <w:pPr>
        <w:spacing w:after="0" w:line="11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Mynaric Selected for Next Phase of DARPA Program</w:t>
      </w:r>
    </w:p>
    <w:p>
      <w:pPr>
        <w:sectPr>
          <w:pgSz w:w="11900" w:h="16838" w:orient="portrait"/>
          <w:cols w:equalWidth="0" w:num="1">
            <w:col w:w="10019"/>
          </w:cols>
          <w:pgMar w:left="440" w:top="266" w:right="1440"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Stefan Berndt-von Bülow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17145</wp:posOffset>
            </wp:positionV>
            <wp:extent cx="26231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 Stefan Berndt-von Bülow</w:t>
      </w:r>
    </w:p>
    <w:p>
      <w:pPr>
        <w:spacing w:after="0" w:line="27" w:lineRule="exact"/>
        <w:rPr>
          <w:sz w:val="20"/>
          <w:szCs w:val="20"/>
          <w:color w:val="auto"/>
        </w:rPr>
      </w:pPr>
    </w:p>
    <w:p>
      <w:pPr>
        <w:ind w:left="688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Sven Meyer-Brunswick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17145</wp:posOffset>
            </wp:positionV>
            <wp:extent cx="26231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 Sven Meyer-Brunswick</w:t>
      </w:r>
    </w:p>
    <w:p>
      <w:pPr>
        <w:spacing w:after="0" w:line="27" w:lineRule="exact"/>
        <w:rPr>
          <w:sz w:val="20"/>
          <w:szCs w:val="20"/>
          <w:color w:val="auto"/>
        </w:rPr>
      </w:pPr>
    </w:p>
    <w:p>
      <w:pPr>
        <w:ind w:left="688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tab/>
        <w:t>Authorized Representative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10, 2022</w:t>
      </w:r>
    </w:p>
    <w:p>
      <w:pPr>
        <w:sectPr>
          <w:pgSz w:w="11900" w:h="16838" w:orient="portrait"/>
          <w:cols w:equalWidth="0" w:num="1">
            <w:col w:w="10700"/>
          </w:cols>
          <w:pgMar w:left="440" w:top="266"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Mynaric Selected for Next Phase of DARPA Program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1 Goal to Develop Benchtop Model of Next-Generation Optical Communications Terminal for Proliferated Space Domain</w:t>
      </w:r>
    </w:p>
    <w:p>
      <w:pPr>
        <w:spacing w:after="0" w:line="117"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LOS ANGELES, August 10, 2022 – </w:t>
      </w:r>
      <w:r>
        <w:rPr>
          <w:rFonts w:ascii="Times New Roman" w:cs="Times New Roman" w:eastAsia="Times New Roman" w:hAnsi="Times New Roman"/>
          <w:sz w:val="18"/>
          <w:szCs w:val="18"/>
          <w:u w:val="single" w:color="auto"/>
          <w:color w:val="auto"/>
        </w:rPr>
        <w:t>Mynaric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been selected as a key development partner to create a benchtop model of a next-generation optical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communications terminal as part of Phase 1 of the </w:t>
      </w:r>
      <w:r>
        <w:rPr>
          <w:rFonts w:ascii="Times New Roman" w:cs="Times New Roman" w:eastAsia="Times New Roman" w:hAnsi="Times New Roman"/>
          <w:sz w:val="18"/>
          <w:szCs w:val="18"/>
          <w:u w:val="single" w:color="auto"/>
          <w:color w:val="auto"/>
        </w:rPr>
        <w:t>Space-based adaptive communications node</w:t>
      </w:r>
      <w:r>
        <w:rPr>
          <w:rFonts w:ascii="Times New Roman" w:cs="Times New Roman" w:eastAsia="Times New Roman" w:hAnsi="Times New Roman"/>
          <w:sz w:val="18"/>
          <w:szCs w:val="18"/>
          <w:color w:val="auto"/>
        </w:rPr>
        <w:t xml:space="preserve"> (Space-BACN) program of the Defense Advanced Research Projects Agency (DARPA). DARPA’s Space-BACN program envisions a low-cost, scalable optical communications terminal that could be reconfigured to work with various optical intersatellite link standards allowing seamless communication among government and private-sector proprietary satellites. The announcement follows the selection of </w:t>
      </w:r>
      <w:r>
        <w:rPr>
          <w:rFonts w:ascii="Times New Roman" w:cs="Times New Roman" w:eastAsia="Times New Roman" w:hAnsi="Times New Roman"/>
          <w:sz w:val="18"/>
          <w:szCs w:val="18"/>
          <w:u w:val="single" w:color="auto"/>
          <w:color w:val="auto"/>
        </w:rPr>
        <w:t>Mynaric to participate in the Space-BACN program’s Phase 0 at the end of last year</w:t>
      </w:r>
      <w:r>
        <w:rPr>
          <w:rFonts w:ascii="Times New Roman" w:cs="Times New Roman" w:eastAsia="Times New Roman" w:hAnsi="Times New Roman"/>
          <w:sz w:val="18"/>
          <w:szCs w:val="18"/>
          <w:color w:val="auto"/>
        </w:rPr>
        <w:t xml:space="preserve"> and represents Mynaric’s continued success with U.S. government customers that are a driving force for the deployment of space-based, optical communication capabilities.</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long-standing goal to develop and manufacture scalable, cost-effective and industrialized optical communications terminals is well aligned with the objectives of DARPA’s Space-BACN program,” said Joachim Horwath, CTO of Mynaric. “Providing an adaptable solution that can operate with any other terminal irrespective of an implemented laser communications standard and without compromising on performance and affordability is an important technical challenge. It’s a task we are more than happy to tackle for DARPA and that we consider as crucial for the development of future products.”</w:t>
      </w:r>
    </w:p>
    <w:p>
      <w:pPr>
        <w:spacing w:after="0" w:line="18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14-month Phase 1 of the Space-BACN program follows the 15-week Phase 0, which was focused on developing the architectural design of the terminal. Additionally, it precedes the 20-month Phase 2 which aims to build a prototype version of the future product.</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“Laser communications is widely considered as the emerging backbone and the optical fiber equivalent for space-based communication networks,” said Tina Ghataore, CCO of Mynaric. “Unleashing the full utility of these networks will require seamless integration and interoperability between optical communication architectures of governmental and commercial customers. We are honored to be able to continue to contribute to these efforts for DARPA.”</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Mynaric is pushing the industry with an aggressive product development and engineering roadmap with industrialized products that reduce size, weight, power and cost without compromising performance. The </w:t>
      </w:r>
      <w:r>
        <w:rPr>
          <w:rFonts w:ascii="Times New Roman" w:cs="Times New Roman" w:eastAsia="Times New Roman" w:hAnsi="Times New Roman"/>
          <w:sz w:val="18"/>
          <w:szCs w:val="18"/>
          <w:u w:val="single" w:color="auto"/>
          <w:color w:val="auto"/>
        </w:rPr>
        <w:t>CONDOR Mk3 optical communications terminal</w:t>
      </w:r>
      <w:r>
        <w:rPr>
          <w:rFonts w:ascii="Times New Roman" w:cs="Times New Roman" w:eastAsia="Times New Roman" w:hAnsi="Times New Roman"/>
          <w:sz w:val="18"/>
          <w:szCs w:val="18"/>
          <w:color w:val="auto"/>
        </w:rPr>
        <w:t xml:space="preserve"> already offers configurable data rate speeds between 100 Mbps and 100 Gbps delivering higher speeds based on the mission and ensuring compatibility with the Space Development Agency’s interoperability standard among others.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Mynaric</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Mynaric (Nasdaq: MYNA; Frankfurt Stock Exchange: M0Y)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mynaric.com.</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2022-08-10T11:02:42Z</dcterms:created>
  <dcterms:modified xsi:type="dcterms:W3CDTF">2022-08-10T11:02:42Z</dcterms:modified>
</cp:coreProperties>
</file>