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514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1306195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1" w:lineRule="exact"/>
        <w:rPr>
          <w:sz w:val="24"/>
          <w:szCs w:val="24"/>
          <w:color w:val="auto"/>
        </w:rPr>
      </w:pPr>
    </w:p>
    <w:p>
      <w:pPr>
        <w:jc w:val="center"/>
        <w:ind w:right="-799"/>
        <w:spacing w:after="0" w:line="207" w:lineRule="exact"/>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 OR 15d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w:t>
      </w:r>
    </w:p>
    <w:p>
      <w:pPr>
        <w:spacing w:after="0" w:line="70"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FOR THE MONTH OF JANUARY 2025</w:t>
      </w:r>
    </w:p>
    <w:p>
      <w:pPr>
        <w:spacing w:after="0" w:line="225"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00"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Registrant’s name</w:t>
      </w:r>
      <w:r>
        <w:rPr>
          <w:rFonts w:ascii="Times New Roman" w:cs="Times New Roman" w:eastAsia="Times New Roman" w:hAnsi="Times New Roman"/>
          <w:sz w:val="18"/>
          <w:szCs w:val="18"/>
          <w:color w:val="auto"/>
        </w:rPr>
        <w:t>)</w:t>
      </w:r>
    </w:p>
    <w:p>
      <w:pPr>
        <w:spacing w:after="0" w:line="20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Bertha-Kipfmüller Straße 2-8</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81249 München</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+49 (0) 89 5589 4280</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principal executive offices</w:t>
      </w:r>
      <w:r>
        <w:rPr>
          <w:rFonts w:ascii="Times New Roman" w:cs="Times New Roman" w:eastAsia="Times New Roman" w:hAnsi="Times New Roman"/>
          <w:sz w:val="18"/>
          <w:szCs w:val="18"/>
          <w:color w:val="auto"/>
        </w:rPr>
        <w: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January 15, 2025, Mynaric AG issued a corporate news. A copy of the corporate news is furnished as Exhibit 99.1 hereto.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1581785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440" w:right="1179" w:bottom="1440" w:gutter="0" w:footer="0" w:header="0"/>
        </w:sectPr>
      </w:pPr>
    </w:p>
    <w:bookmarkStart w:id="1" w:name="page2"/>
    <w:bookmarkEnd w:id="1"/>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169"/>
        </w:trPr>
        <w:tc>
          <w:tcPr>
            <w:tcW w:w="960" w:type="dxa"/>
            <w:vAlign w:val="bottom"/>
            <w:gridSpan w:val="3"/>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12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NASDAQ Deficiency Letter</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0000FF"/>
            </w:tcBorders>
            <w:shd w:val="clear" w:color="auto" w:fill="CCEEFF"/>
          </w:tcPr>
          <w:p>
            <w:pPr>
              <w:spacing w:after="0" w:line="20" w:lineRule="exact"/>
              <w:rPr>
                <w:sz w:val="1"/>
                <w:szCs w:val="1"/>
                <w:color w:val="auto"/>
              </w:rPr>
            </w:pPr>
          </w:p>
        </w:tc>
        <w:tc>
          <w:tcPr>
            <w:tcW w:w="80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Joachim Horwath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Joachim Horwath</w:t>
      </w:r>
    </w:p>
    <w:p>
      <w:pPr>
        <w:spacing w:after="0" w:line="23"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Technology Officer</w:t>
      </w: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Andreas Reif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Andreas Reif</w:t>
      </w:r>
    </w:p>
    <w:p>
      <w:pPr>
        <w:spacing w:after="0" w:line="23"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Restructuring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Mynaric Announces Receipt of Defciency Letters from Nasdaq</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MUNICH, January 15, 2025 – Mynaric (NASDAQ: MYNA) (FRA: M0YN), a leading provider of industrialized, cost-efective and scalable laser communications products, today announced that it received a notifcation letter dated January 9, 2025 (the “Defciency Letter I”) from the Listing Qualifcations Department of The Nasdaq Stock Market Inc. (the “Nasdaq”) notifying that Mynaric is no longer in compliance with the Nasdaq continued listing criteria, including the Nasdaq Listing Rule 5250(c)(2) due to its failure to fle an interim balance sheet and income statement as of the end of its second quarter on Form 6-K no later than six months following the end of the Mynaric’s second quarter (the “Interim Reporting Requirement”). Furthermore, Mynaric today announced that it received a notifcation letter dated January 13, 2025 (the “Defciency Letter II”) from Nasdaq notifying that Mynaric is no longer in compliance with Listing Rule 5620(a) due to its failure to hold an annual meeting of shareholders within twelve months of the end of the Mynaric’s fscal year (the “Annual Meeting Requirement”).</w:t>
      </w:r>
    </w:p>
    <w:p>
      <w:pPr>
        <w:spacing w:after="0" w:line="316" w:lineRule="exact"/>
        <w:rPr>
          <w:sz w:val="20"/>
          <w:szCs w:val="20"/>
          <w:color w:val="auto"/>
        </w:rPr>
      </w:pPr>
    </w:p>
    <w:p>
      <w:pPr>
        <w:jc w:val="both"/>
        <w:spacing w:after="0" w:line="338" w:lineRule="auto"/>
        <w:rPr>
          <w:sz w:val="20"/>
          <w:szCs w:val="20"/>
          <w:color w:val="auto"/>
        </w:rPr>
      </w:pPr>
      <w:r>
        <w:rPr>
          <w:rFonts w:ascii="Arial" w:cs="Arial" w:eastAsia="Arial" w:hAnsi="Arial"/>
          <w:sz w:val="20"/>
          <w:szCs w:val="20"/>
          <w:color w:val="auto"/>
        </w:rPr>
        <w:t>The Defciency Letter I and Defciency Letter II have no immediate efect on the listing of Mynaric’s American Depositary Shares representing its ordinary shares (the “ADS”), which continue to trade under the symbol “MYNA.”</w:t>
      </w:r>
    </w:p>
    <w:p>
      <w:pPr>
        <w:jc w:val="both"/>
        <w:spacing w:after="0" w:line="293" w:lineRule="auto"/>
        <w:rPr>
          <w:sz w:val="20"/>
          <w:szCs w:val="20"/>
          <w:color w:val="auto"/>
        </w:rPr>
      </w:pPr>
      <w:r>
        <w:rPr>
          <w:rFonts w:ascii="Arial" w:cs="Arial" w:eastAsia="Arial" w:hAnsi="Arial"/>
          <w:sz w:val="20"/>
          <w:szCs w:val="20"/>
          <w:color w:val="auto"/>
        </w:rPr>
        <w:t>The Defciency Letter I provided that, in accordance with Nasdaq Listing Rule 5810(c)(3)(F), Mynaric has 60 calendar days to submit a plan to regain compliance and if Nasdaq accepts such plan, Nasdaq can grant an exception of up to 180 calendar days from the fling’s due date, or until June 30, 2025, to regain compliance with the Interim Reporting Requirement. The Defciency Letter II provided that, in accordance with Nasdaq Listing Rule 5810(c)(3)(G), Mynaric has 45 calendar days to submit a plan to regain compliance and if Nasdaq accepts such plan, Nasdaq can grant an exception of up to 180 calendar days from the fling’s due date, or until June 30, 2025, to regain compliance with the Annual Meeting Requirement.</w:t>
      </w:r>
    </w:p>
    <w:p>
      <w:pPr>
        <w:spacing w:after="0" w:line="313" w:lineRule="exact"/>
        <w:rPr>
          <w:sz w:val="20"/>
          <w:szCs w:val="20"/>
          <w:color w:val="auto"/>
        </w:rPr>
      </w:pPr>
    </w:p>
    <w:p>
      <w:pPr>
        <w:jc w:val="both"/>
        <w:spacing w:after="0" w:line="309" w:lineRule="auto"/>
        <w:rPr>
          <w:sz w:val="20"/>
          <w:szCs w:val="20"/>
          <w:color w:val="auto"/>
        </w:rPr>
      </w:pPr>
      <w:r>
        <w:rPr>
          <w:rFonts w:ascii="Arial" w:cs="Arial" w:eastAsia="Arial" w:hAnsi="Arial"/>
          <w:sz w:val="20"/>
          <w:szCs w:val="20"/>
          <w:color w:val="auto"/>
        </w:rPr>
        <w:t>In the event Mynaric does not submit the respective plans, or Nasdaq does not grant an exception, Mynaric will receive written notifcation from Nasdaq that Mynaric’s ADS are subject to delisting. At that time, Mynaric may appeal the relevant delisting determination to a hearings panel pursuant to the procedures set forth in the applicable Nasdaq Listing Rules.</w:t>
      </w:r>
    </w:p>
    <w:p>
      <w:pPr>
        <w:spacing w:after="0" w:line="300"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In addition, Mynaric has been previously notifed by Nasdaq that it is no longer in compliance with the Nasdaq Listing Rule 5450(b)(2)(A) due to its failure to maintain a minimum of $50 million in market value of listed securities (the “MVLS Requirement”).</w:t>
      </w:r>
    </w:p>
    <w:p>
      <w:pPr>
        <w:spacing w:after="0" w:line="24"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Mynaric is reviewing its options for regaining compliance with the Interim Reporting Requirement, the Annual Meeting Requirement, and the MVLS Requirement and for remedying other future potential non-compliances with Nasdaq continued listing requirements. There can be no assurance that Mynaric will be able to regain compliance with the MVLS Requirement or other Nasdaq continued listing requirements in a timely fashion, in which case its securities would be delisted from Nasdaq.</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Mynaric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970280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08" w:lineRule="exact"/>
        <w:rPr>
          <w:sz w:val="20"/>
          <w:szCs w:val="20"/>
          <w:color w:val="auto"/>
        </w:rPr>
      </w:pPr>
    </w:p>
    <w:p>
      <w:pPr>
        <w:jc w:val="both"/>
        <w:spacing w:after="0" w:line="296" w:lineRule="auto"/>
        <w:rPr>
          <w:sz w:val="20"/>
          <w:szCs w:val="20"/>
          <w:color w:val="auto"/>
        </w:rPr>
      </w:pPr>
      <w:r>
        <w:rPr>
          <w:rFonts w:ascii="Arial" w:cs="Arial" w:eastAsia="Arial" w:hAnsi="Arial"/>
          <w:sz w:val="20"/>
          <w:szCs w:val="20"/>
          <w:color w:val="auto"/>
        </w:rPr>
        <w:t>Mynaric (NASDAQ: MYNA) (FRA: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visit mynaric.com.</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w:t>
      </w:r>
    </w:p>
    <w:p>
      <w:pPr>
        <w:spacing w:after="0" w:line="146" w:lineRule="exact"/>
        <w:rPr>
          <w:sz w:val="20"/>
          <w:szCs w:val="20"/>
          <w:color w:val="auto"/>
        </w:rPr>
      </w:pPr>
    </w:p>
    <w:p>
      <w:pPr>
        <w:jc w:val="both"/>
        <w:spacing w:after="0" w:line="329" w:lineRule="auto"/>
        <w:rPr>
          <w:sz w:val="20"/>
          <w:szCs w:val="20"/>
          <w:color w:val="auto"/>
        </w:rPr>
      </w:pPr>
      <w:r>
        <w:rPr>
          <w:rFonts w:ascii="Arial" w:cs="Arial" w:eastAsia="Arial" w:hAnsi="Arial"/>
          <w:sz w:val="18"/>
          <w:szCs w:val="18"/>
          <w:b w:val="1"/>
          <w:bCs w:val="1"/>
          <w:i w:val="1"/>
          <w:iCs w:val="1"/>
          <w:color w:val="auto"/>
        </w:rPr>
        <w:t>This release includes forward-looking statements. All statements other than statements of historical or current facts contained in this release, including statements regarding our future results of operations and fnancial position, industry dynamics, business strategy and plans and our objectives for future operations, are forward-looking statements. These statements represent our opinions, expectations, assumptions, beliefs, intentions, estimates or strategies regarding the future, which may not be realized. Forward looking statements are often indicated by terms such as “anticipate,” “believe,” “could,” “estimate,” “expect,” “forecast,” “goal,” “intend,” “look forward to,” “may,” “plan,” “potential,” “predict,” “project,” “should,” “target” “will,” “would” and/or the negative of these terms or other similar expressions that are intended to identify forward-looking statements.</w:t>
      </w:r>
    </w:p>
    <w:p>
      <w:pPr>
        <w:spacing w:after="0" w:line="12" w:lineRule="exact"/>
        <w:rPr>
          <w:sz w:val="20"/>
          <w:szCs w:val="20"/>
          <w:color w:val="auto"/>
        </w:rPr>
      </w:pPr>
    </w:p>
    <w:p>
      <w:pPr>
        <w:jc w:val="both"/>
        <w:spacing w:after="0" w:line="318" w:lineRule="auto"/>
        <w:rPr>
          <w:sz w:val="20"/>
          <w:szCs w:val="20"/>
          <w:color w:val="auto"/>
        </w:rPr>
      </w:pPr>
      <w:r>
        <w:rPr>
          <w:rFonts w:ascii="Arial" w:cs="Arial" w:eastAsia="Arial" w:hAnsi="Arial"/>
          <w:sz w:val="18"/>
          <w:szCs w:val="18"/>
          <w:b w:val="1"/>
          <w:bCs w:val="1"/>
          <w:i w:val="1"/>
          <w:iCs w:val="1"/>
          <w:color w:val="auto"/>
        </w:rPr>
        <w:t>The forward-looking statements included in this release are based largely on our current expectations and projections about future events and fnancial trends that we believe may afect our fnancial condition, results of operations, business strategy, short-term and long-term business operations and objectives, and fnancial needs. These forward-looking statements involve known and unknown risks, uncertainties and assumptions that are difcult to predict or are beyond our control, and actual results may difer materially from those expected or implied as forward-looking statements. These risks, uncertainties and assumptions include, but are not limited to (i) the impact of any geopolitical tensions or the global COVID-19 pandemic on the global economy, our industry and markets as well as our business, (ii) risks related to our limited operating history, our history of signifcant losses and the execution of our business strategy, (iii) risks related to our ability to successfully manufacture and deploy our products and risks related to serial production of our products, (iv) risks related to our sales cycle which can be long and complicated, (v) risks related to our limited experience with order processing, our dependency on third-party suppliers and external procurement risks, (vi) risks related to defects or performance problems in our products, (vii) efects of competition and the development of the market for laser communication technology in general, (viii) risks related to our ability to manage future growth efectively and to obtain sufcient fnancing for the operations and ongoing growth of our business, (ix) risks relating to the uncertainty of the projected fnancial information, (x) risks related to our ability to adequately protect our intellectual property and proprietary rights and (xi) changes in regulatory requirements, governmental incentives and market developments. Moreover, new risks emerge from time to time. It is not possible for our management to predict all risks, nor can we assess the impact of all factors on our business or the extent to which any factor, or combination of factors, may cause actual results to difer from those contained in any forward-looking statements we may make. In light of these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897255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06" w:lineRule="exact"/>
        <w:rPr>
          <w:sz w:val="20"/>
          <w:szCs w:val="20"/>
          <w:color w:val="auto"/>
        </w:rPr>
      </w:pPr>
    </w:p>
    <w:p>
      <w:pPr>
        <w:jc w:val="both"/>
        <w:spacing w:after="0" w:line="302" w:lineRule="auto"/>
        <w:rPr>
          <w:sz w:val="20"/>
          <w:szCs w:val="20"/>
          <w:color w:val="auto"/>
        </w:rPr>
      </w:pPr>
      <w:r>
        <w:rPr>
          <w:rFonts w:ascii="Arial" w:cs="Arial" w:eastAsia="Arial" w:hAnsi="Arial"/>
          <w:sz w:val="20"/>
          <w:szCs w:val="20"/>
          <w:b w:val="1"/>
          <w:bCs w:val="1"/>
          <w:i w:val="1"/>
          <w:iCs w:val="1"/>
          <w:color w:val="auto"/>
        </w:rPr>
        <w:t>uncertainties and assumptions, the forward-looking events and circumstances discussed in this release may not occur and actual results could difer materially and adversely from those anticipated or implied in the forward-looking statements. We caution you therefore against relying on these forward-looking statements, and we qualify all of our forward-looking statements by these cautionary statements.</w:t>
      </w:r>
    </w:p>
    <w:p>
      <w:pPr>
        <w:spacing w:after="0" w:line="30" w:lineRule="exact"/>
        <w:rPr>
          <w:sz w:val="20"/>
          <w:szCs w:val="20"/>
          <w:color w:val="auto"/>
        </w:rPr>
      </w:pPr>
    </w:p>
    <w:p>
      <w:pPr>
        <w:jc w:val="both"/>
        <w:spacing w:after="0" w:line="290" w:lineRule="auto"/>
        <w:rPr>
          <w:sz w:val="20"/>
          <w:szCs w:val="20"/>
          <w:color w:val="auto"/>
        </w:rPr>
      </w:pPr>
      <w:r>
        <w:rPr>
          <w:rFonts w:ascii="Arial" w:cs="Arial" w:eastAsia="Arial" w:hAnsi="Arial"/>
          <w:sz w:val="20"/>
          <w:szCs w:val="20"/>
          <w:b w:val="1"/>
          <w:bCs w:val="1"/>
          <w:i w:val="1"/>
          <w:iCs w:val="1"/>
          <w:color w:val="auto"/>
        </w:rPr>
        <w:t>The forward-looking statements included in this release are made only as of the date hereof. Although we believe that the expectations refected in the forward-looking statements are reasonable, we cannot guarantee that the future results, levels of activity, performance or events and circumstances refected in the forward-looking statements will be achieved or occur. Neither we nor any other person assumes responsibility for the accuracy and completeness of the forward-looking statements. Unless required under applicable law, neither we nor any other person undertakes any obligation to update any forward-looking statement to refect events or circumstances after the date of this release or otherwise. You should read this release with the understanding that our actual future results, levels of activity, performance and events and circumstances may materially difer from what we expect.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905510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2025-01-15T08:08:56Z</dcterms:created>
  <dcterms:modified xsi:type="dcterms:W3CDTF">2025-01-15T08:08:56Z</dcterms:modified>
</cp:coreProperties>
</file>