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516890</wp:posOffset>
            </wp:positionH>
            <wp:positionV relativeFrom="page">
              <wp:posOffset>431800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38735</wp:posOffset>
            </wp:positionV>
            <wp:extent cx="156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FORM 20-F/A</w:t>
      </w:r>
    </w:p>
    <w:p>
      <w:pPr>
        <w:spacing w:after="0" w:line="4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28575</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2" w:lineRule="exact"/>
        <w:rPr>
          <w:sz w:val="24"/>
          <w:szCs w:val="24"/>
          <w:color w:val="auto"/>
        </w:rPr>
      </w:pPr>
    </w:p>
    <w:p>
      <w:pPr>
        <w:ind w:left="5008" w:right="1860" w:hanging="4992"/>
        <w:spacing w:after="0" w:line="292" w:lineRule="auto"/>
        <w:tabs>
          <w:tab w:leader="none" w:pos="52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40" w:lineRule="exact"/>
        <w:rPr>
          <w:sz w:val="24"/>
          <w:szCs w:val="24"/>
          <w:color w:val="auto"/>
        </w:rPr>
      </w:pPr>
    </w:p>
    <w:p>
      <w:pPr>
        <w:ind w:left="3768" w:right="2680" w:hanging="3752"/>
        <w:spacing w:after="0" w:line="292" w:lineRule="auto"/>
        <w:tabs>
          <w:tab w:leader="none" w:pos="537"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00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7" w:lineRule="exact"/>
        <w:rPr>
          <w:sz w:val="24"/>
          <w:szCs w:val="24"/>
          <w:color w:val="auto"/>
        </w:rPr>
      </w:pPr>
    </w:p>
    <w:p>
      <w:pPr>
        <w:ind w:left="528" w:hanging="512"/>
        <w:spacing w:after="0"/>
        <w:tabs>
          <w:tab w:leader="none" w:pos="528"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rFonts w:ascii="MS PGothic" w:cs="MS PGothic" w:eastAsia="MS PGothic" w:hAnsi="MS PGothic"/>
          <w:sz w:val="14"/>
          <w:szCs w:val="14"/>
          <w:color w:val="auto"/>
        </w:rPr>
      </w:pPr>
    </w:p>
    <w:p>
      <w:pPr>
        <w:ind w:left="3228" w:right="2040" w:hanging="3212"/>
        <w:spacing w:after="0" w:line="292" w:lineRule="auto"/>
        <w:tabs>
          <w:tab w:leader="none" w:pos="526"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 —————</w:t>
      </w:r>
    </w:p>
    <w:p>
      <w:pPr>
        <w:ind w:left="334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For the transition period from ————— to —————</w:t>
      </w:r>
    </w:p>
    <w:p>
      <w:pPr>
        <w:spacing w:after="0" w:line="14" w:lineRule="exact"/>
        <w:rPr>
          <w:rFonts w:ascii="MS PGothic" w:cs="MS PGothic" w:eastAsia="MS PGothic" w:hAnsi="MS PGothic"/>
          <w:sz w:val="14"/>
          <w:szCs w:val="14"/>
          <w:color w:val="auto"/>
        </w:rPr>
      </w:pPr>
    </w:p>
    <w:p>
      <w:pPr>
        <w:ind w:left="414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No.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41275</wp:posOffset>
            </wp:positionV>
            <wp:extent cx="1560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8"/>
          <w:szCs w:val="38"/>
          <w:b w:val="1"/>
          <w:bCs w:val="1"/>
          <w:color w:val="auto"/>
        </w:rPr>
        <w:t>MYNARIC AG</w:t>
      </w:r>
    </w:p>
    <w:p>
      <w:pPr>
        <w:spacing w:after="0" w:line="4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52070</wp:posOffset>
            </wp:positionV>
            <wp:extent cx="1560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9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Federal Republic of Germany</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7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Bertha-Kipfmüller-Str. 2-8</w:t>
      </w:r>
    </w:p>
    <w:p>
      <w:pPr>
        <w:jc w:val="center"/>
        <w:ind w:right="-7"/>
        <w:spacing w:after="0" w:line="229" w:lineRule="auto"/>
        <w:rPr>
          <w:sz w:val="20"/>
          <w:szCs w:val="20"/>
          <w:color w:val="auto"/>
        </w:rPr>
      </w:pPr>
      <w:r>
        <w:rPr>
          <w:rFonts w:ascii="Times New Roman" w:cs="Times New Roman" w:eastAsia="Times New Roman" w:hAnsi="Times New Roman"/>
          <w:sz w:val="14"/>
          <w:szCs w:val="14"/>
          <w:b w:val="1"/>
          <w:bCs w:val="1"/>
          <w:color w:val="auto"/>
        </w:rPr>
        <w:t>81249 Munich, Germany</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+49 (0)89 5589 428 0</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Stefan Berndt-von Bülow</w:t>
      </w:r>
    </w:p>
    <w:p>
      <w:pPr>
        <w:jc w:val="center"/>
        <w:ind w:right="12"/>
        <w:spacing w:after="0" w:line="227" w:lineRule="auto"/>
        <w:rPr>
          <w:sz w:val="20"/>
          <w:szCs w:val="20"/>
          <w:color w:val="auto"/>
        </w:rPr>
      </w:pPr>
      <w:r>
        <w:rPr>
          <w:rFonts w:ascii="Times New Roman" w:cs="Times New Roman" w:eastAsia="Times New Roman" w:hAnsi="Times New Roman"/>
          <w:sz w:val="14"/>
          <w:szCs w:val="14"/>
          <w:b w:val="1"/>
          <w:bCs w:val="1"/>
          <w:color w:val="auto"/>
        </w:rPr>
        <w:t>c/o Mynaric AG</w:t>
      </w:r>
    </w:p>
    <w:p>
      <w:pPr>
        <w:jc w:val="center"/>
        <w:ind w:right="-7"/>
        <w:spacing w:after="0" w:line="222" w:lineRule="auto"/>
        <w:rPr>
          <w:sz w:val="20"/>
          <w:szCs w:val="20"/>
          <w:color w:val="auto"/>
        </w:rPr>
      </w:pPr>
      <w:r>
        <w:rPr>
          <w:rFonts w:ascii="Times New Roman" w:cs="Times New Roman" w:eastAsia="Times New Roman" w:hAnsi="Times New Roman"/>
          <w:sz w:val="14"/>
          <w:szCs w:val="14"/>
          <w:b w:val="1"/>
          <w:bCs w:val="1"/>
          <w:color w:val="auto"/>
        </w:rPr>
        <w:t>Bertha-Kipfmüller-Str. 2-8</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81249 Munich, Germany</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+49 (0)89 5589 428 0</w:t>
      </w:r>
    </w:p>
    <w:p>
      <w:pPr>
        <w:jc w:val="center"/>
        <w:ind w:right="-7"/>
        <w:spacing w:after="0" w:line="222" w:lineRule="auto"/>
        <w:rPr>
          <w:sz w:val="20"/>
          <w:szCs w:val="20"/>
          <w:color w:val="auto"/>
        </w:rPr>
      </w:pPr>
      <w:r>
        <w:rPr>
          <w:rFonts w:ascii="Times New Roman" w:cs="Times New Roman" w:eastAsia="Times New Roman" w:hAnsi="Times New Roman"/>
          <w:sz w:val="14"/>
          <w:szCs w:val="14"/>
          <w:b w:val="1"/>
          <w:bCs w:val="1"/>
          <w:color w:val="auto"/>
        </w:rPr>
        <w:t>stefan.berndtvonbuelow@mynaric.com</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49" w:lineRule="exact"/>
        <w:rPr>
          <w:sz w:val="24"/>
          <w:szCs w:val="24"/>
          <w:color w:val="auto"/>
        </w:rPr>
      </w:pPr>
    </w:p>
    <w:tbl>
      <w:tblPr>
        <w:tblLayout w:type="fixed"/>
        <w:tblInd w:w="8" w:type="dxa"/>
        <w:tblCellMar>
          <w:top w:w="0" w:type="dxa"/>
          <w:left w:w="0" w:type="dxa"/>
          <w:bottom w:w="0" w:type="dxa"/>
          <w:right w:w="0" w:type="dxa"/>
        </w:tblCellMar>
      </w:tblPr>
      <w:tr>
        <w:trPr>
          <w:trHeight w:val="146"/>
        </w:trPr>
        <w:tc>
          <w:tcPr>
            <w:tcW w:w="236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660" w:type="dxa"/>
            <w:vAlign w:val="bottom"/>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29"/>
        </w:trPr>
        <w:tc>
          <w:tcPr>
            <w:tcW w:w="23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American Depository Shares</w:t>
            </w: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MYNA</w:t>
            </w: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213"/>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Ordinary Shares, no par value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w w:val="91"/>
              </w:rPr>
              <w:t>–</w:t>
            </w:r>
          </w:p>
        </w:tc>
        <w:tc>
          <w:tcPr>
            <w:tcW w:w="2660" w:type="dxa"/>
            <w:vAlign w:val="bottom"/>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r>
              <w:rPr>
                <w:rFonts w:ascii="Times New Roman" w:cs="Times New Roman" w:eastAsia="Times New Roman" w:hAnsi="Times New Roman"/>
                <w:sz w:val="16"/>
                <w:szCs w:val="16"/>
                <w:b w:val="1"/>
                <w:bCs w:val="1"/>
                <w:color w:val="auto"/>
                <w:w w:val="96"/>
                <w:vertAlign w:val="superscript"/>
              </w:rPr>
              <w:t>(1)</w:t>
            </w:r>
          </w:p>
        </w:tc>
      </w:tr>
      <w:tr>
        <w:trPr>
          <w:trHeight w:val="135"/>
        </w:trPr>
        <w:tc>
          <w:tcPr>
            <w:tcW w:w="2360" w:type="dxa"/>
            <w:vAlign w:val="bottom"/>
          </w:tcPr>
          <w:p>
            <w:pPr>
              <w:spacing w:after="0"/>
              <w:rPr>
                <w:sz w:val="11"/>
                <w:szCs w:val="11"/>
                <w:color w:val="auto"/>
              </w:rPr>
            </w:pPr>
          </w:p>
        </w:tc>
        <w:tc>
          <w:tcPr>
            <w:tcW w:w="5200" w:type="dxa"/>
            <w:vAlign w:val="bottom"/>
            <w:gridSpan w:val="5"/>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registered or to be registered pursuant to Section 12(g) of the Act:</w:t>
            </w:r>
          </w:p>
        </w:tc>
        <w:tc>
          <w:tcPr>
            <w:tcW w:w="2660" w:type="dxa"/>
            <w:vAlign w:val="bottom"/>
          </w:tcPr>
          <w:p>
            <w:pPr>
              <w:spacing w:after="0"/>
              <w:rPr>
                <w:sz w:val="11"/>
                <w:szCs w:val="11"/>
                <w:color w:val="auto"/>
              </w:rPr>
            </w:pPr>
          </w:p>
        </w:tc>
      </w:tr>
      <w:tr>
        <w:trPr>
          <w:trHeight w:val="166"/>
        </w:trPr>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660" w:type="dxa"/>
            <w:vAlign w:val="bottom"/>
          </w:tcPr>
          <w:p>
            <w:pPr>
              <w:spacing w:after="0"/>
              <w:rPr>
                <w:sz w:val="14"/>
                <w:szCs w:val="14"/>
                <w:color w:val="auto"/>
              </w:rPr>
            </w:pPr>
          </w:p>
        </w:tc>
      </w:tr>
      <w:tr>
        <w:trPr>
          <w:trHeight w:val="144"/>
        </w:trPr>
        <w:tc>
          <w:tcPr>
            <w:tcW w:w="2360" w:type="dxa"/>
            <w:vAlign w:val="bottom"/>
          </w:tcPr>
          <w:p>
            <w:pPr>
              <w:spacing w:after="0"/>
              <w:rPr>
                <w:sz w:val="12"/>
                <w:szCs w:val="12"/>
                <w:color w:val="auto"/>
              </w:rPr>
            </w:pPr>
          </w:p>
        </w:tc>
        <w:tc>
          <w:tcPr>
            <w:tcW w:w="5200" w:type="dxa"/>
            <w:vAlign w:val="bottom"/>
            <w:gridSpan w:val="5"/>
          </w:tcPr>
          <w:p>
            <w:pPr>
              <w:jc w:val="center"/>
              <w:ind w:left="217"/>
              <w:spacing w:after="0" w:line="144" w:lineRule="exact"/>
              <w:rPr>
                <w:sz w:val="20"/>
                <w:szCs w:val="20"/>
                <w:color w:val="auto"/>
              </w:rPr>
            </w:pPr>
            <w:r>
              <w:rPr>
                <w:rFonts w:ascii="Times New Roman" w:cs="Times New Roman" w:eastAsia="Times New Roman" w:hAnsi="Times New Roman"/>
                <w:sz w:val="13"/>
                <w:szCs w:val="13"/>
                <w:b w:val="1"/>
                <w:bCs w:val="1"/>
                <w:color w:val="auto"/>
                <w:w w:val="96"/>
              </w:rPr>
              <w:t>Securities for which there is a reporting obligation pursuant to Section 15(d) of the Act:</w:t>
            </w:r>
          </w:p>
        </w:tc>
        <w:tc>
          <w:tcPr>
            <w:tcW w:w="2660" w:type="dxa"/>
            <w:vAlign w:val="bottom"/>
          </w:tcPr>
          <w:p>
            <w:pPr>
              <w:spacing w:after="0"/>
              <w:rPr>
                <w:sz w:val="12"/>
                <w:szCs w:val="12"/>
                <w:color w:val="auto"/>
              </w:rPr>
            </w:pPr>
          </w:p>
        </w:tc>
      </w:tr>
      <w:tr>
        <w:trPr>
          <w:trHeight w:val="166"/>
        </w:trPr>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6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27305</wp:posOffset>
            </wp:positionV>
            <wp:extent cx="1560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26" w:lineRule="exact"/>
        <w:rPr>
          <w:sz w:val="24"/>
          <w:szCs w:val="24"/>
          <w:color w:val="auto"/>
        </w:rPr>
      </w:pPr>
    </w:p>
    <w:p>
      <w:pPr>
        <w:ind w:left="4108"/>
        <w:spacing w:after="0"/>
        <w:rPr>
          <w:sz w:val="20"/>
          <w:szCs w:val="20"/>
          <w:color w:val="auto"/>
        </w:rPr>
      </w:pPr>
      <w:r>
        <w:rPr>
          <w:rFonts w:ascii="Times New Roman" w:cs="Times New Roman" w:eastAsia="Times New Roman" w:hAnsi="Times New Roman"/>
          <w:sz w:val="13"/>
          <w:szCs w:val="13"/>
          <w:color w:val="auto"/>
        </w:rPr>
        <w:t>6,318,322 ordinary shares, no par value.</w:t>
      </w:r>
    </w:p>
    <w:p>
      <w:pPr>
        <w:spacing w:after="0" w:line="15"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8" w:right="12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w:t>
      </w:r>
    </w:p>
    <w:p>
      <w:pPr>
        <w:ind w:left="8"/>
        <w:spacing w:after="0" w:line="146" w:lineRule="exact"/>
        <w:rPr>
          <w:sz w:val="20"/>
          <w:szCs w:val="20"/>
          <w:color w:val="auto"/>
        </w:rPr>
      </w:pPr>
      <w:r>
        <w:rPr>
          <w:rFonts w:ascii="Times New Roman" w:cs="Times New Roman" w:eastAsia="Times New Roman" w:hAnsi="Times New Roman"/>
          <w:sz w:val="13"/>
          <w:szCs w:val="13"/>
          <w:color w:val="auto"/>
        </w:rPr>
        <w:t xml:space="preserve">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w:t>
      </w:r>
    </w:p>
    <w:p>
      <w:pPr>
        <w:spacing w:after="0" w:line="1" w:lineRule="exact"/>
        <w:rPr>
          <w:sz w:val="24"/>
          <w:szCs w:val="24"/>
          <w:color w:val="auto"/>
        </w:rPr>
      </w:pPr>
    </w:p>
    <w:p>
      <w:pPr>
        <w:ind w:left="8"/>
        <w:spacing w:after="0" w:line="150" w:lineRule="exact"/>
        <w:tabs>
          <w:tab w:leader="none" w:pos="2568" w:val="left"/>
          <w:tab w:leader="none" w:pos="5128" w:val="left"/>
          <w:tab w:leader="none" w:pos="7668"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ind w:left="8"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8" w:right="80" w:hanging="8"/>
        <w:spacing w:after="0" w:line="164" w:lineRule="exact"/>
        <w:tabs>
          <w:tab w:leader="none" w:pos="10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rFonts w:ascii="Times New Roman" w:cs="Times New Roman" w:eastAsia="Times New Roman" w:hAnsi="Times New Roman"/>
          <w:sz w:val="13"/>
          <w:szCs w:val="13"/>
          <w:color w:val="auto"/>
        </w:rPr>
      </w:pPr>
    </w:p>
    <w:p>
      <w:pPr>
        <w:ind w:left="8" w:right="500"/>
        <w:spacing w:after="0" w:line="159"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rFonts w:ascii="Times New Roman" w:cs="Times New Roman" w:eastAsia="Times New Roman" w:hAnsi="Times New Roman"/>
          <w:sz w:val="13"/>
          <w:szCs w:val="13"/>
          <w:color w:val="auto"/>
        </w:rPr>
      </w:pPr>
    </w:p>
    <w:p>
      <w:pPr>
        <w:ind w:left="8" w:right="220"/>
        <w:spacing w:after="0" w:line="162"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6" w:lineRule="exact"/>
        <w:rPr>
          <w:sz w:val="24"/>
          <w:szCs w:val="24"/>
          <w:color w:val="auto"/>
        </w:rPr>
      </w:pPr>
    </w:p>
    <w:p>
      <w:pPr>
        <w:ind w:left="3408" w:hanging="3387"/>
        <w:spacing w:after="0" w:line="210" w:lineRule="exact"/>
        <w:tabs>
          <w:tab w:leader="none" w:pos="3388" w:val="left"/>
        </w:tabs>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International Financial Reporting Standards as issued Other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by the International Accounting Standards Board </w:t>
      </w:r>
      <w:r>
        <w:rPr>
          <w:rFonts w:ascii="MS PGothic" w:cs="MS PGothic" w:eastAsia="MS PGothic" w:hAnsi="MS PGothic"/>
          <w:sz w:val="13"/>
          <w:szCs w:val="13"/>
          <w:color w:val="auto"/>
        </w:rPr>
        <w:t>☒</w:t>
      </w:r>
    </w:p>
    <w:p>
      <w:pPr>
        <w:spacing w:after="0" w:line="162" w:lineRule="exact"/>
        <w:rPr>
          <w:sz w:val="24"/>
          <w:szCs w:val="24"/>
          <w:color w:val="auto"/>
        </w:rPr>
      </w:pPr>
    </w:p>
    <w:p>
      <w:pPr>
        <w:ind w:left="8" w:right="1160"/>
        <w:spacing w:after="0" w:line="176" w:lineRule="exact"/>
        <w:rPr>
          <w:sz w:val="20"/>
          <w:szCs w:val="20"/>
          <w:color w:val="auto"/>
        </w:rPr>
      </w:pPr>
      <w:r>
        <w:rPr>
          <w:rFonts w:ascii="Times New Roman" w:cs="Times New Roman" w:eastAsia="Times New Roman" w:hAnsi="Times New Roman"/>
          <w:sz w:val="13"/>
          <w:szCs w:val="13"/>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448" w:hanging="448"/>
        <w:spacing w:after="0"/>
        <w:tabs>
          <w:tab w:leader="none" w:pos="44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for trading, but only in connection with the listing on The Nasdaq Stock Market of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1971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786765</wp:posOffset>
            </wp:positionV>
            <wp:extent cx="6523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691" w:right="8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Mynaric AG (the “Company”) is filing this Amendment No. 1 (the “Amendment No. 1”) to amend its annual report on Form 20-F for the fiscal year ended December 31, 2023, as filed with the Securities and Exchange Commission on May 17, 2024 (the “Original Form 20-F”). This Amendment No. 1 is being filed solely to provide an update of Exhibit 15.1 (Consent of Independent Registered Public Accounting Firm) to correct an error in such Exhibit 15.1 in the Original Form 20-F, where the date of the report of the independent registered public accounting firm was inadvertently referenced incorrectly.</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Amendment No. 1 speaks as of the date of the Original Form 20-F, or May 17, 2024. Except as provided above, this Amendment No. 1 does not and does not purport to amend, update or restate any of the information previously included in the Original Form 20-F, nor does this Amendment No. 1 reflect any event that has occurred after the date of the Original Form 20-F. Accordingly, this Amendment No. 1 should be read in conjunction with the Original Form 20-F and the Company’s other filings with the SEC subsequent to May 17, 2024.</w:t>
      </w:r>
    </w:p>
    <w:p>
      <w:pPr>
        <w:spacing w:after="0" w:line="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This Amendment No. 1 consists of a cover page, this explanatory note, the signature page, Exhibits 12.1 and 12.2 (new certifications by the Company’s current chief executive officer and chief financial officer as required by Rule 12b-15 under the Securities Exchange Act of 1934, as amended) and 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1008380</wp:posOffset>
            </wp:positionV>
            <wp:extent cx="6523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180"/>
          </w:cols>
          <w:pgMar w:left="820" w:top="1170"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40" w:type="dxa"/>
            <w:vAlign w:val="bottom"/>
            <w:gridSpan w:val="26"/>
          </w:tcPr>
          <w:p>
            <w:pPr>
              <w:ind w:left="80"/>
              <w:spacing w:after="0"/>
              <w:rPr>
                <w:sz w:val="20"/>
                <w:szCs w:val="20"/>
                <w:color w:val="auto"/>
              </w:rPr>
            </w:pPr>
            <w:r>
              <w:rPr>
                <w:rFonts w:ascii="Times New Roman" w:cs="Times New Roman" w:eastAsia="Times New Roman" w:hAnsi="Times New Roman"/>
                <w:sz w:val="18"/>
                <w:szCs w:val="18"/>
                <w:b w:val="1"/>
                <w:bCs w:val="1"/>
                <w:color w:val="auto"/>
              </w:rPr>
              <w:t>ITEM 19. EXHIBITS.</w:t>
            </w:r>
          </w:p>
        </w:tc>
      </w:tr>
      <w:tr>
        <w:trPr>
          <w:trHeight w:val="41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Articles of Association of Mynaric AG (translated into English)</w:t>
              </w:r>
            </w:hyperlink>
          </w:p>
        </w:tc>
        <w:tc>
          <w:tcPr>
            <w:tcW w:w="4480" w:type="dxa"/>
            <w:vAlign w:val="bottom"/>
            <w:gridSpan w:val="23"/>
          </w:tcPr>
          <w:p>
            <w:pPr>
              <w:spacing w:after="0"/>
              <w:rPr>
                <w:sz w:val="24"/>
                <w:szCs w:val="24"/>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Rules of Procedure of the Management Board of Mynaric AG (incorporated by reference to Exhibit 3.2 to the Company’s</w:t>
              </w:r>
            </w:hyperlink>
          </w:p>
        </w:tc>
        <w:tc>
          <w:tcPr>
            <w:tcW w:w="2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Registration Statement on Form F-1 (File No. 333-260357) filed with the SEC on October 29, 2022)</w:t>
              </w:r>
            </w:hyperlink>
          </w:p>
        </w:tc>
        <w:tc>
          <w:tcPr>
            <w:tcW w:w="1840" w:type="dxa"/>
            <w:vAlign w:val="bottom"/>
            <w:gridSpan w:val="15"/>
          </w:tcPr>
          <w:p>
            <w:pPr>
              <w:spacing w:after="0"/>
              <w:rPr>
                <w:sz w:val="17"/>
                <w:szCs w:val="17"/>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Rules of Procedure of the Supervisory Board of Mynaric AG (incorporated by reference to Exhibit 3.3 to the Company’s</w:t>
              </w:r>
            </w:hyperlink>
          </w:p>
        </w:tc>
        <w:tc>
          <w:tcPr>
            <w:tcW w:w="3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Registration Statement on Form F-1 (File No. 333-260357) filed with the SEC on October 29, 2021)</w:t>
              </w:r>
            </w:hyperlink>
          </w:p>
        </w:tc>
        <w:tc>
          <w:tcPr>
            <w:tcW w:w="1840" w:type="dxa"/>
            <w:vAlign w:val="bottom"/>
            <w:gridSpan w:val="15"/>
          </w:tcPr>
          <w:p>
            <w:pPr>
              <w:spacing w:after="0"/>
              <w:rPr>
                <w:sz w:val="17"/>
                <w:szCs w:val="17"/>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Form of Deposit Agreement between the registrant, the depositary and holders and beneficial owners of American Depositary</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Shares issued thereunder (incorporated by reference to Exhibit 4.1 to the Company’s Registration Statement on Form F-1</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(File No. 333-260357) filed with the SEC on November 3, 2021)</w:t>
              </w:r>
            </w:hyperlink>
          </w:p>
        </w:tc>
        <w:tc>
          <w:tcPr>
            <w:tcW w:w="4400" w:type="dxa"/>
            <w:vAlign w:val="bottom"/>
            <w:gridSpan w:val="22"/>
          </w:tcPr>
          <w:p>
            <w:pPr>
              <w:spacing w:after="0"/>
              <w:rPr>
                <w:sz w:val="17"/>
                <w:szCs w:val="17"/>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of American Depositary Receipt evidencing American Depositary Shares (incorporated by reference to Exhibit 4.1 to</w:t>
              </w:r>
            </w:hyperlink>
          </w:p>
        </w:tc>
        <w:tc>
          <w:tcPr>
            <w:tcW w:w="14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the Company’s Registration Statement on Form F-1 (File No. 333-260357) filed with the SEC on November 3, 2021)</w:t>
              </w:r>
            </w:hyperlink>
          </w:p>
        </w:tc>
        <w:tc>
          <w:tcPr>
            <w:tcW w:w="620" w:type="dxa"/>
            <w:vAlign w:val="bottom"/>
            <w:gridSpan w:val="10"/>
          </w:tcPr>
          <w:p>
            <w:pPr>
              <w:spacing w:after="0"/>
              <w:rPr>
                <w:sz w:val="17"/>
                <w:szCs w:val="17"/>
                <w:color w:val="auto"/>
              </w:rPr>
            </w:pPr>
          </w:p>
        </w:tc>
      </w:tr>
      <w:tr>
        <w:trPr>
          <w:trHeight w:val="371"/>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Description of Securities</w:t>
              </w:r>
            </w:hyperlink>
          </w:p>
        </w:tc>
        <w:tc>
          <w:tcPr>
            <w:tcW w:w="7280" w:type="dxa"/>
            <w:vAlign w:val="bottom"/>
            <w:gridSpan w:val="28"/>
          </w:tcPr>
          <w:p>
            <w:pPr>
              <w:spacing w:after="0"/>
              <w:rPr>
                <w:sz w:val="24"/>
                <w:szCs w:val="24"/>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Mynaric AG, Stock Option Program 2019 (incorporated by reference to Exhibit 10.1 to the Company’s Registration</w:t>
              </w:r>
            </w:hyperlink>
          </w:p>
        </w:tc>
        <w:tc>
          <w:tcPr>
            <w:tcW w:w="7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Mynaric AG, Stock Option Program 2020 (incorporated by reference to Exhibit 10.2 to the Company’s Registration</w:t>
              </w:r>
            </w:hyperlink>
          </w:p>
        </w:tc>
        <w:tc>
          <w:tcPr>
            <w:tcW w:w="7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Mynaric AG, Stock Option Program 2021 (incorporated by reference to Exhibit 10.3 to the Company’s Registration</w:t>
              </w:r>
            </w:hyperlink>
          </w:p>
        </w:tc>
        <w:tc>
          <w:tcPr>
            <w:tcW w:w="7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Mynaric AG, Restricted Stock Units Program 2021 (incorporated by reference to Exhibit 10.4 to the Company’s Registration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Mynaric AG, Stock Option Program 2022 (incorporated by reference to Exhibit 4.5 to the Company’s Annual Report on</w:t>
              </w:r>
            </w:hyperlink>
          </w:p>
        </w:tc>
        <w:tc>
          <w:tcPr>
            <w:tcW w:w="3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Form 20-F (File No. 001-41045) filed with the SEC on May 1, 2023)</w:t>
              </w:r>
            </w:hyperlink>
          </w:p>
        </w:tc>
        <w:tc>
          <w:tcPr>
            <w:tcW w:w="4060" w:type="dxa"/>
            <w:vAlign w:val="bottom"/>
            <w:gridSpan w:val="21"/>
          </w:tcPr>
          <w:p>
            <w:pPr>
              <w:spacing w:after="0"/>
              <w:rPr>
                <w:sz w:val="17"/>
                <w:szCs w:val="17"/>
                <w:color w:val="auto"/>
              </w:rPr>
            </w:pPr>
          </w:p>
        </w:tc>
      </w:tr>
      <w:tr>
        <w:trPr>
          <w:trHeight w:val="371"/>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Mynaric AG, Restricted Stock Unit Program 2022 (incorporated by reference to Exhibit 10.6 to the Company’s Registration</w:t>
              </w:r>
            </w:hyperlink>
          </w:p>
        </w:tc>
        <w:tc>
          <w:tcPr>
            <w:tcW w:w="1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Statement on Form F-3 (File No. 333-274793) filed with the SEC on September 29, 2023)</w:t>
              </w:r>
            </w:hyperlink>
          </w:p>
        </w:tc>
        <w:tc>
          <w:tcPr>
            <w:tcW w:w="2580" w:type="dxa"/>
            <w:vAlign w:val="bottom"/>
            <w:gridSpan w:val="16"/>
          </w:tcPr>
          <w:p>
            <w:pPr>
              <w:spacing w:after="0"/>
              <w:rPr>
                <w:sz w:val="17"/>
                <w:szCs w:val="17"/>
                <w:color w:val="auto"/>
              </w:rPr>
            </w:pPr>
          </w:p>
        </w:tc>
      </w:tr>
      <w:tr>
        <w:trPr>
          <w:trHeight w:val="371"/>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Mynaric AG, Stock Option Program 2023</w:t>
              </w:r>
            </w:hyperlink>
          </w:p>
        </w:tc>
        <w:tc>
          <w:tcPr>
            <w:tcW w:w="6040" w:type="dxa"/>
            <w:vAlign w:val="bottom"/>
            <w:gridSpan w:val="26"/>
          </w:tcPr>
          <w:p>
            <w:pPr>
              <w:spacing w:after="0"/>
              <w:rPr>
                <w:sz w:val="24"/>
                <w:szCs w:val="24"/>
                <w:color w:val="auto"/>
              </w:rPr>
            </w:pPr>
          </w:p>
        </w:tc>
      </w:tr>
      <w:tr>
        <w:trPr>
          <w:trHeight w:val="372"/>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Business Opportunity Agreement, dated October 21, 2021 (incorporated by reference to Exhibit 10.5 to the Company’s</w:t>
              </w:r>
            </w:hyperlink>
          </w:p>
        </w:tc>
        <w:tc>
          <w:tcPr>
            <w:tcW w:w="46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Registration Statement on Form F-1 (File No. 333-260357) filed with the SEC on November 3,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Credit Agreement entered into by and between Mynaric USA Inc., Mynaric AG, CO FINANCE II LVS I LLC, CO</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FINANCE LVS XL LLC and Alter Domus (US) LLC, dated as of April 25, 2023 (incorporated by reference to Exhibit 4.7 to</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9"/>
          </w:tcPr>
          <w:p>
            <w:pPr>
              <w:spacing w:after="0" w:line="196" w:lineRule="exact"/>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the Company’s Annual Report on Form 20-F (File No. 001-41045) filed with the SEC on May 1,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Amendment No. 1 to Credit Agreement entered into by and between Mynaric USA Inc., Mynaric AG, CO FINANCE II LVS</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I LLC, CO FINANCE LVS XL LLC and Alter Domus (US) LLC, and solely for purposes of Section 5.4 thereof, Mynaric</w:t>
              </w:r>
            </w:hyperlink>
          </w:p>
        </w:tc>
        <w:tc>
          <w:tcPr>
            <w:tcW w:w="2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Government Solutions, Inc., Mynaric Systems GmbH and Mynaric Lasercom GmbH, dated as of March 14, 2024</w:t>
              </w:r>
            </w:hyperlink>
          </w:p>
        </w:tc>
        <w:tc>
          <w:tcPr>
            <w:tcW w:w="900" w:type="dxa"/>
            <w:vAlign w:val="bottom"/>
            <w:gridSpan w:val="12"/>
          </w:tcPr>
          <w:p>
            <w:pPr>
              <w:spacing w:after="0"/>
              <w:rPr>
                <w:sz w:val="17"/>
                <w:szCs w:val="17"/>
                <w:color w:val="auto"/>
              </w:rPr>
            </w:pPr>
          </w:p>
        </w:tc>
      </w:tr>
      <w:tr>
        <w:trPr>
          <w:trHeight w:val="371"/>
        </w:trPr>
        <w:tc>
          <w:tcPr>
            <w:tcW w:w="10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9"/>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List of Subsidiaries (incorporated by reference to Exhibit 8.1 to the Company’s Annual Report on Form 20-F (File No. 001-</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41045) filed with the SEC on May 6, 2022)</w:t>
              </w:r>
            </w:hyperlink>
          </w:p>
        </w:tc>
        <w:tc>
          <w:tcPr>
            <w:tcW w:w="5780" w:type="dxa"/>
            <w:vAlign w:val="bottom"/>
            <w:tcBorders>
              <w:top w:val="single" w:sz="8" w:color="0000FF"/>
            </w:tcBorders>
            <w:gridSpan w:val="21"/>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71"/>
        </w:trPr>
        <w:tc>
          <w:tcPr>
            <w:tcW w:w="10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98"/>
              </w:rPr>
              <w:t>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CEO Certification Pursuant to Section 302 of the Sarbanes-Oxley Act of 2002</w:t>
            </w:r>
          </w:p>
        </w:tc>
        <w:tc>
          <w:tcPr>
            <w:tcW w:w="3420" w:type="dxa"/>
            <w:vAlign w:val="bottom"/>
            <w:gridSpan w:val="18"/>
          </w:tcPr>
          <w:p>
            <w:pPr>
              <w:spacing w:after="0"/>
              <w:rPr>
                <w:sz w:val="24"/>
                <w:szCs w:val="24"/>
                <w:color w:val="auto"/>
              </w:rPr>
            </w:pPr>
          </w:p>
        </w:tc>
      </w:tr>
      <w:tr>
        <w:trPr>
          <w:trHeight w:val="372"/>
        </w:trPr>
        <w:tc>
          <w:tcPr>
            <w:tcW w:w="10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98"/>
              </w:rPr>
              <w:t>12.2*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302 of the Sarbanes-Oxley Act of 2002</w:t>
            </w:r>
          </w:p>
        </w:tc>
        <w:tc>
          <w:tcPr>
            <w:tcW w:w="3440" w:type="dxa"/>
            <w:vAlign w:val="bottom"/>
            <w:gridSpan w:val="19"/>
          </w:tcPr>
          <w:p>
            <w:pPr>
              <w:spacing w:after="0"/>
              <w:rPr>
                <w:sz w:val="24"/>
                <w:szCs w:val="24"/>
                <w:color w:val="auto"/>
              </w:rPr>
            </w:pPr>
          </w:p>
        </w:tc>
      </w:tr>
      <w:tr>
        <w:trPr>
          <w:trHeight w:val="371"/>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9"/>
              </w:rPr>
              <w:t>13.1***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CEO Certification Pursuant to Section 906 of the Sarbanes-Oxley Act of 2002</w:t>
              </w:r>
            </w:hyperlink>
          </w:p>
        </w:tc>
        <w:tc>
          <w:tcPr>
            <w:tcW w:w="3420" w:type="dxa"/>
            <w:vAlign w:val="bottom"/>
            <w:gridSpan w:val="18"/>
          </w:tcPr>
          <w:p>
            <w:pPr>
              <w:spacing w:after="0"/>
              <w:rPr>
                <w:sz w:val="24"/>
                <w:szCs w:val="24"/>
                <w:color w:val="auto"/>
              </w:rPr>
            </w:pPr>
          </w:p>
        </w:tc>
      </w:tr>
      <w:tr>
        <w:trPr>
          <w:trHeight w:val="372"/>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9"/>
              </w:rPr>
              <w:t>13.2***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9"/>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CFO Certification Pursuant to Section 906 of the Sarbanes-Oxley Act of 2002</w:t>
              </w:r>
            </w:hyperlink>
          </w:p>
        </w:tc>
      </w:tr>
      <w:tr>
        <w:trPr>
          <w:trHeight w:val="371"/>
        </w:trPr>
        <w:tc>
          <w:tcPr>
            <w:tcW w:w="10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98"/>
              </w:rPr>
              <w:t>15.1*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KPMG AG Wirtschaftsprüfungsgesellschaft</w:t>
            </w:r>
          </w:p>
        </w:tc>
        <w:tc>
          <w:tcPr>
            <w:tcW w:w="1600" w:type="dxa"/>
            <w:vAlign w:val="bottom"/>
            <w:tcBorders>
              <w:top w:val="single" w:sz="8" w:color="0000FF"/>
            </w:tcBorders>
            <w:gridSpan w:val="4"/>
          </w:tcPr>
          <w:p>
            <w:pPr>
              <w:spacing w:after="0"/>
              <w:rPr>
                <w:sz w:val="24"/>
                <w:szCs w:val="24"/>
                <w:color w:val="auto"/>
              </w:rPr>
            </w:pPr>
          </w:p>
        </w:tc>
        <w:tc>
          <w:tcPr>
            <w:tcW w:w="3460" w:type="dxa"/>
            <w:vAlign w:val="bottom"/>
            <w:gridSpan w:val="20"/>
          </w:tcPr>
          <w:p>
            <w:pPr>
              <w:spacing w:after="0"/>
              <w:rPr>
                <w:sz w:val="24"/>
                <w:szCs w:val="24"/>
                <w:color w:val="auto"/>
              </w:rPr>
            </w:pPr>
          </w:p>
        </w:tc>
      </w:tr>
      <w:tr>
        <w:trPr>
          <w:trHeight w:val="371"/>
        </w:trPr>
        <w:tc>
          <w:tcPr>
            <w:tcW w:w="10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99"/>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9"/>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Mynaric AG Clawback Policy</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6900" w:type="dxa"/>
            <w:vAlign w:val="bottom"/>
            <w:gridSpan w:val="27"/>
          </w:tcPr>
          <w:p>
            <w:pPr>
              <w:spacing w:after="0" w:line="20" w:lineRule="exact"/>
              <w:rPr>
                <w:sz w:val="1"/>
                <w:szCs w:val="1"/>
                <w:color w:val="auto"/>
              </w:rPr>
            </w:pPr>
          </w:p>
        </w:tc>
      </w:tr>
      <w:tr>
        <w:trPr>
          <w:trHeight w:val="39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613410</wp:posOffset>
            </wp:positionV>
            <wp:extent cx="6523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162" w:gutter="0" w:footer="0" w:header="0"/>
        </w:sectPr>
      </w:pPr>
    </w:p>
    <w:bookmarkStart w:id="3" w:name="page4"/>
    <w:bookmarkEnd w:id="3"/>
    <w:p>
      <w:pPr>
        <w:ind w:left="8"/>
        <w:spacing w:after="0"/>
        <w:tabs>
          <w:tab w:leader="none" w:pos="1128" w:val="left"/>
        </w:tabs>
        <w:rPr>
          <w:sz w:val="20"/>
          <w:szCs w:val="20"/>
          <w:color w:val="auto"/>
        </w:rPr>
      </w:pPr>
      <w:r>
        <w:rPr>
          <w:rFonts w:ascii="Times New Roman" w:cs="Times New Roman" w:eastAsia="Times New Roman" w:hAnsi="Times New Roman"/>
          <w:sz w:val="14"/>
          <w:szCs w:val="14"/>
          <w:b w:val="1"/>
          <w:bCs w:val="1"/>
          <w:color w:val="auto"/>
        </w:rPr>
        <w:t>Exhibits</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6497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9988"/>
          </w:cols>
          <w:pgMar w:left="812" w:top="1181" w:right="10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p>
      <w:pPr>
        <w:spacing w:after="0" w:line="169" w:lineRule="exact"/>
        <w:rPr>
          <w:sz w:val="20"/>
          <w:szCs w:val="20"/>
          <w:color w:val="auto"/>
        </w:rPr>
      </w:pPr>
    </w:p>
    <w:p>
      <w:pPr>
        <w:sectPr>
          <w:pgSz w:w="11900" w:h="16838" w:orient="portrait"/>
          <w:cols w:equalWidth="0" w:num="2">
            <w:col w:w="948" w:space="200"/>
            <w:col w:w="8840"/>
          </w:cols>
          <w:pgMar w:left="812" w:top="1181" w:right="109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p>
      <w:pPr>
        <w:spacing w:after="0" w:line="211" w:lineRule="exact"/>
        <w:rPr>
          <w:sz w:val="20"/>
          <w:szCs w:val="20"/>
          <w:color w:val="auto"/>
        </w:rPr>
      </w:pPr>
    </w:p>
    <w:p>
      <w:pPr>
        <w:sectPr>
          <w:pgSz w:w="11900" w:h="16838" w:orient="portrait"/>
          <w:cols w:equalWidth="0" w:num="2">
            <w:col w:w="548" w:space="600"/>
            <w:col w:w="8840"/>
          </w:cols>
          <w:pgMar w:left="812" w:top="1181" w:right="1099" w:bottom="1440" w:gutter="0" w:footer="0" w:header="0"/>
          <w:type w:val="continuous"/>
        </w:sectPr>
      </w:pPr>
    </w:p>
    <w:p>
      <w:pPr>
        <w:spacing w:after="0" w:line="12" w:lineRule="exact"/>
        <w:rPr>
          <w:sz w:val="20"/>
          <w:szCs w:val="20"/>
          <w:color w:val="auto"/>
        </w:rPr>
      </w:pPr>
    </w:p>
    <w:p>
      <w:pPr>
        <w:ind w:left="8" w:hanging="8"/>
        <w:spacing w:after="0" w:line="261" w:lineRule="auto"/>
        <w:tabs>
          <w:tab w:leader="none" w:pos="1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 or furnished with the Company's Annual Report on Form 20-F on May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756285</wp:posOffset>
            </wp:positionV>
            <wp:extent cx="6523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9988"/>
          </w:cols>
          <w:pgMar w:left="812" w:top="1181" w:right="1099" w:bottom="1440"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for filing on Form 20-F/A and has duly caused this Amendment No. 1 to the Annual Report to be signed on its behalf by the undersigned, thereunto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56" w:lineRule="exact"/>
        <w:rPr>
          <w:sz w:val="20"/>
          <w:szCs w:val="20"/>
          <w:color w:val="auto"/>
        </w:rPr>
      </w:pPr>
    </w:p>
    <w:p>
      <w:pPr>
        <w:ind w:left="616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Mustafa Veziroglu</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-127635</wp:posOffset>
            </wp:positionV>
            <wp:extent cx="2331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50" w:lineRule="exact"/>
        <w:rPr>
          <w:sz w:val="20"/>
          <w:szCs w:val="20"/>
          <w:color w:val="auto"/>
        </w:rPr>
      </w:pPr>
    </w:p>
    <w:p>
      <w:pPr>
        <w:ind w:left="616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Stefan Berndt-von Bülow</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-127635</wp:posOffset>
            </wp:positionV>
            <wp:extent cx="2331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Date:June 11, 2024</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1090295</wp:posOffset>
            </wp:positionV>
            <wp:extent cx="6523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00"/>
          </w:cols>
          <w:pgMar w:left="820" w:top="1170" w:right="879" w:bottom="1440" w:gutter="0" w:footer="0" w:header="0"/>
        </w:sectPr>
      </w:pPr>
    </w:p>
    <w:bookmarkStart w:id="5" w:name="page6"/>
    <w:bookmarkEnd w:id="5"/>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12.1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540" w:right="559"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 Mustafa Veziroglu, Chief Executive Officer, certify that:</w:t>
      </w:r>
    </w:p>
    <w:p>
      <w:pPr>
        <w:spacing w:after="0" w:line="108" w:lineRule="exact"/>
        <w:rPr>
          <w:sz w:val="20"/>
          <w:szCs w:val="20"/>
          <w:color w:val="auto"/>
        </w:rPr>
      </w:pPr>
    </w:p>
    <w:p>
      <w:pPr>
        <w:ind w:left="840" w:hanging="399"/>
        <w:spacing w:after="0"/>
        <w:tabs>
          <w:tab w:leader="none" w:pos="8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20-F/A of Mynaric AG.</w:t>
      </w:r>
    </w:p>
    <w:p>
      <w:pPr>
        <w:spacing w:after="0" w:line="107" w:lineRule="exact"/>
        <w:rPr>
          <w:rFonts w:ascii="Times New Roman" w:cs="Times New Roman" w:eastAsia="Times New Roman" w:hAnsi="Times New Roman"/>
          <w:sz w:val="20"/>
          <w:szCs w:val="20"/>
          <w:color w:val="auto"/>
        </w:rPr>
      </w:pPr>
    </w:p>
    <w:p>
      <w:pPr>
        <w:ind w:left="820" w:right="539" w:hanging="379"/>
        <w:spacing w:after="0" w:line="249" w:lineRule="auto"/>
        <w:tabs>
          <w:tab w:leader="none" w:pos="8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June 11, 2024</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294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Mustafa Veziroglu</w:t>
      </w: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878840</wp:posOffset>
            </wp:positionV>
            <wp:extent cx="518604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 w:name="page7"/>
    <w:bookmarkEnd w:id="6"/>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540" w:right="559"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 Stefan Berndt-von Bülow, Chief Financial Officer, certify that:</w:t>
      </w:r>
    </w:p>
    <w:p>
      <w:pPr>
        <w:spacing w:after="0" w:line="108" w:lineRule="exact"/>
        <w:rPr>
          <w:sz w:val="20"/>
          <w:szCs w:val="20"/>
          <w:color w:val="auto"/>
        </w:rPr>
      </w:pPr>
    </w:p>
    <w:p>
      <w:pPr>
        <w:ind w:left="840" w:hanging="399"/>
        <w:spacing w:after="0"/>
        <w:tabs>
          <w:tab w:leader="none" w:pos="8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20-F/A of Mynaric AG.</w:t>
      </w:r>
    </w:p>
    <w:p>
      <w:pPr>
        <w:spacing w:after="0" w:line="107" w:lineRule="exact"/>
        <w:rPr>
          <w:rFonts w:ascii="Times New Roman" w:cs="Times New Roman" w:eastAsia="Times New Roman" w:hAnsi="Times New Roman"/>
          <w:sz w:val="20"/>
          <w:szCs w:val="20"/>
          <w:color w:val="auto"/>
        </w:rPr>
      </w:pPr>
    </w:p>
    <w:p>
      <w:pPr>
        <w:ind w:left="820" w:right="539" w:hanging="379"/>
        <w:spacing w:after="0" w:line="249" w:lineRule="auto"/>
        <w:tabs>
          <w:tab w:leader="none" w:pos="83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June 11, 2024</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545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Stefan Berndt-von Bülow</w:t>
      </w:r>
    </w:p>
    <w:p>
      <w:pPr>
        <w:ind w:left="45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878840</wp:posOffset>
            </wp:positionV>
            <wp:extent cx="518604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7" w:name="page8"/>
    <w:bookmarkEnd w:id="7"/>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440" w:right="519"/>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333-266365) on Form S-8 of our report dated May 17, 2024, with respect to the consolidated financial statements of Mynaric AG.</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953135</wp:posOffset>
            </wp:positionV>
            <wp:extent cx="518604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sectPr>
      <w:pgSz w:w="11900" w:h="16838" w:orient="portrait"/>
      <w:cols w:equalWidth="0" w:num="1">
        <w:col w:w="9019"/>
      </w:cols>
      <w:pgMar w:left="1440" w:top="7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20" Type="http://schemas.openxmlformats.org/officeDocument/2006/relationships/hyperlink" Target="https://www.sec.gov/Archives/edgar/data/1850453/000095017024061880/myna-ex1_1.htm" TargetMode="External"/><Relationship Id="rId21" Type="http://schemas.openxmlformats.org/officeDocument/2006/relationships/hyperlink" Target="https://www.sec.gov/Archives/edgar/data/1850453/000119312521313560/d165359dex32.htm" TargetMode="External"/><Relationship Id="rId22" Type="http://schemas.openxmlformats.org/officeDocument/2006/relationships/hyperlink" Target="https://www.sec.gov/Archives/edgar/data/1850453/000119312521313560/d165359dex33.htm" TargetMode="External"/><Relationship Id="rId23" Type="http://schemas.openxmlformats.org/officeDocument/2006/relationships/hyperlink" Target="https://www.sec.gov/Archives/edgar/data/1850453/000119312521317388/d165359dex41.htm" TargetMode="External"/><Relationship Id="rId24" Type="http://schemas.openxmlformats.org/officeDocument/2006/relationships/hyperlink" Target="https://www.sec.gov/Archives/edgar/data/1850453/000095017024061880/myna-ex2_3.htm" TargetMode="External"/><Relationship Id="rId25" Type="http://schemas.openxmlformats.org/officeDocument/2006/relationships/hyperlink" Target="https://www.sec.gov/Archives/edgar/data/1850453/000119312521301967/d165359dex101.htm" TargetMode="External"/><Relationship Id="rId26" Type="http://schemas.openxmlformats.org/officeDocument/2006/relationships/hyperlink" Target="https://www.sec.gov/Archives/edgar/data/1850453/000119312521301967/d165359dex102.htm" TargetMode="External"/><Relationship Id="rId27" Type="http://schemas.openxmlformats.org/officeDocument/2006/relationships/hyperlink" Target="https://www.sec.gov/Archives/edgar/data/1850453/000119312521301967/d165359dex103.htm" TargetMode="External"/><Relationship Id="rId28" Type="http://schemas.openxmlformats.org/officeDocument/2006/relationships/hyperlink" Target="https://www.sec.gov/Archives/edgar/data/1850453/000119312521301967/d165359dex104.htm" TargetMode="External"/><Relationship Id="rId29" Type="http://schemas.openxmlformats.org/officeDocument/2006/relationships/hyperlink" Target="https://www.sec.gov/Archives/edgar/data/1850453/000119312523130192/d497326dex45.htm" TargetMode="External"/><Relationship Id="rId30" Type="http://schemas.openxmlformats.org/officeDocument/2006/relationships/hyperlink" Target="https://www.sec.gov/Archives/edgar/data/1850453/000121390023081064/ff32023ex10-6_mynaricag.htm" TargetMode="External"/><Relationship Id="rId31" Type="http://schemas.openxmlformats.org/officeDocument/2006/relationships/hyperlink" Target="https://www.sec.gov/Archives/edgar/data/1850453/000095017024061880/myna-ex4_7.htm" TargetMode="External"/><Relationship Id="rId32" Type="http://schemas.openxmlformats.org/officeDocument/2006/relationships/hyperlink" Target="https://www.sec.gov/Archives/edgar/data/1850453/000119312521317388/d165359dex105.htm" TargetMode="External"/><Relationship Id="rId33" Type="http://schemas.openxmlformats.org/officeDocument/2006/relationships/hyperlink" Target="https://www.sec.gov/Archives/edgar/data/1850453/000119312523130192/d497326dex47.htm" TargetMode="External"/><Relationship Id="rId34" Type="http://schemas.openxmlformats.org/officeDocument/2006/relationships/hyperlink" Target="https://www.sec.gov/Archives/edgar/data/1850453/000095017024061880/myna-ex4_10.htm" TargetMode="External"/><Relationship Id="rId35" Type="http://schemas.openxmlformats.org/officeDocument/2006/relationships/hyperlink" Target="https://www.sec.gov/Archives/edgar/data/1850453/000119312522143674/d310942dex81.htm" TargetMode="External"/><Relationship Id="rId36" Type="http://schemas.openxmlformats.org/officeDocument/2006/relationships/hyperlink" Target="https://www.sec.gov/Archives/edgar/data/1850453/000095017024061880/myna-ex13_1.htm" TargetMode="External"/><Relationship Id="rId37" Type="http://schemas.openxmlformats.org/officeDocument/2006/relationships/hyperlink" Target="https://www.sec.gov/Archives/edgar/data/1850453/000095017024061880/myna-ex13_2.htm" TargetMode="External"/><Relationship Id="rId38" Type="http://schemas.openxmlformats.org/officeDocument/2006/relationships/hyperlink" Target="https://www.sec.gov/Archives/edgar/data/1850453/000095017024061880/myn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2024-06-11T10:55:04Z</dcterms:created>
  <dcterms:modified xsi:type="dcterms:W3CDTF">2024-06-11T10:55:04Z</dcterms:modified>
</cp:coreProperties>
</file>