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[Letterhead of Sullivan &amp; Cromwell LLP]</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August 23,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Washington, D.C. 20549.</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Attention: Joseph Cascarano</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Robert S. Littlepage</w:t>
      </w:r>
    </w:p>
    <w:p>
      <w:pPr>
        <w:spacing w:after="0" w:line="112" w:lineRule="exact"/>
        <w:rPr>
          <w:sz w:val="24"/>
          <w:szCs w:val="24"/>
          <w:color w:val="auto"/>
        </w:rPr>
      </w:pPr>
    </w:p>
    <w:p>
      <w:pPr>
        <w:ind w:left="1420"/>
        <w:spacing w:after="0"/>
        <w:tabs>
          <w:tab w:leader="none" w:pos="20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Mynaric AG</w:t>
      </w:r>
    </w:p>
    <w:p>
      <w:pPr>
        <w:spacing w:after="0" w:line="27"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Form 20-F for the Fiscal Year Ended December 31, 2022</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Filed on May 1, 2023</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File No. 001-41045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Cascarano and Mr. Littlepage:</w:t>
      </w:r>
    </w:p>
    <w:p>
      <w:pPr>
        <w:spacing w:after="0" w:line="117" w:lineRule="exact"/>
        <w:rPr>
          <w:sz w:val="24"/>
          <w:szCs w:val="24"/>
          <w:color w:val="auto"/>
        </w:rPr>
      </w:pPr>
    </w:p>
    <w:p>
      <w:pPr>
        <w:ind w:right="120" w:firstLine="991"/>
        <w:spacing w:after="0" w:line="308" w:lineRule="auto"/>
        <w:rPr>
          <w:sz w:val="20"/>
          <w:szCs w:val="20"/>
          <w:color w:val="auto"/>
        </w:rPr>
      </w:pPr>
      <w:r>
        <w:rPr>
          <w:rFonts w:ascii="Arial" w:cs="Arial" w:eastAsia="Arial" w:hAnsi="Arial"/>
          <w:sz w:val="17"/>
          <w:szCs w:val="17"/>
          <w:color w:val="auto"/>
        </w:rPr>
        <w:t>On behalf of our client, Mynaric AG (the “Company”), we are writing to respond to the letter, dated August 9, 2023, from the Staff of the Securities and Exchange Commission (the “Commission”) regarding the above-referenced annual report on Form 20-F (the “Annual Report”).</w:t>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Sullivan &amp; Cromwell LLP is a registered limited liability partnership established under the laws of the State of New York.</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The personal liability of our partners is limited to the extent provided in such laws. Additional information is available upon request or at www.sullcrom.com.</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 list of partners’ names is available for inspection at the above address.</w:t>
      </w:r>
    </w:p>
    <w:p>
      <w:pPr>
        <w:sectPr>
          <w:pgSz w:w="11900" w:h="16838" w:orient="portrait"/>
          <w:cols w:equalWidth="0" w:num="1">
            <w:col w:w="11020"/>
          </w:cols>
          <w:pgMar w:left="440" w:top="233" w:right="4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260" w:type="dxa"/>
            <w:vAlign w:val="bottom"/>
          </w:tcPr>
          <w:p>
            <w:pPr>
              <w:jc w:val="right"/>
              <w:spacing w:after="0"/>
              <w:rPr>
                <w:sz w:val="20"/>
                <w:szCs w:val="20"/>
                <w:color w:val="auto"/>
              </w:rPr>
            </w:pPr>
            <w:r>
              <w:rPr>
                <w:rFonts w:ascii="Arial" w:cs="Arial" w:eastAsia="Arial" w:hAnsi="Arial"/>
                <w:sz w:val="18"/>
                <w:szCs w:val="18"/>
                <w:color w:val="auto"/>
              </w:rPr>
              <w:t>-2-</w:t>
            </w:r>
          </w:p>
        </w:tc>
      </w:tr>
    </w:tbl>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200" w:lineRule="exact"/>
        <w:rPr>
          <w:sz w:val="20"/>
          <w:szCs w:val="20"/>
          <w:color w:val="auto"/>
        </w:rPr>
      </w:pPr>
    </w:p>
    <w:p>
      <w:pPr>
        <w:spacing w:after="0" w:line="2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 20-F for Fiscal Year Ended December 31, 2022</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page F-2</w:t>
      </w:r>
    </w:p>
    <w:p>
      <w:pPr>
        <w:spacing w:after="0" w:line="131" w:lineRule="exact"/>
        <w:rPr>
          <w:sz w:val="20"/>
          <w:szCs w:val="20"/>
          <w:color w:val="auto"/>
        </w:rPr>
      </w:pPr>
    </w:p>
    <w:p>
      <w:pPr>
        <w:ind w:left="964" w:right="320" w:hanging="532"/>
        <w:spacing w:after="0" w:line="261" w:lineRule="auto"/>
        <w:tabs>
          <w:tab w:leader="none" w:pos="96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a new Report of Independent Registered Public Accounting Firm in your amendment indicating the name of the audit firm and include an audit firm signature. In doing so, ensure the amendment includes the entire annual report and appropriate updated certifications that refer to the Form 20-F/A. Refer to Rule 2-02 of Regulation S-X as referenced by Instruction 2 to Item 8.A.2 of Form 20-F.</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480"/>
        <w:spacing w:after="0" w:line="263" w:lineRule="auto"/>
        <w:rPr>
          <w:sz w:val="20"/>
          <w:szCs w:val="20"/>
          <w:color w:val="auto"/>
        </w:rPr>
      </w:pPr>
      <w:r>
        <w:rPr>
          <w:rFonts w:ascii="Arial" w:cs="Arial" w:eastAsia="Arial" w:hAnsi="Arial"/>
          <w:sz w:val="18"/>
          <w:szCs w:val="18"/>
          <w:color w:val="auto"/>
        </w:rPr>
        <w:t>The fully amended Annual Report has been filed on Form 20-F/A on August 23, 2023 to include the signed auditor’s report on page F-2, the PCAOB ID of the independent registered public accounting firm on page F-1, the necessary certifications and the updated consent of the independent registered public accounting firm.</w:t>
      </w:r>
    </w:p>
    <w:p>
      <w:pPr>
        <w:spacing w:after="0" w:line="184" w:lineRule="exact"/>
        <w:rPr>
          <w:sz w:val="20"/>
          <w:szCs w:val="20"/>
          <w:color w:val="auto"/>
        </w:rPr>
      </w:pPr>
    </w:p>
    <w:p>
      <w:pPr>
        <w:jc w:val="center"/>
        <w:ind w:right="16"/>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color w:val="auto"/>
        </w:rPr>
        <w:t>If you would like to discuss any aspect of the Amendment No. 1, please contact Krystian Czerniecki at +49-69-4272-5525 or by email (czernieckik@sullcrom.com). Please send written correspondence relating to this submission by email.</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Krystian Czerniecki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Krystian Czerniecki</w:t>
      </w:r>
    </w:p>
    <w:p>
      <w:pPr>
        <w:spacing w:after="0" w:line="251" w:lineRule="exact"/>
        <w:rPr>
          <w:sz w:val="20"/>
          <w:szCs w:val="20"/>
          <w:color w:val="auto"/>
        </w:rPr>
      </w:pPr>
    </w:p>
    <w:p>
      <w:pPr>
        <w:ind w:left="444" w:right="6980" w:hanging="444"/>
        <w:spacing w:after="0" w:line="259"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Mustafa Veziroglu, Chief Executive Officer Stefan Berndt-von Bülow, Chief Financial Officer Joachim Horwath, Chief Technology Officer (Mynaric AG)</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2023-11-13T00:16:59Z</dcterms:created>
  <dcterms:modified xsi:type="dcterms:W3CDTF">2023-11-13T00:16:59Z</dcterms:modified>
</cp:coreProperties>
</file>