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March 28, 2025,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Resignation Bulent Altan from Supervisory Board</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0000FF"/>
            </w:tcBorders>
            <w:shd w:val="clear" w:color="auto" w:fill="CCEEFF"/>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Resignation of Bulent Altan as Chairman and Member of Supervisory Board</w:t>
      </w:r>
    </w:p>
    <w:p>
      <w:pPr>
        <w:spacing w:after="0" w:line="324"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b w:val="1"/>
          <w:bCs w:val="1"/>
          <w:color w:val="auto"/>
        </w:rPr>
        <w:t xml:space="preserve">MUNICH, March 28, 2025 </w:t>
      </w:r>
      <w:r>
        <w:rPr>
          <w:rFonts w:ascii="Arial" w:cs="Arial" w:eastAsia="Arial" w:hAnsi="Arial"/>
          <w:sz w:val="20"/>
          <w:szCs w:val="20"/>
          <w:color w:val="auto"/>
        </w:rPr>
        <w:t>– Mynaric AG (FRA:M0YN) (OTC:MYNAY) (the “Company”) announces that Bulent Altan today</w:t>
      </w:r>
      <w:r>
        <w:rPr>
          <w:rFonts w:ascii="Arial" w:cs="Arial" w:eastAsia="Arial" w:hAnsi="Arial"/>
          <w:sz w:val="20"/>
          <w:szCs w:val="20"/>
          <w:b w:val="1"/>
          <w:bCs w:val="1"/>
          <w:color w:val="auto"/>
        </w:rPr>
        <w:t xml:space="preserve"> </w:t>
      </w:r>
      <w:r>
        <w:rPr>
          <w:rFonts w:ascii="Arial" w:cs="Arial" w:eastAsia="Arial" w:hAnsi="Arial"/>
          <w:sz w:val="20"/>
          <w:szCs w:val="20"/>
          <w:color w:val="auto"/>
        </w:rPr>
        <w:t>has tendered his resignation as Chairman and Member of the Supervisory Board of the Company for personal reasons efective April 1, 2025.</w:t>
      </w:r>
    </w:p>
    <w:p>
      <w:pPr>
        <w:spacing w:after="0" w:line="159" w:lineRule="exact"/>
        <w:rPr>
          <w:sz w:val="20"/>
          <w:szCs w:val="20"/>
          <w:color w:val="auto"/>
        </w:rPr>
      </w:pPr>
    </w:p>
    <w:p>
      <w:pPr>
        <w:jc w:val="both"/>
        <w:spacing w:after="0" w:line="341" w:lineRule="auto"/>
        <w:rPr>
          <w:sz w:val="20"/>
          <w:szCs w:val="20"/>
          <w:color w:val="auto"/>
        </w:rPr>
      </w:pPr>
      <w:r>
        <w:rPr>
          <w:rFonts w:ascii="Arial" w:cs="Arial" w:eastAsia="Arial" w:hAnsi="Arial"/>
          <w:sz w:val="20"/>
          <w:szCs w:val="20"/>
          <w:color w:val="auto"/>
        </w:rPr>
        <w:t>Bulent Altan was elected Chairman of the Supervisory Board of the Company following his election as member of the Supervisory Board by the General Assembly in August 2023.</w:t>
      </w:r>
    </w:p>
    <w:p>
      <w:pPr>
        <w:spacing w:after="0" w:line="129" w:lineRule="exact"/>
        <w:rPr>
          <w:sz w:val="20"/>
          <w:szCs w:val="20"/>
          <w:color w:val="auto"/>
        </w:rPr>
      </w:pPr>
    </w:p>
    <w:p>
      <w:pPr>
        <w:jc w:val="both"/>
        <w:spacing w:after="0" w:line="335" w:lineRule="auto"/>
        <w:rPr>
          <w:sz w:val="20"/>
          <w:szCs w:val="20"/>
          <w:color w:val="auto"/>
        </w:rPr>
      </w:pPr>
      <w:r>
        <w:rPr>
          <w:rFonts w:ascii="Arial" w:cs="Arial" w:eastAsia="Arial" w:hAnsi="Arial"/>
          <w:sz w:val="20"/>
          <w:szCs w:val="20"/>
          <w:color w:val="auto"/>
        </w:rPr>
        <w:t>The Supervisory Board of the Company will conduct a new election for the role of Chairman without undue delay. A new member will be appointed in due course in accordance with the provisions of applicable stock corporation act (</w:t>
      </w:r>
      <w:r>
        <w:rPr>
          <w:rFonts w:ascii="Arial" w:cs="Arial" w:eastAsia="Arial" w:hAnsi="Arial"/>
          <w:sz w:val="20"/>
          <w:szCs w:val="20"/>
          <w:b w:val="1"/>
          <w:bCs w:val="1"/>
          <w:i w:val="1"/>
          <w:iCs w:val="1"/>
          <w:color w:val="auto"/>
        </w:rPr>
        <w:t>Aktiengesetz</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28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 xml:space="preserve">Mynaric (FRA:M0YN) (OTC:MYNAY)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Arial" w:cs="Arial" w:eastAsia="Arial" w:hAnsi="Arial"/>
          <w:sz w:val="20"/>
          <w:szCs w:val="20"/>
          <w:u w:val="single" w:color="auto"/>
          <w:color w:val="auto"/>
        </w:rPr>
        <w:t>mynaric.com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i w:val="1"/>
          <w:iCs w:val="1"/>
          <w:color w:val="auto"/>
        </w:rPr>
        <w:t>This release includes forward-looking statements. All statements other than statements of historical or current facts contained in this release, including statements regarding our future results of operations and fnancial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6" w:lineRule="exact"/>
        <w:rPr>
          <w:sz w:val="20"/>
          <w:szCs w:val="20"/>
          <w:color w:val="auto"/>
        </w:rPr>
      </w:pPr>
    </w:p>
    <w:p>
      <w:pPr>
        <w:jc w:val="both"/>
        <w:spacing w:after="0" w:line="311" w:lineRule="auto"/>
        <w:rPr>
          <w:sz w:val="20"/>
          <w:szCs w:val="20"/>
          <w:color w:val="auto"/>
        </w:rPr>
      </w:pPr>
      <w:r>
        <w:rPr>
          <w:rFonts w:ascii="Arial" w:cs="Arial" w:eastAsia="Arial" w:hAnsi="Arial"/>
          <w:sz w:val="19"/>
          <w:szCs w:val="19"/>
          <w:b w:val="1"/>
          <w:bCs w:val="1"/>
          <w:i w:val="1"/>
          <w:iCs w:val="1"/>
          <w:color w:val="auto"/>
        </w:rPr>
        <w:t>The forward-looking statements included in this release are based largely on our current expectations and projections about future events and fnancial trends that we believe may afect our fnancial condition, results of operations, business strategy, short-term and long-term business operations and objectives, and fnancial needs. These forward-looking statements involve known and unknown risks, uncertainties and assumptions that are difcult to predict or are beyond our control, and actual results may difer materially from those expected or implied as forward-looking statements. These risks, uncertainties and assumptions include, but are not limited to (i) the impact of any geopolitical tensions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826135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313" w:lineRule="auto"/>
        <w:rPr>
          <w:sz w:val="20"/>
          <w:szCs w:val="20"/>
          <w:color w:val="auto"/>
        </w:rPr>
      </w:pPr>
      <w:r>
        <w:rPr>
          <w:rFonts w:ascii="Arial" w:cs="Arial" w:eastAsia="Arial" w:hAnsi="Arial"/>
          <w:sz w:val="18"/>
          <w:szCs w:val="18"/>
          <w:b w:val="1"/>
          <w:bCs w:val="1"/>
          <w:i w:val="1"/>
          <w:iCs w:val="1"/>
          <w:color w:val="auto"/>
        </w:rPr>
        <w:t>global COVID-19 pandemic on the global economy, our industry and markets as well as our business, (ii) risks related to our limited operating history, our history of signifcant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efects of competition and the development of the market for laser communication technology in general,</w:t>
      </w:r>
    </w:p>
    <w:p>
      <w:pPr>
        <w:spacing w:after="0" w:line="2" w:lineRule="exact"/>
        <w:rPr>
          <w:sz w:val="20"/>
          <w:szCs w:val="20"/>
          <w:color w:val="auto"/>
        </w:rPr>
      </w:pPr>
    </w:p>
    <w:p>
      <w:pPr>
        <w:jc w:val="both"/>
        <w:ind w:firstLine="8"/>
        <w:spacing w:after="0" w:line="296" w:lineRule="auto"/>
        <w:tabs>
          <w:tab w:leader="none" w:pos="432" w:val="left"/>
        </w:tabs>
        <w:numPr>
          <w:ilvl w:val="0"/>
          <w:numId w:val="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risks related to our ability to manage future growth efectively and to obtain sufcient fnancing for the operations and ongoing growth of our business, (ix) risks relating to the uncertainty of the projected fnancial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difer from those contained in any forward-looking statements we may make. In light of these risks, uncertainties and assumptions, the forward-looking events and circumstances discussed in this release may not occur and actual results could difer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5" w:lineRule="exact"/>
        <w:rPr>
          <w:rFonts w:ascii="Arial" w:cs="Arial" w:eastAsia="Arial" w:hAnsi="Arial"/>
          <w:sz w:val="19"/>
          <w:szCs w:val="19"/>
          <w:b w:val="1"/>
          <w:bCs w:val="1"/>
          <w:i w:val="1"/>
          <w:iCs w:val="1"/>
          <w:color w:val="auto"/>
        </w:rPr>
      </w:pPr>
    </w:p>
    <w:p>
      <w:pPr>
        <w:jc w:val="both"/>
        <w:spacing w:after="0" w:line="281" w:lineRule="auto"/>
        <w:rPr>
          <w:rFonts w:ascii="Arial" w:cs="Arial" w:eastAsia="Arial" w:hAnsi="Arial"/>
          <w:sz w:val="19"/>
          <w:szCs w:val="19"/>
          <w:b w:val="1"/>
          <w:bCs w:val="1"/>
          <w:i w:val="1"/>
          <w:iCs w:val="1"/>
          <w:color w:val="auto"/>
        </w:rPr>
      </w:pPr>
      <w:r>
        <w:rPr>
          <w:rFonts w:ascii="Arial" w:cs="Arial" w:eastAsia="Arial" w:hAnsi="Arial"/>
          <w:sz w:val="20"/>
          <w:szCs w:val="20"/>
          <w:b w:val="1"/>
          <w:bCs w:val="1"/>
          <w:i w:val="1"/>
          <w:iCs w:val="1"/>
          <w:color w:val="auto"/>
        </w:rPr>
        <w:t>The forward-looking statements included in this release are made only as of the date hereof. Although we believe that the expectations refected in the forward-looking statements are reasonable, we cannot guarantee that the future results, levels of activity, performance or events and circumstances refected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refect events or circumstances after the date of this release or otherwise. You should read this release with the understanding that our actual future results, levels of activity, performance and events and circumstances may materially difer from what we expect.</w:t>
      </w:r>
    </w:p>
    <w:p>
      <w:pPr>
        <w:spacing w:after="0" w:line="5" w:lineRule="exact"/>
        <w:rPr>
          <w:rFonts w:ascii="Arial" w:cs="Arial" w:eastAsia="Arial" w:hAnsi="Arial"/>
          <w:sz w:val="19"/>
          <w:szCs w:val="19"/>
          <w:b w:val="1"/>
          <w:bCs w:val="1"/>
          <w:i w:val="1"/>
          <w:iCs w:val="1"/>
          <w:color w:val="auto"/>
        </w:rPr>
      </w:pPr>
    </w:p>
    <w:p>
      <w:pPr>
        <w:jc w:val="both"/>
        <w:spacing w:after="0" w:line="293" w:lineRule="auto"/>
        <w:rPr>
          <w:rFonts w:ascii="Arial" w:cs="Arial" w:eastAsia="Arial" w:hAnsi="Arial"/>
          <w:sz w:val="19"/>
          <w:szCs w:val="19"/>
          <w:b w:val="1"/>
          <w:bCs w:val="1"/>
          <w:i w:val="1"/>
          <w:iCs w:val="1"/>
          <w:color w:val="auto"/>
        </w:rPr>
      </w:pPr>
      <w:r>
        <w:rPr>
          <w:rFonts w:ascii="Arial" w:cs="Arial" w:eastAsia="Arial" w:hAnsi="Arial"/>
          <w:sz w:val="20"/>
          <w:szCs w:val="20"/>
          <w:b w:val="1"/>
          <w:bCs w:val="1"/>
          <w:i w:val="1"/>
          <w:iCs w:val="1"/>
          <w:color w:val="auto"/>
        </w:rPr>
        <w:t>This release may include certain fnancial measures not presented in accordance with IFRS. Such fnancial measures are not measures of fnancial performance in accordance with IFRS and may exclude items that are signifcant in understanding and assessing our fnancial results. Therefore, these measures should not be considered in isolation or as an alternative to loss for the period or other measures of proftability, liquidity or performance under IFRS. You should be aware that our presentation of these measures may not be comparable to similarly titled measures used by other companies, which may be defned and calculated diferently.</w:t>
      </w:r>
    </w:p>
    <w:p>
      <w:pPr>
        <w:spacing w:after="0" w:line="126"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2025-03-28T18:01:08Z</dcterms:created>
  <dcterms:modified xsi:type="dcterms:W3CDTF">2025-03-28T18:01:08Z</dcterms:modified>
</cp:coreProperties>
</file>