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Dornierstraße 19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Germany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VIA EDGAR AND E-MAIL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Corporate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20549-3628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8, 2021</w:t>
      </w:r>
    </w:p>
    <w:p>
      <w:pPr>
        <w:sectPr>
          <w:pgSz w:w="11900" w:h="16838" w:orient="portrait"/>
          <w:cols w:equalWidth="0" w:num="1">
            <w:col w:w="11020"/>
          </w:cols>
          <w:pgMar w:left="440" w:top="229" w:right="439" w:bottom="1440" w:gutter="0" w:footer="0" w:header="0"/>
        </w:sect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Joseph Cascarano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Robert Littlepage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Alexandra Barone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 Woo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0" w:space="280"/>
            <w:col w:w="10020"/>
          </w:cols>
          <w:pgMar w:left="440" w:top="229" w:right="4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F-1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333-260357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720"/>
            <w:col w:w="10020"/>
          </w:cols>
          <w:pgMar w:left="440" w:top="229" w:right="4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180" w:firstLine="44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Rule 461 of Regulation C of the General Rules and Regulations under the Securities Act of 1933, as amended, we hereby request acceleration of the effective date of the Registration Statement on Form F-1 (File No. 333-260357)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of Mynaric AG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7"/>
          <w:szCs w:val="17"/>
          <w:color w:val="auto"/>
        </w:rPr>
        <w:t>”). We respectfully request that the Registration Statement become effective as of 4:00 p.m., Eastern Time, on November 10, 2021, or as soon as practicable thereafter. Once the Registration Statement has been declared effective, please orally confirm that event with our counsel, Sullivan &amp; Cromwell LLP, by calling Krystian Czerniecki at +49 (69) 4272-5525.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020"/>
          </w:cols>
          <w:pgMar w:left="440" w:top="229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Thank you for your assistance in this matter.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Bulent Altan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4423410</wp:posOffset>
            </wp:positionH>
            <wp:positionV relativeFrom="paragraph">
              <wp:posOffset>14605</wp:posOffset>
            </wp:positionV>
            <wp:extent cx="257175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Bulent Altan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64"/>
        <w:spacing w:after="0"/>
        <w:tabs>
          <w:tab w:leader="none" w:pos="75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Stefan Berndt-von Bülow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4423410</wp:posOffset>
            </wp:positionH>
            <wp:positionV relativeFrom="paragraph">
              <wp:posOffset>14605</wp:posOffset>
            </wp:positionV>
            <wp:extent cx="257175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Stefan Berndt-von Bülow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64"/>
        <w:spacing w:after="0"/>
        <w:tabs>
          <w:tab w:leader="none" w:pos="75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Financial Officer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44" w:right="7539" w:hanging="444"/>
        <w:spacing w:after="0" w:line="308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Krystian Czerniecki (Sullivan &amp; Cromwell LLP)</w:t>
      </w:r>
    </w:p>
    <w:p>
      <w:pPr>
        <w:spacing w:after="0" w:line="146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Craig F. Arcella</w:t>
      </w:r>
    </w:p>
    <w:p>
      <w:pPr>
        <w:spacing w:after="0" w:line="23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444" w:right="7199"/>
        <w:spacing w:after="0" w:line="323" w:lineRule="auto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Sasha Rosenthal-Larrea (Cravath, Swaine &amp; Moore LLP)</w:t>
      </w:r>
    </w:p>
    <w:sectPr>
      <w:pgSz w:w="11900" w:h="16838" w:orient="portrait"/>
      <w:cols w:equalWidth="0" w:num="1">
        <w:col w:w="10023"/>
      </w:cols>
      <w:pgMar w:left="436" w:top="27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2021-12-10T23:08:39Z</dcterms:created>
  <dcterms:modified xsi:type="dcterms:W3CDTF">2021-12-10T23:08:39Z</dcterms:modified>
</cp:coreProperties>
</file>