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ff32023_mynaricag.htm"/>
      <w:bookmarkStart w:id="1" w:name="ksff32023_mynaricag"/>
      <w:bookmarkEnd w:id="0"/>
      <w:bookmarkEnd w:id="1"/>
      <w:r>
        <w:rPr>
          <w:rFonts w:ascii="Times New Roman PS Std;serif" w:hAnsi="Times New Roman PS Std;serif"/>
          <w:b/>
          <w:i w:val="false"/>
          <w:caps w:val="false"/>
          <w:smallCaps w:val="false"/>
          <w:sz w:val="20"/>
        </w:rPr>
        <w:t>As filed with the Securities and Exchange Commission on September 29, 2023</w:t>
      </w:r>
    </w:p>
    <w:p>
      <w:pPr>
        <w:pStyle w:val="TextBody"/>
        <w:keepNext w:val="true"/>
        <w:pageBreakBefore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No. 333-_____</w:t>
      </w:r>
    </w:p>
    <w:p>
      <w:pPr>
        <w:pStyle w:val="TextBody"/>
        <w:keepNext w:val="true"/>
        <w:pageBreakBefore w:val="false"/>
        <w:widowControl/>
        <w:pBdr/>
        <w:bidi w:val="0"/>
        <w:spacing w:before="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false"/>
        <w:pageBreakBefore w:val="false"/>
        <w:widowControl/>
        <w:pBdr/>
        <w:bidi w:val="0"/>
        <w:spacing w:before="2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F-3</w:t>
        <w:br/>
        <w:t>REGISTRATION STATEMENT</w:t>
        <w:br/>
      </w:r>
      <w:r>
        <w:rPr>
          <w:rFonts w:ascii="Times New Roman PS Std;serif" w:hAnsi="Times New Roman PS Std;serif"/>
          <w:b/>
          <w:i/>
          <w:caps w:val="false"/>
          <w:smallCaps w:val="false"/>
          <w:sz w:val="20"/>
        </w:rPr>
        <w:t>UNDER</w:t>
        <w:br/>
        <w:t>THE SECURITIES ACT OF 1933</w:t>
      </w:r>
    </w:p>
    <w:p>
      <w:pPr>
        <w:pStyle w:val="TextBody"/>
        <w:keepNext w:val="false"/>
        <w:pageBreakBefore w:val="false"/>
        <w:widowControl/>
        <w:pBdr/>
        <w:bidi w:val="0"/>
        <w:spacing w:before="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MYNARIC AG</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(Exact Name of Registrant as Specified in its Charter)</w:t>
      </w:r>
    </w:p>
    <w:p>
      <w:pPr>
        <w:pStyle w:val="TextBody"/>
        <w:keepNext w:val="false"/>
        <w:pageBreakBefore w:val="false"/>
        <w:widowControl/>
        <w:pBdr/>
        <w:bidi w:val="0"/>
        <w:spacing w:before="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 Applicable</w:t>
        <w:br/>
        <w:t>(Translation of Registrant’s Name into English)</w:t>
      </w:r>
    </w:p>
    <w:p>
      <w:pPr>
        <w:pStyle w:val="TextBody"/>
        <w:keepNext w:val="false"/>
        <w:pageBreakBefore w:val="false"/>
        <w:widowControl/>
        <w:pBdr/>
        <w:bidi w:val="0"/>
        <w:spacing w:before="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w:t>
      </w:r>
    </w:p>
    <w:tbl>
      <w:tblPr>
        <w:tblW w:w="9085" w:type="dxa"/>
        <w:jc w:val="left"/>
        <w:tblInd w:w="0" w:type="dxa"/>
        <w:tblLayout w:type="fixed"/>
        <w:tblCellMar>
          <w:top w:w="0" w:type="dxa"/>
          <w:left w:w="0" w:type="dxa"/>
          <w:bottom w:w="0" w:type="dxa"/>
          <w:right w:w="0" w:type="dxa"/>
        </w:tblCellMar>
      </w:tblPr>
      <w:tblGrid>
        <w:gridCol w:w="3571"/>
        <w:gridCol w:w="146"/>
        <w:gridCol w:w="2881"/>
        <w:gridCol w:w="146"/>
        <w:gridCol w:w="2341"/>
      </w:tblGrid>
      <w:tr>
        <w:trPr/>
        <w:tc>
          <w:tcPr>
            <w:tcW w:w="35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The Federal Republic of Germany</w:t>
            </w:r>
          </w:p>
        </w:tc>
        <w:tc>
          <w:tcPr>
            <w:tcW w:w="146" w:type="dxa"/>
            <w:tcBorders/>
            <w:vAlign w:val="bottom"/>
          </w:tcPr>
          <w:p>
            <w:pPr>
              <w:pStyle w:val="TableContents"/>
              <w:bidi w:val="0"/>
              <w:spacing w:before="0" w:after="283"/>
              <w:jc w:val="left"/>
              <w:rPr/>
            </w:pPr>
            <w:r>
              <w:rPr/>
              <w:t> </w:t>
            </w:r>
          </w:p>
        </w:tc>
        <w:tc>
          <w:tcPr>
            <w:tcW w:w="28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4899</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 Applicable</w:t>
            </w:r>
          </w:p>
        </w:tc>
      </w:tr>
      <w:tr>
        <w:trPr/>
        <w:tc>
          <w:tcPr>
            <w:tcW w:w="357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or other Jurisdiction of</w:t>
              <w:br/>
              <w:t>Incorporation or Organization)</w:t>
            </w:r>
          </w:p>
        </w:tc>
        <w:tc>
          <w:tcPr>
            <w:tcW w:w="146" w:type="dxa"/>
            <w:tcBorders/>
          </w:tcPr>
          <w:p>
            <w:pPr>
              <w:pStyle w:val="TableContents"/>
              <w:bidi w:val="0"/>
              <w:spacing w:before="0" w:after="283"/>
              <w:jc w:val="left"/>
              <w:rPr/>
            </w:pPr>
            <w:r>
              <w:rPr/>
              <w:t> </w:t>
            </w:r>
          </w:p>
        </w:tc>
        <w:tc>
          <w:tcPr>
            <w:tcW w:w="288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(Primary Standard Industrial</w:t>
              <w:br/>
              <w:t>Classification Code Number)</w:t>
            </w:r>
          </w:p>
        </w:tc>
        <w:tc>
          <w:tcPr>
            <w:tcW w:w="146" w:type="dxa"/>
            <w:tcBorders/>
          </w:tcPr>
          <w:p>
            <w:pPr>
              <w:pStyle w:val="TableContents"/>
              <w:bidi w:val="0"/>
              <w:spacing w:before="0" w:after="283"/>
              <w:jc w:val="left"/>
              <w:rPr/>
            </w:pPr>
            <w:r>
              <w:rPr/>
              <w:t> </w:t>
            </w:r>
          </w:p>
        </w:tc>
        <w:tc>
          <w:tcPr>
            <w:tcW w:w="234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(I.R.S. Employer</w:t>
              <w:br/>
              <w:t>Identification Number)</w:t>
            </w:r>
          </w:p>
        </w:tc>
      </w:tr>
    </w:tbl>
    <w:p>
      <w:pPr>
        <w:pStyle w:val="TextBody"/>
        <w:keepNext w:val="true"/>
        <w:pageBreakBefore w:val="false"/>
        <w:widowControl/>
        <w:pBdr/>
        <w:bidi w:val="0"/>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Dornierstraße 19</w:t>
        <w:br/>
        <w:t>82205 Gilching</w:t>
        <w:br/>
        <w:t>Germany</w:t>
        <w:br/>
        <w:t>+49 (0) 8105 79990</w:t>
        <w:br/>
        <w:t>(Address, including zip code, and telephone number, including area code, of registrant’s principal executive offices)</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Puglisi &amp; Associates</w:t>
        <w:br/>
        <w:t>850 Library Avenue, Suite 204</w:t>
        <w:br/>
        <w:t>Newark, Delaware 19711</w:t>
        <w:br/>
        <w:t>+1 (302) 738 6680</w:t>
        <w:br/>
        <w:t>(Name, address, including zip code, and telephone number, including area code, of agent for service)</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w:t>
      </w:r>
    </w:p>
    <w:p>
      <w:pPr>
        <w:pStyle w:val="TextBody"/>
        <w:keepNext w:val="true"/>
        <w:pageBreakBefore w:val="false"/>
        <w:widowControl/>
        <w:pBdr/>
        <w:bidi w:val="0"/>
        <w:spacing w:before="2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Copies of all communications, including communications sent to agent for service, should be sent to:</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Krystian M. Czerniecki</w:t>
        <w:br/>
        <w:t>Sullivan &amp; Cromwell LLP</w:t>
        <w:br/>
        <w:t>Neue Mainzer Straße 52</w:t>
        <w:br/>
        <w:t>60311 Frankfurt, Germany</w:t>
        <w:br/>
        <w:t>+49 (69) 4272 5200</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w:t>
      </w:r>
    </w:p>
    <w:p>
      <w:pPr>
        <w:pStyle w:val="TextBody"/>
        <w:keepNext w:val="false"/>
        <w:pageBreakBefore w:val="false"/>
        <w:widowControl/>
        <w:pBdr/>
        <w:bidi w:val="0"/>
        <w:spacing w:before="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 xml:space="preserve">Approximate date of commencement of proposed sale to the public: </w:t>
      </w:r>
      <w:r>
        <w:rPr>
          <w:rFonts w:ascii="Times New Roman PS Std;serif" w:hAnsi="Times New Roman PS Std;serif"/>
          <w:b w:val="false"/>
          <w:i w:val="false"/>
          <w:caps w:val="false"/>
          <w:smallCaps w:val="false"/>
          <w:sz w:val="16"/>
        </w:rPr>
        <w:t>From time to time after this Registration Statement becomes effective.</w:t>
      </w:r>
    </w:p>
    <w:p>
      <w:pPr>
        <w:pStyle w:val="TextBody"/>
        <w:keepNext w:val="false"/>
        <w:pageBreakBefore w:val="false"/>
        <w:widowControl/>
        <w:pBdr/>
        <w:bidi w:val="0"/>
        <w:spacing w:before="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If only securities being registered on this Form are being offered pursuant to dividend or interest reinvestment plans, please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If any of the securities being registered on this Form are to be offered on a delayed or continuous basis pursuant to Rule 415 under the Securities Act of 1933,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amendment filed pursuant to Rule 462(c)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If this Form is a registration statement pursuant to General Instruction I.C. or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amendment thereto that shall become effective upon filing with the Commission pursuant to Rule 462(e) under the Securities Act,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amendment to a registration statement filed pursuant to General Instruction I.C. filed to register additional securities or additional classes of securities pursuant to Rule 413(b) under the Securities Act,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50" w:after="283"/>
        <w:ind w:left="0" w:right="0" w:firstLine="480"/>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Indicate by check mark whether the registrant is an emerging growth company as defined in Rule 405 of the Securities Act of 1933.</w:t>
      </w:r>
    </w:p>
    <w:p>
      <w:pPr>
        <w:pStyle w:val="TextBody"/>
        <w:keepNext w:val="false"/>
        <w:pageBreakBefore w:val="false"/>
        <w:widowControl/>
        <w:pBdr/>
        <w:bidi w:val="0"/>
        <w:spacing w:before="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Emerging growth company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Times New Roman PS Std;serif" w:hAnsi="Times New Roman PS Std;serif"/>
          <w:b w:val="false"/>
          <w:i w:val="false"/>
          <w:caps w:val="false"/>
          <w:smallCaps w:val="false"/>
          <w:sz w:val="20"/>
        </w:rPr>
        <w:t>☐</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100" w:after="283"/>
        <w:ind w:left="48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6"/>
        </w:rPr>
        <w:t>The term “new or revised financial accounting standard” refers to any update issued by the Financial Accounting Standards Board to its Accounting Standards Codification after April 5, 2012.</w:t>
      </w:r>
    </w:p>
    <w:p>
      <w:pPr>
        <w:pStyle w:val="TextBody"/>
        <w:keepNext w:val="false"/>
        <w:pageBreakBefore w:val="false"/>
        <w:widowControl/>
        <w:pBdr/>
        <w:bidi w:val="0"/>
        <w:spacing w:before="50" w:after="283"/>
        <w:ind w:left="0" w:right="0" w:firstLine="480"/>
        <w:jc w:val="both"/>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offers to buy these securities, in any jurisdiction where the offer or sale is not permitted.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SUBJECT TO COMPLETION, DATED SEPTEMBER 29, 2023</w:t>
      </w:r>
    </w:p>
    <w:p>
      <w:pPr>
        <w:pStyle w:val="TextBody"/>
        <w:keepNext w:val="false"/>
        <w:pageBreakBefore w:val="false"/>
        <w:widowControl/>
        <w:pBdr/>
        <w:bidi w:val="0"/>
        <w:spacing w:before="240" w:after="283"/>
        <w:jc w:val="center"/>
        <w:rPr>
          <w:caps w:val="false"/>
          <w:smallCaps w:val="false"/>
        </w:rPr>
      </w:pPr>
      <w:r>
        <w:rPr>
          <w:caps w:val="false"/>
          <w:smallCaps w:val="false"/>
        </w:rPr>
        <w:drawing>
          <wp:inline distT="0" distB="0" distL="0" distR="0">
            <wp:extent cx="1743075" cy="9264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92646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 xml:space="preserve">20,000,000 American Depositary Shares Representing </w:t>
        <w:br/>
        <w:t>5,000,000 Ordinary Shares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Rights to Subscribe for 20,000,000 American Depositary Shares</w:t>
      </w:r>
    </w:p>
    <w:p>
      <w:pPr>
        <w:pStyle w:val="TextBody"/>
        <w:keepNext w:val="false"/>
        <w:pageBreakBefore w:val="false"/>
        <w:widowControl/>
        <w:pBdr/>
        <w:bidi w:val="0"/>
        <w:spacing w:before="2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Mynaric AG, a German stock corporation (</w:t>
      </w:r>
      <w:r>
        <w:rPr>
          <w:rFonts w:ascii="Times New Roman PS Std;serif" w:hAnsi="Times New Roman PS Std;serif"/>
          <w:b w:val="false"/>
          <w:i/>
          <w:caps w:val="false"/>
          <w:smallCaps w:val="false"/>
          <w:sz w:val="20"/>
        </w:rPr>
        <w:t>Aktiengesellschaft</w:t>
      </w:r>
      <w:r>
        <w:rPr>
          <w:rFonts w:ascii="Times New Roman PS Std;serif" w:hAnsi="Times New Roman PS Std;serif"/>
          <w:b w:val="false"/>
          <w:i w:val="false"/>
          <w:caps w:val="false"/>
          <w:smallCaps w:val="false"/>
          <w:sz w:val="20"/>
        </w:rPr>
        <w:t>), may offer and sell, from time to time, in one or more offerings, up to an aggregate of 20,000,000 American Depositary Shares, or ADSs, representing up to an aggregate of 5,000,000 ordinary shares, with no par value, or rights to subscribe for up to an aggregate of 20,000,000 ADSs, which we collectively refer to as the “securities”.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as well as any documents incorporated by reference into this prospectus or any prospectus supplement, carefully before you invest.</w:t>
      </w:r>
    </w:p>
    <w:p>
      <w:pPr>
        <w:pStyle w:val="TextBody"/>
        <w:keepNext w:val="false"/>
        <w:pageBreakBefore w:val="false"/>
        <w:widowControl/>
        <w:pBdr/>
        <w:bidi w:val="0"/>
        <w:spacing w:before="2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Every four ADSs represent one ordinary share. Our ADSs are listed on The Nasdaq Stock Market LLC, or Nasdaq, under the symbol “MYNA.” On September 28, 2023, the closing sale price of our ADSs as reported on Nasdaq was $4.80 per ADS. Our ordinary shares are listed on the Frankfurt Stock Exchange under the symbol “M0YN.” On September 28, 2023, the last closing price of our ordinary shares on the Frankfurt Stock Exchange was €18.45 per ordinary share.</w:t>
      </w:r>
    </w:p>
    <w:p>
      <w:pPr>
        <w:pStyle w:val="TextBody"/>
        <w:keepNext w:val="false"/>
        <w:pageBreakBefore w:val="false"/>
        <w:widowControl/>
        <w:pBdr/>
        <w:bidi w:val="0"/>
        <w:spacing w:before="2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securities covered by this prospectus may be offered through one or more underwriters, dealers or agents, or directly to purchasers. The names of any underwriters, dealers or agents, if any, will be included in a supplement to this prospectus. For general information about the distribution of securities offered, please see “</w:t>
      </w:r>
      <w:r>
        <w:rPr>
          <w:rFonts w:ascii="Times New Roman PS Std;serif" w:hAnsi="Times New Roman PS Std;serif"/>
          <w:b w:val="false"/>
          <w:i/>
          <w:caps w:val="false"/>
          <w:smallCaps w:val="false"/>
          <w:sz w:val="20"/>
        </w:rPr>
        <w:t>Plan of Distribution</w:t>
      </w:r>
      <w:r>
        <w:rPr>
          <w:rFonts w:ascii="Times New Roman PS Std;serif" w:hAnsi="Times New Roman PS Std;serif"/>
          <w:b w:val="false"/>
          <w:i w:val="false"/>
          <w:caps w:val="false"/>
          <w:smallCaps w:val="false"/>
          <w:sz w:val="20"/>
        </w:rPr>
        <w:t>” beginning on page 48.</w:t>
      </w:r>
    </w:p>
    <w:p>
      <w:pPr>
        <w:pStyle w:val="TextBody"/>
        <w:keepNext w:val="false"/>
        <w:pageBreakBefore w:val="false"/>
        <w:widowControl/>
        <w:pBdr/>
        <w:bidi w:val="0"/>
        <w:spacing w:before="2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Investing in our securities involves risks. See “</w:t>
      </w:r>
      <w:r>
        <w:rPr>
          <w:rFonts w:ascii="Times New Roman PS Std;serif" w:hAnsi="Times New Roman PS Std;serif"/>
          <w:b/>
          <w:i/>
          <w:caps w:val="false"/>
          <w:smallCaps w:val="false"/>
          <w:sz w:val="20"/>
        </w:rPr>
        <w:t>Risk Factors”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beginning on page 7 as well as the risk factors set forth in our most recent annual report on Form 20-F</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and in other reports incorporated herein by reference. We may include specific risk factors in an applicable prospectus supplement under the heading “</w:t>
      </w:r>
      <w:r>
        <w:rPr>
          <w:rFonts w:ascii="Times New Roman PS Std;serif" w:hAnsi="Times New Roman PS Std;serif"/>
          <w:b/>
          <w:i/>
          <w:caps w:val="false"/>
          <w:smallCaps w:val="false"/>
          <w:sz w:val="20"/>
        </w:rPr>
        <w:t>Risk Factors</w:t>
      </w:r>
      <w:r>
        <w:rPr>
          <w:rFonts w:ascii="Times New Roman PS Std;serif" w:hAnsi="Times New Roman PS Std;serif"/>
          <w:b/>
          <w:i w:val="false"/>
          <w:caps w:val="false"/>
          <w:smallCaps w:val="false"/>
          <w:sz w:val="20"/>
        </w:rPr>
        <w:t>.”</w:t>
      </w:r>
    </w:p>
    <w:p>
      <w:pPr>
        <w:pStyle w:val="TextBody"/>
        <w:keepNext w:val="false"/>
        <w:pageBreakBefore w:val="false"/>
        <w:widowControl/>
        <w:pBdr/>
        <w:bidi w:val="0"/>
        <w:spacing w:before="24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U.S. Securities and Exchange Commission nor any state securities commission has approved or disapproved of these securities or passed upon the adequacy or accuracy of this prospectus. Any representation to the contrary is a criminal offense.</w:t>
      </w:r>
    </w:p>
    <w:p>
      <w:pPr>
        <w:pStyle w:val="TextBody"/>
        <w:keepNext w:val="false"/>
        <w:pageBreakBefore w:val="false"/>
        <w:widowControl/>
        <w:pBdr/>
        <w:bidi w:val="0"/>
        <w:spacing w:before="24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the date of this prospectus, we are both an “emerging growth company” and a “foreign private issuer” as defined under applicable U.S. federal securities laws and, as such, may elect to comply with certain reduced public company reporting requirements for this and future filings.</w:t>
      </w:r>
    </w:p>
    <w:p>
      <w:pPr>
        <w:pStyle w:val="TextBody"/>
        <w:keepNext w:val="true"/>
        <w:pageBreakBefore w:val="false"/>
        <w:widowControl/>
        <w:pBdr/>
        <w:bidi w:val="0"/>
        <w:spacing w:before="5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date of this prospectus is             , 2023.</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u w:val="single"/>
        </w:rPr>
      </w:pPr>
      <w:bookmarkStart w:id="2" w:name="TOC001"/>
      <w:bookmarkEnd w:id="2"/>
      <w:r>
        <w:rPr>
          <w:rFonts w:ascii="Times New Roman PS Std;serif" w:hAnsi="Times New Roman PS Std;serif"/>
          <w:b/>
          <w:i w:val="false"/>
          <w:caps/>
          <w:sz w:val="20"/>
          <w:u w:val="single"/>
        </w:rPr>
        <w:t>TABLE OF CONTENTS</w:t>
      </w:r>
    </w:p>
    <w:tbl>
      <w:tblPr>
        <w:tblW w:w="6988" w:type="dxa"/>
        <w:jc w:val="left"/>
        <w:tblInd w:w="0" w:type="dxa"/>
        <w:tblLayout w:type="fixed"/>
        <w:tblCellMar>
          <w:top w:w="0" w:type="dxa"/>
          <w:left w:w="0" w:type="dxa"/>
          <w:bottom w:w="0" w:type="dxa"/>
          <w:right w:w="0" w:type="dxa"/>
        </w:tblCellMar>
      </w:tblPr>
      <w:tblGrid>
        <w:gridCol w:w="6181"/>
        <w:gridCol w:w="146"/>
        <w:gridCol w:w="661"/>
      </w:tblGrid>
      <w:tr>
        <w:trPr/>
        <w:tc>
          <w:tcPr>
            <w:tcW w:w="61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17">
              <w:r>
                <w:rPr>
                  <w:rStyle w:val="InternetLink"/>
                  <w:rFonts w:ascii="Times New Roman PS Std;serif" w:hAnsi="Times New Roman PS Std;serif"/>
                  <w:b w:val="false"/>
                  <w:i w:val="false"/>
                  <w:caps w:val="false"/>
                  <w:smallCaps w:val="false"/>
                  <w:sz w:val="20"/>
                </w:rPr>
                <w:t>About this Prospectus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16">
              <w:r>
                <w:rPr>
                  <w:rStyle w:val="InternetLink"/>
                  <w:rFonts w:ascii="Times New Roman PS Std;serif" w:hAnsi="Times New Roman PS Std;serif"/>
                  <w:b w:val="false"/>
                  <w:i w:val="false"/>
                  <w:caps w:val="false"/>
                  <w:smallCaps w:val="false"/>
                  <w:sz w:val="20"/>
                </w:rPr>
                <w:t>Where You Can Find More Information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15">
              <w:r>
                <w:rPr>
                  <w:rStyle w:val="InternetLink"/>
                  <w:rFonts w:ascii="Times New Roman PS Std;serif" w:hAnsi="Times New Roman PS Std;serif"/>
                  <w:b w:val="false"/>
                  <w:i w:val="false"/>
                  <w:caps w:val="false"/>
                  <w:smallCaps w:val="false"/>
                  <w:sz w:val="20"/>
                </w:rPr>
                <w:t>Cautionary Statement Regarding Forward-Looking Statements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14">
              <w:r>
                <w:rPr>
                  <w:rStyle w:val="InternetLink"/>
                  <w:rFonts w:ascii="Times New Roman PS Std;serif" w:hAnsi="Times New Roman PS Std;serif"/>
                  <w:b w:val="false"/>
                  <w:i w:val="false"/>
                  <w:caps w:val="false"/>
                  <w:smallCaps w:val="false"/>
                  <w:sz w:val="20"/>
                </w:rPr>
                <w:t>The Company</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13">
              <w:r>
                <w:rPr>
                  <w:rStyle w:val="InternetLink"/>
                  <w:rFonts w:ascii="Times New Roman PS Std;serif" w:hAnsi="Times New Roman PS Std;serif"/>
                  <w:b w:val="false"/>
                  <w:i w:val="false"/>
                  <w:caps w:val="false"/>
                  <w:smallCaps w:val="false"/>
                  <w:sz w:val="20"/>
                </w:rPr>
                <w:t>Risk Factors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12">
              <w:r>
                <w:rPr>
                  <w:rStyle w:val="InternetLink"/>
                  <w:rFonts w:ascii="Times New Roman PS Std;serif" w:hAnsi="Times New Roman PS Std;serif"/>
                  <w:b w:val="false"/>
                  <w:i w:val="false"/>
                  <w:caps w:val="false"/>
                  <w:smallCaps w:val="false"/>
                  <w:sz w:val="20"/>
                </w:rPr>
                <w:t>Use of Proceeds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11">
              <w:r>
                <w:rPr>
                  <w:rStyle w:val="InternetLink"/>
                  <w:rFonts w:ascii="Times New Roman PS Std;serif" w:hAnsi="Times New Roman PS Std;serif"/>
                  <w:b w:val="false"/>
                  <w:i w:val="false"/>
                  <w:caps w:val="false"/>
                  <w:smallCaps w:val="false"/>
                  <w:sz w:val="20"/>
                </w:rPr>
                <w:t>Capitalization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10">
              <w:r>
                <w:rPr>
                  <w:rStyle w:val="InternetLink"/>
                  <w:rFonts w:ascii="Times New Roman PS Std;serif" w:hAnsi="Times New Roman PS Std;serif"/>
                  <w:b w:val="false"/>
                  <w:i w:val="false"/>
                  <w:caps w:val="false"/>
                  <w:smallCaps w:val="false"/>
                  <w:sz w:val="20"/>
                </w:rPr>
                <w:t>Description of Share Capital and Articles of Association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9">
              <w:r>
                <w:rPr>
                  <w:rStyle w:val="InternetLink"/>
                  <w:rFonts w:ascii="Times New Roman PS Std;serif" w:hAnsi="Times New Roman PS Std;serif"/>
                  <w:b w:val="false"/>
                  <w:i w:val="false"/>
                  <w:caps w:val="false"/>
                  <w:smallCaps w:val="false"/>
                  <w:sz w:val="20"/>
                </w:rPr>
                <w:t>Description of American Depositary Shares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8">
              <w:r>
                <w:rPr>
                  <w:rStyle w:val="InternetLink"/>
                  <w:rFonts w:ascii="Times New Roman PS Std;serif" w:hAnsi="Times New Roman PS Std;serif"/>
                  <w:b w:val="false"/>
                  <w:i w:val="false"/>
                  <w:caps w:val="false"/>
                  <w:smallCaps w:val="false"/>
                  <w:sz w:val="20"/>
                </w:rPr>
                <w:t>Description of Rights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7">
              <w:r>
                <w:rPr>
                  <w:rStyle w:val="InternetLink"/>
                  <w:rFonts w:ascii="Times New Roman PS Std;serif" w:hAnsi="Times New Roman PS Std;serif"/>
                  <w:b w:val="false"/>
                  <w:i w:val="false"/>
                  <w:caps w:val="false"/>
                  <w:smallCaps w:val="false"/>
                  <w:sz w:val="20"/>
                </w:rPr>
                <w:t>Taxation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6">
              <w:r>
                <w:rPr>
                  <w:rStyle w:val="InternetLink"/>
                  <w:rFonts w:ascii="Times New Roman PS Std;serif" w:hAnsi="Times New Roman PS Std;serif"/>
                  <w:b w:val="false"/>
                  <w:i w:val="false"/>
                  <w:caps w:val="false"/>
                  <w:smallCaps w:val="false"/>
                  <w:sz w:val="20"/>
                </w:rPr>
                <w:t>Plan of Distribution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5">
              <w:r>
                <w:rPr>
                  <w:rStyle w:val="InternetLink"/>
                  <w:rFonts w:ascii="Times New Roman PS Std;serif" w:hAnsi="Times New Roman PS Std;serif"/>
                  <w:b w:val="false"/>
                  <w:i w:val="false"/>
                  <w:caps w:val="false"/>
                  <w:smallCaps w:val="false"/>
                  <w:sz w:val="20"/>
                </w:rPr>
                <w:t>Incorporation by Reference</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4">
              <w:r>
                <w:rPr>
                  <w:rStyle w:val="InternetLink"/>
                  <w:rFonts w:ascii="Times New Roman PS Std;serif" w:hAnsi="Times New Roman PS Std;serif"/>
                  <w:b w:val="false"/>
                  <w:i w:val="false"/>
                  <w:caps w:val="false"/>
                  <w:smallCaps w:val="false"/>
                  <w:sz w:val="20"/>
                </w:rPr>
                <w:t>Enforcement of Civil Liabilities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3">
              <w:r>
                <w:rPr>
                  <w:rStyle w:val="InternetLink"/>
                  <w:rFonts w:ascii="Times New Roman PS Std;serif" w:hAnsi="Times New Roman PS Std;serif"/>
                  <w:b w:val="false"/>
                  <w:i w:val="false"/>
                  <w:caps w:val="false"/>
                  <w:smallCaps w:val="false"/>
                  <w:sz w:val="20"/>
                </w:rPr>
                <w:t>Expenses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r>
      <w:tr>
        <w:trPr/>
        <w:tc>
          <w:tcPr>
            <w:tcW w:w="6181" w:type="dxa"/>
            <w:tcBorders/>
            <w:vAlign w:val="bottom"/>
          </w:tcPr>
          <w:p>
            <w:pPr>
              <w:pStyle w:val="TableContents"/>
              <w:keepNext w:val="false"/>
              <w:widowControl/>
              <w:pBdr/>
              <w:bidi w:val="0"/>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Legal Matters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r>
      <w:tr>
        <w:trPr/>
        <w:tc>
          <w:tcPr>
            <w:tcW w:w="6181" w:type="dxa"/>
            <w:tcBorders/>
            <w:shd w:fill="CCEEFF" w:val="clear"/>
            <w:vAlign w:val="bottom"/>
          </w:tcPr>
          <w:p>
            <w:pPr>
              <w:pStyle w:val="TableContents"/>
              <w:keepNext w:val="false"/>
              <w:widowControl/>
              <w:pBdr/>
              <w:bidi w:val="0"/>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Experts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investors outside the United States: Neither we nor any underwriters, dealers or agents have done anything that would permit an offering pursuant to this prospectus, or authorize the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offering of the securities and the distribution of this prospectus outside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incorporated in the Federal Republic of Germany, or Germany. Under the rules of the U.S. Securities and Exchange Commission, or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the “Exchange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We are responsible for the information contained or incorporated by reference in this prospectus. We have not authorized anyone to provide you with different information, and we do not take responsibility for any other information others may give you. We and the underwriters are not making an offer to sell these securities in any jurisdiction where the offer or sale is not permitted. You should not assume that the information contained or incorporated by reference in this prospectus is accurate as of any date other than its date.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3" w:name="T17"/>
      <w:bookmarkEnd w:id="3"/>
      <w:r>
        <w:rPr>
          <w:rFonts w:ascii="Times New Roman PS Std;serif" w:hAnsi="Times New Roman PS Std;serif"/>
          <w:b/>
          <w:i w:val="false"/>
          <w:caps/>
          <w:sz w:val="20"/>
        </w:rPr>
        <w:t>About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 registration statement that we filed with SEC utilizing a “shelf” registration process. Under this shelf process, we may from time to time sell up to an aggregate of 20,000,000 ADSs, representing up to an aggregate of 5,000,000 ordinary shares, or rights to subscribe for up to an aggregate of 20,000,000 ADSs,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headings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Incorporation by Reference</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authorized anyone to provide you with information that is in addition to or different from that contained in, or incorporated by reference into, this prospectus or any prospectus supplement. If anyone provides you with different or inconsistent information, you should not rely on 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filed or incorporated by reference exhibits to the registration statement of which this prospectus forms a part. You should read the exhibits carefully for provisions that may be important to you.</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this prospectus, unless the context otherwise requires, the terms “Mynaric,” the “Company,” “we,” “our,” “ours,” “ourselves,” “us” or similar terms refer to Mynaric AG together with its subsidiaries.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registered office is at Dornierstraße 19, 82205 Gilching, Germany, and our telephone number is +49 (0) 8105 79990.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the delivery of this prospectus nor any sale made under it implies that there has been no change in our affairs or that the information in this prospectus is correct as of any date after the date of this prospectus. You should not assume that the information in this prospectus, including any information incorporated in this prospectus by reference, the accompanying prospectus supplement or any free writing prospectus prepared by us, is accurate as of any date other than the date on the front of those documents. Our business, financial condition, results of operations and prospects may have changed since that date.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4" w:name="T16"/>
      <w:bookmarkEnd w:id="4"/>
      <w:r>
        <w:rPr>
          <w:rFonts w:ascii="Times New Roman PS Std;serif" w:hAnsi="Times New Roman PS Std;serif"/>
          <w:b/>
          <w:i w:val="false"/>
          <w:caps/>
          <w:sz w:val="20"/>
        </w:rPr>
        <w:t>Where You Can Find More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subject to the information reporting requirements of the Exchange Act as applicable to foreign private issuers. Accordingly, we are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t>
      </w:r>
      <w:r>
        <w:rPr>
          <w:rFonts w:ascii="Times New Roman PS Std;serif" w:hAnsi="Times New Roman PS Std;serif"/>
          <w:b w:val="false"/>
          <w:i/>
          <w:caps w:val="false"/>
          <w:smallCaps w:val="false"/>
          <w:sz w:val="20"/>
        </w:rPr>
        <w:t>https://www.sec.gov</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foreign private issuer, we are exempt under the Exchange Act from, among other things, the rules prescribing the furnishing and content of proxy statements, and our management board and supervisory board members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maintain a corporate website at </w:t>
      </w:r>
      <w:r>
        <w:rPr>
          <w:rFonts w:ascii="Times New Roman PS Std;serif" w:hAnsi="Times New Roman PS Std;serif"/>
          <w:b w:val="false"/>
          <w:i/>
          <w:caps w:val="false"/>
          <w:smallCaps w:val="false"/>
          <w:sz w:val="20"/>
        </w:rPr>
        <w:t>https://www.mynaric.com</w:t>
      </w:r>
      <w:r>
        <w:rPr>
          <w:rFonts w:ascii="Times New Roman PS Std;serif" w:hAnsi="Times New Roman PS Std;serif"/>
          <w:b w:val="false"/>
          <w:i w:val="false"/>
          <w:caps w:val="false"/>
          <w:smallCaps w:val="false"/>
          <w:sz w:val="20"/>
        </w:rPr>
        <w:t>. The information contained on, or that can be accessed through, our website is not a part of this prospectus and is not incorporated by reference into this prospectus. We have included our website address as an inactive textual reference only.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 w:name="T15"/>
      <w:bookmarkEnd w:id="5"/>
      <w:r>
        <w:rPr>
          <w:rFonts w:ascii="Times New Roman PS Std;serif" w:hAnsi="Times New Roman PS Std;serif"/>
          <w:b/>
          <w:i w:val="false"/>
          <w:caps/>
          <w:sz w:val="20"/>
        </w:rPr>
        <w:t>Cautionary Statement Regarding Forward-Looking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forward-looking statements that relate to our current expectations and views of future events. These statements relate to events that involve known and unknown risks, uncertainties and other factors, including those listed under Item 3. “Key Information — D. Risk Factors” in our then-current annual report on Form 20-F, which may cause our actual results, performance or achievements to be materially different from any future results, performance or achievements expressed or implied by the forward-looking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some cases, these forward-looking statements can be identified by words or phrases such as “believe,” “may,” “will,” “expect,” “estimate,” “could,” “should,” “anticipate,” “aim,” “intend,” “plan,” “potential,” “continue,” “is/are likely to” or other similar or comparable expressions. These forward-looking statements are based on estimates and assumptions by our management that, although we believe to be reasonable, are inherently uncertain and subject to a number of risks and uncertainties. These statements constitute forward-looking statements within the meaning of Section 27A of the Securities Act of 1933 (as amended, the “Securities Act”), and Section 21E of the Exchange Act. Readers are cautioned not to place undue reliance on these forward-looking statements, which speak only as of their dates. Forward-looking statements contained in this prospectus include, but are not limited to, statements about: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future business and financial performance, including our revenue, operating expenses and our ability to achieve profitability and maintain our future business and operating results;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strategies, plans, objectives and goals, including, for example, the planned completion of the development of our products and the intended expansion of our product portfolio or geographic reach;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expected start of serial production of our products and terminal production output;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planned monetization of our technology and products;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expectations regarding the development of our industry, market size and the competitive environment in which we operate.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forward-looking statements are subject to known and unknown risks, uncertainties and assumptions, many of which are beyond our control. In addition, these forward-looking statements reflect our current views with respect to future events and are not a guarantee of future performance.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in this prospectus. In addition, even if our results of operations, financial condition and liquidity, and the development of the industries in which we operate, are consistent with the forward-looking statements contained in this prospectus, those results or developments may not be indicative of results or developments in subsequent periods. Actual outcomes may differ materially from the information contained in the forward-looking statements as a result of a number of factors, including, without limitation, the risk factors set forth in Item 3. “Key Information — D. Risk Factors” in our 2022 Annual Report on Form 20-F filed with the SEC on May 1, 2023 (amended by Amendment No. 1 to the 2022 Annual Report Filed on Form 20-F/A filed with the SEC on August 23, 2023) and incorporated by reference into this prospectus, including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a development-stage company with a history of significant losses and expected continuing losses for the foreseeable future, which lead to continued reliance on external financing and raise substantial doubt about our ability to continue as a going concern; we may never be able to execute our business strategy successfully, generate revenue or reach profitability;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success and future growth are dependent upon our potential customers’ investments in the development of a market for wireless laser communication networks;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prospects and operations may be adversely affected by changes in government spending and general economic conditions, which may negatively affect demand for laser communication solutions;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potential customer base for the use of our products is limited;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business is affected by the implementation of industry standards guaranteeing interoperability between laser communication products of different vendors, which could be unsuccessful;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be unable to manage our future growth effectively, which could make it difficult to execute our business strategy;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positive market developments in the area of wireless laser communication could lead to increasingly intense competition and endanger our market position;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industry consolidation may give our competitors advantages over us, which could result in a loss of customers and/or a reduction of our revenue;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use innovative technologies and solutions in our products, which may not be fully functional, and the initial deployment of our products by customers could prove unsuccessful;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depend on third-party suppliers to provide us with components for our products, and any interruptions in supplies provided by these third-party suppliers or any general disruptions to global supply chains may subject us to external procurement risks that negatively affect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defects or performance problems in our products could result in a loss of customers, reputational damage, lawsuits and decreased revenue, and we may face warranty, indemnity and product liability claims arising from defective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sales cycle can be long and sophisticated as well as requiring considerable time and expense;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orders included in our optical communications terminal backlog may not result in actual revenue and are an uncertain indicator of our future earnings;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have limited experience with order processing and are subject to internal order processing risks that could materially impact our ability to process orders;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not be able to obtain sufficient financing for our operations and ongoing growth of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covenants under our five-year, secured term loan credit agreement in an aggregate principal amount of $75 million (the “credit agreement 2023”) impose operating and financial restrictions on us that could significantly impact our ability to operate our business and a breach of which could result in a default under the terms of this agreement, which could accelerate our repayment of funds;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change of control could result in substantial repayment obligations under our credit agreement 2023;</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not be able to obtain or agree on acceptable terms and conditions for all or a significant portion of the government grants, loans and other incentives for which we may apply, which may negatively affect our ability to reach funding goals;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exposed to foreign currency exchange risk and our financial position and results of operations may be negatively affected by the fluctuation of different currencies;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highly dependent on our senior management team and other highly qualified personnel, and if we are not successful in attracting or retaining highly qualified personnel, we may not be able to successfully implement our business strategy;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business and operations would suffer in the event of computer system failures, cyber-attacks or deficiencies in our cyber-security;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a supplier for government programs, which subjects us to risks including early termination, audits, investigations, sanctions and penalties;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operations, or those of our suppliers and other business partners, could be adversely affected as a result of disasters or unpredictable events;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 developments affecting the financial services industry, such as actual events or concerns involving liquidity, defaults, or non-performance by financial institutions or transactional counterparties, could adversely affect our business operations and our financial condition;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subject to regulatory risks, in particular related to sanctions laws and governmental export controls, that could limit our customer base and result in higher compliance costs;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we do not maintain required security clearances from, and comply with our security agreements with, the U.S. government, we may not be able to enter into future contracts with the U.S. government;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business is and could become subject to a wide variety of extensive and evolving government laws and regulations; any failure to comply could have a material adverse effect on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positive market developments in the area of wireless laser communication could lead to increasingly intense political interest and influence impacting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regulations related to conflict minerals and other supply chain regulations such as the German Supply Chain Act may cause us to incur additional expenses and could limit the supply and increase the costs of certain metals and other materials used in the manufacturing of our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be unable to adequately protect our intellectual property and proprietary rights and prevent others from making unauthorized use of our products and technology;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be involved in legal proceedings based on the alleged violation of intellectual property rights, which may be time-consuming and incur substantial costs;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have been and may become involved in litigation, administrative and regulatory proceedings, which require significant attention and could result in significant expense to us and disruptions to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be subject to claims that our employees, consultants or advisers have wrongfully used or disclosed alleged trade secrets of their former employers;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become exposed to unforeseen tax consequences as a result of our international operations;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have identified material weaknesses in our internal control over financial reporting; if we are unable to successfully remediate these material weaknesses and to maintain an effective system of internal control over financial reporting, we may not be able to accurately report our results or prevent fraud;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risk management and internal control procedures may not prevent or detect violations of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forward-looking statements made or incorporated by reference in this prospectus relate only to events or information as of the date on which the statements are made.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the documents incorporated by reference herein and the documents that we reference herein and have filed as exhibits to the registration statement, of which this prospectus is a part, completely and with the understanding that our actual future results or performance may be materially different from what we expect.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Comparison of results between current and prior periods are not intended to express any future trends, or indications of future performance, unless expressed as such, and should only be viewed as historical data.</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 w:name="T14"/>
      <w:bookmarkEnd w:id="6"/>
      <w:r>
        <w:rPr>
          <w:rFonts w:ascii="Times New Roman PS Std;serif" w:hAnsi="Times New Roman PS Std;serif"/>
          <w:b/>
          <w:i w:val="false"/>
          <w:caps/>
          <w:sz w:val="20"/>
        </w:rPr>
        <w:t>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we are a leading developer and manufacturer (in terms of production capacity) of advanced laser communication technology for aerospace-based communication networks in government and commercial markets. Laser communication networks provide connectivity from the sky, allowing for high data rates and secure, long-distance data transmission between moving objects for wireless space- and airborne-based as well as terrestrial applications. Our technology and products are designed to provide the secure wireless backbone for connectivity to link satellites, high-altitude platforms, unmanned aerial vehicles and aircraft with potential future use on ships, mobility platforms and fixed locations on the ground. We aim to industrialize laser communication by focusing on standardization, scale production and cost-efficiency. We believe that we are one of the first companies to develop laser communication technology at commercially attractive price points for use in both government and commercial markets. By leveraging our deep technical expertise and early mover advantage, we aim to become the go-to supplier for the “internet above the clouds.”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Laser communication offers significant technical and operational advantages for wireless data transmission compared to other wireless communication systems, which mostly use radio frequency (“RF”) technologies to transmit information. RF-based communication is generally characterized by lower bandwidth, significant license requirements and a wide beam divergence, which makes it much more susceptible to detection, interception and potential jamming. Laser communication, on the other hand, benefits from its higher bandwidth capacity, lower latency, improved security, lower power requirements and a license-free spectrum. Laser communication has achieved world record transmission rates of 13.16 terabits per second, as compared to RF’s maximum transmission rate of 36 gigabits per second (according to the Facebook Connectivity Lab). Current demand for laser communication is predominantly driven by government applications in defense, surveillance, intelligence and border control, which seek to leverage the superior capabilities of laser communication. With its significant advantages and wide range of applications, laser communication is highly attractive for the development of next-generation communication networks, in particular for space and airborne applications.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were founded in 2009 by former scientists of the German Aerospace Center (</w:t>
      </w:r>
      <w:r>
        <w:rPr>
          <w:rFonts w:ascii="Times New Roman PS Std;serif" w:hAnsi="Times New Roman PS Std;serif"/>
          <w:b w:val="false"/>
          <w:i/>
          <w:caps w:val="false"/>
          <w:smallCaps w:val="false"/>
          <w:sz w:val="20"/>
        </w:rPr>
        <w:t>Deutsches Zentrum für Luft-und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Raumfahrt e.V.</w:t>
      </w:r>
      <w:r>
        <w:rPr>
          <w:rFonts w:ascii="Times New Roman PS Std;serif" w:hAnsi="Times New Roman PS Std;serif"/>
          <w:b w:val="false"/>
          <w:i w:val="false"/>
          <w:caps w:val="false"/>
          <w:smallCaps w:val="false"/>
          <w:sz w:val="20"/>
        </w:rPr>
        <w:t>) and have invested in developing and optimizing our laser communication technology, which we are now commercializing. We have developed pre-serial product versions of our CONDOR inter-satellite link terminal and our HAWK airborne terminal, and are currently ramping up serial production to enable customers to deploy our technology at scale. We believe that we are one of a few companies offering a commercially viable laser communication terminal solution combining light weight, robustness, high data rate and high-power efficiency at attractive prices. We aim to industrialize laser communication by focusing on developing standardized and modularized products suitable for a wide array of customers and applications. We have benefited from advancing on the learning curve with the development of the pre-serial product versions of our CONDOR and HAWK terminals, as we continuously seek to decrease the costs of deploying laser communication. By moving from singular prototype production to pre-serial production levels, we have already reduced our material costs per unit for our CONDOR terminals by around 80% compared to previous versions. We are currently ramping up serial production targeting a per year production rate capacity of up to 2,000 units in the medium term. We expect to continue to incur significant expenses related to the ramp-up of serial production, the further development of our technology and products as well as the expansion of our sales and marketing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our existing customer relationships will significantly help us win additional business in the context of current and future government and commercial programs. We also believe that the introduction of laser communication technology at commercially attractive price points has the potential to create a significant market for laser communication for years to come.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7" w:name="T13"/>
      <w:bookmarkEnd w:id="7"/>
      <w:r>
        <w:rPr>
          <w:rFonts w:ascii="Times New Roman PS Std;serif" w:hAnsi="Times New Roman PS Std;serif"/>
          <w:b/>
          <w:i w:val="false"/>
          <w:caps/>
          <w:sz w:val="20"/>
        </w:rPr>
        <w:t>Risk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Investing in our securities may involve a high degree of risk. Before making a decision to invest in our securities, you should carefully consider the risks described under Item 3. “Key Information — D. Risk Factors” in the applicable prospectus supplement and in our then-current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annual report on Form 20-F, and in any updates to those risk factors in our reports on Form 6-K, incorporated herein, together with all of the other information appearing or incorporated by reference in this prospectus and any applicable prospectus supplement, in light of your particular investment objectives and financial circumstances.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Regulatory, Legal and Tax Risks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become a passive foreign investment company (“PFIC”), which could result in adverse United States federal income tax consequences to United States investors.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projected composition of our income and valuation of our assets, including goodwill, we do not expect to be a PFIC for our current taxable year or in the future, although there can be no assurance in this regard. The determination of whether or not we are a PFIC is made on an annual basis and will depend on the composition of our income and assets from time to time. Specifically, we will be classified as a PFIC for United States federal income tax purposes if either: (1) 75% or more of our gross income in a taxable year is passive income, or (2) the average percentage of our assets by value in a taxable year which produce or are held for the production of passive income (which includes cash) is at least 50%. Although we do not expect to become a PFIC, our PFIC status is a factual determination that is made annually and thus may be subject to change. It is therefore possible that we could become a PFIC in a future taxable year. In addition, our current position that we are not a PFIC is based in part upon the value of our goodwill which is based on the market value of the ADSs and ordinary shares. Accordingly, we could become a PFIC in the future if there is a substantial decline in the value of the ADSs and ordinary shares. If we are or were to become a PFIC, such characterization could result in adverse United States federal income tax consequences and burdensome reporting requirements to a holder of ADSs or ADS rights if such holder is a United States investor.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8" w:name="T12"/>
      <w:bookmarkEnd w:id="8"/>
      <w:r>
        <w:rPr>
          <w:rFonts w:ascii="Times New Roman PS Std;serif" w:hAnsi="Times New Roman PS Std;serif"/>
          <w:b/>
          <w:i w:val="false"/>
          <w:caps/>
          <w:sz w:val="20"/>
        </w:rPr>
        <w:t>Use of Proceeds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in a prospectus supplement, the net proceeds from our sale of the securities will be used for general corporate purposes and other business opportunities.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9" w:name="T11"/>
      <w:bookmarkEnd w:id="9"/>
      <w:r>
        <w:rPr>
          <w:rFonts w:ascii="Times New Roman PS Std;serif" w:hAnsi="Times New Roman PS Std;serif"/>
          <w:b/>
          <w:i w:val="false"/>
          <w:caps/>
          <w:sz w:val="20"/>
        </w:rPr>
        <w:t>Capitalization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on our consolidated capitalization will be set forth in a prospectus supplement or in a report on Form 6-K subsequently furnished to the SEC and specifically incorporated herein by reference.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0" w:name="T10"/>
      <w:bookmarkEnd w:id="10"/>
      <w:r>
        <w:rPr>
          <w:rFonts w:ascii="Times New Roman PS Std;serif" w:hAnsi="Times New Roman PS Std;serif"/>
          <w:b/>
          <w:i w:val="false"/>
          <w:caps/>
          <w:sz w:val="20"/>
        </w:rPr>
        <w:t>Description of Share Capital and Articles of Association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description of our capital stock is a summary of the rights of our ordinary shares and certain provisions of our articles of association in effect as of September 29, 2023. This summary does not purport to be complete and is qualified in its entirety by the provisions of our articles of association filed with the Securities and Exchange Commission as an exhibit to the registration statement of which this prospectus is a part. We encourage you to read our articles of association and applicable German legislation on stock corporations carefully.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 Capital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29, 2023 our share capital as registered in the commercial register amounts to €6,233,615.00, which is divided into 6,233,615 ordinary registered shares (</w:t>
      </w:r>
      <w:r>
        <w:rPr>
          <w:rFonts w:ascii="Times New Roman PS Std;serif" w:hAnsi="Times New Roman PS Std;serif"/>
          <w:b w:val="false"/>
          <w:i/>
          <w:caps w:val="false"/>
          <w:smallCaps w:val="false"/>
          <w:sz w:val="20"/>
        </w:rPr>
        <w:t>auf den Namen lautende Aktien</w:t>
      </w:r>
      <w:r>
        <w:rPr>
          <w:rFonts w:ascii="Times New Roman PS Std;serif" w:hAnsi="Times New Roman PS Std;serif"/>
          <w:b w:val="false"/>
          <w:i w:val="false"/>
          <w:caps w:val="false"/>
          <w:smallCaps w:val="false"/>
          <w:sz w:val="20"/>
        </w:rPr>
        <w:t>). All shares are shares with no par-value (</w:t>
      </w:r>
      <w:r>
        <w:rPr>
          <w:rFonts w:ascii="Times New Roman PS Std;serif" w:hAnsi="Times New Roman PS Std;serif"/>
          <w:b w:val="false"/>
          <w:i/>
          <w:caps w:val="false"/>
          <w:smallCaps w:val="false"/>
          <w:sz w:val="20"/>
        </w:rPr>
        <w:t>Stückaktien ohne Nennbetrag</w:t>
      </w:r>
      <w:r>
        <w:rPr>
          <w:rFonts w:ascii="Times New Roman PS Std;serif" w:hAnsi="Times New Roman PS Std;serif"/>
          <w:b w:val="false"/>
          <w:i w:val="false"/>
          <w:caps w:val="false"/>
          <w:smallCaps w:val="false"/>
          <w:sz w:val="20"/>
        </w:rPr>
        <w:t>) with a notional amount attributable to each ordinary share of €1.00.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 Information on Capital Measures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our articles of association, an increase of our share capital generally requires a resolution passed at our shareholders’ meeting with both a simple majority of the share capital represented at the relevant shareholders’ meeting and a simple majority of the votes cast.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shareholders’ meeting may also resolve to create so-called authorized share capital (</w:t>
      </w:r>
      <w:r>
        <w:rPr>
          <w:rFonts w:ascii="Times New Roman PS Std;serif" w:hAnsi="Times New Roman PS Std;serif"/>
          <w:b w:val="false"/>
          <w:i/>
          <w:caps w:val="false"/>
          <w:smallCaps w:val="false"/>
          <w:sz w:val="20"/>
        </w:rPr>
        <w:t>genehmigtes Kapital</w:t>
      </w:r>
      <w:r>
        <w:rPr>
          <w:rFonts w:ascii="Times New Roman PS Std;serif" w:hAnsi="Times New Roman PS Std;serif"/>
          <w:b w:val="false"/>
          <w:i w:val="false"/>
          <w:caps w:val="false"/>
          <w:smallCaps w:val="false"/>
          <w:sz w:val="20"/>
        </w:rPr>
        <w:t>), authorizing our management board to increase our registered share capital with the consent of our supervisory board within a period of five years by issuing shares for a certain total amount up to the authorized capital amount. Authorized capital is a German law concept that allows us to issue shares without going through the process of obtaining an additional shareholders’ resolution. The shareholders’ authorization becomes effective upon registration in the commercial register (</w:t>
      </w:r>
      <w:r>
        <w:rPr>
          <w:rFonts w:ascii="Times New Roman PS Std;serif" w:hAnsi="Times New Roman PS Std;serif"/>
          <w:b w:val="false"/>
          <w:i/>
          <w:caps w:val="false"/>
          <w:smallCaps w:val="false"/>
          <w:sz w:val="20"/>
        </w:rPr>
        <w:t>Handelsregister</w:t>
      </w:r>
      <w:r>
        <w:rPr>
          <w:rFonts w:ascii="Times New Roman PS Std;serif" w:hAnsi="Times New Roman PS Std;serif"/>
          <w:b w:val="false"/>
          <w:i w:val="false"/>
          <w:caps w:val="false"/>
          <w:smallCaps w:val="false"/>
          <w:sz w:val="20"/>
        </w:rPr>
        <w:t>) and may extend for a period of no more than five years thereafter. The aggregate nominal amount of the authorized capital created by the shareholders may not exceed one half of the share capital existing at the time of registration of the authorized capital with the commercial register.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our shareholders may resolve to amend or create conditional capital (</w:t>
      </w:r>
      <w:r>
        <w:rPr>
          <w:rFonts w:ascii="Times New Roman PS Std;serif" w:hAnsi="Times New Roman PS Std;serif"/>
          <w:b w:val="false"/>
          <w:i/>
          <w:caps w:val="false"/>
          <w:smallCaps w:val="false"/>
          <w:sz w:val="20"/>
        </w:rPr>
        <w:t>bedingtes Kapital</w:t>
      </w:r>
      <w:r>
        <w:rPr>
          <w:rFonts w:ascii="Times New Roman PS Std;serif" w:hAnsi="Times New Roman PS Std;serif"/>
          <w:b w:val="false"/>
          <w:i w:val="false"/>
          <w:caps w:val="false"/>
          <w:smallCaps w:val="false"/>
          <w:sz w:val="20"/>
        </w:rPr>
        <w:t>). However, they may do so only to issue conversion or subscription rights to holders of convertible bonds, in preparation for a merger with another company or to issue subscription rights to employees and members of the management of our company or of an affiliated company. According to German law, the aggregate nominal amount of the conditional capital resolved at the shareholders’ meeting may not exceed one half of the share capital existing at the time of the shareholders’ meeting adopting such resolution. The aggregate nominal amount of the conditional capital resolved for the purpose of granting subscription rights to employees and members of the management of our Company or of an affiliated company may not exceed 10% of the share capital existing at the time of the shareholders’ meeting adopting such resolution.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 to German law, any resolution pertaining to the creation of authorized or conditional capital requires the vote of at least three quarters of the share capital represented at the relevant shareholders’ meeting and a simple majority of the votes cast.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shareholders may also resolve to increase the share capital from own resources (</w:t>
      </w:r>
      <w:r>
        <w:rPr>
          <w:rFonts w:ascii="Times New Roman PS Std;serif" w:hAnsi="Times New Roman PS Std;serif"/>
          <w:b w:val="false"/>
          <w:i/>
          <w:caps w:val="false"/>
          <w:smallCaps w:val="false"/>
          <w:sz w:val="20"/>
        </w:rPr>
        <w:t>Kapitalerhöhung aus Gesellschaftsmitteln</w:t>
      </w:r>
      <w:r>
        <w:rPr>
          <w:rFonts w:ascii="Times New Roman PS Std;serif" w:hAnsi="Times New Roman PS Std;serif"/>
          <w:b w:val="false"/>
          <w:i w:val="false"/>
          <w:caps w:val="false"/>
          <w:smallCaps w:val="false"/>
          <w:sz w:val="20"/>
        </w:rPr>
        <w:t>) by converting capital reserves and profit reserves into registered share capital. Pursuant to our articles of association, any resolution pertaining to an increase in share capital from own resources requires the vote of a simple majority of the share capital represented at the relevant shareholders’ meeting and a simple majority of the votes cast.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shares issued by the Company are fully paid in (meaning that shareholders are not liable to the Company to pay in any further amount in relation to their existing shares). Any resolution relating to a reduction of our share capital requires the vote of at least three quarters of the share capital represented at the relevant shareholders’ meeting as well as a simple majority of the votes cast according to German law.</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Authorized Capital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German Stock Corporation Act (</w:t>
      </w:r>
      <w:r>
        <w:rPr>
          <w:rFonts w:ascii="Times New Roman PS Std;serif" w:hAnsi="Times New Roman PS Std;serif"/>
          <w:b w:val="false"/>
          <w:i/>
          <w:caps w:val="false"/>
          <w:smallCaps w:val="false"/>
          <w:sz w:val="20"/>
        </w:rPr>
        <w:t>Aktiengesetz</w:t>
      </w:r>
      <w:r>
        <w:rPr>
          <w:rFonts w:ascii="Times New Roman PS Std;serif" w:hAnsi="Times New Roman PS Std;serif"/>
          <w:b w:val="false"/>
          <w:i w:val="false"/>
          <w:caps w:val="false"/>
          <w:smallCaps w:val="false"/>
          <w:sz w:val="20"/>
        </w:rPr>
        <w:t>), a stock corporation’s shareholders’ meeting can authorize the management board to, with the consent of the supervisory board, issue shares in a specified aggregate nominal amount of up to 50% of the issued share capital of such company at the time the resolution becomes effective. The shareholders’ authorization becomes effective upon registration in the commercial register (</w:t>
      </w:r>
      <w:r>
        <w:rPr>
          <w:rFonts w:ascii="Times New Roman PS Std;serif" w:hAnsi="Times New Roman PS Std;serif"/>
          <w:b w:val="false"/>
          <w:i/>
          <w:caps w:val="false"/>
          <w:smallCaps w:val="false"/>
          <w:sz w:val="20"/>
        </w:rPr>
        <w:t>Handelsregister</w:t>
      </w:r>
      <w:r>
        <w:rPr>
          <w:rFonts w:ascii="Times New Roman PS Std;serif" w:hAnsi="Times New Roman PS Std;serif"/>
          <w:b w:val="false"/>
          <w:i w:val="false"/>
          <w:caps w:val="false"/>
          <w:smallCaps w:val="false"/>
          <w:sz w:val="20"/>
        </w:rPr>
        <w:t>) and may extend for a period of no more than five years thereafter. Our authorized capital is summarized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our articles of association provide for the following authorized capital: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Authorized Capital 2021/II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4 para. 8 of our articles of association, the management board is authorized until May 13, 2026, subject to the consent of the supervisory board, to increase, once or repeatedly, our share capital by up to a total of €188,498.00 through the issuance of up to 188,498 new no par value ordinary registered shares (</w:t>
      </w:r>
      <w:r>
        <w:rPr>
          <w:rFonts w:ascii="Times New Roman PS Std;serif" w:hAnsi="Times New Roman PS Std;serif"/>
          <w:b w:val="false"/>
          <w:i/>
          <w:caps w:val="false"/>
          <w:smallCaps w:val="false"/>
          <w:sz w:val="20"/>
        </w:rPr>
        <w:t>auf den Namen lautende Stückaktien</w:t>
      </w:r>
      <w:r>
        <w:rPr>
          <w:rFonts w:ascii="Times New Roman PS Std;serif" w:hAnsi="Times New Roman PS Std;serif"/>
          <w:b w:val="false"/>
          <w:i w:val="false"/>
          <w:caps w:val="false"/>
          <w:smallCaps w:val="false"/>
          <w:sz w:val="20"/>
        </w:rPr>
        <w:t>) against contributions in cash and/or in kind, including claims against us (the “Authorized Capital 2021/II”). The subscription rights of the shareholders are excluded. The Authorized Capital 2021/II serves to fulfill claims under our restricted stock unit (“RSU”) program established in 2021 (“RSU Program 2021”). The shares that will be created from the Authorized Capital 2021/II may only be issued for this purpose. A capital increase may be implemented only to the extent that the holders of claims under the RSU Program 2021 exercise their rights, and we decide, in our discretion, to settle the claims, totally or partially, with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issue amount of each new share must be at least €1.00 per share and may be paid in cash or in kind, including claims against us. The management board, with the consent of the supervisory board, is authorized to determine any further details regarding the capital increase and its implementation, including the determination of the profit participation with respect to the new shares which may, in deviation from Section 60 para. 2 of the German Stock Corporation Act, also include profit participation for the previous financial year. The supervisory board is authorized to adjust the wording of the articles of association accordingly after the utilization of the Authorized Capital 2021/II or upon expiry of the period for the utilization of the Authorized Capital 2021/II.</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Authorized Capital 2022/II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4 para. 12 of our articles of association, our management board is authorized, with the consent of our supervisory board, to increase our share capital in the period up to and including July 13, 2027 by up to €262,147.00 on one or more occasions by issuing up to 262,147 new no par value ordinary bearer or registered shares (</w:t>
      </w:r>
      <w:r>
        <w:rPr>
          <w:rFonts w:ascii="Times New Roman PS Std;serif" w:hAnsi="Times New Roman PS Std;serif"/>
          <w:b w:val="false"/>
          <w:i/>
          <w:caps w:val="false"/>
          <w:smallCaps w:val="false"/>
          <w:sz w:val="20"/>
        </w:rPr>
        <w:t>auf den Inhaber oder den Namen lautende Stückaktien</w:t>
      </w:r>
      <w:r>
        <w:rPr>
          <w:rFonts w:ascii="Times New Roman PS Std;serif" w:hAnsi="Times New Roman PS Std;serif"/>
          <w:b w:val="false"/>
          <w:i w:val="false"/>
          <w:caps w:val="false"/>
          <w:smallCaps w:val="false"/>
          <w:sz w:val="20"/>
        </w:rPr>
        <w:t>) against contribution in cash and/or in kind (“Authorized Capital 2022/II”).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shareholders’ subscription rights are excluded with respect to Authorized Capital 2022/II. The Authorized Capital 2022/II serves to deliver shares of ours to fulfill RSUs granted under our RSU program established in 2022 (“RSU Program 2022”) to selected employees of us and our affiliated companies in accordance with the RSU Program 2022 in return for the contribution of the respective payment claims arising under the RSUs. The issue price of the new shares may be paid in cash and/or in kind, in particular also by contributing claims against us under the RSU Program 2022. Our management board is authorized, with the consent of our supervisory board, to determine the further details of the capital increase and its implementation; this also includes the determination of the dividend entitlement of the new shares, which, in deviation from section 60 para. 2 German Stock Corporation Act, may also be determined for a financial year that has already expired if, at the time of the issuance of the new shares, a resolution by the general meeting on the appropriation of profits for this financial year has not yet been adopted. Our management board is authorized, with the consent of our supervisory board, to determine the further details of the capital increase and the terms and conditions of the share issuance.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Authorized Capital 2023/I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4 para. 3 of our articles of association, our management board is authorized, with the consent of our supervisory board, to increase our share capital in the period up to and including August 6, 2028 by up to €2,493,446.00 on one or more occasions by issuing up to 2,493,446 new no par value ordinary bearer or registered shares (</w:t>
      </w:r>
      <w:r>
        <w:rPr>
          <w:rFonts w:ascii="Times New Roman PS Std;serif" w:hAnsi="Times New Roman PS Std;serif"/>
          <w:b w:val="false"/>
          <w:i/>
          <w:caps w:val="false"/>
          <w:smallCaps w:val="false"/>
          <w:sz w:val="20"/>
        </w:rPr>
        <w:t>auf den Inhaber oder den Namen lautende Stückaktien</w:t>
      </w:r>
      <w:r>
        <w:rPr>
          <w:rFonts w:ascii="Times New Roman PS Std;serif" w:hAnsi="Times New Roman PS Std;serif"/>
          <w:b w:val="false"/>
          <w:i w:val="false"/>
          <w:caps w:val="false"/>
          <w:smallCaps w:val="false"/>
          <w:sz w:val="20"/>
        </w:rPr>
        <w:t>) against contribution in cash and/or in kind (“Authorized Capital 2023/I”).</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shareholders will be granted subscription rights with respect to Authorized Capital 2023/I. The new shares may also be acquired by a credit institution to be determined by our management board or by an enterprise pursuing activities pursuant to section 53 para. 1 sentence 1 of the German Banking Act (</w:t>
      </w:r>
      <w:r>
        <w:rPr>
          <w:rFonts w:ascii="Times New Roman PS Std;serif" w:hAnsi="Times New Roman PS Std;serif"/>
          <w:b w:val="false"/>
          <w:i/>
          <w:caps w:val="false"/>
          <w:smallCaps w:val="false"/>
          <w:sz w:val="20"/>
        </w:rPr>
        <w:t xml:space="preserve">Gesetz </w:t>
      </w:r>
      <w:r>
        <w:rPr>
          <w:rFonts w:ascii="Times New Roman PS Std;serif" w:hAnsi="Times New Roman PS Std;serif"/>
          <w:b w:val="false"/>
          <w:i w:val="false"/>
          <w:caps w:val="false"/>
          <w:smallCaps w:val="false"/>
          <w:sz w:val="20"/>
        </w:rPr>
        <w:t xml:space="preserve">über </w:t>
      </w:r>
      <w:r>
        <w:rPr>
          <w:rFonts w:ascii="Times New Roman PS Std;serif" w:hAnsi="Times New Roman PS Std;serif"/>
          <w:b w:val="false"/>
          <w:i/>
          <w:caps w:val="false"/>
          <w:smallCaps w:val="false"/>
          <w:sz w:val="20"/>
        </w:rPr>
        <w:t>das Kreditwesen</w:t>
      </w:r>
      <w:r>
        <w:rPr>
          <w:rFonts w:ascii="Times New Roman PS Std;serif" w:hAnsi="Times New Roman PS Std;serif"/>
          <w:b w:val="false"/>
          <w:i w:val="false"/>
          <w:caps w:val="false"/>
          <w:smallCaps w:val="false"/>
          <w:sz w:val="20"/>
        </w:rPr>
        <w:t>, “KWG”) or section 53b para. 1 sentence 1 or para. 7 KWG (financial institution) or by a syndicate of such credit or financial institutions, with the obligation to offer them for subscription to the shareholders of the Company. However, our management board is authorized, with the consent of our supervisory board, to exclude our shareholders’ subscription rights on one or more occasions,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the extent necessary to avoid fractional amounts;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event of a capital increase against contributions in kind, in particular in the context of business combinations or for the (also indirect) acquisition of companies, operations, parts of companies, equity interests or other assets or entitlements to the acquisition of assets, including claims against us or our group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 capital increase against cash contribution does not exceed 10% of the registered share capital (i) at the time this authorization becomes effective or (ii) if such amount is lower, at the time the authorization is exercised, provided that the issue price of the new shares is not significantly lower than the stock exchange price of the Company’s shares (as defined in Section 186 para. 3 sentence 4 of the German Stock Corporation Act); when exercising this authorization, the exclusion of subscription rights under other authorizations pursuant to Section 186 para. 3 sentence 4 of the German Stock Corporation Act in direct or analogous application has to be taken into account. The stock exchange price may also be determined by the price of the Company’s ADSs listed on the New York Stock Exchange or the Nasdaq multiplied by the number of ADSs represented by one ordinary share. If our shares are listed on the XETRA trading system (or a comparable successor system) of the Frankfurt Stock Exchange and, at the same time, ADSs representing the Company’s shares are listed on the New York Stock Exchange or the Nasdaq, we may choose which of the exchange prices shall be relevant within the meaning of Section 186 para. 3 sentence 4 of the German Stock Corporation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management board is authorized, with the consent of our supervisory board, to determine the further details of the capital increase and the terms and conditions of the issuance of shares; including the determination of the dividend entitlement of the new shares, which, in derogation of section 60 para. 2 German Stock Corporation Act, may also be determined for a financial year which has already expired if, at the time of the issuance of the new shares, a resolution by the general meeting on the appropriation of profits for this financial year has not yet been adopted. The supervisory board is authorized to amend section 4 of the articles of association after the full or partial implementation of the capital increase in accordance with the respective utilization of the authorized capital and after expiry of the authorization period.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Authorized Capital 2023/II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4 para. 13 of our articles of association, our management board is authorized, with the consent of our supervisory board, to increase our share capital in the period up to and including August 6, 2028 by up to €172,716.00 on one or more occasions by issuing up to 172,716 new no par value ordinary bearer or registered shares (</w:t>
      </w:r>
      <w:r>
        <w:rPr>
          <w:rFonts w:ascii="Times New Roman PS Std;serif" w:hAnsi="Times New Roman PS Std;serif"/>
          <w:b w:val="false"/>
          <w:i/>
          <w:caps w:val="false"/>
          <w:smallCaps w:val="false"/>
          <w:sz w:val="20"/>
        </w:rPr>
        <w:t>auf den Inhaber oder den Namen lautende Stückaktien</w:t>
      </w:r>
      <w:r>
        <w:rPr>
          <w:rFonts w:ascii="Times New Roman PS Std;serif" w:hAnsi="Times New Roman PS Std;serif"/>
          <w:b w:val="false"/>
          <w:i w:val="false"/>
          <w:caps w:val="false"/>
          <w:smallCaps w:val="false"/>
          <w:sz w:val="20"/>
        </w:rPr>
        <w:t>) against contribution in cash and/or in kind (“Authorized Capital 2023/II”).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shareholders’ subscription rights are excluded with respect to Authorized Capital 2023/II. The Authorized Capital 2023/II serves to deliver shares of ours to fulfill RSUs granted under our RSU program to be established (“Future RSU Program”) to selected employees of us and our affiliated companies in accordance with the Future RSU Program in return for the contribution of the respective payment claims arising under the RSUs. The issue price of the new shares may be paid in cash and/or in kind, in particular also by contributing claims against us under the Future RSU Program. Our management board is authorized, with the consent of our supervisory board, to determine the further details of the capital increase and its implementation; this also includes the determination of the dividend entitlement of the new shares, which, in deviation from section 60 para. 2 German Stock Corporation Act, may also be determined for a financial year that has already expired if, at the time of the issuance of the new shares, a resolution by the general meeting on the appropriation of profits for this financial year has not yet been adopted. Our management board is authorized, with the consent of our supervisory board, to determine the further details of the capital increase and the terms and conditions of the share issuance.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Conditional Capital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our articles of association provide for the following conditional capital: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Conditional Capital 2019</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4 para. 5 of our articles of association, our share capital is conditionally increased by up to €173,250.00 through the issuance of up to 173,250 new no par value ordinary bearer or registered shares (“Conditional Capital 2019”). The Conditional Capital 2019 serves exclusively for the issuance of shares upon the exercise of stock options under our stock option program established in 2019 (the “2019 Plan”). The new shares will be issued at the issue price to be determined in accordance with the 2019 Plan. The conditional capital increase will only be implemented (i) to the extent that the holders of stock options under the 2019 Plan exercise their option rights pursuant to the 2019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2019. The supervisory board is authorized to amend our articles of association accordingly after the respective utilization of the Conditional Capital 2019 and upon expiration of all option or conversion periods.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Conditional Capital 2020/I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4 para. 6 of our articles of association, our share capital is conditionally increased by up to €34,473.00 through the issuance of up to 34,473 new no par value ordinary bearer or registered shares (“Conditional Capital 2020/I”). The Conditional Capital 2020/I serves exclusively for the issuance of shares on the exercise of stock options under our additional stock option program established in 2020 (the “2020 Plan”). The new shares will be issued at the issue price to be determined in accordance with the 2020 Plan. The conditional capital increase will only be implemented (i) to the extent that the holders of stock options under the 2020 Plan exercise their option rights pursuant to the 2020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2020/I.</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Conditional Capital 2020/II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4 para. 7 of our articles of association, our share capital is conditionally increased by up to €1,179,679.00 through issuance of up to 1,179,679 new no par value ordinary bearer shares (“Conditional Capital 2020/II”). The Conditional Capital 2020/II serves for the issuance of shares upon the exercise of conversion or option rights associated with the fulfilment of conversion or option obligations to the holders of convertible bonds, options, profit rights and/or profit bonds (or respective combinations of these instruments) (together “Bonds”) issued on the basis of the authorizing resolution of the shareholders’ meeting of June 12, 2020. The new shares are issued on the basis of the conversion or option price to be determined in accordance with the authorizing resolution of the shareholders’ meeting of June 12, 2020. The conditional capital increase will only be implemented (i) to the extent that the holders or creditors of Bonds which are issued by the Company on the basis of the authorizing resolution of the shareholders’ meeting of June 12, 2020 until June 11, 2025, exercise their conversion or option rights to satisfy the conversion or option obligations under such Bonds, or (ii) to the extent the Company issues shares instead of paying the amount due as well as to the extent the conversion or option rights and their respective conversion or option obligations are not serviced by treasury shares but rather by shares from authorized capital or other consideration.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2020/II.</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Conditional Capital 2021/II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Pursuant to section 4 para. 10 of our articles of association, our share capital is conditionally increased by up to €103,321.00 through the issuance of up to 103,321 new no par value ordinary bearer or registered shares (“Conditional Capital 2021/II”). The Conditional Capital 2021/II serves exclusively for the issuance of shares upon the exercise of stock options by the members of our management board, as specified in our stock option program established in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 (the “2021 Plan”). The shares will be issued at the issue price set forth in the 2021 Plan. The conditional capital increase will only be implemented (i) to the extent that the holders of stock options under the 2021 Plan exercise their option rights pursuant to the 2021 Plan, and (ii) we, in our full discretion, do not choose to settle the claims with treasury shares or in cash. The new shares are entitled to dividends (if declared) from the beginning of the financial year in which they are issued.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Conditional Capital 2022/I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4 para. 9 of our articles of association, our share capital is conditionally increased by up to €917,501.00 by issuing up to 917,501 new no par value ordinary bearer or registered shares (“Conditional Capital 2022/I”). The Conditional Capital 2022/I serves to grant shares to the holders of convertible bonds or bonds with warrants issued by us or a domestic or foreign company dependent on us or in which we directly or indirectly hold a majority interest on the basis of the authorization of the annual general meeting on July 14, 2022, until and including July 13, 2027. The conditional capital increase will only be implemented (i) to the extent that holders of convertible bonds exercise their conversion or option rights or (ii) to fulfill conversion obligations under our bonds, and to the extent that no other forms of settlement are used. The new shares shall participate in our profits from the beginning of the financial year in which they are created. Our management board is authorized, with the consent of our supervisory board, to determine the further details of the implementation of the conditional capital increase.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Conditional Capital 2022/II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4 para. 11 of our articles of association, our capital is conditionally increased by up to €115,000.00 by issuing up to 115,000 new no par value ordinary bearer or registered shares (“Conditional Capital 2022/II”). The Conditional Capital 2022/II serves exclusively for the issuance of shares upon the exercise of stock options by the members of our management board granted on the basis of the authorization of the general meeting on July 14, 2022. The shares will be issued at the issue price specified in the authorization. The conditional capital increase will only be implemented to the extent that subscription rights are exercised and we do not grant treasury shares or a cash payment to fulfill the subscription rights. The new shares shall carry dividend rights from the beginning of the financial year for which, at the time the subscription right is exercised, no resolution has yet been passed by the general meeting on the appropriation of net retained profits. Our supervisory board is authorized to determine the further details of the conditional capital increase and its implementation.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Conditional Capital 2023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4 para. 14 of our articles of association, our capital is conditionally increased by up to €197,317.00 by issuing up to 197,317 new no par value ordinary bearer or registered shares (“Conditional Capital 2023”). The Conditional Capital 2023 serves exclusively for the issuance of shares upon the exercise of stock options by the members of our management board granted on the basis of the authorization of the general meeting on August 7, 2023. The shares will be issued at the issue price specified in the authorization. The conditional capital increase will only be implemented to the extent that subscription rights are exercised and we do not grant treasury shares or a cash payment to fulfill the subscription rights. The new shares shall carry dividend rights from the beginning of the financial year for which, at the time the subscription right is exercised, no resolution has yet been passed by the general meeting on the appropriation of net retained profits. Our supervisory board is authorized to determine the further details of the conditional capital increase and its implementation.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Subscription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 to the German Stock Corporation Act, every shareholder is generally entitled to subscription rights (commonly known as preemptive rights) with respect to any new shares issued within the framework of a capital increase, including convertible bonds, bonds with warrants, profit sharing rights or income bonds, in proportion to the number of shares the shareholder holds in the corporation’s existing share capital. Under German law, these rights do not apply to shares issued out of conditional capital. A minimum subscription period of two weeks must be provided for the exercise of such subscription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German law, the shareholders’ meeting may pass a resolution excluding subscription rights if at least three quarters of the share capital represented adopts the resolution. To exclude subscription rights, the management board must also make a report available to the shareholders justifying the exclusion and demonstrating that the company’s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 excluding the subscription rights outweighs the shareholders’ interest in having them. Such justification may be subject to judicial review. Accordingly, under German law, the exclusion of subscription rights upon the issuance of new shares is permitted, in particular, if we increase the share capital against cash contributions, if the amount of the capital increase does not exceed 10% of the existing share capital and the issue price of the new shares is not significantly lower than the market price of our shares (for this purpose, the market price may also be considered the market price of an ADS listed on the NYSE or the Nasdaq divided by the number of our shares or the fraction of one of our shares represented by an ADS, as the case may be). If our shares are listed on the XETRA trading system (or a comparable successor system) of the Frankfurt Stock Exchange and, at the same time, ADSs representing our shares are listed on the NYSE or the Nasdaq, we may choose which of the exchange prices shall be relevant for purposes of determining the market price. Other cases in which the exclusion of the shareholders’ subscription rights is generally deemed acceptable under German law are exclusions for the purpose of introducing shares of the Company on a foreign stock exchange, for the purpose of excluding fractional amounts resulting from the subscription ratio from the statutory subscription rights of the shareholders, for the purpose of fulfilling claims of beneficiaries of option programs or in the case of increases of share capital against contributions in kind, such as for the acquisition of companies or other assets.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Certification and Transferability of the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form and content of our global share certificates, any dividend certificates, renewal certificates and interest coupons are determined by our management board with the approval of our supervisory board. A shareholder’s right to certification of its shares is excluded, to the extent permitted by law and to the extent that certification is not required by the stock exchange on which the shares are admitted to trading. We have issued global share certificates that represent multiple or all of our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Pursuant to the cross-sectoral examination in Section 55 </w:t>
      </w:r>
      <w:r>
        <w:rPr>
          <w:rFonts w:ascii="Times New Roman PS Std;serif" w:hAnsi="Times New Roman PS Std;serif"/>
          <w:b w:val="false"/>
          <w:i/>
          <w:caps w:val="false"/>
          <w:smallCaps w:val="false"/>
          <w:sz w:val="20"/>
        </w:rPr>
        <w:t>et seq</w:t>
      </w:r>
      <w:r>
        <w:rPr>
          <w:rFonts w:ascii="Times New Roman PS Std;serif" w:hAnsi="Times New Roman PS Std;serif"/>
          <w:b w:val="false"/>
          <w:i w:val="false"/>
          <w:caps w:val="false"/>
          <w:smallCaps w:val="false"/>
          <w:sz w:val="20"/>
        </w:rPr>
        <w:t>. of the German Foreign Trade and Payments Ordinance (</w:t>
      </w:r>
      <w:r>
        <w:rPr>
          <w:rFonts w:ascii="Times New Roman PS Std;serif" w:hAnsi="Times New Roman PS Std;serif"/>
          <w:b w:val="false"/>
          <w:i/>
          <w:caps w:val="false"/>
          <w:smallCaps w:val="false"/>
          <w:sz w:val="20"/>
        </w:rPr>
        <w:t>Außenwirtschaftsverordnung</w:t>
      </w:r>
      <w:r>
        <w:rPr>
          <w:rFonts w:ascii="Times New Roman PS Std;serif" w:hAnsi="Times New Roman PS Std;serif"/>
          <w:b w:val="false"/>
          <w:i w:val="false"/>
          <w:caps w:val="false"/>
          <w:smallCaps w:val="false"/>
          <w:sz w:val="20"/>
        </w:rPr>
        <w:t>, “AWV”), the Federal Ministry for Economic Affairs and Climate Action (</w:t>
      </w:r>
      <w:r>
        <w:rPr>
          <w:rFonts w:ascii="Times New Roman PS Std;serif" w:hAnsi="Times New Roman PS Std;serif"/>
          <w:b w:val="false"/>
          <w:i/>
          <w:caps w:val="false"/>
          <w:smallCaps w:val="false"/>
          <w:sz w:val="20"/>
        </w:rPr>
        <w:t>Bundesministerium</w:t>
      </w:r>
      <w:r>
        <w:rPr>
          <w:rFonts w:ascii="Times New Roman PS Std;serif" w:hAnsi="Times New Roman PS Std;serif"/>
          <w:b w:val="false"/>
          <w:i w:val="false"/>
          <w:caps w:val="false"/>
          <w:smallCaps w:val="false"/>
          <w:sz w:val="20"/>
        </w:rPr>
        <w:t xml:space="preserve"> für </w:t>
      </w:r>
      <w:r>
        <w:rPr>
          <w:rFonts w:ascii="Times New Roman PS Std;serif" w:hAnsi="Times New Roman PS Std;serif"/>
          <w:b w:val="false"/>
          <w:i/>
          <w:caps w:val="false"/>
          <w:smallCaps w:val="false"/>
          <w:sz w:val="20"/>
        </w:rPr>
        <w:t>Wirtschaft und Klimaschutz</w:t>
      </w:r>
      <w:r>
        <w:rPr>
          <w:rFonts w:ascii="Times New Roman PS Std;serif" w:hAnsi="Times New Roman PS Std;serif"/>
          <w:b w:val="false"/>
          <w:i w:val="false"/>
          <w:caps w:val="false"/>
          <w:smallCaps w:val="false"/>
          <w:sz w:val="20"/>
        </w:rPr>
        <w:t>, “BMWK”) may prohibit or restrict the acquisition of our shares or ADSs by a foreign acquirer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an investor that is resident or based outside the European Union (</w:t>
      </w:r>
      <w:r>
        <w:rPr>
          <w:rFonts w:ascii="Times New Roman PS Std;serif" w:hAnsi="Times New Roman PS Std;serif"/>
          <w:b w:val="false"/>
          <w:i/>
          <w:caps w:val="false"/>
          <w:smallCaps w:val="false"/>
          <w:sz w:val="20"/>
        </w:rPr>
        <w:t>Unionsfremder</w:t>
      </w:r>
      <w:r>
        <w:rPr>
          <w:rFonts w:ascii="Times New Roman PS Std;serif" w:hAnsi="Times New Roman PS Std;serif"/>
          <w:b w:val="false"/>
          <w:i w:val="false"/>
          <w:caps w:val="false"/>
          <w:smallCaps w:val="false"/>
          <w:sz w:val="20"/>
        </w:rPr>
        <w:t xml:space="preserve">)) if it endangers the public order or the security of Germany. According to an amendment to the AWV (the “AWV Amendment”), which came into force on May 1, 2021, statutory notification requirements apply, </w:t>
      </w:r>
      <w:r>
        <w:rPr>
          <w:rFonts w:ascii="Times New Roman PS Std;serif" w:hAnsi="Times New Roman PS Std;serif"/>
          <w:b w:val="false"/>
          <w:i/>
          <w:caps w:val="false"/>
          <w:smallCaps w:val="false"/>
          <w:sz w:val="20"/>
        </w:rPr>
        <w:t>inter alia</w:t>
      </w:r>
      <w:r>
        <w:rPr>
          <w:rFonts w:ascii="Times New Roman PS Std;serif" w:hAnsi="Times New Roman PS Std;serif"/>
          <w:b w:val="false"/>
          <w:i w:val="false"/>
          <w:caps w:val="false"/>
          <w:smallCaps w:val="false"/>
          <w:sz w:val="20"/>
        </w:rPr>
        <w:t>, to any acquisition by a foreign acquirer of 20% or more of the voting rights of a company that develops or manufactures, among other things, goods intended for use in space or for use in space infrastructure systems as well as goods specifically required for the operation of laser communication networks, including the Company. If grounds for an objection exist, the BMWK may prohibit the acquirer from making such an acquisition within two months of the receipt of the approval request in writing or issue instructions in order to ensure the public order or security in Germany.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shares are freely transferable under German law (subject to the AWV Amendment), with the transfer of ownership governed by the rules of the relevant clearing system.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articles of association do not include any provisions that would have a direct effect of delaying, deferring or preventing a change of control. However, in the event of a hostile takeover attempt, we could use our authorized capital to increase our share capital to issue new shares to an investor at a premium. See “— </w:t>
      </w:r>
      <w:r>
        <w:rPr>
          <w:rFonts w:ascii="Times New Roman PS Std;serif" w:hAnsi="Times New Roman PS Std;serif"/>
          <w:b w:val="false"/>
          <w:i/>
          <w:caps w:val="false"/>
          <w:smallCaps w:val="false"/>
          <w:sz w:val="20"/>
        </w:rPr>
        <w:t>Authorized Capital</w:t>
      </w:r>
      <w:r>
        <w:rPr>
          <w:rFonts w:ascii="Times New Roman PS Std;serif" w:hAnsi="Times New Roman PS Std;serif"/>
          <w:b w:val="false"/>
          <w:i w:val="false"/>
          <w:caps w:val="false"/>
          <w:smallCaps w:val="false"/>
          <w:sz w:val="20"/>
        </w:rPr>
        <w:t>.” An increase in the number of shares outstanding could have a negative effect on a party’s ability to carry out a hostile takeover.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Meetings, Resolutions and Voting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our articles of association, shareholders’ meetings may be held at our registered seat, at the seat of a German stock exchange, in a German city with a population of more than 500,000, or without physical presence of the shareholders or their proxies at the location of the general meeting (so-called virtual general meeting) pursuant to section 16 para. 10 of our articles of association. In addition, pursuant to section 16 para. 8 of our articles of association, our management board is authorized to provide that shareholders may also participate in a (physical) general meeting without being present at its location and without a representative and exercise all or some of their rights in whole or in part by means of electronic communication (so-called online participation).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shareholders’ meetings are convened by our management board. Separately, the supervisory board is required to convene a shareholders’ meeting in cases where this is required as a matter of statutory law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xml:space="preserve">, if calling the meeting is in the best interest of our Company). In addition, shareholders who, individually or as a group,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own at least 5% of our share capital may request that our management board convene a shareholders’ meeting. If our management board does not convene a shareholders’ meeting upon such a request, the shareholders may petition in German court for authorization to convene a shareholders’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our articles of association, the convening notice for a shareholders’ meeting must be made public at least 36 days prior to the meeting. Shareholders who, individually or as a group, own at least 5% or €500,000 of our share capital may require that modified or additional items be added to the agenda of the shareholders’ meeting and that these items be published prior to the shareholders’ meeting. For each new item, the requesting shareholders shall either provide an explanation of the requested change or submit a specific voting proposal (</w:t>
      </w:r>
      <w:r>
        <w:rPr>
          <w:rFonts w:ascii="Times New Roman PS Std;serif" w:hAnsi="Times New Roman PS Std;serif"/>
          <w:b w:val="false"/>
          <w:i/>
          <w:caps w:val="false"/>
          <w:smallCaps w:val="false"/>
          <w:sz w:val="20"/>
        </w:rPr>
        <w:t>Beschlussvorlage</w:t>
      </w:r>
      <w:r>
        <w:rPr>
          <w:rFonts w:ascii="Times New Roman PS Std;serif" w:hAnsi="Times New Roman PS Std;serif"/>
          <w:b w:val="false"/>
          <w:i w:val="false"/>
          <w:caps w:val="false"/>
          <w:smallCaps w:val="false"/>
          <w:sz w:val="20"/>
        </w:rPr>
        <w:t>) with respect to such new item. Any request for an amendment of the agenda of the shareholders’ meeting must be received, for periods in which we are not admitted to trading on a regulated market but only on a multilateral trading facility, by us within 24 days prior to the shareholders’ meeting. The Company must publish any requests for the amendment of the agenda of the shareholders’ meeting immediately.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German law, our annual general shareholders’ meeting must take place within the first eight months of each financial year. Among other things, the general shareholders’ meeting is required to decide on the following issues: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use of our annual net profit determined in accordance with German generally accepted accounting principles;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discharge or ratification of the actions taken by the members of our management board and our supervisory board;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approval of our statutory auditors;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increases or decreases in our share capital;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election of supervisory board members;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the extent legally required, the approval of our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ordinary share grants one vote in a shareholders’ meeting. Voting rights may be exercised by authorized proxies, which may be appointed by the Company (</w:t>
      </w:r>
      <w:r>
        <w:rPr>
          <w:rFonts w:ascii="Times New Roman PS Std;serif" w:hAnsi="Times New Roman PS Std;serif"/>
          <w:b w:val="false"/>
          <w:i/>
          <w:caps w:val="false"/>
          <w:smallCaps w:val="false"/>
          <w:sz w:val="20"/>
        </w:rPr>
        <w:t>Stimmrechtsvertreter</w:t>
      </w:r>
      <w:r>
        <w:rPr>
          <w:rFonts w:ascii="Times New Roman PS Std;serif" w:hAnsi="Times New Roman PS Std;serif"/>
          <w:b w:val="false"/>
          <w:i w:val="false"/>
          <w:caps w:val="false"/>
          <w:smallCaps w:val="false"/>
          <w:sz w:val="20"/>
        </w:rPr>
        <w:t>). The granting of a power of attorney must be made in text form. Generally, the shareholder or an authorized proxy must be present at the shareholders’ meeting to cast a vote. However, pursuant to section 16 para. 9 of our articles of association, our management board is authorized to provide that shareholders may also cast their votes without attending the meeting, in writing or by way of electronic communication (so-called postal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articles of association provide in Section 18 that the resolutions of the shareholders’ meeting are adopted by a simple majority of the votes cast. To the extent required by law, certain resolutions may need to be approved by a simple or a qualified majority of share capital represented at the shareholders’ meeting, in addition to the majority of votes cast.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German law nor our articles of association provide for a minimum participation requirement to form a quorum at our shareholders’ meetings.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German law, certain resolutions of fundamental importance require the vote of at least three quarters of the share capital present or represented in the voting at the time of adoption of the resolution. Resolutions of fundamental importance include, in particular, capital increases with exclusion of subscription rights, capital decreases, the creation of authorized or conditional share capital, the dissolution of a company, a merger into or with another company, split-offs and split-ups, the conclusion of inter-company agreements (</w:t>
      </w:r>
      <w:r>
        <w:rPr>
          <w:rFonts w:ascii="Times New Roman PS Std;serif" w:hAnsi="Times New Roman PS Std;serif"/>
          <w:b w:val="false"/>
          <w:i/>
          <w:caps w:val="false"/>
          <w:smallCaps w:val="false"/>
          <w:sz w:val="20"/>
        </w:rPr>
        <w:t>Unternehmensverträge</w:t>
      </w:r>
      <w:r>
        <w:rPr>
          <w:rFonts w:ascii="Times New Roman PS Std;serif" w:hAnsi="Times New Roman PS Std;serif"/>
          <w:b w:val="false"/>
          <w:i w:val="false"/>
          <w:caps w:val="false"/>
          <w:smallCaps w:val="false"/>
          <w:sz w:val="20"/>
        </w:rPr>
        <w:t>), as defined in the German Stock Corporation Act (in particular domination agreements (</w:t>
      </w:r>
      <w:r>
        <w:rPr>
          <w:rFonts w:ascii="Times New Roman PS Std;serif" w:hAnsi="Times New Roman PS Std;serif"/>
          <w:b w:val="false"/>
          <w:i/>
          <w:caps w:val="false"/>
          <w:smallCaps w:val="false"/>
          <w:sz w:val="20"/>
        </w:rPr>
        <w:t>Beherrschungsverträge</w:t>
      </w:r>
      <w:r>
        <w:rPr>
          <w:rFonts w:ascii="Times New Roman PS Std;serif" w:hAnsi="Times New Roman PS Std;serif"/>
          <w:b w:val="false"/>
          <w:i w:val="false"/>
          <w:caps w:val="false"/>
          <w:smallCaps w:val="false"/>
          <w:sz w:val="20"/>
        </w:rPr>
        <w:t>), and profit and loss transfer agreements (</w:t>
      </w:r>
      <w:r>
        <w:rPr>
          <w:rFonts w:ascii="Times New Roman PS Std;serif" w:hAnsi="Times New Roman PS Std;serif"/>
          <w:b w:val="false"/>
          <w:i/>
          <w:caps w:val="false"/>
          <w:smallCaps w:val="false"/>
          <w:sz w:val="20"/>
        </w:rPr>
        <w:t>Ergebnisabführungsverträge</w:t>
      </w:r>
      <w:r>
        <w:rPr>
          <w:rFonts w:ascii="Times New Roman PS Std;serif" w:hAnsi="Times New Roman PS Std;serif"/>
          <w:b w:val="false"/>
          <w:i w:val="false"/>
          <w:caps w:val="false"/>
          <w:smallCaps w:val="false"/>
          <w:sz w:val="20"/>
        </w:rPr>
        <w:t>)), and a change of the legal form of a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Dividends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German law, distributions of dividends on shares for a given financial year are generally determined by a process in which the management board and supervisory board submit a proposal to the annual general shareholders’ meeting held in the subsequent financial year and such general shareholders’ meeting adopts a resolution.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German law provides that a resolution concerning dividends and distribution thereof may be adopted only if the company’s unconsolidated annual financial statements prepared in accordance with German GAAP show a net profit. In determining the profit available for distribution, the result for the relevant year must be adjusted for profits and losses brought forward from the previous year and for withdrawals from or transfers to reserves. Certain reserves are required by law and must be deducted when calculating the profit available for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participate in profit distributions in proportion to the number of shares they hold. Dividends on shares resolved by the general shareholders’ meeting are paid annually, shortly after the general shareholders’ meeting, in accordance with the German Stock Corporation Act and the rules of the respective clearing system. Dividend payment claims are subject to a three-year statute of limitation.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never declared or paid any dividends to our shareholders and, as of the date of this prospectus, have no intention to declare or pay any dividends in the foreseeable future.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Liquidation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Apart from liquidation as a result of insolvency proceedings, we may be liquidated only with a vote of the holders of at least three-quarters of the share capital represented at the shareholders’ meeting at which such a vote is taken. If we are liquidated, any assets remaining after all of our liabilities have been paid off would be distributed among our shareholders in proportion to their holdings in accordance with German statutory law. The German Stock Corporation Act provides certain protections for creditors which must be observed in the event of liquidation.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Authorization to Acquire Our Own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not acquire our own shares unless authorized by the shareholders’ meeting or in other very limited circumstances as set out in the German Stock Corporation Act. Shareholders may not grant a share repurchase authorization lasting for more than five years. The German Stock Corporation Act generally limits repurchases to 10% of our share capital and resales must generally be made either on a stock exchange, in a manner that treats all shareholders equally, or in accordance with the rules that apply to subscription rights relating to a capital increase.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management board is authorized until and including July 13, 2027, with the consent of our supervisory board, to acquire treasury shares of ours up to a total of 10% of our share capital at the time the resolution was adopted by the annual general meeting or — if this value is lower — of our share capital at the time the authorization is exercised. The shares acquired on the basis of this authorization, together with other treasury shares held by us or attributable to us in accordance with sections 71d and 71e German Stock Corporation Act, may at no time account for more than 10% of our share capital. This authorization may also be exercised by a group company or by third parties for our account or the account of a group company. The authorization may be exercised for all legally permissible purposes, in particular in pursuit of one or more of the purposes set out below. Trading in treasury shares may not take place. The authorization may be exercised in whole or in part, in the latter case also on several occasions. The shares may be acquired within the authorization period up to the maximum acquisition volume in partial tranches spread over different acquisition 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management board is authorized, with the approval of our supervisory board, to use the treasury shares acquired on the basis of the above acquisition authorization for all legally permissible purposes. In addition to a sale on the stock exchange or by means of an offer to all shareholders, in each case in compliance with the principle of equal treatment (section 53a German Stock Corporation Act), our management board is authorized, with the consent of our supervisory board, to use the treasury shares acquired on the basis of the above acquisition authorization also in the following manner: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They may be offered for acquisition to and/or transferred to third parties against contributions in kind, in particular in connection with business combinations or the acquisition of companies, businesses, parts of businesses or equity interests in companies (including increases in existing shareholdings) as (partial) consideration.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They may be sold to third parties against payment in cash at a price (excluding incidental costs of realization) which is not significantly lower than the stock market price of a share of ours at the time of sale within the meaning of section 186 para. 3 sentence 4 German Stock Corporation Act.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They may be used to service purchase obligations or purchase rights to shares of ours arising from and in connection with convertible bonds or bonds with warrants or profit participation rights with conversion or option rights or conversion or option obligations issued by us or one of our group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They may be granted to employees of us or of a company affiliated with us within the meaning of sections 15 et seq. German Stock Corporation Act as well as members of our management or of a company affiliated with us within the meaning of sections 15 et seq. German Stock Corporation Act and/or be used to fulfill commitments to purchase or obligations to purchase shares of ours which are held by employees of ours or of a company affiliated with us within the meaning of sections 15 et seq. German Stock Corporation Act as well as members of our management or of a company affiliated with us within the meaning of sections 15 et seq. German Stock Corporation Act. In particular, they may also be used to service purchase obligations or purchase rights to shares of ours entered into with employees or members of our management or of an enterprise affiliated with us within the meaning of sections 15 et seq. German Stock Corporation Act within the framework of employee stock option programs. Insofar as members of our management board are beneficiaries, this authorization applies to the supervisory board, which is also responsible for selecting the beneficiaries and determining the volume of shares to be granted to them in each case.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They may be redeemed and our share capital reduced by the portion of the share capital attributable to the retired shares without the redemption or its implementation requiring a further resolution by the general meeting. The redemption shall result in a capital reduction. In derogation of the foregoing, our management board may determine that the share capital shall remain unchanged upon redemption and that instead the redemption shall increase the proportion of the share capital represented by the remaining shares in accordance with section 8 para.3 German Stock Corporation Act. In this case, our management board is authorized to adjust the number of non-par value shares in the articles of association.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legally permissible, the above authorization also includes ADSs.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Squeeze-Out of Minority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German law, the shareholders’ meeting of a stock corporation may resolve upon request of a shareholder that holds at least 95% of the share capital that the shares held by any remaining minority shareholders be transferred to this shareholder against payment of “adequate cash compensation” (</w:t>
      </w:r>
      <w:r>
        <w:rPr>
          <w:rFonts w:ascii="Times New Roman PS Std;serif" w:hAnsi="Times New Roman PS Std;serif"/>
          <w:b w:val="false"/>
          <w:i/>
          <w:caps w:val="false"/>
          <w:smallCaps w:val="false"/>
          <w:sz w:val="20"/>
        </w:rPr>
        <w:t>Ausschluss von Minderheitsaktionären</w:t>
      </w:r>
      <w:r>
        <w:rPr>
          <w:rFonts w:ascii="Times New Roman PS Std;serif" w:hAnsi="Times New Roman PS Std;serif"/>
          <w:b w:val="false"/>
          <w:i w:val="false"/>
          <w:caps w:val="false"/>
          <w:smallCaps w:val="false"/>
          <w:sz w:val="20"/>
        </w:rPr>
        <w:t>). This amount must take into account the full value of the company at the time of the resolution, which is generally determined using the future earnings value method (</w:t>
      </w:r>
      <w:r>
        <w:rPr>
          <w:rFonts w:ascii="Times New Roman PS Std;serif" w:hAnsi="Times New Roman PS Std;serif"/>
          <w:b w:val="false"/>
          <w:i/>
          <w:caps w:val="false"/>
          <w:smallCaps w:val="false"/>
          <w:sz w:val="20"/>
        </w:rPr>
        <w:t>Ertragswertmethode</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squeeze-out in the context of a merger (</w:t>
      </w:r>
      <w:r>
        <w:rPr>
          <w:rFonts w:ascii="Times New Roman PS Std;serif" w:hAnsi="Times New Roman PS Std;serif"/>
          <w:b w:val="false"/>
          <w:i/>
          <w:caps w:val="false"/>
          <w:smallCaps w:val="false"/>
          <w:sz w:val="20"/>
        </w:rPr>
        <w:t>umwandlungsrechtlicher Squeeze-Out</w:t>
      </w:r>
      <w:r>
        <w:rPr>
          <w:rFonts w:ascii="Times New Roman PS Std;serif" w:hAnsi="Times New Roman PS Std;serif"/>
          <w:b w:val="false"/>
          <w:i w:val="false"/>
          <w:caps w:val="false"/>
          <w:smallCaps w:val="false"/>
          <w:sz w:val="20"/>
        </w:rPr>
        <w:t>) only requires a majority shareholder to hold at least 90% of the share capital.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 Notification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provisions of the German Stock Corporation Act (</w:t>
      </w:r>
      <w:r>
        <w:rPr>
          <w:rFonts w:ascii="Times New Roman PS Std;serif" w:hAnsi="Times New Roman PS Std;serif"/>
          <w:b w:val="false"/>
          <w:i/>
          <w:caps w:val="false"/>
          <w:smallCaps w:val="false"/>
          <w:sz w:val="20"/>
        </w:rPr>
        <w:t>Aktiengesetz</w:t>
      </w:r>
      <w:r>
        <w:rPr>
          <w:rFonts w:ascii="Times New Roman PS Std;serif" w:hAnsi="Times New Roman PS Std;serif"/>
          <w:b w:val="false"/>
          <w:i w:val="false"/>
          <w:caps w:val="false"/>
          <w:smallCaps w:val="false"/>
          <w:sz w:val="20"/>
        </w:rPr>
        <w:t>), an enterprise has to inform a stock corporation (</w:t>
      </w:r>
      <w:r>
        <w:rPr>
          <w:rFonts w:ascii="Times New Roman PS Std;serif" w:hAnsi="Times New Roman PS Std;serif"/>
          <w:b w:val="false"/>
          <w:i/>
          <w:caps w:val="false"/>
          <w:smallCaps w:val="false"/>
          <w:sz w:val="20"/>
        </w:rPr>
        <w:t>Aktiengesellschaft</w:t>
      </w:r>
      <w:r>
        <w:rPr>
          <w:rFonts w:ascii="Times New Roman PS Std;serif" w:hAnsi="Times New Roman PS Std;serif"/>
          <w:b w:val="false"/>
          <w:i w:val="false"/>
          <w:caps w:val="false"/>
          <w:smallCaps w:val="false"/>
          <w:sz w:val="20"/>
        </w:rPr>
        <w:t>) without undue delay and in writing when its shares held in the share capital exceed or fall below 25% and/or 50%, respectively, in the capital or voting rights. Following receipt of the written notification, the corporation has to publish this information immediately in the relevant publication media.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Differences in Corporate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applicable provisions of the German Stock Corporation Act (</w:t>
      </w:r>
      <w:r>
        <w:rPr>
          <w:rFonts w:ascii="Times New Roman PS Std;serif" w:hAnsi="Times New Roman PS Std;serif"/>
          <w:b w:val="false"/>
          <w:i/>
          <w:caps w:val="false"/>
          <w:smallCaps w:val="false"/>
          <w:sz w:val="20"/>
        </w:rPr>
        <w:t>Aktiengesetz</w:t>
      </w:r>
      <w:r>
        <w:rPr>
          <w:rFonts w:ascii="Times New Roman PS Std;serif" w:hAnsi="Times New Roman PS Std;serif"/>
          <w:b w:val="false"/>
          <w:i w:val="false"/>
          <w:caps w:val="false"/>
          <w:smallCaps w:val="false"/>
          <w:sz w:val="20"/>
        </w:rPr>
        <w:t>) differ from laws applicable to U.S. corporations and their shareholders. Set forth below is a summary of certain differences between the provisions of the German Stock Corporation Act (</w:t>
      </w:r>
      <w:r>
        <w:rPr>
          <w:rFonts w:ascii="Times New Roman PS Std;serif" w:hAnsi="Times New Roman PS Std;serif"/>
          <w:b w:val="false"/>
          <w:i/>
          <w:caps w:val="false"/>
          <w:smallCaps w:val="false"/>
          <w:sz w:val="20"/>
        </w:rPr>
        <w:t>Aktiengesetz</w:t>
      </w:r>
      <w:r>
        <w:rPr>
          <w:rFonts w:ascii="Times New Roman PS Std;serif" w:hAnsi="Times New Roman PS Std;serif"/>
          <w:b w:val="false"/>
          <w:i w:val="false"/>
          <w:caps w:val="false"/>
          <w:smallCaps w:val="false"/>
          <w:sz w:val="20"/>
        </w:rPr>
        <w:t>) applicable to us and the Delaware General Corporation Law relating to shareholders’ rights and protections.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090"/>
        <w:gridCol w:w="146"/>
        <w:gridCol w:w="6505"/>
        <w:gridCol w:w="146"/>
        <w:gridCol w:w="2318"/>
      </w:tblGrid>
      <w:tr>
        <w:trPr/>
        <w:tc>
          <w:tcPr>
            <w:tcW w:w="109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50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Germany</w:t>
            </w:r>
          </w:p>
        </w:tc>
        <w:tc>
          <w:tcPr>
            <w:tcW w:w="146" w:type="dxa"/>
            <w:tcBorders/>
            <w:vAlign w:val="bottom"/>
          </w:tcPr>
          <w:p>
            <w:pPr>
              <w:pStyle w:val="TableContents"/>
              <w:bidi w:val="0"/>
              <w:spacing w:before="0" w:after="283"/>
              <w:jc w:val="left"/>
              <w:rPr/>
            </w:pPr>
            <w:r>
              <w:rPr/>
              <w:t> </w:t>
            </w:r>
          </w:p>
        </w:tc>
        <w:tc>
          <w:tcPr>
            <w:tcW w:w="231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Delaware</w:t>
            </w:r>
          </w:p>
        </w:tc>
      </w:tr>
      <w:tr>
        <w:trPr/>
        <w:tc>
          <w:tcPr>
            <w:tcW w:w="1090"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System</w:t>
            </w:r>
          </w:p>
        </w:tc>
        <w:tc>
          <w:tcPr>
            <w:tcW w:w="146" w:type="dxa"/>
            <w:tcBorders/>
          </w:tcPr>
          <w:p>
            <w:pPr>
              <w:pStyle w:val="TableContents"/>
              <w:bidi w:val="0"/>
              <w:spacing w:before="0" w:after="283"/>
              <w:jc w:val="left"/>
              <w:rPr/>
            </w:pPr>
            <w:r>
              <w:rPr/>
              <w:t> </w:t>
            </w:r>
          </w:p>
        </w:tc>
        <w:tc>
          <w:tcPr>
            <w:tcW w:w="6505" w:type="dxa"/>
            <w:tcBorders/>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German law, a stock corporation has a two-tier board structure composed of the management board (</w:t>
            </w:r>
            <w:r>
              <w:rPr>
                <w:rFonts w:ascii="Times New Roman PS Std;serif" w:hAnsi="Times New Roman PS Std;serif"/>
                <w:b w:val="false"/>
                <w:i/>
                <w:caps w:val="false"/>
                <w:smallCaps w:val="false"/>
                <w:sz w:val="20"/>
              </w:rPr>
              <w:t>Vorstand</w:t>
            </w:r>
            <w:r>
              <w:rPr>
                <w:rFonts w:ascii="Times New Roman PS Std;serif" w:hAnsi="Times New Roman PS Std;serif"/>
                <w:b w:val="false"/>
                <w:i w:val="false"/>
                <w:caps w:val="false"/>
                <w:smallCaps w:val="false"/>
                <w:sz w:val="20"/>
              </w:rPr>
              <w:t>) and the supervisory board (</w:t>
            </w:r>
            <w:r>
              <w:rPr>
                <w:rFonts w:ascii="Times New Roman PS Std;serif" w:hAnsi="Times New Roman PS Std;serif"/>
                <w:b w:val="false"/>
                <w:i/>
                <w:caps w:val="false"/>
                <w:smallCaps w:val="false"/>
                <w:sz w:val="20"/>
              </w:rPr>
              <w:t>Aufsichtsrat</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management board is responsible for running the company’s day-to-day business and affairs and representing the company in dealings with third parties.</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supervisory board has a control and supervisory function. The supervisory board does not actively manage the company but certain management board actions require the approval of the supervisory board.</w:t>
            </w:r>
          </w:p>
        </w:tc>
        <w:tc>
          <w:tcPr>
            <w:tcW w:w="146" w:type="dxa"/>
            <w:tcBorders/>
          </w:tcPr>
          <w:p>
            <w:pPr>
              <w:pStyle w:val="TableContents"/>
              <w:bidi w:val="0"/>
              <w:spacing w:before="0" w:after="283"/>
              <w:jc w:val="left"/>
              <w:rPr/>
            </w:pPr>
            <w:r>
              <w:rPr/>
              <w:t> </w:t>
            </w:r>
          </w:p>
        </w:tc>
        <w:tc>
          <w:tcPr>
            <w:tcW w:w="2318" w:type="dxa"/>
            <w:tcBorders/>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a corporation has a unitary board structure and it is the responsibility of the board of directors to appoint and oversee the management of the corporation on behalf of and in the best interests of the shareholders of the corporation.</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is responsible for running the corporation and overseeing its day-to-day operations.</w:t>
            </w:r>
          </w:p>
        </w:tc>
      </w:tr>
      <w:tr>
        <w:trPr/>
        <w:tc>
          <w:tcPr>
            <w:tcW w:w="1090"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Number of Board Members/</w:t>
              <w:br/>
              <w:t>Directors</w:t>
            </w:r>
          </w:p>
        </w:tc>
        <w:tc>
          <w:tcPr>
            <w:tcW w:w="146" w:type="dxa"/>
            <w:tcBorders/>
          </w:tcPr>
          <w:p>
            <w:pPr>
              <w:pStyle w:val="TableContents"/>
              <w:bidi w:val="0"/>
              <w:spacing w:before="0" w:after="283"/>
              <w:jc w:val="left"/>
              <w:rPr/>
            </w:pPr>
            <w:r>
              <w:rPr/>
              <w:t> </w:t>
            </w:r>
          </w:p>
        </w:tc>
        <w:tc>
          <w:tcPr>
            <w:tcW w:w="650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German law, the management board of a stock corporation must have at least one member, and the number of members shall be determined in the manner provided in the company’s articles of association.</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supervisory board of a stock corporation must have at least three but — depending on the share capital — no more than 21 members, whereby the number of supervisory board members must be divisible by three if this is necessary for the fulfilment of employee co-determination requirements. The articles of association of the company must specify if the supervisory board has more than three members.</w:t>
            </w:r>
          </w:p>
        </w:tc>
        <w:tc>
          <w:tcPr>
            <w:tcW w:w="146" w:type="dxa"/>
            <w:tcBorders/>
          </w:tcPr>
          <w:p>
            <w:pPr>
              <w:pStyle w:val="TableContents"/>
              <w:bidi w:val="0"/>
              <w:spacing w:before="0" w:after="283"/>
              <w:jc w:val="left"/>
              <w:rPr/>
            </w:pPr>
            <w:r>
              <w:rPr/>
              <w:t> </w:t>
            </w:r>
          </w:p>
        </w:tc>
        <w:tc>
          <w:tcPr>
            <w:tcW w:w="231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a corporation must have at least one director and the number of directors shall be fixed by or in the manner provided in the bylaws, unless the certificate of incorporation otherwise fixes the number of directors.</w:t>
            </w:r>
          </w:p>
        </w:tc>
      </w:tr>
      <w:tr>
        <w:trPr/>
        <w:tc>
          <w:tcPr>
            <w:tcW w:w="1090"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50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Supervisory board members are either appointed by the shareholders’ meeting or determined by one or more individual shareholders based on a delegation right for such shareholders provided for in the company’s articles of association.</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Depending on the number of employees of the company, the supervisory board may be required to include employee representatives subject to the provisions of the German One-Third Employee Participation Act, (</w:t>
            </w:r>
            <w:r>
              <w:rPr>
                <w:rFonts w:ascii="Times New Roman PS Std;serif" w:hAnsi="Times New Roman PS Std;serif"/>
                <w:b w:val="false"/>
                <w:i/>
                <w:caps w:val="false"/>
                <w:smallCaps w:val="false"/>
                <w:sz w:val="20"/>
              </w:rPr>
              <w:t>Drittelbeteiligungsgesetz</w:t>
            </w:r>
            <w:r>
              <w:rPr>
                <w:rFonts w:ascii="Times New Roman PS Std;serif" w:hAnsi="Times New Roman PS Std;serif"/>
                <w:b w:val="false"/>
                <w:i w:val="false"/>
                <w:caps w:val="false"/>
                <w:smallCaps w:val="false"/>
                <w:sz w:val="20"/>
              </w:rPr>
              <w:t>), which applies to companies that have at least 500 employees in Germany, or the German Co-Determination Act (</w:t>
            </w:r>
            <w:r>
              <w:rPr>
                <w:rFonts w:ascii="Times New Roman PS Std;serif" w:hAnsi="Times New Roman PS Std;serif"/>
                <w:b w:val="false"/>
                <w:i/>
                <w:caps w:val="false"/>
                <w:smallCaps w:val="false"/>
                <w:sz w:val="20"/>
              </w:rPr>
              <w:t>Mitbestimmungsgesetz</w:t>
            </w:r>
            <w:r>
              <w:rPr>
                <w:rFonts w:ascii="Times New Roman PS Std;serif" w:hAnsi="Times New Roman PS Std;serif"/>
                <w:b w:val="false"/>
                <w:i w:val="false"/>
                <w:caps w:val="false"/>
                <w:smallCaps w:val="false"/>
                <w:sz w:val="20"/>
              </w:rPr>
              <w:t>), which applies to companies that have at least 2,000 employees in Germany. Such rules result in different appointment rules for supervisory board members: In companies which are subject to the German One-Third Employee Participation Act, two-thirds of supervisory board members are representatives of the shareholders, while one-third are representatives of the employees. In companies which are subject to the German Co-Determination Act, half of the supervisory board members are representatives of the shareholders and the other half are representatives of the employees. In the event of a tie, the Chairperson has the tie-breaking vote. The employee representatives in the supervisory board are elected by the employees following certain procedures set forth in applicable law.</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 supervisory board of German stock corporations that are both listed and subject to the German Co-Determination Act must be composed of at least 30% women or men, depending on which is the less represented group.</w:t>
            </w:r>
          </w:p>
        </w:tc>
        <w:tc>
          <w:tcPr>
            <w:tcW w:w="146" w:type="dxa"/>
            <w:tcBorders/>
          </w:tcPr>
          <w:p>
            <w:pPr>
              <w:pStyle w:val="TableContents"/>
              <w:bidi w:val="0"/>
              <w:spacing w:before="0" w:after="283"/>
              <w:jc w:val="left"/>
              <w:rPr/>
            </w:pPr>
            <w:r>
              <w:rPr/>
              <w:t> </w:t>
            </w:r>
          </w:p>
        </w:tc>
        <w:tc>
          <w:tcPr>
            <w:tcW w:w="2318"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563"/>
        <w:gridCol w:w="146"/>
        <w:gridCol w:w="4272"/>
        <w:gridCol w:w="146"/>
        <w:gridCol w:w="4078"/>
      </w:tblGrid>
      <w:tr>
        <w:trPr/>
        <w:tc>
          <w:tcPr>
            <w:tcW w:w="156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27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Germany</w:t>
            </w:r>
          </w:p>
        </w:tc>
        <w:tc>
          <w:tcPr>
            <w:tcW w:w="146" w:type="dxa"/>
            <w:tcBorders/>
            <w:vAlign w:val="bottom"/>
          </w:tcPr>
          <w:p>
            <w:pPr>
              <w:pStyle w:val="TableContents"/>
              <w:bidi w:val="0"/>
              <w:spacing w:before="0" w:after="283"/>
              <w:jc w:val="left"/>
              <w:rPr/>
            </w:pPr>
            <w:r>
              <w:rPr/>
              <w:t> </w:t>
            </w:r>
          </w:p>
        </w:tc>
        <w:tc>
          <w:tcPr>
            <w:tcW w:w="407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Delaware</w:t>
            </w:r>
          </w:p>
        </w:tc>
      </w:tr>
      <w:tr>
        <w:trPr/>
        <w:tc>
          <w:tcPr>
            <w:tcW w:w="1563"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Appointment and Removal of Board Members/</w:t>
              <w:br/>
              <w:t>Directors</w:t>
            </w:r>
          </w:p>
        </w:tc>
        <w:tc>
          <w:tcPr>
            <w:tcW w:w="146" w:type="dxa"/>
            <w:tcBorders/>
          </w:tcPr>
          <w:p>
            <w:pPr>
              <w:pStyle w:val="TableContents"/>
              <w:bidi w:val="0"/>
              <w:spacing w:before="0" w:after="283"/>
              <w:jc w:val="left"/>
              <w:rPr/>
            </w:pPr>
            <w:r>
              <w:rPr/>
              <w:t> </w:t>
            </w:r>
          </w:p>
        </w:tc>
        <w:tc>
          <w:tcPr>
            <w:tcW w:w="4272" w:type="dxa"/>
            <w:tcBorders/>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Members of the management board of a German stock corporation are appointed by the supervisory board for a maximum period of five years. Reappointment, including repeated reappointment, is permissible. The supervisory board may remove a member of the management board prior to the expiration of his or her term only for good cause, such as for gross breach of fiduciary duties or if the shareholders’ meeting passes a vote of no-confidence with respect to such member, unless the supervisory board deems the no-confidence vote to be clearly unreasonable. The shareholders themselves are not entitled to appoint or dismiss the members of the management board.</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German law, a member of a supervisory board may be elected for a term of up to approximately five years depending on the date of the annual shareholders’ meeting at which such member is elected, which is the standard term of office. Reelection, including repeated reelection, is permissible. Prior to the expiration of his or her term, supervisory board members who have been appointed by the shareholders’ meeting may be removed by a resolution of the general meeting requiring a three-quarter majority of the votes cast, unless otherwise provided by the company’s articles of association. Supervisory board members who are delegated by a shareholder or the company’s employees may be revoked and the resulting vacancy filled at the sole discretion of such shareholder or the employees.</w:t>
            </w:r>
          </w:p>
        </w:tc>
        <w:tc>
          <w:tcPr>
            <w:tcW w:w="146" w:type="dxa"/>
            <w:tcBorders/>
          </w:tcPr>
          <w:p>
            <w:pPr>
              <w:pStyle w:val="TableContents"/>
              <w:bidi w:val="0"/>
              <w:spacing w:before="0" w:after="283"/>
              <w:jc w:val="left"/>
              <w:rPr/>
            </w:pPr>
            <w:r>
              <w:rPr/>
              <w:t> </w:t>
            </w:r>
          </w:p>
        </w:tc>
        <w:tc>
          <w:tcPr>
            <w:tcW w:w="407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such director is a part.</w:t>
            </w:r>
          </w:p>
        </w:tc>
      </w:tr>
      <w:tr>
        <w:trPr/>
        <w:tc>
          <w:tcPr>
            <w:tcW w:w="1563"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Vacancies on the Boards</w:t>
            </w:r>
          </w:p>
        </w:tc>
        <w:tc>
          <w:tcPr>
            <w:tcW w:w="146" w:type="dxa"/>
            <w:tcBorders/>
          </w:tcPr>
          <w:p>
            <w:pPr>
              <w:pStyle w:val="TableContents"/>
              <w:bidi w:val="0"/>
              <w:spacing w:before="0" w:after="283"/>
              <w:jc w:val="left"/>
              <w:rPr/>
            </w:pPr>
            <w:r>
              <w:rPr/>
              <w:t> </w:t>
            </w:r>
          </w:p>
        </w:tc>
        <w:tc>
          <w:tcPr>
            <w:tcW w:w="4272"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German law, vacant positions on the management board are filled by the supervisory board in accordance with the general rules of appointment, which provide that vacancies are filled by the simple majority of supervisory board votes cast, unless otherwise provided by the company’s articles of association. In case of emergencies, a vacant position on the management board may be filled by an individual appointed by the court.</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number of supervisory board members falls below the number of members required for a quorum, or the minimum number of members required by law or the articles of association, upon application to the court having jurisdiction by the management board, a member of the supervisory board or a shareholder to the competent court, the vacant position on the supervisory board may be filled with an individual appointed by the court.</w:t>
            </w:r>
          </w:p>
        </w:tc>
        <w:tc>
          <w:tcPr>
            <w:tcW w:w="146" w:type="dxa"/>
            <w:tcBorders/>
          </w:tcPr>
          <w:p>
            <w:pPr>
              <w:pStyle w:val="TableContents"/>
              <w:bidi w:val="0"/>
              <w:spacing w:before="0" w:after="283"/>
              <w:jc w:val="left"/>
              <w:rPr/>
            </w:pPr>
            <w:r>
              <w:rPr/>
              <w:t> </w:t>
            </w:r>
          </w:p>
        </w:tc>
        <w:tc>
          <w:tcPr>
            <w:tcW w:w="407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vacancies and newly created directorships may be filled by a majority of the directors then in office (even though less than a quorum) or by a sole remaining director unless (i) otherwise provided in the certificate of incorporation or bylaws of the corporation or (ii) the certificate of incorporation directs that a particular class of stock is to elect such director, in which case a majority of the other directors elected by such class, or a sole remaining director elected by such class, will fill such vacancy.</w:t>
            </w:r>
          </w:p>
        </w:tc>
      </w:tr>
      <w:tr>
        <w:trPr/>
        <w:tc>
          <w:tcPr>
            <w:tcW w:w="1563"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Annual Shareholders’ Meeting</w:t>
            </w:r>
          </w:p>
        </w:tc>
        <w:tc>
          <w:tcPr>
            <w:tcW w:w="146" w:type="dxa"/>
            <w:tcBorders/>
          </w:tcPr>
          <w:p>
            <w:pPr>
              <w:pStyle w:val="TableContents"/>
              <w:bidi w:val="0"/>
              <w:spacing w:before="0" w:after="283"/>
              <w:jc w:val="left"/>
              <w:rPr/>
            </w:pPr>
            <w:r>
              <w:rPr/>
              <w:t> </w:t>
            </w:r>
          </w:p>
        </w:tc>
        <w:tc>
          <w:tcPr>
            <w:tcW w:w="4272"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German law, a stock corporation must hold an annual shareholders’ meeting within eight months of the end of its financial year. Unless otherwise provided for in the articles of association, the shareholders’ meeting shall be held at the company’s seat or, if applicable, at the venue where its shares are listed.</w:t>
            </w:r>
          </w:p>
        </w:tc>
        <w:tc>
          <w:tcPr>
            <w:tcW w:w="146" w:type="dxa"/>
            <w:tcBorders/>
          </w:tcPr>
          <w:p>
            <w:pPr>
              <w:pStyle w:val="TableContents"/>
              <w:bidi w:val="0"/>
              <w:spacing w:before="0" w:after="283"/>
              <w:jc w:val="left"/>
              <w:rPr/>
            </w:pPr>
            <w:r>
              <w:rPr/>
              <w:t> </w:t>
            </w:r>
          </w:p>
        </w:tc>
        <w:tc>
          <w:tcPr>
            <w:tcW w:w="407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the annual meeting of shareholders shall be held at such place, on such date and at such time as may be designated from time to time by the board of directors or as provided in the certificate of incorporation or the bylaws.</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571"/>
        <w:gridCol w:w="146"/>
        <w:gridCol w:w="4872"/>
        <w:gridCol w:w="146"/>
        <w:gridCol w:w="3470"/>
      </w:tblGrid>
      <w:tr>
        <w:trPr/>
        <w:tc>
          <w:tcPr>
            <w:tcW w:w="15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87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Germany</w:t>
            </w:r>
          </w:p>
        </w:tc>
        <w:tc>
          <w:tcPr>
            <w:tcW w:w="146" w:type="dxa"/>
            <w:tcBorders/>
            <w:vAlign w:val="bottom"/>
          </w:tcPr>
          <w:p>
            <w:pPr>
              <w:pStyle w:val="TableContents"/>
              <w:bidi w:val="0"/>
              <w:spacing w:before="0" w:after="283"/>
              <w:jc w:val="left"/>
              <w:rPr/>
            </w:pPr>
            <w:r>
              <w:rPr/>
              <w:t> </w:t>
            </w:r>
          </w:p>
        </w:tc>
        <w:tc>
          <w:tcPr>
            <w:tcW w:w="347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Delaware</w:t>
            </w:r>
          </w:p>
        </w:tc>
      </w:tr>
      <w:tr>
        <w:trPr/>
        <w:tc>
          <w:tcPr>
            <w:tcW w:w="157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Calling of Shareholders’ Meetings</w:t>
            </w:r>
          </w:p>
        </w:tc>
        <w:tc>
          <w:tcPr>
            <w:tcW w:w="146" w:type="dxa"/>
            <w:tcBorders/>
          </w:tcPr>
          <w:p>
            <w:pPr>
              <w:pStyle w:val="TableContents"/>
              <w:bidi w:val="0"/>
              <w:spacing w:before="0" w:after="283"/>
              <w:jc w:val="left"/>
              <w:rPr/>
            </w:pPr>
            <w:r>
              <w:rPr/>
              <w:t> </w:t>
            </w:r>
          </w:p>
        </w:tc>
        <w:tc>
          <w:tcPr>
            <w:tcW w:w="4872"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German law, extraordinary shareholders’ meetings, in addition to the annual shareholders’ meetings, may be called by the management board or, if calling a meeting is required in the best interest of the company, the supervisory board. Shareholders holding shares representing at least 5% of the company’s share capital may request that the management board convenes an extraordinary shareholders’ meeting. If the management board does not convene a shareholders’ meeting upon such a request, the shareholders may petition the German court having jurisdiction for authorization to convene a shareholders’ meeting.</w:t>
            </w:r>
          </w:p>
        </w:tc>
        <w:tc>
          <w:tcPr>
            <w:tcW w:w="146" w:type="dxa"/>
            <w:tcBorders/>
          </w:tcPr>
          <w:p>
            <w:pPr>
              <w:pStyle w:val="TableContents"/>
              <w:bidi w:val="0"/>
              <w:spacing w:before="0" w:after="283"/>
              <w:jc w:val="left"/>
              <w:rPr/>
            </w:pPr>
            <w:r>
              <w:rPr/>
              <w:t> </w:t>
            </w:r>
          </w:p>
        </w:tc>
        <w:tc>
          <w:tcPr>
            <w:tcW w:w="347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special meetings of the shareholders may be called by the board of directors or by such person or persons as may be authorized by the certificate of incorporation or by the bylaws.</w:t>
            </w:r>
          </w:p>
        </w:tc>
      </w:tr>
      <w:tr>
        <w:trPr/>
        <w:tc>
          <w:tcPr>
            <w:tcW w:w="1571"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Shareholders’ Meetings</w:t>
            </w:r>
          </w:p>
        </w:tc>
        <w:tc>
          <w:tcPr>
            <w:tcW w:w="146" w:type="dxa"/>
            <w:tcBorders/>
          </w:tcPr>
          <w:p>
            <w:pPr>
              <w:pStyle w:val="TableContents"/>
              <w:bidi w:val="0"/>
              <w:spacing w:before="0" w:after="283"/>
              <w:jc w:val="left"/>
              <w:rPr/>
            </w:pPr>
            <w:r>
              <w:rPr/>
              <w:t> </w:t>
            </w:r>
          </w:p>
        </w:tc>
        <w:tc>
          <w:tcPr>
            <w:tcW w:w="4872"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German law, unless a longer period is provided for in the articles of association, the shareholders must be given at least 30 days’ advance notice of the shareholders’ meeting. Such notice must at least specify the name of the company, the statutory seat of the company as well as the location, date and time of the shareholders’ meeting. In addition, the invitation must contain the agenda items as well as the management board’s and the supervisory board’s voting proposal for each agenda item.</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formalities relating to calling and holding a shareholders’ meeting can be waived, provided that all shareholders eligible to attend the shareholders’ meeting are present or represented at the meeting and grant their consent.</w:t>
            </w:r>
          </w:p>
        </w:tc>
        <w:tc>
          <w:tcPr>
            <w:tcW w:w="146" w:type="dxa"/>
            <w:tcBorders/>
          </w:tcPr>
          <w:p>
            <w:pPr>
              <w:pStyle w:val="TableContents"/>
              <w:bidi w:val="0"/>
              <w:spacing w:before="0" w:after="283"/>
              <w:jc w:val="left"/>
              <w:rPr/>
            </w:pPr>
            <w:r>
              <w:rPr/>
              <w:t> </w:t>
            </w:r>
          </w:p>
        </w:tc>
        <w:tc>
          <w:tcPr>
            <w:tcW w:w="347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unless otherwise provided in the certificate of incorporation or bylaws, written or electronic notice of any meeting of the shareholders must be given to each shareholder entitled to vote at the meeting not less than ten nor more than 60 days before the date of the meeting and shall specify the place, date, hour and purpose or purposes of the meeting.</w:t>
            </w:r>
          </w:p>
        </w:tc>
      </w:tr>
      <w:tr>
        <w:trPr/>
        <w:tc>
          <w:tcPr>
            <w:tcW w:w="1571"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Voting</w:t>
            </w:r>
          </w:p>
        </w:tc>
        <w:tc>
          <w:tcPr>
            <w:tcW w:w="146" w:type="dxa"/>
            <w:tcBorders/>
          </w:tcPr>
          <w:p>
            <w:pPr>
              <w:pStyle w:val="TableContents"/>
              <w:bidi w:val="0"/>
              <w:spacing w:before="0" w:after="283"/>
              <w:jc w:val="left"/>
              <w:rPr/>
            </w:pPr>
            <w:r>
              <w:rPr/>
              <w:t> </w:t>
            </w:r>
          </w:p>
        </w:tc>
        <w:tc>
          <w:tcPr>
            <w:tcW w:w="4872"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German law, a shareholder may authorize another person to attend, speak and vote at a shareholders’ meeting of the company on such shareholder’s behalf by proxy.</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management board meetings, a management board member may issue a proxy to another management board member to represent him or her at the meeting and vote on his or her behalf.</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supervisory board meetings, a supervisory board member may participate in a vote by written vote issued to, and presented at the meeting by, another supervisory board member or a third party entitled to attend the supervisory board meeting.</w:t>
            </w:r>
          </w:p>
        </w:tc>
        <w:tc>
          <w:tcPr>
            <w:tcW w:w="146" w:type="dxa"/>
            <w:tcBorders/>
          </w:tcPr>
          <w:p>
            <w:pPr>
              <w:pStyle w:val="TableContents"/>
              <w:bidi w:val="0"/>
              <w:spacing w:before="0" w:after="283"/>
              <w:jc w:val="left"/>
              <w:rPr/>
            </w:pPr>
            <w:r>
              <w:rPr/>
              <w:t> </w:t>
            </w:r>
          </w:p>
        </w:tc>
        <w:tc>
          <w:tcPr>
            <w:tcW w:w="347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at any meeting of shareholders, a shareholder may designate another person to act for such shareholder by proxy, but no such proxy shall be voted or acted upon after three years from its date, unless the proxy provides for a longer period.</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director of a Delaware corporation may not issue a proxy representing the director’s voting rights as a director.</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313"/>
        <w:gridCol w:w="146"/>
        <w:gridCol w:w="4660"/>
        <w:gridCol w:w="146"/>
        <w:gridCol w:w="3940"/>
      </w:tblGrid>
      <w:tr>
        <w:trPr/>
        <w:tc>
          <w:tcPr>
            <w:tcW w:w="131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66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Germany</w:t>
            </w:r>
          </w:p>
        </w:tc>
        <w:tc>
          <w:tcPr>
            <w:tcW w:w="146" w:type="dxa"/>
            <w:tcBorders/>
            <w:vAlign w:val="bottom"/>
          </w:tcPr>
          <w:p>
            <w:pPr>
              <w:pStyle w:val="TableContents"/>
              <w:bidi w:val="0"/>
              <w:spacing w:before="0" w:after="283"/>
              <w:jc w:val="left"/>
              <w:rPr/>
            </w:pPr>
            <w:r>
              <w:rPr/>
              <w:t> </w:t>
            </w:r>
          </w:p>
        </w:tc>
        <w:tc>
          <w:tcPr>
            <w:tcW w:w="394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Delaware</w:t>
            </w:r>
          </w:p>
        </w:tc>
      </w:tr>
      <w:tr>
        <w:trPr/>
        <w:tc>
          <w:tcPr>
            <w:tcW w:w="1313"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Preemptive/</w:t>
              <w:br/>
              <w:t>Subscription Rights</w:t>
            </w:r>
          </w:p>
        </w:tc>
        <w:tc>
          <w:tcPr>
            <w:tcW w:w="146" w:type="dxa"/>
            <w:tcBorders/>
          </w:tcPr>
          <w:p>
            <w:pPr>
              <w:pStyle w:val="TableContents"/>
              <w:bidi w:val="0"/>
              <w:spacing w:before="0" w:after="283"/>
              <w:jc w:val="left"/>
              <w:rPr/>
            </w:pPr>
            <w:r>
              <w:rPr/>
              <w:t> </w:t>
            </w:r>
          </w:p>
        </w:tc>
        <w:tc>
          <w:tcPr>
            <w:tcW w:w="466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German law, existing shareholders have statutory subscription rights with respect to any new shares or securities convertible into shares issued pro rata to the nominal value of their respective holdings in the company, unless (i) shareholders holding shares representing three-quarters of the registered share capital represented in the relevant shareholder vote have resolved upon the full or partial exclusion of the subscription rights and (ii) such exclusion is justified by good and objective cause. No separate resolution on the exclusion of subscription rights is required if all shareholders waive their statutory subscription rights.</w:t>
            </w:r>
          </w:p>
        </w:tc>
        <w:tc>
          <w:tcPr>
            <w:tcW w:w="146" w:type="dxa"/>
            <w:tcBorders/>
          </w:tcPr>
          <w:p>
            <w:pPr>
              <w:pStyle w:val="TableContents"/>
              <w:bidi w:val="0"/>
              <w:spacing w:before="0" w:after="283"/>
              <w:jc w:val="left"/>
              <w:rPr/>
            </w:pPr>
            <w:r>
              <w:rPr/>
              <w:t> </w:t>
            </w:r>
          </w:p>
        </w:tc>
        <w:tc>
          <w:tcPr>
            <w:tcW w:w="394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shareholders have no preemptive rights to subscribe to additional issues of stock or to any security convertible into such stock unless, and except to the extent that, such rights are expressly provided for in the certificate of incorporation.</w:t>
            </w:r>
          </w:p>
        </w:tc>
      </w:tr>
      <w:tr>
        <w:trPr/>
        <w:tc>
          <w:tcPr>
            <w:tcW w:w="1313"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Authority to Allot</w:t>
            </w:r>
          </w:p>
        </w:tc>
        <w:tc>
          <w:tcPr>
            <w:tcW w:w="146" w:type="dxa"/>
            <w:tcBorders/>
          </w:tcPr>
          <w:p>
            <w:pPr>
              <w:pStyle w:val="TableContents"/>
              <w:bidi w:val="0"/>
              <w:spacing w:before="0" w:after="283"/>
              <w:jc w:val="left"/>
              <w:rPr/>
            </w:pPr>
            <w:r>
              <w:rPr/>
              <w:t> </w:t>
            </w:r>
          </w:p>
        </w:tc>
        <w:tc>
          <w:tcPr>
            <w:tcW w:w="466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German law, the management board may not allot shares or grant rights to subscribe for shares or to convert any security into shares, unless a shareholder resolution has been passed at the company’s shareholders’ meeting granting the management board such authority, subject to the approval of the supervisory board, in each case in accordance with the provisions of the German Stock Corporation Act.</w:t>
            </w:r>
          </w:p>
        </w:tc>
        <w:tc>
          <w:tcPr>
            <w:tcW w:w="146" w:type="dxa"/>
            <w:tcBorders/>
          </w:tcPr>
          <w:p>
            <w:pPr>
              <w:pStyle w:val="TableContents"/>
              <w:bidi w:val="0"/>
              <w:spacing w:before="0" w:after="283"/>
              <w:jc w:val="left"/>
              <w:rPr/>
            </w:pPr>
            <w:r>
              <w:rPr/>
              <w:t> </w:t>
            </w:r>
          </w:p>
        </w:tc>
        <w:tc>
          <w:tcPr>
            <w:tcW w:w="394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if the corporation’s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setting a minimum amount of consideration or approving a formula. In the absence of actual fraud in the transaction, the judgment of the directors as to the value of such consideration is conclusive.</w:t>
            </w:r>
          </w:p>
        </w:tc>
      </w:tr>
      <w:tr>
        <w:trPr/>
        <w:tc>
          <w:tcPr>
            <w:tcW w:w="1313"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Rights</w:t>
            </w:r>
          </w:p>
        </w:tc>
        <w:tc>
          <w:tcPr>
            <w:tcW w:w="146" w:type="dxa"/>
            <w:tcBorders/>
          </w:tcPr>
          <w:p>
            <w:pPr>
              <w:pStyle w:val="TableContents"/>
              <w:bidi w:val="0"/>
              <w:spacing w:before="0" w:after="283"/>
              <w:jc w:val="left"/>
              <w:rPr/>
            </w:pPr>
            <w:r>
              <w:rPr/>
              <w:t> </w:t>
            </w:r>
          </w:p>
        </w:tc>
        <w:tc>
          <w:tcPr>
            <w:tcW w:w="466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German law, each share, except for statutory preferred non-voting shares (</w:t>
            </w:r>
            <w:r>
              <w:rPr>
                <w:rFonts w:ascii="Times New Roman PS Std;serif" w:hAnsi="Times New Roman PS Std;serif"/>
                <w:b w:val="false"/>
                <w:i/>
                <w:caps w:val="false"/>
                <w:smallCaps w:val="false"/>
                <w:sz w:val="20"/>
              </w:rPr>
              <w:t>nicht stimmberechtigte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Vorzugsaktien</w:t>
            </w:r>
            <w:r>
              <w:rPr>
                <w:rFonts w:ascii="Times New Roman PS Std;serif" w:hAnsi="Times New Roman PS Std;serif"/>
                <w:b w:val="false"/>
                <w:i w:val="false"/>
                <w:caps w:val="false"/>
                <w:smallCaps w:val="false"/>
                <w:sz w:val="20"/>
              </w:rPr>
              <w:t>), entitles its holder to vote at the shareholders’ meeting and to participate with such number of votes with respect to one share which correspond to the quota of such share in the company’s share capital. While German law does not provide for a minimum attendance quorum for general meetings, the company’s articles of association may so provide. In general, resolutions adopted at a shareholders’ meeting may be passed by a simple majority of votes cast, unless a higher majority is required by law or under the company’s articles of association.</w:t>
            </w:r>
          </w:p>
        </w:tc>
        <w:tc>
          <w:tcPr>
            <w:tcW w:w="146" w:type="dxa"/>
            <w:tcBorders/>
          </w:tcPr>
          <w:p>
            <w:pPr>
              <w:pStyle w:val="TableContents"/>
              <w:bidi w:val="0"/>
              <w:spacing w:before="0" w:after="283"/>
              <w:jc w:val="left"/>
              <w:rPr/>
            </w:pPr>
            <w:r>
              <w:rPr/>
              <w:t> </w:t>
            </w:r>
          </w:p>
        </w:tc>
        <w:tc>
          <w:tcPr>
            <w:tcW w:w="394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Delaware law provides that, unless otherwise provided in the certificate of incorporation, each shareholder is entitled to one vote for each share of capital stock held by such shareholder.</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470"/>
        <w:gridCol w:w="146"/>
        <w:gridCol w:w="5700"/>
        <w:gridCol w:w="146"/>
        <w:gridCol w:w="2743"/>
      </w:tblGrid>
      <w:tr>
        <w:trPr/>
        <w:tc>
          <w:tcPr>
            <w:tcW w:w="147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70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Germany</w:t>
            </w:r>
          </w:p>
        </w:tc>
        <w:tc>
          <w:tcPr>
            <w:tcW w:w="146" w:type="dxa"/>
            <w:tcBorders/>
            <w:vAlign w:val="bottom"/>
          </w:tcPr>
          <w:p>
            <w:pPr>
              <w:pStyle w:val="TableContents"/>
              <w:bidi w:val="0"/>
              <w:spacing w:before="0" w:after="283"/>
              <w:jc w:val="left"/>
              <w:rPr/>
            </w:pPr>
            <w:r>
              <w:rPr/>
              <w:t> </w:t>
            </w:r>
          </w:p>
        </w:tc>
        <w:tc>
          <w:tcPr>
            <w:tcW w:w="274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Delaware</w:t>
            </w:r>
          </w:p>
        </w:tc>
      </w:tr>
      <w:tr>
        <w:trPr/>
        <w:tc>
          <w:tcPr>
            <w:tcW w:w="1470"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 Vote on Certain Transactions</w:t>
            </w:r>
          </w:p>
        </w:tc>
        <w:tc>
          <w:tcPr>
            <w:tcW w:w="146" w:type="dxa"/>
            <w:tcBorders/>
          </w:tcPr>
          <w:p>
            <w:pPr>
              <w:pStyle w:val="TableContents"/>
              <w:bidi w:val="0"/>
              <w:spacing w:before="0" w:after="283"/>
              <w:jc w:val="left"/>
              <w:rPr/>
            </w:pPr>
            <w:r>
              <w:rPr/>
              <w:t> </w:t>
            </w:r>
          </w:p>
        </w:tc>
        <w:tc>
          <w:tcPr>
            <w:tcW w:w="570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German law, certain shareholders’ resolutions of fundamental importance require a majority of at least three-quarters of the share capital present or represented in the vote. Resolutions of fundamental importance include, in particular, capital increases with exclusion of subscription rights, capital decreases, the creation of authorized or conditional share capital, the dissolution of a company, a merger into or with another company, split-offs and split-ups, the conclusion of inter-company agreements (</w:t>
            </w:r>
            <w:r>
              <w:rPr>
                <w:rFonts w:ascii="Times New Roman PS Std;serif" w:hAnsi="Times New Roman PS Std;serif"/>
                <w:b w:val="false"/>
                <w:i/>
                <w:caps w:val="false"/>
                <w:smallCaps w:val="false"/>
                <w:sz w:val="20"/>
              </w:rPr>
              <w:t>Unternehmensverträge</w:t>
            </w:r>
            <w:r>
              <w:rPr>
                <w:rFonts w:ascii="Times New Roman PS Std;serif" w:hAnsi="Times New Roman PS Std;serif"/>
                <w:b w:val="false"/>
                <w:i w:val="false"/>
                <w:caps w:val="false"/>
                <w:smallCaps w:val="false"/>
                <w:sz w:val="20"/>
              </w:rPr>
              <w:t>), in particular domination agreements (</w:t>
            </w:r>
            <w:r>
              <w:rPr>
                <w:rFonts w:ascii="Times New Roman PS Std;serif" w:hAnsi="Times New Roman PS Std;serif"/>
                <w:b w:val="false"/>
                <w:i/>
                <w:caps w:val="false"/>
                <w:smallCaps w:val="false"/>
                <w:sz w:val="20"/>
              </w:rPr>
              <w:t>Beherrschungsverträge</w:t>
            </w:r>
            <w:r>
              <w:rPr>
                <w:rFonts w:ascii="Times New Roman PS Std;serif" w:hAnsi="Times New Roman PS Std;serif"/>
                <w:b w:val="false"/>
                <w:i w:val="false"/>
                <w:caps w:val="false"/>
                <w:smallCaps w:val="false"/>
                <w:sz w:val="20"/>
              </w:rPr>
              <w:t>) and profit and loss transfer agreements (</w:t>
            </w:r>
            <w:r>
              <w:rPr>
                <w:rFonts w:ascii="Times New Roman PS Std;serif" w:hAnsi="Times New Roman PS Std;serif"/>
                <w:b w:val="false"/>
                <w:i/>
                <w:caps w:val="false"/>
                <w:smallCaps w:val="false"/>
                <w:sz w:val="20"/>
              </w:rPr>
              <w:t>Ergebnisabführungsverträge</w:t>
            </w:r>
            <w:r>
              <w:rPr>
                <w:rFonts w:ascii="Times New Roman PS Std;serif" w:hAnsi="Times New Roman PS Std;serif"/>
                <w:b w:val="false"/>
                <w:i w:val="false"/>
                <w:caps w:val="false"/>
                <w:smallCaps w:val="false"/>
                <w:sz w:val="20"/>
              </w:rPr>
              <w:t>), and a change of the legal form of a company.</w:t>
            </w:r>
          </w:p>
        </w:tc>
        <w:tc>
          <w:tcPr>
            <w:tcW w:w="146" w:type="dxa"/>
            <w:tcBorders/>
          </w:tcPr>
          <w:p>
            <w:pPr>
              <w:pStyle w:val="TableContents"/>
              <w:bidi w:val="0"/>
              <w:spacing w:before="0" w:after="283"/>
              <w:jc w:val="left"/>
              <w:rPr/>
            </w:pPr>
            <w:r>
              <w:rPr/>
              <w:t> </w:t>
            </w:r>
          </w:p>
        </w:tc>
        <w:tc>
          <w:tcPr>
            <w:tcW w:w="2743" w:type="dxa"/>
            <w:tcBorders/>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pStyle w:val="TableContents"/>
              <w:keepNext w:val="false"/>
              <w:widowControl/>
              <w:pBdr/>
              <w:bidi w:val="0"/>
              <w:spacing w:before="160" w:after="283"/>
              <w:ind w:left="480" w:right="0" w:hanging="240"/>
              <w:jc w:val="both"/>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the approval of the board of directors; and</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approval by the vote of the holders of a majority of the outstanding stock or, if the certificate of incorporation provides for more or less than one vote per share, a majority of the votes of the outstanding stock of a corporation entitled to vote on the matter.</w:t>
            </w:r>
          </w:p>
        </w:tc>
      </w:tr>
      <w:tr>
        <w:trPr/>
        <w:tc>
          <w:tcPr>
            <w:tcW w:w="1470"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Liability of Directors and Officers</w:t>
            </w:r>
          </w:p>
        </w:tc>
        <w:tc>
          <w:tcPr>
            <w:tcW w:w="146" w:type="dxa"/>
            <w:tcBorders/>
          </w:tcPr>
          <w:p>
            <w:pPr>
              <w:pStyle w:val="TableContents"/>
              <w:bidi w:val="0"/>
              <w:spacing w:before="0" w:after="283"/>
              <w:jc w:val="left"/>
              <w:rPr/>
            </w:pPr>
            <w:r>
              <w:rPr/>
              <w:t> </w:t>
            </w:r>
          </w:p>
        </w:tc>
        <w:tc>
          <w:tcPr>
            <w:tcW w:w="570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German law, any provision, whether contained in the company’s articles of association or any contract or otherwise, that purports to exempt a management board or supervisory board member from any liability that would otherwise result from any negligence, default, breach of duty or breach of trust in relation to the company is void.</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German law, members of both the management board and members of the supervisory board are liable to the company, and in certain cases to third parties or shareholders, for any damage caused to them due to a breach of such member’s duty of care. Apart from insolvency or special circumstances, only the company has the right to claim damages from members of either board.</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may waive claims for damages against a negligent management board or supervisory board member only after the expiry of three years and with the approval of such waiver by the shareholders’ meeting with a simple majority of the votes cast, unless shareholders who, in the aggregate, hold one-tenth or more of the company’s share capital object to the waiver and have their objection formally recorded in the minutes of the shareholder meeting by a German civil law notary.</w:t>
            </w:r>
          </w:p>
        </w:tc>
        <w:tc>
          <w:tcPr>
            <w:tcW w:w="146" w:type="dxa"/>
            <w:tcBorders/>
          </w:tcPr>
          <w:p>
            <w:pPr>
              <w:pStyle w:val="TableContents"/>
              <w:bidi w:val="0"/>
              <w:spacing w:before="0" w:after="283"/>
              <w:jc w:val="left"/>
              <w:rPr/>
            </w:pPr>
            <w:r>
              <w:rPr/>
              <w:t> </w:t>
            </w:r>
          </w:p>
        </w:tc>
        <w:tc>
          <w:tcPr>
            <w:tcW w:w="274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a corporation’s certificate of incorporation may include a provision eliminating or limiting the personal liability of a director or an officer to the corporation and its shareholders for damages arising from a breach of fiduciary duty as a director or an officer, as applicable. However, no provision can limit the liability of:</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director or officer for any breach of the director’s or officer’s duty of loyalty to the corporation or its shareholders;</w:t>
            </w:r>
          </w:p>
          <w:p>
            <w:pPr>
              <w:pStyle w:val="TableContents"/>
              <w:keepNext w:val="false"/>
              <w:widowControl/>
              <w:pBdr/>
              <w:bidi w:val="0"/>
              <w:spacing w:before="160" w:after="283"/>
              <w:ind w:left="480" w:right="0" w:hanging="240"/>
              <w:jc w:val="both"/>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a director or officer for acts or omissions not in good faith or that involve intentional misconduct or a knowing violation of law;</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director for intentional or negligent payment of unlawful dividends or stock purchases or redemptions;</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director or officer for any transaction from which the director or officer derives an improper personal benefit; or</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officer in any action by or in the right of the corporation.</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136"/>
        <w:gridCol w:w="146"/>
        <w:gridCol w:w="3685"/>
        <w:gridCol w:w="146"/>
        <w:gridCol w:w="5092"/>
      </w:tblGrid>
      <w:tr>
        <w:trPr/>
        <w:tc>
          <w:tcPr>
            <w:tcW w:w="11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8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Germany</w:t>
            </w:r>
          </w:p>
        </w:tc>
        <w:tc>
          <w:tcPr>
            <w:tcW w:w="146" w:type="dxa"/>
            <w:tcBorders/>
            <w:vAlign w:val="bottom"/>
          </w:tcPr>
          <w:p>
            <w:pPr>
              <w:pStyle w:val="TableContents"/>
              <w:bidi w:val="0"/>
              <w:spacing w:before="0" w:after="283"/>
              <w:jc w:val="left"/>
              <w:rPr/>
            </w:pPr>
            <w:r>
              <w:rPr/>
              <w:t> </w:t>
            </w:r>
          </w:p>
        </w:tc>
        <w:tc>
          <w:tcPr>
            <w:tcW w:w="509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Delaware</w:t>
            </w:r>
          </w:p>
        </w:tc>
      </w:tr>
      <w:tr>
        <w:trPr/>
        <w:tc>
          <w:tcPr>
            <w:tcW w:w="113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Standard of Conduct for Directors and Officers</w:t>
            </w:r>
          </w:p>
        </w:tc>
        <w:tc>
          <w:tcPr>
            <w:tcW w:w="146" w:type="dxa"/>
            <w:tcBorders/>
          </w:tcPr>
          <w:p>
            <w:pPr>
              <w:pStyle w:val="TableContents"/>
              <w:bidi w:val="0"/>
              <w:spacing w:before="0" w:after="283"/>
              <w:jc w:val="left"/>
              <w:rPr/>
            </w:pPr>
            <w:r>
              <w:rPr/>
              <w:t> </w:t>
            </w:r>
          </w:p>
        </w:tc>
        <w:tc>
          <w:tcPr>
            <w:tcW w:w="3685" w:type="dxa"/>
            <w:tcBorders/>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German law, management board members and supervisory board members must conduct their affairs with “the care and diligence of a prudent business person,” or a prudent supervisory board member, as the case may be, and act, other than in restructuring proceedings, in the best interests of the company. The scope of the fiduciary duties of management board members and supervisory board members is determined by German legislation and interpreted by the German courts.</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Statutory and fiduciary duties of members of the management board to the company include, among others:</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act in accordance with the law, the company’s articles of association and the rules of procedure for the management board, if any;</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report to the supervisory board on a regular basis as well as on certain important occasions;</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exercise reasonable care, skill and diligence;</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maintain a proper accounting system;</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not compete, directly or indirectly, with the company without permission by the supervisory board; and</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company is insolvent, to ensure that no further transactions are entered into on behalf of the company.</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Members of the supervisory board owe substantially the same statutory and fiduciary duties to the company as members of the management board. Additionally, their duties include:</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effectively supervise the company’s affairs and the management board;</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evaluate and issue a resolution on certain transactions which may only be carried out by the management board with the consent of the supervisory board;</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approve the company’s financial statements;</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appoint the management board members and to represent the company in transactions between the company and members of the management board; and</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approve service contracts between individual members of the management board and the company.</w:t>
            </w:r>
          </w:p>
        </w:tc>
        <w:tc>
          <w:tcPr>
            <w:tcW w:w="146" w:type="dxa"/>
            <w:tcBorders/>
          </w:tcPr>
          <w:p>
            <w:pPr>
              <w:pStyle w:val="TableContents"/>
              <w:bidi w:val="0"/>
              <w:spacing w:before="0" w:after="283"/>
              <w:jc w:val="left"/>
              <w:rPr/>
            </w:pPr>
            <w:r>
              <w:rPr/>
              <w:t> </w:t>
            </w:r>
          </w:p>
        </w:tc>
        <w:tc>
          <w:tcPr>
            <w:tcW w:w="5092" w:type="dxa"/>
            <w:tcBorders/>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shareholders.</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or herself of all material information reasonably available regarding a significant transaction.</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duty of loyalty requires that a director act in a manner he or she reasonably believes to be in the best interests of the corporation. He or she must not use his or her corporate position for personal gain or advantage. In general, but subject to certain exceptions, actions of a director are presumed to have been made on an informed basis, in good faith and in the honest belief that the action taken was in the best interest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98"/>
        <w:gridCol w:w="146"/>
        <w:gridCol w:w="5632"/>
        <w:gridCol w:w="146"/>
        <w:gridCol w:w="2983"/>
      </w:tblGrid>
      <w:tr>
        <w:trPr/>
        <w:tc>
          <w:tcPr>
            <w:tcW w:w="129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63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Germany</w:t>
            </w:r>
          </w:p>
        </w:tc>
        <w:tc>
          <w:tcPr>
            <w:tcW w:w="146" w:type="dxa"/>
            <w:tcBorders/>
            <w:vAlign w:val="bottom"/>
          </w:tcPr>
          <w:p>
            <w:pPr>
              <w:pStyle w:val="TableContents"/>
              <w:bidi w:val="0"/>
              <w:spacing w:before="0" w:after="283"/>
              <w:jc w:val="left"/>
              <w:rPr/>
            </w:pPr>
            <w:r>
              <w:rPr/>
              <w:t> </w:t>
            </w:r>
          </w:p>
        </w:tc>
        <w:tc>
          <w:tcPr>
            <w:tcW w:w="298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Delaware</w:t>
            </w:r>
          </w:p>
        </w:tc>
      </w:tr>
      <w:tr>
        <w:trPr/>
        <w:tc>
          <w:tcPr>
            <w:tcW w:w="1298"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 Suits</w:t>
            </w:r>
          </w:p>
        </w:tc>
        <w:tc>
          <w:tcPr>
            <w:tcW w:w="146" w:type="dxa"/>
            <w:tcBorders/>
          </w:tcPr>
          <w:p>
            <w:pPr>
              <w:pStyle w:val="TableContents"/>
              <w:bidi w:val="0"/>
              <w:spacing w:before="0" w:after="283"/>
              <w:jc w:val="left"/>
              <w:rPr/>
            </w:pPr>
            <w:r>
              <w:rPr/>
              <w:t> </w:t>
            </w:r>
          </w:p>
        </w:tc>
        <w:tc>
          <w:tcPr>
            <w:tcW w:w="5632" w:type="dxa"/>
            <w:tcBorders/>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German law, generally, the company, rather than its shareholders, is the proper claimant in an action with respect to a wrong committed against the company or an irregularity in the company’s internal management or supervision. Accordingly, such claims may only be raised by the company represented by its management board, or, in the case of a wrong committed by a member of the management board, by the supervisory board.</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pursuant to German case law, the supervisory board is generally obliged to pursue the company’s claims against the management board, unless in exceptional circumstances it is in the best interest of the company not to pursue such claims.</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management board, or, if a claim is made against a member of the management board, the supervisory board, is obliged to pursue the company’s claims against the relevant individuals if so resolved by the shareholders’ meeting with a simple majority of votes cast. By way of the admissibility procedure (</w:t>
            </w:r>
            <w:r>
              <w:rPr>
                <w:rFonts w:ascii="Times New Roman PS Std;serif" w:hAnsi="Times New Roman PS Std;serif"/>
                <w:b w:val="false"/>
                <w:i/>
                <w:caps w:val="false"/>
                <w:smallCaps w:val="false"/>
                <w:sz w:val="20"/>
              </w:rPr>
              <w:t>Klagezulassungsverfahren</w:t>
            </w:r>
            <w:r>
              <w:rPr>
                <w:rFonts w:ascii="Times New Roman PS Std;serif" w:hAnsi="Times New Roman PS Std;serif"/>
                <w:b w:val="false"/>
                <w:i w:val="false"/>
                <w:caps w:val="false"/>
                <w:smallCaps w:val="false"/>
                <w:sz w:val="20"/>
              </w:rPr>
              <w:t>), shareholders can request that a representative pursues the claim on behalf of the company.</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the company is unable to fulfill its obligations vis-à-vis third parties, the company’s creditors may pursue the company’s damage claims against members of the management board for certain wrongdoings. </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certain circumstances, shareholders can bring damage claims of the company against members of its management board on the company’s behalf. In order to bring such a claim, the claimant alone or together with other shareholders needs to hold shares representing at least 1% or a participation of €100,000 in the company’s share capital. Additionally, the claimant must have its claim approved in special procedures.</w:t>
            </w:r>
          </w:p>
        </w:tc>
        <w:tc>
          <w:tcPr>
            <w:tcW w:w="146" w:type="dxa"/>
            <w:tcBorders/>
          </w:tcPr>
          <w:p>
            <w:pPr>
              <w:pStyle w:val="TableContents"/>
              <w:bidi w:val="0"/>
              <w:spacing w:before="0" w:after="283"/>
              <w:jc w:val="left"/>
              <w:rPr/>
            </w:pPr>
            <w:r>
              <w:rPr/>
              <w:t> </w:t>
            </w:r>
          </w:p>
        </w:tc>
        <w:tc>
          <w:tcPr>
            <w:tcW w:w="2983" w:type="dxa"/>
            <w:tcBorders/>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a shareholder may initiate a derivative action to enforce a right of a corporation if the corporation fails to enforce the right itself. The complaint must:</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state that the plaintiff was a shareholder at the time of the transaction with respect to which the plaintiff complains or that the plaintiff’s shares thereafter devolved on the plaintiff by operation of law; and</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 allege with particularity the efforts made by the plaintiff to obtain the action the plaintiff desires from the directors and the reasons for the plaintiff’s failure to obtain the action or (ii) state the reasons for not making the effort.</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 plaintiff must remain a shareholder through the duration of the derivative suit. The action will not be dismissed or compromised without the approval of the Delaware Court of Chancery.</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German Corporate Governance Code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German Corporate Governance Code (the “Corporate Governance Code”) sets out recognized standards of good and responsible corporate governance. The Corporate Governance Code was most recently amended on April 28, 2022 and published in the German Federal Gazette (</w:t>
      </w:r>
      <w:r>
        <w:rPr>
          <w:rFonts w:ascii="Times New Roman PS Std;serif" w:hAnsi="Times New Roman PS Std;serif"/>
          <w:b w:val="false"/>
          <w:i/>
          <w:caps w:val="false"/>
          <w:smallCaps w:val="false"/>
          <w:sz w:val="20"/>
        </w:rPr>
        <w:t>Bundesanzeiger</w:t>
      </w:r>
      <w:r>
        <w:rPr>
          <w:rFonts w:ascii="Times New Roman PS Std;serif" w:hAnsi="Times New Roman PS Std;serif"/>
          <w:b w:val="false"/>
          <w:i w:val="false"/>
          <w:caps w:val="false"/>
          <w:smallCaps w:val="false"/>
          <w:sz w:val="20"/>
        </w:rPr>
        <w:t>) on June 27, 2022.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Corporate Governance Code contains principles (</w:t>
      </w:r>
      <w:r>
        <w:rPr>
          <w:rFonts w:ascii="Times New Roman PS Std;serif" w:hAnsi="Times New Roman PS Std;serif"/>
          <w:b w:val="false"/>
          <w:i/>
          <w:caps w:val="false"/>
          <w:smallCaps w:val="false"/>
          <w:sz w:val="20"/>
        </w:rPr>
        <w:t>Grundsätze</w:t>
      </w:r>
      <w:r>
        <w:rPr>
          <w:rFonts w:ascii="Times New Roman PS Std;serif" w:hAnsi="Times New Roman PS Std;serif"/>
          <w:b w:val="false"/>
          <w:i w:val="false"/>
          <w:caps w:val="false"/>
          <w:smallCaps w:val="false"/>
          <w:sz w:val="20"/>
        </w:rPr>
        <w:t>) of corporate law, recommendations (</w:t>
      </w:r>
      <w:r>
        <w:rPr>
          <w:rFonts w:ascii="Times New Roman PS Std;serif" w:hAnsi="Times New Roman PS Std;serif"/>
          <w:b w:val="false"/>
          <w:i/>
          <w:caps w:val="false"/>
          <w:smallCaps w:val="false"/>
          <w:sz w:val="20"/>
        </w:rPr>
        <w:t>Empfehlungen</w:t>
      </w:r>
      <w:r>
        <w:rPr>
          <w:rFonts w:ascii="Times New Roman PS Std;serif" w:hAnsi="Times New Roman PS Std;serif"/>
          <w:b w:val="false"/>
          <w:i w:val="false"/>
          <w:caps w:val="false"/>
          <w:smallCaps w:val="false"/>
          <w:sz w:val="20"/>
        </w:rPr>
        <w:t>) and suggestions (</w:t>
      </w:r>
      <w:r>
        <w:rPr>
          <w:rFonts w:ascii="Times New Roman PS Std;serif" w:hAnsi="Times New Roman PS Std;serif"/>
          <w:b w:val="false"/>
          <w:i/>
          <w:caps w:val="false"/>
          <w:smallCaps w:val="false"/>
          <w:sz w:val="20"/>
        </w:rPr>
        <w:t>Anregungen</w:t>
      </w:r>
      <w:r>
        <w:rPr>
          <w:rFonts w:ascii="Times New Roman PS Std;serif" w:hAnsi="Times New Roman PS Std;serif"/>
          <w:b w:val="false"/>
          <w:i w:val="false"/>
          <w:caps w:val="false"/>
          <w:smallCaps w:val="false"/>
          <w:sz w:val="20"/>
        </w:rPr>
        <w:t>) relating to the management and supervision of German companies whose shares are listed on the regulated market of a stock exchange in the European Union (or equivalent supervised foreign market), and companies that both have other securities listed on a regulated market of a stock exchange in the European Union (or equivalent supervised foreign market) and initiated the trading of their shares on a multilateral trading facility (MTF). The principles (</w:t>
      </w:r>
      <w:r>
        <w:rPr>
          <w:rFonts w:ascii="Times New Roman PS Std;serif" w:hAnsi="Times New Roman PS Std;serif"/>
          <w:b w:val="false"/>
          <w:i/>
          <w:caps w:val="false"/>
          <w:smallCaps w:val="false"/>
          <w:sz w:val="20"/>
        </w:rPr>
        <w:t>Grundsätze</w:t>
      </w:r>
      <w:r>
        <w:rPr>
          <w:rFonts w:ascii="Times New Roman PS Std;serif" w:hAnsi="Times New Roman PS Std;serif"/>
          <w:b w:val="false"/>
          <w:i w:val="false"/>
          <w:caps w:val="false"/>
          <w:smallCaps w:val="false"/>
          <w:sz w:val="20"/>
        </w:rPr>
        <w:t>) constitute only a purely informal reproduction of significant legal requirements under German substantive law. The Corporate Governance Code follows nationally and internationally recognized standards for good and responsible corporate governance. The purpose of the Corporate Governance Code is to make the German system of corporate governance transparent for investors. The Corporate Governance Code includes corporate governance recommendations and suggestions with respect to shareholders and shareholders’ meetings, the management board and the supervisory board, transparency, accounting policies and auditing.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There is no obligation to comply with the recommendations or suggestions of the Corporate Governance Code. The German Stock Corporation Act merely requires that the management board and the supervisory board of a listed German company issue an annual compliance statement that either (i) states that the company has complied with the recommendations of the Corporate Governance Code or (ii) lists the recommendations that the company has not complied with and explains its reasons for deviating from the recommendations of the Corporate Governance Code (compliance statement, or </w:t>
      </w:r>
      <w:r>
        <w:rPr>
          <w:rFonts w:ascii="Times New Roman PS Std;serif" w:hAnsi="Times New Roman PS Std;serif"/>
          <w:b w:val="false"/>
          <w:i/>
          <w:caps w:val="false"/>
          <w:smallCaps w:val="false"/>
          <w:sz w:val="20"/>
        </w:rPr>
        <w:t>Entsprechenserklärung</w:t>
      </w:r>
      <w:r>
        <w:rPr>
          <w:rFonts w:ascii="Times New Roman PS Std;serif" w:hAnsi="Times New Roman PS Std;serif"/>
          <w:b w:val="false"/>
          <w:i w:val="false"/>
          <w:caps w:val="false"/>
          <w:smallCaps w:val="false"/>
          <w:sz w:val="20"/>
        </w:rPr>
        <w:t>). In addition, a company subject to the Corporate Governance Code is also required to state in its annual compliance statement whether it intends to comply with the recommendations or list the recommendations it does not intend to comply with in the future. The current compliance statement needs to be published on the company’s website. In addition, the Corporate Governance Code recommends that any previous compliance statement remain on the website for five years. If the company changes its policy on certain recommendations between such annual compliance statement, it must disclose this fact and explain its reasons for deviating from the recommendations. Non-compliance with suggestions contained in the Corporate Governance Code need not be disclosed.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deviate from certain recommendations and suggestions of the Corporate Governance Code. All deviations from the Corporate Governance Code recommendations are published in the official annual compliance statement. You can find our annual compliance statement on our website at </w:t>
      </w:r>
      <w:r>
        <w:rPr>
          <w:rFonts w:ascii="Times New Roman PS Std;serif" w:hAnsi="Times New Roman PS Std;serif"/>
          <w:b w:val="false"/>
          <w:i/>
          <w:caps w:val="false"/>
          <w:smallCaps w:val="false"/>
          <w:sz w:val="20"/>
        </w:rPr>
        <w:t>https://www.mynaric.com</w:t>
      </w:r>
      <w:r>
        <w:rPr>
          <w:rFonts w:ascii="Times New Roman PS Std;serif" w:hAnsi="Times New Roman PS Std;serif"/>
          <w:b w:val="false"/>
          <w:i w:val="false"/>
          <w:caps w:val="false"/>
          <w:smallCaps w:val="false"/>
          <w:sz w:val="20"/>
        </w:rPr>
        <w:t xml:space="preserve"> under Investors/Governance. This website address is included in this prospectus as an inactive textual reference only.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Listing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ordinary shares are currently listed on the Frankfurt Stock Exchange under the symbol “M0YN.” The ADSs representing our ordinary shares are listed on the Nasdaq Global Select Market under the symbol “MYNA.”</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1" w:name="T9"/>
      <w:bookmarkEnd w:id="11"/>
      <w:r>
        <w:rPr>
          <w:rFonts w:ascii="Times New Roman PS Std;serif" w:hAnsi="Times New Roman PS Std;serif"/>
          <w:b/>
          <w:i w:val="false"/>
          <w:caps/>
          <w:sz w:val="20"/>
        </w:rPr>
        <w:t>Description of American Depositary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American Depositary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Bank of New York Mellon serves as the depositary for the ADSs. Every four ADSs represent one ordinary share (or a right to receive one ordinary share) deposited with The Bank of New York Mellon SA/NV as custodian for the depositary in Germany. Each ADS also represents any other securities, cash or other property which may be held by the depositary. The deposited shares together with any other securities, cash or other property held by the depositary are referred to as the deposited securities. The depositary’s office at which the ADSs are administered and its principal executive office are located at 240 Greenwich Street, New York, NY 10286.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ADSs can be held either (i) directly (a) by having an American Depositary Receipt, or an ADR, which is a certificate evidencing a specific number of ADSs registered in the ADS holder’s name, or (b) by having uncertificated ADSs registered in the ADS holder’s name, or (ii) indirectly by holding a security entitlement in ADSs through the ADS holder’s broker or other financial institution that is a direct or indirect participant in The Depository Trust Company, or DTC. If the ADS holder holds ADSs directly, it is a registered ADS holder. If an ADS holder holds ADSs indirectly, it must rely on the procedures of its broker or other financial institution to assert the rights of ADS holders described in this section. ADS holders should consult with their broker or financial institution to find out what those procedures 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Registered holders of uncertificated ADSs will receive statements from the depositary confirming their holdings.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treat ADS holders as shareholders and ADS holders do not have shareholder rights. German law governs shareholder rights. The depositary is the holder of the ordinary shares underlying the ADSs. As a registered holder of ADSs, each ADS holder has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material provisions of the deposit agreement. For more complete information, you should read the entire deposit agreement and the form of ADR. Directions on how to obtain copies of those documents are provided under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Dividends and Other Distributions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How will ADS holders receive dividends and other distributions on the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has agreed to pay or distribute to ADS holders the cash dividends or other distributions it or the custodian receives on ordinary shares or other deposited securities, upon payment or deduction of its fees and expenses. ADS holders will receive these distributions in proportion to the number of shares their ADSs represent.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Cash.    </w:t>
      </w:r>
      <w:r>
        <w:rPr>
          <w:rFonts w:ascii="Times New Roman PS Std;serif" w:hAnsi="Times New Roman PS Std;serif"/>
          <w:b w:val="false"/>
          <w:i w:val="false"/>
          <w:caps w:val="false"/>
          <w:smallCaps w:val="false"/>
          <w:sz w:val="20"/>
        </w:rPr>
        <w:t>The depositary will convert any cash dividend or other cash distribution we pay on our ordinary shares 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making a distribution, any withholding taxes, or other governmental charges that must be paid will be deducted. The depositary will distribute only whole U.S. dollars and cents and will round fractional cents to the nearest whole cent. If the exchange rates fluctuate during a time when the depositary cannot convert the foreign currency, ADS holders may lose some of the value of the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Shares.    </w:t>
      </w:r>
      <w:r>
        <w:rPr>
          <w:rFonts w:ascii="Times New Roman PS Std;serif" w:hAnsi="Times New Roman PS Std;serif"/>
          <w:b w:val="false"/>
          <w:i w:val="false"/>
          <w:caps w:val="false"/>
          <w:smallCaps w:val="false"/>
          <w:sz w:val="20"/>
        </w:rPr>
        <w:t>The depositary may distribute additional ADSs representing any ordinary shares we distribute as a dividend or free distribution. The depositary will only distribute whole ADSs. It will sell shares that would require it to deliver a fraction of an ADS (or ADSs representing those shares) and distribute the net proceeds in the same way as it does with other cash. If the depositary does not distribute additional ADSs, the outstanding ADSs will also represent the new shares. The depositary may sell a portion of the distributed ordinary shares (or ADSs representing those shares) sufficient to pay its fees and expenses in connection with that distribution.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Rights to purchase additional shares.    </w:t>
      </w:r>
      <w:r>
        <w:rPr>
          <w:rFonts w:ascii="Times New Roman PS Std;serif" w:hAnsi="Times New Roman PS Std;serif"/>
          <w:b w:val="false"/>
          <w:i w:val="false"/>
          <w:caps w:val="false"/>
          <w:smallCaps w:val="false"/>
          <w:sz w:val="20"/>
        </w:rPr>
        <w:t>If we offer holders of our securities any rights to subscribe for additional shares or any other rights, the 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ADS holders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 ADS holders may not be given the opportunity to exercise rights on the same terms and conditions as the holders of our ordinary shares or be able to exercise such rights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Other distributions.    </w:t>
      </w:r>
      <w:r>
        <w:rPr>
          <w:rFonts w:ascii="Times New Roman PS Std;serif" w:hAnsi="Times New Roman PS Std;serif"/>
          <w:b w:val="false"/>
          <w:i w:val="false"/>
          <w:caps w:val="false"/>
          <w:smallCaps w:val="false"/>
          <w:sz w:val="20"/>
        </w:rPr>
        <w:t>The depositary will send to ADS holders anything else we distribute in respect of deposited securities by any means it thinks is legal, fair and practical. If it cannot make the distribution in that way, the depositary has a choice. It may decide to sell what we distributed and distribute the net proceeds, in the same way as it does with other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ADS holders may not receive the distributions we make on our shares or any value for them if it is illegal or impractical for us to make them available to ADS 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Deposit, Withdrawal and Cancellation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How are ADSs issued?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will deliver ADSs if an ADS holder or its broker deposits shares or evidence of rights to receive shares with the custodian. Upon payment of its fees and expenses and of any taxes or charges, such as stamp taxes or stock transfer taxes or fees, the depositary will register the appropriate number of ADSs in the names the ADS holder requests and will deliver the ADSs to or upon the order of the person or persons that made the deposit.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How can ADS holders withdraw the deposited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ADS holders may surrender their ADSs to the depositary for the purpose of withdrawal. Upon payment of its fees and expenses and of any taxes or charges, such as stamp taxes or stock transfer taxes or fees, the depositary will deliver the ordinary shares and any other deposited securities underlying the ADSs to the ADS holder or a person the ADS holder designates at the office of the custodian or, at the ADS holder’s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the ADS holder a fee and its expenses for instructing the custodian regarding delivery of deposited securities.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How do ADS holders interchange between certificated ADSs and uncertificated ADSs?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ADS holders may surrender their ADRs to the depositary for the purpose of exchanging the ADRs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Rights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How do ADS holders vote?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ADS holders may instruct the depositary how to vote the number of deposited shares their ADSs represent. If we request the depositary to solicit ADS holders’ voting instructions (and we are not required to do so), the depositary will notify ADS holders of a shareholders’ meeting and send or make voting materials available to ADS holders.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Germany and the provisions of our articles of association or similar documents, to vote or to have its agents vote the shares or other deposited securities as instructed by ADS holders. If we do not request the depositary to solicit ADS holders’ voting instructions, ADS holders can still send voting instructions, and, in that case, the depositary may try to vote as they instruct, but it is not required to do so.</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by instructing the depositary as described above, ADS holders will not be able to exercise voting rights unless they surrender their ADSs and withdraw the ordinary shares. However, ADS holders may not know about the shareholders’ meeting enough in advance to withdraw the ordinary shares. In any event, the depositary will not exercise any discretion in voting deposited securities and it will only vote or attempt to vote as instructed.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ADS holders may not receive the voting materials in time to ensure that they can instruct the depositary to vote the ordinary shares represented by their ADSs. In addition, the depositary and its agents are not responsible for failing to carry out voting instructions or for the manner of carrying out voting instructions. This means that ADS holders may not be able to exercise voting rights and there may be nothing they can do if the ordinary shares represented by their ADSs are not voted as they requested.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give ADS holders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shareholders’ meeting date.</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Fees and Expenses</w:t>
      </w:r>
    </w:p>
    <w:tbl>
      <w:tblPr>
        <w:tblW w:w="10205" w:type="dxa"/>
        <w:jc w:val="left"/>
        <w:tblInd w:w="0" w:type="dxa"/>
        <w:tblLayout w:type="fixed"/>
        <w:tblCellMar>
          <w:top w:w="0" w:type="dxa"/>
          <w:left w:w="0" w:type="dxa"/>
          <w:bottom w:w="0" w:type="dxa"/>
          <w:right w:w="0" w:type="dxa"/>
        </w:tblCellMar>
      </w:tblPr>
      <w:tblGrid>
        <w:gridCol w:w="7325"/>
        <w:gridCol w:w="146"/>
        <w:gridCol w:w="2734"/>
      </w:tblGrid>
      <w:tr>
        <w:trPr/>
        <w:tc>
          <w:tcPr>
            <w:tcW w:w="73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Persons Depositing or Withdrawing Shares or ADS Holders Must Pay:</w:t>
            </w:r>
          </w:p>
        </w:tc>
        <w:tc>
          <w:tcPr>
            <w:tcW w:w="146" w:type="dxa"/>
            <w:tcBorders/>
            <w:vAlign w:val="bottom"/>
          </w:tcPr>
          <w:p>
            <w:pPr>
              <w:pStyle w:val="TableContents"/>
              <w:bidi w:val="0"/>
              <w:spacing w:before="0" w:after="283"/>
              <w:jc w:val="left"/>
              <w:rPr/>
            </w:pPr>
            <w:r>
              <w:rPr/>
              <w:t> </w:t>
            </w:r>
          </w:p>
        </w:tc>
        <w:tc>
          <w:tcPr>
            <w:tcW w:w="273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w:t>
            </w:r>
          </w:p>
        </w:tc>
      </w:tr>
      <w:tr>
        <w:trPr/>
        <w:tc>
          <w:tcPr>
            <w:tcW w:w="732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 (or less) per 100 ADSs (or portion of 100 ADSs)</w:t>
            </w:r>
          </w:p>
        </w:tc>
        <w:tc>
          <w:tcPr>
            <w:tcW w:w="146" w:type="dxa"/>
            <w:tcBorders/>
          </w:tcPr>
          <w:p>
            <w:pPr>
              <w:pStyle w:val="TableContents"/>
              <w:bidi w:val="0"/>
              <w:spacing w:before="0" w:after="283"/>
              <w:jc w:val="left"/>
              <w:rPr/>
            </w:pPr>
            <w:r>
              <w:rPr/>
              <w:t> </w:t>
            </w:r>
          </w:p>
        </w:tc>
        <w:tc>
          <w:tcPr>
            <w:tcW w:w="2734" w:type="dxa"/>
            <w:tcBorders/>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ADSs, including issuances resulting from a distribution of shares or rights or other property</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Cancellation of ADSs for the purpose of withdrawal, including if the deposit agreement terminates</w:t>
            </w:r>
          </w:p>
        </w:tc>
      </w:tr>
      <w:tr>
        <w:trPr/>
        <w:tc>
          <w:tcPr>
            <w:tcW w:w="732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 (or less) per ADS</w:t>
            </w:r>
          </w:p>
        </w:tc>
        <w:tc>
          <w:tcPr>
            <w:tcW w:w="146" w:type="dxa"/>
            <w:tcBorders/>
          </w:tcPr>
          <w:p>
            <w:pPr>
              <w:pStyle w:val="TableContents"/>
              <w:bidi w:val="0"/>
              <w:spacing w:before="0" w:after="283"/>
              <w:jc w:val="left"/>
              <w:rPr/>
            </w:pPr>
            <w:r>
              <w:rPr/>
              <w:t> </w:t>
            </w:r>
          </w:p>
        </w:tc>
        <w:tc>
          <w:tcPr>
            <w:tcW w:w="273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cash distribution to ADS holders</w:t>
            </w:r>
          </w:p>
        </w:tc>
      </w:tr>
      <w:tr>
        <w:trPr/>
        <w:tc>
          <w:tcPr>
            <w:tcW w:w="732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fee equivalent to the fee that would be payable if securities distributed to ADS holders had been shares and the shares had been deposited for issuance of ADSs</w:t>
            </w:r>
          </w:p>
        </w:tc>
        <w:tc>
          <w:tcPr>
            <w:tcW w:w="146" w:type="dxa"/>
            <w:tcBorders/>
          </w:tcPr>
          <w:p>
            <w:pPr>
              <w:pStyle w:val="TableContents"/>
              <w:bidi w:val="0"/>
              <w:spacing w:before="0" w:after="283"/>
              <w:jc w:val="left"/>
              <w:rPr/>
            </w:pPr>
            <w:r>
              <w:rPr/>
              <w:t> </w:t>
            </w:r>
          </w:p>
        </w:tc>
        <w:tc>
          <w:tcPr>
            <w:tcW w:w="273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 of securities distributed to holders of deposited securities (including rights) that are distributed by the depositary to ADS holders</w:t>
            </w:r>
          </w:p>
        </w:tc>
      </w:tr>
      <w:tr>
        <w:trPr/>
        <w:tc>
          <w:tcPr>
            <w:tcW w:w="732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 (or less) per ADS per calendar year</w:t>
            </w:r>
          </w:p>
        </w:tc>
        <w:tc>
          <w:tcPr>
            <w:tcW w:w="146" w:type="dxa"/>
            <w:tcBorders/>
          </w:tcPr>
          <w:p>
            <w:pPr>
              <w:pStyle w:val="TableContents"/>
              <w:bidi w:val="0"/>
              <w:spacing w:before="0" w:after="283"/>
              <w:jc w:val="left"/>
              <w:rPr/>
            </w:pPr>
            <w:r>
              <w:rPr/>
              <w:t> </w:t>
            </w:r>
          </w:p>
        </w:tc>
        <w:tc>
          <w:tcPr>
            <w:tcW w:w="273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Depositary services</w:t>
            </w:r>
          </w:p>
        </w:tc>
      </w:tr>
      <w:tr>
        <w:trPr/>
        <w:tc>
          <w:tcPr>
            <w:tcW w:w="732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Registration or transfer fees</w:t>
            </w:r>
          </w:p>
        </w:tc>
        <w:tc>
          <w:tcPr>
            <w:tcW w:w="146" w:type="dxa"/>
            <w:tcBorders/>
          </w:tcPr>
          <w:p>
            <w:pPr>
              <w:pStyle w:val="TableContents"/>
              <w:bidi w:val="0"/>
              <w:spacing w:before="0" w:after="283"/>
              <w:jc w:val="left"/>
              <w:rPr/>
            </w:pPr>
            <w:r>
              <w:rPr/>
              <w:t> </w:t>
            </w:r>
          </w:p>
        </w:tc>
        <w:tc>
          <w:tcPr>
            <w:tcW w:w="273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 and registration of shares on our share register to or from the name of the depositary or its agent when ADS holders deposit or withdraw shares</w:t>
            </w:r>
          </w:p>
        </w:tc>
      </w:tr>
      <w:tr>
        <w:trPr/>
        <w:tc>
          <w:tcPr>
            <w:tcW w:w="732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 of the depositary</w:t>
            </w:r>
          </w:p>
        </w:tc>
        <w:tc>
          <w:tcPr>
            <w:tcW w:w="146" w:type="dxa"/>
            <w:tcBorders/>
          </w:tcPr>
          <w:p>
            <w:pPr>
              <w:pStyle w:val="TableContents"/>
              <w:bidi w:val="0"/>
              <w:spacing w:before="0" w:after="283"/>
              <w:jc w:val="left"/>
              <w:rPr/>
            </w:pPr>
            <w:r>
              <w:rPr/>
              <w:t> </w:t>
            </w:r>
          </w:p>
        </w:tc>
        <w:tc>
          <w:tcPr>
            <w:tcW w:w="273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Cable and facsimile transmissions (when expressly provided in the deposit agreement)</w:t>
            </w:r>
          </w:p>
        </w:tc>
      </w:tr>
      <w:tr>
        <w:trPr/>
        <w:tc>
          <w:tcPr>
            <w:tcW w:w="7325"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73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Converting foreign currency to U.S. dollars</w:t>
            </w:r>
          </w:p>
        </w:tc>
      </w:tr>
      <w:tr>
        <w:trPr/>
        <w:tc>
          <w:tcPr>
            <w:tcW w:w="732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Taxes and other governmental charges the depositary or the custodian must pay in respect of any ADSs or shares underlying ADSs, such as stock transfer taxes, stamp duty or withholding taxes</w:t>
            </w:r>
          </w:p>
        </w:tc>
        <w:tc>
          <w:tcPr>
            <w:tcW w:w="146" w:type="dxa"/>
            <w:tcBorders/>
          </w:tcPr>
          <w:p>
            <w:pPr>
              <w:pStyle w:val="TableContents"/>
              <w:bidi w:val="0"/>
              <w:spacing w:before="0" w:after="283"/>
              <w:jc w:val="left"/>
              <w:rPr/>
            </w:pPr>
            <w:r>
              <w:rPr/>
              <w:t> </w:t>
            </w:r>
          </w:p>
        </w:tc>
        <w:tc>
          <w:tcPr>
            <w:tcW w:w="273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necessary</w:t>
            </w:r>
          </w:p>
        </w:tc>
      </w:tr>
      <w:tr>
        <w:trPr/>
        <w:tc>
          <w:tcPr>
            <w:tcW w:w="732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charges incurred by the depositary or its agents for servicing the deposited securities</w:t>
            </w:r>
          </w:p>
        </w:tc>
        <w:tc>
          <w:tcPr>
            <w:tcW w:w="146" w:type="dxa"/>
            <w:tcBorders/>
          </w:tcPr>
          <w:p>
            <w:pPr>
              <w:pStyle w:val="TableContents"/>
              <w:bidi w:val="0"/>
              <w:spacing w:before="0" w:after="283"/>
              <w:jc w:val="left"/>
              <w:rPr/>
            </w:pPr>
            <w:r>
              <w:rPr/>
              <w:t> </w:t>
            </w:r>
          </w:p>
        </w:tc>
        <w:tc>
          <w:tcPr>
            <w:tcW w:w="273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necessary</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may convert currency itself or through any of its affiliates (which may include the custodian)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and will not be liable for any direct or indirect losses associated with the rate. The methodology used to determine exchange rates used in currency conversions is available upon request.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Payment of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ADS holders will be responsible for any taxes or other governmental charges payable in respect of their ADSs or in respect of the deposited securities represented by any of their ADSs. The depositary may refuse to register any transfer of ADSs or allow ADS holders to withdraw the deposited securities represented by their ADSs until those taxes or other charges are paid. It may apply payments owed to ADS holders or sell deposited securities represented by their ADSs to pay any taxes owed and ADS holders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Tender and Exchange Offers; Redemption, Replacement or Cancellation of Deposited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will not tender deposited securities in any voluntary tender or exchange offer unless instructed to do by an ADS holder surrendering ADSs and subject to any conditions or procedures the depositary may establish.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there is a replacement of the deposited securities and the depositary will continue to hold the replacement securities, the depositary may distribute new ADSs representing the new deposited securities or ask the ADS holders to surrender their outstanding ADRs in exchange for new ADRs identifying the new deposited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 and Termination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How may the deposit agreement be amended?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agree with the depositary to amend the deposit agreement and the ADRs without the consent of ADS holders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ADS holders are considered, by continuing to hold their ADSs, to agree to the amendment and to be bound by the ADRs and the deposit agreement as amended.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How may the deposit agreement be terminated?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will initiate termination of the deposit agreement if we instruct it to do so. The depositary may initiate termination of the deposit agreement if: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60 days have passed since the depositary told us it wants to resign but a successor depositary has not been appointed and accepted its appointment;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delist the ADSs from an exchange in the United States on which they were listed and do not list the ADSs on another exchange in the United States or make arrangements for trading of ADSs on the U.S. over-the-counter market;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depositary has reason to believe the ADSs have become, or will become, ineligible for registration on Form F-6 under the Securities 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appear to be insolvent or enter insolvency proceedings;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or substantially all the value of the deposited securities has been distributed either in cash or in the form of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are no deposited securities underlying the ADSs or the underlying deposited securities have become apparently worthless;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has been a replacement of deposited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in respect of deposited securities, but, after the termination date, the depositary is not required to register any transfer of ADSs or distribute any dividends or other distributions in respect of deposited securities to the ADSs holder (until they surrender their ADSs) or give any notices or perform any other duties under the deposit agreement except as described in this paragraph.</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Limitations on Obligations and Liability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Limits on our Obligations and the Obligations of the Depositary; Limits on Liability to Holders of ADSs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 agreement expressly limits our obligations and the obligations of the depositary. It also limits our liability and the liability of the depositary. We and the depositary: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are only obligated to take the actions specifically set forth in the deposit agreement without negligence or bad faith, and the depositary will not be a fiduciary or have any fiduciary duty to holders of ADSs;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are not liable if we are or it is prevented or delayed by law or by events or circumstances beyond our or its ability to prevent or counteract with reasonable care or effort from performing our or its obligations under the deposit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are not liable if we exercise or it exercises discretion permitted under the deposit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are not liable for the inability of any holder of ADSs to benefit from any distribution in respect of deposited securities that is not made available to holders of ADSs under the terms of the deposit agreement, or for any special, consequential or punitive damages for any breach of the terms of the deposit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have no obligation to become involved in a lawsuit or other proceeding related to the ADSs or the deposit agreement on behalf of any ADS holder or any other person;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may rely upon any documents we believe or it believes in good faith to be genuine and to have been signed or presented by the proper person;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are not liable for the acts or omissions of any securities depository, clearing agency or settlement system;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deposit agreement, we and the depositary agree to indemnify each other under certain circumstances.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Requirements for Depositary 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the depositary will deliver or register a transfer of ADSs, make a distribution in respect of ADSs, or permit withdrawal of ordinary shares, the depositary may require: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payment of stock transfer or other taxes or other governmental charges and transfer or registration fees charged by third parties for the transfer of any shares or other deposited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satisfactory proof of the identity and genuineness of any signature or other information it deems necessary;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regulations it may establish, from time to time, consistent with the deposit agreement, including presentation of transfer documents.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may refuse to deliver ADSs or register transfers of ADSs when the transfer books of the depositary or our transfer books are closed or at any time if the depositary or we think it advisable to do so.</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ADS Holders’ Rights to Receive the Shares Underlying their ADSs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ADS holders have the right to cancel their ADSs and withdraw the underlying ordinary shares at any time except: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when temporary delays arise because: (i) the depositary has closed its transfer books or we have closed our transfer books; (ii) the transfer of ordinary shares is blocked to permit voting at a shareholders’ meeting; or (iii) we are paying a dividend on our ordinary shares;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when the ADS holder owes money to pay fees, taxes and similar charges;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when it is necessary to prohibit withdrawals in order to comply with any laws or governmental regulations that apply to ADSs or to the withdrawal of shares or other deposited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right of withdrawal may not be limited by any other provision of the deposit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 Registration System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deposit agreement, all parties to the deposit agreement acknowledge that the Direct Registration System (“DRS”) and Profile Modification System (“Profile”)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 Communications; Inspection of Register of Holders of ADSs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will make available for inspection by ADS holders at the depositary’s office all communications that it receives from us as a holder of deposited securities that we make generally available to holders of deposited securities. The depositary will send ADS holders copies of those communications or otherwise make those communications available to ADS holders if we ask it to. ADS holders have a right to inspect the register of holders of ADSs, but not for the purpose of contacting those holders about a matter unrelated to our business or the ADSs.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Jury Trial Waiver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 agreement provides that, to the extent permitted by law, ADS holders waive the right to a jury trial of any claim they may have against us or the depositary arising out of or relating to our ordinary shares, the ADSs or the deposit agreement, including any claim under the U.S. federal securities laws. If we or the depositary oppose a jury trial demand based on the waiver, the court would determine whether the waiver is enforceable in the facts and circumstances of that case in accordance with applicable case law. By agreeing to this jury trial waiver provision, however, ADS holders will not be deemed to have waived our or the depositary’s compliance with the U.S. federal securities laws and the rules and regulations promulgated thereunder.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Exclusive Forum Provisions for Certain U.S. Securities Law Claims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 agreement provides that, unless we consent in writing to the selection of an alternative forum, the federal district courts of the United States of America shall be the exclusive forum for the resolution of any claim arising under the Securities Act, the Exchange Act or the rules or regulations promulgated pursuant to such statutes relating to our ordinary shares or the ADSs that is asserted by a holder or beneficial owner of ADSs. Any person or entity purchasing or otherwise acquiring any direct or indirect interest in ADSs shall be deemed to have notice of and consented to this exclusive forum provision.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2" w:name="T8"/>
      <w:bookmarkEnd w:id="12"/>
      <w:r>
        <w:rPr>
          <w:rFonts w:ascii="Times New Roman PS Std;serif" w:hAnsi="Times New Roman PS Std;serif"/>
          <w:b/>
          <w:i w:val="false"/>
          <w:caps/>
          <w:sz w:val="20"/>
        </w:rPr>
        <w:t>Description of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rights to purchase our ADSs. These rights may be issued independently or together with any other security offered by this prospectus and may or may not be transferable by the shareholder receiving the rights in the rights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applicable prospectus supplement relating to any rights offering will describe the terms of the offered rights, including, where applicable,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record date for shareholders entitled to receive the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exercise price for the rights, including provisions for changes or adjustments in the exercise price for the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rights issued to each shareholder;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extent to which the rights are transferable;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terms of the rights, including terms, procedures and limitations relating to the exchange and exercise of the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on which the right to exercise the rights will commence and the date on which the rights will expire;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extent to which the rights include an over-subscription privilege with respect to unsubscribed securities;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material terms of any standby underwriting arrangement entered into by us in connection with the rights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fewer than all of the rights issued in any subscription rights offering are exercised, we may sell the unsubscribed securities directly to third parties or may engage the services of one or more underwriters, dealers or agents, including standby underwriters, to sell the unsubscribed securities to third parties, as described in the applicable prospectus supplement.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3" w:name="T7"/>
      <w:bookmarkEnd w:id="13"/>
      <w:r>
        <w:rPr>
          <w:rFonts w:ascii="Times New Roman PS Std;serif" w:hAnsi="Times New Roman PS Std;serif"/>
          <w:b/>
          <w:i w:val="false"/>
          <w:caps/>
          <w:sz w:val="20"/>
        </w:rPr>
        <w:t>Taxation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discussion describes the material German and U.S. tax consequences of the receipt, ownership and disposition of the subscription rights to new ADSs (Bezugsrechte) and new ADSs. The summary is based upon the tax laws of Germany and regulations thereunder and the tax laws of the United States and regulations thereunder as of the date hereof, which are subject to change. It does not purport to be a comprehensive description of all tax considerations that may be relevant to an investment decision by any particular investor, including tax considerations that arise from rules of general application to all taxpayers or to certain classes of taxpayers that are generally assumed to be known by investors. You should consult your tax advisor regarding the applicable tax consequences to you of investing in our ordinary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German Taxation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addresses certain German tax consequences of the receipt, ownership and disposition of the subscription rights relating to new ADSs (</w:t>
      </w:r>
      <w:r>
        <w:rPr>
          <w:rFonts w:ascii="Times New Roman PS Std;serif" w:hAnsi="Times New Roman PS Std;serif"/>
          <w:b w:val="false"/>
          <w:i/>
          <w:caps w:val="false"/>
          <w:smallCaps w:val="false"/>
          <w:sz w:val="20"/>
        </w:rPr>
        <w:t>Bezugsrechte</w:t>
      </w:r>
      <w:r>
        <w:rPr>
          <w:rFonts w:ascii="Times New Roman PS Std;serif" w:hAnsi="Times New Roman PS Std;serif"/>
          <w:b w:val="false"/>
          <w:i w:val="false"/>
          <w:caps w:val="false"/>
          <w:smallCaps w:val="false"/>
          <w:sz w:val="20"/>
        </w:rPr>
        <w:t>) and acquiring, owning and disposing of new ADSs. With the exception of the subsection “— </w:t>
      </w:r>
      <w:r>
        <w:rPr>
          <w:rFonts w:ascii="Times New Roman PS Std;serif" w:hAnsi="Times New Roman PS Std;serif"/>
          <w:b w:val="false"/>
          <w:i/>
          <w:caps w:val="false"/>
          <w:smallCaps w:val="false"/>
          <w:sz w:val="20"/>
        </w:rPr>
        <w:t>General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German Tax Treatment of ADSs — Taxation of Holders Tax Resident in Germany</w:t>
      </w:r>
      <w:r>
        <w:rPr>
          <w:rFonts w:ascii="Times New Roman PS Std;serif" w:hAnsi="Times New Roman PS Std;serif"/>
          <w:b w:val="false"/>
          <w:i w:val="false"/>
          <w:caps w:val="false"/>
          <w:smallCaps w:val="false"/>
          <w:sz w:val="20"/>
        </w:rPr>
        <w:t>” below, which provides an overview of dividend taxation to holders that are residents of Germany, this discussion applies only to U.S. treaty beneficiaries (as defined below) that acquire new ADSs in the rights offering. The discussion does not purport to be a comprehensive description of all the tax considerations that may be relevant to a German tax resident or a U.S. treaty beneficiary (as defined below) receiving subscription rights relating to new ADSs, or acquiring new ADSs. In particular, this discussion does not address tax considerations applicable to certain types of U.S. treaty beneficiaries (as defined below) that may be subject to special treatment under the German tax laws, such as companies of the finance or insurance sector.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is based on domestic German tax laws, including, but not limited to, circulars issued by German tax authorities, which are not binding on the German courts, and the Treaty (as defined below). It is based upon tax laws in effect at the time of filing of this prospectus. These laws are subject to change, possibly with retroactive effect. In addition, this discussion is based upon the assumption that each obligation in the deposit agreement and any related agreement will be performed in accordance with its terms. It does not purport to be a comprehensive or exhaustive description of all German tax considerations that may be of relevance in the context of receiving, owning and disposing of subscription rights relating to new ADSs or acquiring, owning and disposing of ADSs.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information presented in this section is not a substitute for tax advice. Prospective holders of ADSs (and subscription rights relating thereto) should consult their own tax advisors regarding the German tax consequences of the purchase, ownership, disposition, donation or inheritance of ADSs (and subscription rights relating thereto) in light of their particular circumstances, including the effect of any state, local, or other foreign or domestic laws or changes in tax law or interpretation. The same applies with respect to the rules governing the refund of any German withholding tax on capital income (</w:t>
      </w:r>
      <w:r>
        <w:rPr>
          <w:rFonts w:ascii="Times New Roman PS Std;serif" w:hAnsi="Times New Roman PS Std;serif"/>
          <w:b w:val="false"/>
          <w:i/>
          <w:caps w:val="false"/>
          <w:smallCaps w:val="false"/>
          <w:sz w:val="20"/>
        </w:rPr>
        <w:t>Kapitalertragsteuer</w:t>
      </w:r>
      <w:r>
        <w:rPr>
          <w:rFonts w:ascii="Times New Roman PS Std;serif" w:hAnsi="Times New Roman PS Std;serif"/>
          <w:b w:val="false"/>
          <w:i w:val="false"/>
          <w:caps w:val="false"/>
          <w:smallCaps w:val="false"/>
          <w:sz w:val="20"/>
        </w:rPr>
        <w:t>) withheld. Only an individual tax consultation can appropriately account for the particular tax situation of each investor.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does not assume any responsibility for withholding tax at source.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General German Tax Treatment of ADSs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hereof, no published German tax court decisions exist as to all aspects of the German tax treatment of ADRs, ADSs or subscription rights relating thereto. However, based on the circular issued by the German Federal Ministry of Finance (</w:t>
      </w:r>
      <w:r>
        <w:rPr>
          <w:rFonts w:ascii="Times New Roman PS Std;serif" w:hAnsi="Times New Roman PS Std;serif"/>
          <w:b w:val="false"/>
          <w:i/>
          <w:caps w:val="false"/>
          <w:smallCaps w:val="false"/>
          <w:sz w:val="20"/>
        </w:rPr>
        <w:t>BMF-Schreiben</w:t>
      </w:r>
      <w:r>
        <w:rPr>
          <w:rFonts w:ascii="Times New Roman PS Std;serif" w:hAnsi="Times New Roman PS Std;serif"/>
          <w:b w:val="false"/>
          <w:i w:val="false"/>
          <w:caps w:val="false"/>
          <w:smallCaps w:val="false"/>
          <w:sz w:val="20"/>
        </w:rPr>
        <w:t xml:space="preserve">) dated May 24, 2013, reference number IV C 1-S2204/12/10003, as amended by the circular dated December 18, 2018, reference number IV C 1-S2204/12, jointly the “ADR Tax Circular,” for German tax purposes, the ADSs (and the subscription rights relating thereto) should represent a beneficial ownership interest in the underlying shares of the company and qualify as ADRs for the purpose of the ADR Tax Circular, even though it has to be noted that the ADR Tax Circular does not explicitly address ADSs (and subscription rights relating thereto). If the ADSs qualify as ADRs under the ADR Tax Circular, dividends will accordingly be attributable to holders of ADSs for tax purposes, and not to the legal owner of the ordinary shares (i.e., the financial institution on behalf of which the ordinary shares are stored at a domestic depository for the ADS holders). Furthermore, holders of ADSs (and subscription rights relating thereto) will be treated as beneficial owners of the capital of the company with respect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capital gains (see below in section “— </w:t>
      </w:r>
      <w:r>
        <w:rPr>
          <w:rFonts w:ascii="Times New Roman PS Std;serif" w:hAnsi="Times New Roman PS Std;serif"/>
          <w:b w:val="false"/>
          <w:i/>
          <w:caps w:val="false"/>
          <w:smallCaps w:val="false"/>
          <w:sz w:val="20"/>
        </w:rPr>
        <w:t>General Rules for the Taxation of Non-German</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Tax Resident Holders of ADSs — German Taxation of Capital Gains of U.S. Treaty Beneficiaries of the ADSs</w:t>
      </w:r>
      <w:r>
        <w:rPr>
          <w:rFonts w:ascii="Times New Roman PS Std;serif" w:hAnsi="Times New Roman PS Std;serif"/>
          <w:b w:val="false"/>
          <w:i w:val="false"/>
          <w:caps w:val="false"/>
          <w:smallCaps w:val="false"/>
          <w:sz w:val="20"/>
        </w:rPr>
        <w:t>”). However, investors should note that circulars published by the German tax authorities (including the ADR Tax Circular) are not binding on German courts, including German tax courts, and it is uncertain whether a German court would follow the ADR Tax Circular in determining the German tax treatment of the ADSs (and subscription rights relating thereto). Nevertheless, for the purpose of this German tax section it is assumed that the ADSs (and subscription rights relating thereto) qualify as ADRs within the meaning of the ADR Tax Circular.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issuance, exercise and expiration of the subscription rights to new ADSs generally should not be regarded as taxable transactions for German income tax purposes (but may, e.g., have implications for the tax base of the new ADSs in certain instances).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of Non-German Tax Resident U.S.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describes material German tax consequences for a holder that is a U.S. treaty beneficiary of acquiring, owning and disposing of ADSs or disposing of subscription rights to new ADSs. For purposes of this discussion, a “U.S. treaty beneficiary” is a resident of the United States for purposes of the Convention between the Federal Republic of Germany and the United States of America for the Avoidance of Double Taxation and the Prevention of Fiscal Evasion with respect to Taxes on Income and Capital and certain other Taxes in the version published as of June 4, 2008 (</w:t>
      </w:r>
      <w:r>
        <w:rPr>
          <w:rFonts w:ascii="Times New Roman PS Std;serif" w:hAnsi="Times New Roman PS Std;serif"/>
          <w:b w:val="false"/>
          <w:i/>
          <w:caps w:val="false"/>
          <w:smallCaps w:val="false"/>
          <w:sz w:val="20"/>
        </w:rPr>
        <w:t>Abkommen zwischen der Bundesrepublik Deutschland und den Vereinigten Staaten von Amerika zur Vermeidung der Doppelbesteuerung und zur Verhinderung der Steuerverkürzung auf dem Gebiet der Steuern vom Einkommen und vom Vermögen und einiger anderer Steuern in der Fassung der Bekanntmachung vom 4. Juni 2008</w:t>
      </w:r>
      <w:r>
        <w:rPr>
          <w:rFonts w:ascii="Times New Roman PS Std;serif" w:hAnsi="Times New Roman PS Std;serif"/>
          <w:b w:val="false"/>
          <w:i w:val="false"/>
          <w:caps w:val="false"/>
          <w:smallCaps w:val="false"/>
          <w:sz w:val="20"/>
        </w:rPr>
        <w:t>) as published in the German Federal Law Gazette (</w:t>
      </w:r>
      <w:r>
        <w:rPr>
          <w:rFonts w:ascii="Times New Roman PS Std;serif" w:hAnsi="Times New Roman PS Std;serif"/>
          <w:b w:val="false"/>
          <w:i/>
          <w:caps w:val="false"/>
          <w:smallCaps w:val="false"/>
          <w:sz w:val="20"/>
        </w:rPr>
        <w:t>Bundesgesetzblatt</w:t>
      </w:r>
      <w:r>
        <w:rPr>
          <w:rFonts w:ascii="Times New Roman PS Std;serif" w:hAnsi="Times New Roman PS Std;serif"/>
          <w:b w:val="false"/>
          <w:i w:val="false"/>
          <w:caps w:val="false"/>
          <w:smallCaps w:val="false"/>
          <w:sz w:val="20"/>
        </w:rPr>
        <w:t>) 2008 vol. II pp. 611/851 (hereinafter referred to as the “Treaty”) who is fully eligible for benefits under the Treaty.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holder will be a U.S. treaty beneficiary entitled to full Treaty benefits in respect of the ADSs (and subscription rights relating thereto) if it is, inter alia: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beneficial owner of the ADSs (and subscription rights relating thereto and the dividends paid with respect to the ADS);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U.S. holder (as defined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not also a resident of Germany for German tax purposes;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not subject to the limitation on benefits restrictions (i.e., anti-treaty shopping article of the Treaty or German domestic rules) that applies in limited circumstances.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Special rules apply to pension funds and certain other tax-exempt investors.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does not address the treatment of ADSs (and subscription rights relating thereto) that are (i) held in connection with a permanent establishment or fixed base through which a U.S. treaty beneficiary carries on business or performs personal services in Germany or (ii) part of business assets for which a permanent representative in Germany has been appointed.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Rules for the Taxation of Non-German Tax Resident Holders of ADSs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Non-German resident holders of ADSs are subject to German taxation with respect to certain German source income (</w:t>
      </w:r>
      <w:r>
        <w:rPr>
          <w:rFonts w:ascii="Times New Roman PS Std;serif" w:hAnsi="Times New Roman PS Std;serif"/>
          <w:b w:val="false"/>
          <w:i/>
          <w:caps w:val="false"/>
          <w:smallCaps w:val="false"/>
          <w:sz w:val="20"/>
        </w:rPr>
        <w:t>beschränkte</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Steuerpflicht</w:t>
      </w:r>
      <w:r>
        <w:rPr>
          <w:rFonts w:ascii="Times New Roman PS Std;serif" w:hAnsi="Times New Roman PS Std;serif"/>
          <w:b w:val="false"/>
          <w:i w:val="false"/>
          <w:caps w:val="false"/>
          <w:smallCaps w:val="false"/>
          <w:sz w:val="20"/>
        </w:rPr>
        <w:t>). According to the ADR Tax Circular, income from the shares, for which ADS are issued, should be attributed to the holders of ADSs for German tax purposes. As a consequence, income from the ADSs should be treated as German source income (dividend distributions of a corporate entity with a statutory seat and/or its place of central management in Germany). However, the repayment of capital contributions (</w:t>
      </w:r>
      <w:r>
        <w:rPr>
          <w:rFonts w:ascii="Times New Roman PS Std;serif" w:hAnsi="Times New Roman PS Std;serif"/>
          <w:b w:val="false"/>
          <w:i/>
          <w:caps w:val="false"/>
          <w:smallCaps w:val="false"/>
          <w:sz w:val="20"/>
        </w:rPr>
        <w:t>Einlagenrückgewähr</w:t>
      </w:r>
      <w:r>
        <w:rPr>
          <w:rFonts w:ascii="Times New Roman PS Std;serif" w:hAnsi="Times New Roman PS Std;serif"/>
          <w:b w:val="false"/>
          <w:i w:val="false"/>
          <w:caps w:val="false"/>
          <w:smallCaps w:val="false"/>
          <w:sz w:val="20"/>
        </w:rPr>
        <w:t>) for tax purposes is considered as reduction of the acquisition costs of the respective shares rather than as dividend payment (subject to proper tax declaration by the company in accordance with German tax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full amount of a dividend distributed by the company to a non-German resident holder which does not maintain a permanent establishment or other taxable presence in Germany is subject as a matter of principle to (final) German withholding tax at an aggregate rate of 26.375% (25% income tax plus 5.5% solidarity surcharge thereon). In addition to that, dividends may be subject to church tax (</w:t>
      </w:r>
      <w:r>
        <w:rPr>
          <w:rFonts w:ascii="Times New Roman PS Std;serif" w:hAnsi="Times New Roman PS Std;serif"/>
          <w:b w:val="false"/>
          <w:i/>
          <w:caps w:val="false"/>
          <w:smallCaps w:val="false"/>
          <w:sz w:val="20"/>
        </w:rPr>
        <w:t>Kirchensteuer</w:t>
      </w:r>
      <w:r>
        <w:rPr>
          <w:rFonts w:ascii="Times New Roman PS Std;serif" w:hAnsi="Times New Roman PS Std;serif"/>
          <w:b w:val="false"/>
          <w:i w:val="false"/>
          <w:caps w:val="false"/>
          <w:smallCaps w:val="false"/>
          <w:sz w:val="20"/>
        </w:rPr>
        <w:t xml:space="preserve">) if applicable. The relevant dividend is deemed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be received for German tax purposes at the payout date as determined by the company’s general shareholders’ meeting, or if such date is not specified, the day after such general shareholders’ meeting. The amount of the relevant taxable income is based on the gross amount in Euro; any expenses and costs related to such taxable income in principle should not reduce the taxable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solidarity surcharge (</w:t>
      </w:r>
      <w:r>
        <w:rPr>
          <w:rFonts w:ascii="Times New Roman PS Std;serif" w:hAnsi="Times New Roman PS Std;serif"/>
          <w:b w:val="false"/>
          <w:i/>
          <w:caps w:val="false"/>
          <w:smallCaps w:val="false"/>
          <w:sz w:val="20"/>
        </w:rPr>
        <w:t>Solidaritätszuschlag</w:t>
      </w:r>
      <w:r>
        <w:rPr>
          <w:rFonts w:ascii="Times New Roman PS Std;serif" w:hAnsi="Times New Roman PS Std;serif"/>
          <w:b w:val="false"/>
          <w:i w:val="false"/>
          <w:caps w:val="false"/>
          <w:smallCaps w:val="false"/>
          <w:sz w:val="20"/>
        </w:rPr>
        <w:t>) has been abolished or reduced for certain German taxpayers, depending on their amount of payable income tax. The new rules apply from the beginning of the assessment period for the fiscal year ending December 31, 2021. Pursuant to the new law, the solidarity surcharge remains in place for purposes of withholding tax, the flat rate income tax on capital income regime and corporate income tax. Despite ongoing discussions about the complete abolition of the solidarity surcharge (</w:t>
      </w:r>
      <w:r>
        <w:rPr>
          <w:rFonts w:ascii="Times New Roman PS Std;serif" w:hAnsi="Times New Roman PS Std;serif"/>
          <w:b w:val="false"/>
          <w:i/>
          <w:caps w:val="false"/>
          <w:smallCaps w:val="false"/>
          <w:sz w:val="20"/>
        </w:rPr>
        <w:t>Solidaritätszuschlag</w:t>
      </w:r>
      <w:r>
        <w:rPr>
          <w:rFonts w:ascii="Times New Roman PS Std;serif" w:hAnsi="Times New Roman PS Std;serif"/>
          <w:b w:val="false"/>
          <w:i w:val="false"/>
          <w:caps w:val="false"/>
          <w:smallCaps w:val="false"/>
          <w:sz w:val="20"/>
        </w:rPr>
        <w:t>), the coalition agreement between the German Social Democratic Party, the German Green Party and the German Liberal Party does not contain any provisions on this subject. Shareholders are nevertheless advised to monitor additional future developments.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German withholding tax on capital income (</w:t>
      </w:r>
      <w:r>
        <w:rPr>
          <w:rFonts w:ascii="Times New Roman PS Std;serif" w:hAnsi="Times New Roman PS Std;serif"/>
          <w:b w:val="false"/>
          <w:i/>
          <w:caps w:val="false"/>
          <w:smallCaps w:val="false"/>
          <w:sz w:val="20"/>
        </w:rPr>
        <w:t>Kapitalertragsteuer</w:t>
      </w:r>
      <w:r>
        <w:rPr>
          <w:rFonts w:ascii="Times New Roman PS Std;serif" w:hAnsi="Times New Roman PS Std;serif"/>
          <w:b w:val="false"/>
          <w:i w:val="false"/>
          <w:caps w:val="false"/>
          <w:smallCaps w:val="false"/>
          <w:sz w:val="20"/>
        </w:rPr>
        <w:t>) is withheld and remitted to the competent German tax authorities by (i) the German dividend disbursing agent (in particular a German credit institution, financial services institution, German securities trading enterprise or German securities trading bank (each as defined in the German Banking Act (</w:t>
      </w:r>
      <w:r>
        <w:rPr>
          <w:rFonts w:ascii="Times New Roman PS Std;serif" w:hAnsi="Times New Roman PS Std;serif"/>
          <w:b w:val="false"/>
          <w:i/>
          <w:caps w:val="false"/>
          <w:smallCaps w:val="false"/>
          <w:sz w:val="20"/>
        </w:rPr>
        <w:t>Kreditwesengesetz</w:t>
      </w:r>
      <w:r>
        <w:rPr>
          <w:rFonts w:ascii="Times New Roman PS Std;serif" w:hAnsi="Times New Roman PS Std;serif"/>
          <w:b w:val="false"/>
          <w:i w:val="false"/>
          <w:caps w:val="false"/>
          <w:smallCaps w:val="false"/>
          <w:sz w:val="20"/>
        </w:rPr>
        <w:t>) and, in each case, including the German branch of a foreign enterprise, but excluding a foreign branch of a German enterprise)) that holds or administers the underlying shares in custody and (a) disburses or credits the dividend income from the underlying shares, (b) disburses or credits the dividend income from the underlying shares on delivery of the dividend coupons or (c) disburses such dividend income to a foreign agent, (ii) the central securities depository (</w:t>
      </w:r>
      <w:r>
        <w:rPr>
          <w:rFonts w:ascii="Times New Roman PS Std;serif" w:hAnsi="Times New Roman PS Std;serif"/>
          <w:b w:val="false"/>
          <w:i/>
          <w:caps w:val="false"/>
          <w:smallCaps w:val="false"/>
          <w:sz w:val="20"/>
        </w:rPr>
        <w:t>Wertpapiersammelbank</w:t>
      </w:r>
      <w:r>
        <w:rPr>
          <w:rFonts w:ascii="Times New Roman PS Std;serif" w:hAnsi="Times New Roman PS Std;serif"/>
          <w:b w:val="false"/>
          <w:i w:val="false"/>
          <w:caps w:val="false"/>
          <w:smallCaps w:val="false"/>
          <w:sz w:val="20"/>
        </w:rPr>
        <w:t>) in terms of the German Depositary Act (</w:t>
      </w:r>
      <w:r>
        <w:rPr>
          <w:rFonts w:ascii="Times New Roman PS Std;serif" w:hAnsi="Times New Roman PS Std;serif"/>
          <w:b w:val="false"/>
          <w:i/>
          <w:caps w:val="false"/>
          <w:smallCaps w:val="false"/>
          <w:sz w:val="20"/>
        </w:rPr>
        <w:t>Depotgesetz</w:t>
      </w:r>
      <w:r>
        <w:rPr>
          <w:rFonts w:ascii="Times New Roman PS Std;serif" w:hAnsi="Times New Roman PS Std;serif"/>
          <w:b w:val="false"/>
          <w:i w:val="false"/>
          <w:caps w:val="false"/>
          <w:smallCaps w:val="false"/>
          <w:sz w:val="20"/>
        </w:rPr>
        <w:t>) holding the underlying shares in a collective deposit, if such central securities depository disburses the dividend income from the underlying shares to a foreign agent, regardless of whether a holder must report the dividend for tax purposes and regardless of whether or not a holder is a resident of Germany, or (iii) by the dividend paying company itself if and to the extent the central securities depository (</w:t>
      </w:r>
      <w:r>
        <w:rPr>
          <w:rFonts w:ascii="Times New Roman PS Std;serif" w:hAnsi="Times New Roman PS Std;serif"/>
          <w:b w:val="false"/>
          <w:i/>
          <w:caps w:val="false"/>
          <w:smallCaps w:val="false"/>
          <w:sz w:val="20"/>
        </w:rPr>
        <w:t>Wertpapiersammelbank</w:t>
      </w:r>
      <w:r>
        <w:rPr>
          <w:rFonts w:ascii="Times New Roman PS Std;serif" w:hAnsi="Times New Roman PS Std;serif"/>
          <w:b w:val="false"/>
          <w:i w:val="false"/>
          <w:caps w:val="false"/>
          <w:smallCaps w:val="false"/>
          <w:sz w:val="20"/>
        </w:rPr>
        <w:t>) in terms of the German Depositary Act (</w:t>
      </w:r>
      <w:r>
        <w:rPr>
          <w:rFonts w:ascii="Times New Roman PS Std;serif" w:hAnsi="Times New Roman PS Std;serif"/>
          <w:b w:val="false"/>
          <w:i/>
          <w:caps w:val="false"/>
          <w:smallCaps w:val="false"/>
          <w:sz w:val="20"/>
        </w:rPr>
        <w:t>Depotgesetz</w:t>
      </w:r>
      <w:r>
        <w:rPr>
          <w:rFonts w:ascii="Times New Roman PS Std;serif" w:hAnsi="Times New Roman PS Std;serif"/>
          <w:b w:val="false"/>
          <w:i w:val="false"/>
          <w:caps w:val="false"/>
          <w:smallCaps w:val="false"/>
          <w:sz w:val="20"/>
        </w:rPr>
        <w:t>) holding the underlying shares in a collective deposit does not carry out a settlement of dividends if stock is held separately (</w:t>
      </w:r>
      <w:r>
        <w:rPr>
          <w:rFonts w:ascii="Times New Roman PS Std;serif" w:hAnsi="Times New Roman PS Std;serif"/>
          <w:b w:val="false"/>
          <w:i/>
          <w:caps w:val="false"/>
          <w:smallCaps w:val="false"/>
          <w:sz w:val="20"/>
        </w:rPr>
        <w:t>abgesetzte Bestände</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provisions of the Treaty, the German withholding tax may not exceed 15% of the gross dividends collected by U.S. treaty beneficiaries. The excess of the total withholding tax, including the solidarity surcharge, over the maximum rate of withholding tax permitted by the Treaty is refunded to U.S. treaty beneficiaries upon application (subject to presenting a German withholding tax certificate (</w:t>
      </w:r>
      <w:r>
        <w:rPr>
          <w:rFonts w:ascii="Times New Roman PS Std;serif" w:hAnsi="Times New Roman PS Std;serif"/>
          <w:b w:val="false"/>
          <w:i/>
          <w:caps w:val="false"/>
          <w:smallCaps w:val="false"/>
          <w:sz w:val="20"/>
        </w:rPr>
        <w:t>Steuerbescheinigung</w:t>
      </w:r>
      <w:r>
        <w:rPr>
          <w:rFonts w:ascii="Times New Roman PS Std;serif" w:hAnsi="Times New Roman PS Std;serif"/>
          <w:b w:val="false"/>
          <w:i w:val="false"/>
          <w:caps w:val="false"/>
          <w:smallCaps w:val="false"/>
          <w:sz w:val="20"/>
        </w:rPr>
        <w:t>) which can only be issued if the company has confirmed in writing to the German depositary, among other things, the number of ADSs issued and that all of the ADSs issued at the issuance date were covered by an equivalent number of German shares deposited with the German depositary (ADR Tax Circular). For example, for a declared dividend in the amount of €100, a U.S. treaty beneficiary initially receives €73.625 (€100 minus the 26.375% withholding tax including solidarity surcharge). The U.S. treaty beneficiary is entitled to a partial withholding tax refund from the German tax authorities in the amount of €11.375 of the gross dividend (€100). As a result, the U.S. treaty beneficiary ultimately receives a total amount of €85 (85% of the declared dividend) following the refund of the excess withholding. However, investors should note that it is unclear how the German tax authorities will apply the refund process to dividends on the ADSs with respect to non-German resident holders of the ADSs. Further, such a refund is subject to the German anti-avoidance treaty shopping rule (as described below in section “— </w:t>
      </w:r>
      <w:r>
        <w:rPr>
          <w:rFonts w:ascii="Times New Roman PS Std;serif" w:hAnsi="Times New Roman PS Std;serif"/>
          <w:b w:val="false"/>
          <w:i/>
          <w:caps w:val="false"/>
          <w:smallCaps w:val="false"/>
          <w:sz w:val="20"/>
        </w:rPr>
        <w:t>Withholding Tax Refund for U.S. Treaty Beneficiaries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reduced permitted German withholding tax rate of 5% would apply according to the Treaty provisions, if the U.S. treaty beneficiary is a corporation and holds directly at least 10% of the voting shares of the dividend paying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German Taxation of Capital Gains of U.S. Treaty Beneficiaries of the ADSs (and subscription rights relating thereto).</w:t>
      </w:r>
      <w:r>
        <w:rPr>
          <w:rFonts w:ascii="Times New Roman PS Std;serif" w:hAnsi="Times New Roman PS Std;serif"/>
          <w:b w:val="false"/>
          <w:i w:val="false"/>
          <w:caps w:val="false"/>
          <w:smallCaps w:val="false"/>
          <w:sz w:val="20"/>
        </w:rPr>
        <w:t>    Capital gains from the disposition of ADSs (and subscription rights relating thereto) realized by a non-German tax resident holder who does not maintain a permanent establishment or other taxable presence in Germany will be treated as German source income and be subject to German (corporate) income tax if such holder at any time during the five years preceding the disposition, directly or indirectly, owned 1% or more of the company’s share capital (or other equity related instruments, as specified by law), irrespective of whether through the ADSs or shares of the company. If such holder had acquired the ADSs without consideration, the previous owner’s holding period and quota would be taken into account when calculating the above holding period and the participation threshold.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U.S. treaty beneficiaries are eligible for treaty benefits under the Treaty (as described above in the section “— </w:t>
      </w:r>
      <w:r>
        <w:rPr>
          <w:rFonts w:ascii="Times New Roman PS Std;serif" w:hAnsi="Times New Roman PS Std;serif"/>
          <w:b w:val="false"/>
          <w:i/>
          <w:caps w:val="false"/>
          <w:smallCaps w:val="false"/>
          <w:sz w:val="20"/>
        </w:rPr>
        <w:t>Taxation of Non-German</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Tax Resident U.S. Holders</w:t>
      </w:r>
      <w:r>
        <w:rPr>
          <w:rFonts w:ascii="Times New Roman PS Std;serif" w:hAnsi="Times New Roman PS Std;serif"/>
          <w:b w:val="false"/>
          <w:i w:val="false"/>
          <w:caps w:val="false"/>
          <w:smallCaps w:val="false"/>
          <w:sz w:val="20"/>
        </w:rPr>
        <w:t>”). Pursuant to the Treaty, U.S. treaty beneficiaries are not subject to German tax with any capital gain derived from the sale of the ADSs (and subscription rights relating thereto), even under the circumstances described in the preceding paragraph and therefore will not be taxed on capital gains from the disposition of the ADSs (and subscription rights relating thereto).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German statutory law obliges a German disbursing agent to levy withholding tax on capital gains from the sale of ADSs (and subscription rights relating thereto) or other securities held in a custodial account in Germany. With regard to the German taxation of capital gains, German disbursing agent means a German credit institution or the financial services institution, or a German securities trading enterprise or a German securities trading bank (each as defined in the German Banking Act (</w:t>
      </w:r>
      <w:r>
        <w:rPr>
          <w:rFonts w:ascii="Times New Roman PS Std;serif" w:hAnsi="Times New Roman PS Std;serif"/>
          <w:b w:val="false"/>
          <w:i/>
          <w:caps w:val="false"/>
          <w:smallCaps w:val="false"/>
          <w:sz w:val="20"/>
        </w:rPr>
        <w:t>Kreditwesengesetz</w:t>
      </w:r>
      <w:r>
        <w:rPr>
          <w:rFonts w:ascii="Times New Roman PS Std;serif" w:hAnsi="Times New Roman PS Std;serif"/>
          <w:b w:val="false"/>
          <w:i w:val="false"/>
          <w:caps w:val="false"/>
          <w:smallCaps w:val="false"/>
          <w:sz w:val="20"/>
        </w:rPr>
        <w:t>) and, in each case, including a German branch of a foreign enterprise, but excluding a foreign branch of a German enterprise) that holds the ADSs (and subscription rights relating thereto) in custody or administers the ADSs (and subscription rights relating thereto) for the investor or conducts sales or other dispositions and disburses or credits the income from the ADSs (and subscription rights relating thereto) to the holder of the ADSs (and subscription rights relating thereto). It should be noted that the German statutory law does not explicitly condition the obligation to withhold taxes on capital gains being subject to taxation in Germany under German statutory law or on an applicable income tax treaty permitting Germany to tax such capital gains. However, a circular issued by the German Federal Ministry of Finance (</w:t>
      </w:r>
      <w:r>
        <w:rPr>
          <w:rFonts w:ascii="Times New Roman PS Std;serif" w:hAnsi="Times New Roman PS Std;serif"/>
          <w:b w:val="false"/>
          <w:i/>
          <w:caps w:val="false"/>
          <w:smallCaps w:val="false"/>
          <w:sz w:val="20"/>
        </w:rPr>
        <w:t>BMF-Schreiben</w:t>
      </w:r>
      <w:r>
        <w:rPr>
          <w:rFonts w:ascii="Times New Roman PS Std;serif" w:hAnsi="Times New Roman PS Std;serif"/>
          <w:b w:val="false"/>
          <w:i w:val="false"/>
          <w:caps w:val="false"/>
          <w:smallCaps w:val="false"/>
          <w:sz w:val="20"/>
        </w:rPr>
        <w:t>) dated May 19, 2022, reference number IV C 1-S2252/19/10003:009 (published in the German Federal Tax Gazette 2022, vol. I pp. 742), as last amended by a circular dated July 11, 2023, reference number IV C 1-S 2252/19/10003:013 (published in the German Federal Tax Gazette 2023 vol. I pp. 1471), provides that German taxes on capital gains need not be withheld when the holder of the custody account is not a resident of Germany for tax purposes and the income is not subject to German taxation. The circular further states that there is no obligation to withhold such tax even if the non-German resident holder owns 1% or more of the share capital of a German corporation. Although circulars issued by the German Federal Ministry of Finance are in principle only binding on the German tax authorities, a German disbursing agent is expected not to withhold tax on capital gains derived by a U.S. treaty beneficiary from the disposition of ADSs (and subscription rights relating thereto) held in a custodial account in Germany, unless the holder of the ADSs (and subscription rights relating thereto) does not provide evidence on its tax status as non-German tax resident. In any other case, the U.S. treaty beneficiary may be entitled to claim a refund of the withholding tax from the German tax authorities under the Treaty, as described below in the section “— </w:t>
      </w:r>
      <w:r>
        <w:rPr>
          <w:rFonts w:ascii="Times New Roman PS Std;serif" w:hAnsi="Times New Roman PS Std;serif"/>
          <w:b w:val="false"/>
          <w:i/>
          <w:caps w:val="false"/>
          <w:smallCaps w:val="false"/>
          <w:sz w:val="20"/>
        </w:rPr>
        <w:t>Withholding Tax Refund for U.S. Treaty Beneficiaries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Withholding Tax Refund for U.S. Treaty Beneficiaries.</w:t>
      </w:r>
      <w:r>
        <w:rPr>
          <w:rFonts w:ascii="Times New Roman PS Std;serif" w:hAnsi="Times New Roman PS Std;serif"/>
          <w:b w:val="false"/>
          <w:i w:val="false"/>
          <w:caps w:val="false"/>
          <w:smallCaps w:val="false"/>
          <w:sz w:val="20"/>
        </w:rPr>
        <w:t>    U.S. treaty beneficiaries are generally eligible for treaty benefits under the Treaty (as described above in Section “— </w:t>
      </w:r>
      <w:r>
        <w:rPr>
          <w:rFonts w:ascii="Times New Roman PS Std;serif" w:hAnsi="Times New Roman PS Std;serif"/>
          <w:b w:val="false"/>
          <w:i/>
          <w:caps w:val="false"/>
          <w:smallCaps w:val="false"/>
          <w:sz w:val="20"/>
        </w:rPr>
        <w:t>Taxation of Non-German</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Tax Resident U.S. Holders</w:t>
      </w:r>
      <w:r>
        <w:rPr>
          <w:rFonts w:ascii="Times New Roman PS Std;serif" w:hAnsi="Times New Roman PS Std;serif"/>
          <w:b w:val="false"/>
          <w:i w:val="false"/>
          <w:caps w:val="false"/>
          <w:smallCaps w:val="false"/>
          <w:sz w:val="20"/>
        </w:rPr>
        <w:t>”). Accordingly, U.S. treaty beneficiaries are in general entitled to claim a refund of the portion of the otherwise applicable 26.375% German withholding tax (corporate income tax including solidarity surcharge) on dividends that exceeds the applicable Treaty rate (subject to presenting a German withholding tax certificate). However, in respect of dividends, the refund described in the preceding paragraph is only possible if, due to special rules on the restriction of withholding tax credit,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 (i) 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then for a holder not being tax-resident in Germany who applied for a full or partial refund of the withholding tax pursuant to a double taxation treaty, no refund is available. This restriction generally does only apply if (i) the tax on the dividends underlying the refund application is below 15% of the gross amount of the dividends pursuant to a double taxation treaty and (ii) the holder is not a corporate entity which directly owns 10% or more of the shares in the company and is subject to income taxes in its state of residence, without being tax-exempt. The restriction of the withholding tax credit does not apply if the holder has beneficially owned the ADSs for at least one uninterrupted year until receipt (</w:t>
      </w:r>
      <w:r>
        <w:rPr>
          <w:rFonts w:ascii="Times New Roman PS Std;serif" w:hAnsi="Times New Roman PS Std;serif"/>
          <w:b w:val="false"/>
          <w:i/>
          <w:caps w:val="false"/>
          <w:smallCaps w:val="false"/>
          <w:sz w:val="20"/>
        </w:rPr>
        <w:t>Zufluss</w:t>
      </w:r>
      <w:r>
        <w:rPr>
          <w:rFonts w:ascii="Times New Roman PS Std;serif" w:hAnsi="Times New Roman PS Std;serif"/>
          <w:b w:val="false"/>
          <w:i w:val="false"/>
          <w:caps w:val="false"/>
          <w:smallCaps w:val="false"/>
          <w:sz w:val="20"/>
        </w:rPr>
        <w:t>) of the dividends. In addition to the aforementioned restrictions, in particular, pursuant to a circular issued by the German Federal Ministry of Finance (</w:t>
      </w:r>
      <w:r>
        <w:rPr>
          <w:rFonts w:ascii="Times New Roman PS Std;serif" w:hAnsi="Times New Roman PS Std;serif"/>
          <w:b w:val="false"/>
          <w:i/>
          <w:caps w:val="false"/>
          <w:smallCaps w:val="false"/>
          <w:sz w:val="20"/>
        </w:rPr>
        <w:t>BMF-Schreiben</w:t>
      </w:r>
      <w:r>
        <w:rPr>
          <w:rFonts w:ascii="Times New Roman PS Std;serif" w:hAnsi="Times New Roman PS Std;serif"/>
          <w:b w:val="false"/>
          <w:i w:val="false"/>
          <w:caps w:val="false"/>
          <w:smallCaps w:val="false"/>
          <w:sz w:val="20"/>
        </w:rPr>
        <w:t>) dated July 9, 2021, reference number IV C 1-S 2252/19/10035 :014 (published in the German Federal Tax Gazette 2021 vol. I pp. 995), as amended from time to time, the withholding tax refund may also be denied as an anti-abuse measure.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as previously discussed, investors should note that it is unclear how the German tax administration will apply the refund process to dividends on the ADSs. Further, such refund is subject to the German anti-avoidance treaty shopping rule according to section 50d para. 3 of the German Income Tax Act (</w:t>
      </w:r>
      <w:r>
        <w:rPr>
          <w:rFonts w:ascii="Times New Roman PS Std;serif" w:hAnsi="Times New Roman PS Std;serif"/>
          <w:b w:val="false"/>
          <w:i/>
          <w:caps w:val="false"/>
          <w:smallCaps w:val="false"/>
          <w:sz w:val="20"/>
        </w:rPr>
        <w:t>Einkommensteuergesetz</w:t>
      </w:r>
      <w:r>
        <w:rPr>
          <w:rFonts w:ascii="Times New Roman PS Std;serif" w:hAnsi="Times New Roman PS Std;serif"/>
          <w:b w:val="false"/>
          <w:i w:val="false"/>
          <w:caps w:val="false"/>
          <w:smallCaps w:val="false"/>
          <w:sz w:val="20"/>
        </w:rPr>
        <w:t>), as amended in June 2021. Pursuant to the recent amendment, a foreign company shall — irrespective of any double taxation treaties — not be entitled to relief from withholding tax on capital income (</w:t>
      </w:r>
      <w:r>
        <w:rPr>
          <w:rFonts w:ascii="Times New Roman PS Std;serif" w:hAnsi="Times New Roman PS Std;serif"/>
          <w:b w:val="false"/>
          <w:i/>
          <w:caps w:val="false"/>
          <w:smallCaps w:val="false"/>
          <w:sz w:val="20"/>
        </w:rPr>
        <w:t>Kapitalertragsteuer</w:t>
      </w:r>
      <w:r>
        <w:rPr>
          <w:rFonts w:ascii="Times New Roman PS Std;serif" w:hAnsi="Times New Roman PS Std;serif"/>
          <w:b w:val="false"/>
          <w:i w:val="false"/>
          <w:caps w:val="false"/>
          <w:smallCaps w:val="false"/>
          <w:sz w:val="20"/>
        </w:rPr>
        <w:t>) and from tax deduction pursuant to section 50a of the German Income Tax Act (i) to the extent that persons have an interest in it or are beneficiaries under its articles of association who would not be entitled to such relief if they personally had generated such income and (ii) to the extent that the source of the income has no substantial connection with the economic activity of such foreign company. The generation of income, its transfer to persons having an interest in or being beneficiaries as well as any activity carried out with resources that are not appropriate to the foreign company’s business purpose, shall not be deemed to be an economic activity. This, however, does not apply in cases in which the foreign company proves that none of the main purposes of its involvement was to obtain a tax advantage or if the foreign company’s principal class of stock is regularly traded in substantial volume on a recognized stock exchange. Therefore, whether or not and to which extent the anti-avoidance treaty shopping rule applies, has to be analyzed on a case by case basis taking into account all relevant tests.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the legal structure of the ADSs, only limited guidance of the German tax authorities exists on the practical application of this procedure with respect to the ADSs.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Withholding Tax Relief Modernization Act (</w:t>
      </w:r>
      <w:r>
        <w:rPr>
          <w:rFonts w:ascii="Times New Roman PS Std;serif" w:hAnsi="Times New Roman PS Std;serif"/>
          <w:b w:val="false"/>
          <w:i/>
          <w:caps w:val="false"/>
          <w:smallCaps w:val="false"/>
          <w:sz w:val="20"/>
        </w:rPr>
        <w:t>Abzugsteuerentlastungsmodernisierungsgesetz</w:t>
      </w:r>
      <w:r>
        <w:rPr>
          <w:rFonts w:ascii="Times New Roman PS Std;serif" w:hAnsi="Times New Roman PS Std;serif"/>
          <w:b w:val="false"/>
          <w:i w:val="false"/>
          <w:caps w:val="false"/>
          <w:smallCaps w:val="false"/>
          <w:sz w:val="20"/>
        </w:rPr>
        <w:t>) which was passed into law on June 2, 2021, the withholding tax certificate will be replaced for dividend income (including under ADRs) accruing after December 31, 2024 by a notification to be submitted by the disbursing agent directly to the Federal Central Tax Office upon request of the holder. In particular with regard to ADRs, the disbursing agent will be required to include substantial additional information in the notification and will have to obtain certain confirmations from the issuer of the ADRs and will only be allowed to submit the notification (which will be a pre-requisite for any refund) to the Federal Central Tax Office once it has collected all information and confirmations.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of Holders Tax Resident in Germany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subsection provides an overview of general taxation principles applicable to the holders of ADSs who are tax resident in Germany. Further, it discusses withholding tax on capital income (</w:t>
      </w:r>
      <w:r>
        <w:rPr>
          <w:rFonts w:ascii="Times New Roman PS Std;serif" w:hAnsi="Times New Roman PS Std;serif"/>
          <w:b w:val="false"/>
          <w:i/>
          <w:caps w:val="false"/>
          <w:smallCaps w:val="false"/>
          <w:sz w:val="20"/>
        </w:rPr>
        <w:t>Kapitalertragsteuer</w:t>
      </w:r>
      <w:r>
        <w:rPr>
          <w:rFonts w:ascii="Times New Roman PS Std;serif" w:hAnsi="Times New Roman PS Std;serif"/>
          <w:b w:val="false"/>
          <w:i w:val="false"/>
          <w:caps w:val="false"/>
          <w:smallCaps w:val="false"/>
          <w:sz w:val="20"/>
        </w:rPr>
        <w:t>) in relation to subscription rights to new ADS issued to holders who are tax resident in Germany. A holder is a German tax resident if, in case of an individual, he or she maintains a domicile (</w:t>
      </w:r>
      <w:r>
        <w:rPr>
          <w:rFonts w:ascii="Times New Roman PS Std;serif" w:hAnsi="Times New Roman PS Std;serif"/>
          <w:b w:val="false"/>
          <w:i/>
          <w:caps w:val="false"/>
          <w:smallCaps w:val="false"/>
          <w:sz w:val="20"/>
        </w:rPr>
        <w:t>Wohnsitz</w:t>
      </w:r>
      <w:r>
        <w:rPr>
          <w:rFonts w:ascii="Times New Roman PS Std;serif" w:hAnsi="Times New Roman PS Std;serif"/>
          <w:b w:val="false"/>
          <w:i w:val="false"/>
          <w:caps w:val="false"/>
          <w:smallCaps w:val="false"/>
          <w:sz w:val="20"/>
        </w:rPr>
        <w:t>) or his or her usual residence (</w:t>
      </w:r>
      <w:r>
        <w:rPr>
          <w:rFonts w:ascii="Times New Roman PS Std;serif" w:hAnsi="Times New Roman PS Std;serif"/>
          <w:b w:val="false"/>
          <w:i/>
          <w:caps w:val="false"/>
          <w:smallCaps w:val="false"/>
          <w:sz w:val="20"/>
        </w:rPr>
        <w:t>gewöhnlicher</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Aufenthalt</w:t>
      </w:r>
      <w:r>
        <w:rPr>
          <w:rFonts w:ascii="Times New Roman PS Std;serif" w:hAnsi="Times New Roman PS Std;serif"/>
          <w:b w:val="false"/>
          <w:i w:val="false"/>
          <w:caps w:val="false"/>
          <w:smallCaps w:val="false"/>
          <w:sz w:val="20"/>
        </w:rPr>
        <w:t>) in Germany or if, in case of a corporation, it has its place of central management (</w:t>
      </w:r>
      <w:r>
        <w:rPr>
          <w:rFonts w:ascii="Times New Roman PS Std;serif" w:hAnsi="Times New Roman PS Std;serif"/>
          <w:b w:val="false"/>
          <w:i/>
          <w:caps w:val="false"/>
          <w:smallCaps w:val="false"/>
          <w:sz w:val="20"/>
        </w:rPr>
        <w:t>Geschäftsleitung</w:t>
      </w:r>
      <w:r>
        <w:rPr>
          <w:rFonts w:ascii="Times New Roman PS Std;serif" w:hAnsi="Times New Roman PS Std;serif"/>
          <w:b w:val="false"/>
          <w:i w:val="false"/>
          <w:caps w:val="false"/>
          <w:smallCaps w:val="false"/>
          <w:sz w:val="20"/>
        </w:rPr>
        <w:t>) or a statutory seat (</w:t>
      </w:r>
      <w:r>
        <w:rPr>
          <w:rFonts w:ascii="Times New Roman PS Std;serif" w:hAnsi="Times New Roman PS Std;serif"/>
          <w:b w:val="false"/>
          <w:i/>
          <w:caps w:val="false"/>
          <w:smallCaps w:val="false"/>
          <w:sz w:val="20"/>
        </w:rPr>
        <w:t>Sitz</w:t>
      </w:r>
      <w:r>
        <w:rPr>
          <w:rFonts w:ascii="Times New Roman PS Std;serif" w:hAnsi="Times New Roman PS Std;serif"/>
          <w:b w:val="false"/>
          <w:i w:val="false"/>
          <w:caps w:val="false"/>
          <w:smallCaps w:val="false"/>
          <w:sz w:val="20"/>
        </w:rPr>
        <w:t>) in Germany.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German dividend and capital gains taxation rules applicable to German tax residents require a distinction between ADSs (or subscription rights relating thereto) held as private assets (</w:t>
      </w:r>
      <w:r>
        <w:rPr>
          <w:rFonts w:ascii="Times New Roman PS Std;serif" w:hAnsi="Times New Roman PS Std;serif"/>
          <w:b w:val="false"/>
          <w:i/>
          <w:caps w:val="false"/>
          <w:smallCaps w:val="false"/>
          <w:sz w:val="20"/>
        </w:rPr>
        <w:t>Privatvermögen</w:t>
      </w:r>
      <w:r>
        <w:rPr>
          <w:rFonts w:ascii="Times New Roman PS Std;serif" w:hAnsi="Times New Roman PS Std;serif"/>
          <w:b w:val="false"/>
          <w:i w:val="false"/>
          <w:caps w:val="false"/>
          <w:smallCaps w:val="false"/>
          <w:sz w:val="20"/>
        </w:rPr>
        <w:t>) and ADSs (and subscription rights relating thereto) held as business assets (</w:t>
      </w:r>
      <w:r>
        <w:rPr>
          <w:rFonts w:ascii="Times New Roman PS Std;serif" w:hAnsi="Times New Roman PS Std;serif"/>
          <w:b w:val="false"/>
          <w:i/>
          <w:caps w:val="false"/>
          <w:smallCaps w:val="false"/>
          <w:sz w:val="20"/>
        </w:rPr>
        <w:t>Betriebsvermögen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ADSs (and subscription rights relating thereto) held as Private Assets (Privatvermögen).    </w:t>
      </w:r>
      <w:r>
        <w:rPr>
          <w:rFonts w:ascii="Times New Roman PS Std;serif" w:hAnsi="Times New Roman PS Std;serif"/>
          <w:b w:val="false"/>
          <w:i w:val="false"/>
          <w:caps w:val="false"/>
          <w:smallCaps w:val="false"/>
          <w:sz w:val="20"/>
        </w:rPr>
        <w:t>If ADSs (and subscription rights relating thereto) are held as private assets by a German tax resident individual, dividends and capital gains are taxed as capital income (</w:t>
      </w:r>
      <w:r>
        <w:rPr>
          <w:rFonts w:ascii="Times New Roman PS Std;serif" w:hAnsi="Times New Roman PS Std;serif"/>
          <w:b w:val="false"/>
          <w:i/>
          <w:caps w:val="false"/>
          <w:smallCaps w:val="false"/>
          <w:sz w:val="20"/>
        </w:rPr>
        <w:t>Einkünfte aus Kapitalvermögen</w:t>
      </w:r>
      <w:r>
        <w:rPr>
          <w:rFonts w:ascii="Times New Roman PS Std;serif" w:hAnsi="Times New Roman PS Std;serif"/>
          <w:b w:val="false"/>
          <w:i w:val="false"/>
          <w:caps w:val="false"/>
          <w:smallCaps w:val="false"/>
          <w:sz w:val="20"/>
        </w:rPr>
        <w:t>) and are principally subject to 25% German flat rate income tax on capital income (</w:t>
      </w:r>
      <w:r>
        <w:rPr>
          <w:rFonts w:ascii="Times New Roman PS Std;serif" w:hAnsi="Times New Roman PS Std;serif"/>
          <w:b w:val="false"/>
          <w:i/>
          <w:caps w:val="false"/>
          <w:smallCaps w:val="false"/>
          <w:sz w:val="20"/>
        </w:rPr>
        <w:t>Abgeltungsteuer</w:t>
      </w:r>
      <w:r>
        <w:rPr>
          <w:rFonts w:ascii="Times New Roman PS Std;serif" w:hAnsi="Times New Roman PS Std;serif"/>
          <w:b w:val="false"/>
          <w:i w:val="false"/>
          <w:caps w:val="false"/>
          <w:smallCaps w:val="false"/>
          <w:sz w:val="20"/>
        </w:rPr>
        <w:t>) (plus a 5.5% solidarity surcharge (</w:t>
      </w:r>
      <w:r>
        <w:rPr>
          <w:rFonts w:ascii="Times New Roman PS Std;serif" w:hAnsi="Times New Roman PS Std;serif"/>
          <w:b w:val="false"/>
          <w:i/>
          <w:caps w:val="false"/>
          <w:smallCaps w:val="false"/>
          <w:sz w:val="20"/>
        </w:rPr>
        <w:t>Solidaritätszuschlag</w:t>
      </w:r>
      <w:r>
        <w:rPr>
          <w:rFonts w:ascii="Times New Roman PS Std;serif" w:hAnsi="Times New Roman PS Std;serif"/>
          <w:b w:val="false"/>
          <w:i w:val="false"/>
          <w:caps w:val="false"/>
          <w:smallCaps w:val="false"/>
          <w:sz w:val="20"/>
        </w:rPr>
        <w:t>) thereon, resulting in an aggregate rate of 26.375% and plus church tax (</w:t>
      </w:r>
      <w:r>
        <w:rPr>
          <w:rFonts w:ascii="Times New Roman PS Std;serif" w:hAnsi="Times New Roman PS Std;serif"/>
          <w:b w:val="false"/>
          <w:i/>
          <w:caps w:val="false"/>
          <w:smallCaps w:val="false"/>
          <w:sz w:val="20"/>
        </w:rPr>
        <w:t>Kirchensteuer</w:t>
      </w:r>
      <w:r>
        <w:rPr>
          <w:rFonts w:ascii="Times New Roman PS Std;serif" w:hAnsi="Times New Roman PS Std;serif"/>
          <w:b w:val="false"/>
          <w:i w:val="false"/>
          <w:caps w:val="false"/>
          <w:smallCaps w:val="false"/>
          <w:sz w:val="20"/>
        </w:rPr>
        <w:t>), if applicable), which is generally levied in the form of withholding tax on capital income (</w:t>
      </w:r>
      <w:r>
        <w:rPr>
          <w:rFonts w:ascii="Times New Roman PS Std;serif" w:hAnsi="Times New Roman PS Std;serif"/>
          <w:b w:val="false"/>
          <w:i/>
          <w:caps w:val="false"/>
          <w:smallCaps w:val="false"/>
          <w:sz w:val="20"/>
        </w:rPr>
        <w:t>Kapitalertragsteuer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 is taxed on gross capital income (including dividends or gains with respect to ADSs (and subscription rights relating thereto)), less the annual saver’s tax-free allowance (</w:t>
      </w:r>
      <w:r>
        <w:rPr>
          <w:rFonts w:ascii="Times New Roman PS Std;serif" w:hAnsi="Times New Roman PS Std;serif"/>
          <w:b w:val="false"/>
          <w:i/>
          <w:caps w:val="false"/>
          <w:smallCaps w:val="false"/>
          <w:sz w:val="20"/>
        </w:rPr>
        <w:t>Sparer-Pauschbetrag</w:t>
      </w:r>
      <w:r>
        <w:rPr>
          <w:rFonts w:ascii="Times New Roman PS Std;serif" w:hAnsi="Times New Roman PS Std;serif"/>
          <w:b w:val="false"/>
          <w:i w:val="false"/>
          <w:caps w:val="false"/>
          <w:smallCaps w:val="false"/>
          <w:sz w:val="20"/>
        </w:rPr>
        <w:t>) of currently €1,000 for an individual or €2,000 for married couples and registered civil unions (</w:t>
      </w:r>
      <w:r>
        <w:rPr>
          <w:rFonts w:ascii="Times New Roman PS Std;serif" w:hAnsi="Times New Roman PS Std;serif"/>
          <w:b w:val="false"/>
          <w:i/>
          <w:caps w:val="false"/>
          <w:smallCaps w:val="false"/>
          <w:sz w:val="20"/>
        </w:rPr>
        <w:t>eingetragene</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Lebenspartnerschaften</w:t>
      </w:r>
      <w:r>
        <w:rPr>
          <w:rFonts w:ascii="Times New Roman PS Std;serif" w:hAnsi="Times New Roman PS Std;serif"/>
          <w:b w:val="false"/>
          <w:i w:val="false"/>
          <w:caps w:val="false"/>
          <w:smallCaps w:val="false"/>
          <w:sz w:val="20"/>
        </w:rPr>
        <w:t>) filing jointly. The deduction of actual expenses relating to the capital income (including dividends or gains with respect to ADSs (and subscription rights relating thereto)) is generally not permitted. The withholding tax on capital income generally settles the income tax liability of the holder with respect to the capital income. However, private investors may request the application of their personal progressive income tax rate on the whole income from capital investments in a given year if this results in a lower tax liability. If this is the case, any tax withheld in excess will be refunded during the personal income tax assessment procedure.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Losses resulting from the disposal of ADSs (and subscription rights relating thereto) can only be offset with capital gains from the disposition of shares of corporations (</w:t>
      </w:r>
      <w:r>
        <w:rPr>
          <w:rFonts w:ascii="Times New Roman PS Std;serif" w:hAnsi="Times New Roman PS Std;serif"/>
          <w:b w:val="false"/>
          <w:i/>
          <w:caps w:val="false"/>
          <w:smallCaps w:val="false"/>
          <w:sz w:val="20"/>
        </w:rPr>
        <w:t>Aktien</w:t>
      </w:r>
      <w:r>
        <w:rPr>
          <w:rFonts w:ascii="Times New Roman PS Std;serif" w:hAnsi="Times New Roman PS Std;serif"/>
          <w:b w:val="false"/>
          <w:i w:val="false"/>
          <w:caps w:val="false"/>
          <w:smallCaps w:val="false"/>
          <w:sz w:val="20"/>
        </w:rPr>
        <w:t>) and other ADSs (and subscription rights relating thereto) treated similar to shares. However, the German Federal Fiscal Court (</w:t>
      </w:r>
      <w:r>
        <w:rPr>
          <w:rFonts w:ascii="Times New Roman PS Std;serif" w:hAnsi="Times New Roman PS Std;serif"/>
          <w:b w:val="false"/>
          <w:i/>
          <w:caps w:val="false"/>
          <w:smallCaps w:val="false"/>
          <w:sz w:val="20"/>
        </w:rPr>
        <w:t>Bundesfinanzhof</w:t>
      </w:r>
      <w:r>
        <w:rPr>
          <w:rFonts w:ascii="Times New Roman PS Std;serif" w:hAnsi="Times New Roman PS Std;serif"/>
          <w:b w:val="false"/>
          <w:i w:val="false"/>
          <w:caps w:val="false"/>
          <w:smallCaps w:val="false"/>
          <w:sz w:val="20"/>
        </w:rPr>
        <w:t>) recently decided that the limitation on the offset possibilities constitutes a violation of the equal protection clause under the German constitution and submitted the legal question to the German Federal Constitutional Court (</w:t>
      </w:r>
      <w:r>
        <w:rPr>
          <w:rFonts w:ascii="Times New Roman PS Std;serif" w:hAnsi="Times New Roman PS Std;serif"/>
          <w:b w:val="false"/>
          <w:i/>
          <w:caps w:val="false"/>
          <w:smallCaps w:val="false"/>
          <w:sz w:val="20"/>
        </w:rPr>
        <w:t>Bundesverfassungsgericht</w:t>
      </w:r>
      <w:r>
        <w:rPr>
          <w:rFonts w:ascii="Times New Roman PS Std;serif" w:hAnsi="Times New Roman PS Std;serif"/>
          <w:b w:val="false"/>
          <w:i w:val="false"/>
          <w:caps w:val="false"/>
          <w:smallCaps w:val="false"/>
          <w:sz w:val="20"/>
        </w:rPr>
        <w:t>) for decision on its constitutionality; the German Federal Constitutional Court has not yet decided on this question. If, however, a holder directly or indirectly held at least 1% of the share capital of the company at any time during the five years preceding the disposition, the German flat rate income tax on capital income does not apply with regard to such capital gain, but 60% of the capital gain resulting from the disposition are taxable at the holder’s personal progressive income tax rate (plus 5.5% solidarity surcharge and church tax, if applicable, thereon). Correspondingly, only 60% of any capital losses and disposal costs are tax deductible.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ADSs (and subscription rights relating thereto) held as Business Assets (Betriebsvermögen).    </w:t>
      </w:r>
      <w:r>
        <w:rPr>
          <w:rFonts w:ascii="Times New Roman PS Std;serif" w:hAnsi="Times New Roman PS Std;serif"/>
          <w:b w:val="false"/>
          <w:i w:val="false"/>
          <w:caps w:val="false"/>
          <w:smallCaps w:val="false"/>
          <w:sz w:val="20"/>
        </w:rPr>
        <w:t>In case the ADSs (and subscription rights relating thereto) are held as business assets, the actual taxation depends on the legal form of the holder (i.e., whether the holder is a corporation or an individual). Irrespective of the legal form of the holder, dividends are generally subject to the aggregate withholding tax rate of 26.375%, unless the holder of the ADSs (and subscription rights relating thereto) is an investment fund (</w:t>
      </w:r>
      <w:r>
        <w:rPr>
          <w:rFonts w:ascii="Times New Roman PS Std;serif" w:hAnsi="Times New Roman PS Std;serif"/>
          <w:b w:val="false"/>
          <w:i/>
          <w:caps w:val="false"/>
          <w:smallCaps w:val="false"/>
          <w:sz w:val="20"/>
        </w:rPr>
        <w:t>Investmentfonds</w:t>
      </w:r>
      <w:r>
        <w:rPr>
          <w:rFonts w:ascii="Times New Roman PS Std;serif" w:hAnsi="Times New Roman PS Std;serif"/>
          <w:b w:val="false"/>
          <w:i w:val="false"/>
          <w:caps w:val="false"/>
          <w:smallCaps w:val="false"/>
          <w:sz w:val="20"/>
        </w:rPr>
        <w:t>) subject to German investment taxation. The tax actually withheld is credited against the respective holder’s final (corporate or personal) income tax liability. Due to special rules on the restriction of withholding tax credits in respect of dividends, a full withholding tax credit requires that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 (i) 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three-fifths of the withholding tax imposed on the dividends must not be credited against the holder’s corporate income tax or income tax liability, but may, upon application, be deducted from the holder’s tax base for the relevant tax assessment period. A holder that is generally subject to German income tax or corporate income tax and that has received gross dividends without any deduction of withholding tax due to a tax exemption without qualifying for a full tax credit under the aforementioned requirements has to notify the competent local tax office accordingly and has to make a payment in the amount of the omitted withholding tax deduction. The special rules on the restriction of withholding tax credit do not apply to a holder whose overall dividend earnings within an assessment period do not exceed €20,000 or that has been the beneficial owner of the ADSs for at least one uninterrupted year until receipt (</w:t>
      </w:r>
      <w:r>
        <w:rPr>
          <w:rFonts w:ascii="Times New Roman PS Std;serif" w:hAnsi="Times New Roman PS Std;serif"/>
          <w:b w:val="false"/>
          <w:i/>
          <w:caps w:val="false"/>
          <w:smallCaps w:val="false"/>
          <w:sz w:val="20"/>
        </w:rPr>
        <w:t>Zufluss</w:t>
      </w:r>
      <w:r>
        <w:rPr>
          <w:rFonts w:ascii="Times New Roman PS Std;serif" w:hAnsi="Times New Roman PS Std;serif"/>
          <w:b w:val="false"/>
          <w:i w:val="false"/>
          <w:caps w:val="false"/>
          <w:smallCaps w:val="false"/>
          <w:sz w:val="20"/>
        </w:rPr>
        <w:t>) of the dividends. In addition to the aforementioned restrictions, in particular, pursuant to a circular issued by the German Federal Ministry of Finance (</w:t>
      </w:r>
      <w:r>
        <w:rPr>
          <w:rFonts w:ascii="Times New Roman PS Std;serif" w:hAnsi="Times New Roman PS Std;serif"/>
          <w:b w:val="false"/>
          <w:i/>
          <w:caps w:val="false"/>
          <w:smallCaps w:val="false"/>
          <w:sz w:val="20"/>
        </w:rPr>
        <w:t>BMF-Schreiben</w:t>
      </w:r>
      <w:r>
        <w:rPr>
          <w:rFonts w:ascii="Times New Roman PS Std;serif" w:hAnsi="Times New Roman PS Std;serif"/>
          <w:b w:val="false"/>
          <w:i w:val="false"/>
          <w:caps w:val="false"/>
          <w:smallCaps w:val="false"/>
          <w:sz w:val="20"/>
        </w:rPr>
        <w:t>) dated July 9, 2021, reference number IV C 1-S 2252/19/10035 :014 (published in the German Federal Tax Gazette 2021 vol. I pp. 995), as amended, the withholding tax credit may also be denied as an anti-abuse measure.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the amount withheld exceeds the (corporate or personal) income tax liability, the withholding tax will be refunded, provided that certain requirements are met.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regard to holders in the legal form of a corporation, capital gains from ADSs (and subscription rights relating thereto) are in general effectively 95% tax exempt from corporate income tax (including solidarity surcharge) and trade tax. In contrast, dividends from ADSs are only 95% exempt from corporate income tax, if the corporation holds at least 10% of the share capital in the company at the beginning of the respective calendar year. To the extent ADSs and/or shares of 10% or more of the company have been acquired during a calendar year, the acquisition will be deemed to be made at the beginning of the calendar year. Furthermore, dividends are subject to trade tax (</w:t>
      </w:r>
      <w:r>
        <w:rPr>
          <w:rFonts w:ascii="Times New Roman PS Std;serif" w:hAnsi="Times New Roman PS Std;serif"/>
          <w:b w:val="false"/>
          <w:i/>
          <w:caps w:val="false"/>
          <w:smallCaps w:val="false"/>
          <w:sz w:val="20"/>
        </w:rPr>
        <w:t>Gewerbesteuer</w:t>
      </w:r>
      <w:r>
        <w:rPr>
          <w:rFonts w:ascii="Times New Roman PS Std;serif" w:hAnsi="Times New Roman PS Std;serif"/>
          <w:b w:val="false"/>
          <w:i w:val="false"/>
          <w:caps w:val="false"/>
          <w:smallCaps w:val="false"/>
          <w:sz w:val="20"/>
        </w:rPr>
        <w:t>), unless the holder holds at least 15% of the share capital in the company at the beginning of the tax assessment period. In the latter case, effectively 95% of the dividends are exempt from trade tax. Business expenses and capital losses actually incurred in connection with ADSs (and subscription rights relating thereto) might not be tax deductible for corporate income and trade tax purposes except if certain requirements are met. This concerns in particular expenses which are related to the disposition of ADSs (and subscription rights relating thereto).</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regard to individuals holding ADSs (and subscription rights relating thereto) as business assets, 60% of dividends and capital gains are taxed at the personal progressive income tax rate of the holder of ADSs (and subscription rights relating thereto) (plus 5.5% solidarity surcharge and church tax, if applicable, thereon). Correspondingly, only 60% of business expenses related to the respective income are principally deductible for income tax purposes. Furthermore, trade tax may apply, provided the ADSs (and subscription rights relating thereto) are held as assets of a German trade or business (</w:t>
      </w:r>
      <w:r>
        <w:rPr>
          <w:rFonts w:ascii="Times New Roman PS Std;serif" w:hAnsi="Times New Roman PS Std;serif"/>
          <w:b w:val="false"/>
          <w:i/>
          <w:caps w:val="false"/>
          <w:smallCaps w:val="false"/>
          <w:sz w:val="20"/>
        </w:rPr>
        <w:t>Gewerbebetrieb</w:t>
      </w:r>
      <w:r>
        <w:rPr>
          <w:rFonts w:ascii="Times New Roman PS Std;serif" w:hAnsi="Times New Roman PS Std;serif"/>
          <w:b w:val="false"/>
          <w:i w:val="false"/>
          <w:caps w:val="false"/>
          <w:smallCaps w:val="false"/>
          <w:sz w:val="20"/>
        </w:rPr>
        <w:t>) of the holder, but the resulting trade tax might be (partly) credited against the income tax liability of the holder pursuant to a lump sum procedure.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2021, the basis for the calculation of the solidarity surcharge (</w:t>
      </w:r>
      <w:r>
        <w:rPr>
          <w:rFonts w:ascii="Times New Roman PS Std;serif" w:hAnsi="Times New Roman PS Std;serif"/>
          <w:b w:val="false"/>
          <w:i/>
          <w:caps w:val="false"/>
          <w:smallCaps w:val="false"/>
          <w:sz w:val="20"/>
        </w:rPr>
        <w:t>Solidaritätszuschlag</w:t>
      </w:r>
      <w:r>
        <w:rPr>
          <w:rFonts w:ascii="Times New Roman PS Std;serif" w:hAnsi="Times New Roman PS Std;serif"/>
          <w:b w:val="false"/>
          <w:i w:val="false"/>
          <w:caps w:val="false"/>
          <w:smallCaps w:val="false"/>
          <w:sz w:val="20"/>
        </w:rPr>
        <w:t>) has, as previously discussed, been reduced for certain individuals subject to tax assessments (other than withholding taxes), and in certain cases, the solidarity surcharge has been eliminated for individuals.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Special taxation rules apply to German tax resident credit institutions (</w:t>
      </w:r>
      <w:r>
        <w:rPr>
          <w:rFonts w:ascii="Times New Roman PS Std;serif" w:hAnsi="Times New Roman PS Std;serif"/>
          <w:b w:val="false"/>
          <w:i/>
          <w:caps w:val="false"/>
          <w:smallCaps w:val="false"/>
          <w:sz w:val="20"/>
        </w:rPr>
        <w:t>Kreditinstitute</w:t>
      </w:r>
      <w:r>
        <w:rPr>
          <w:rFonts w:ascii="Times New Roman PS Std;serif" w:hAnsi="Times New Roman PS Std;serif"/>
          <w:b w:val="false"/>
          <w:i w:val="false"/>
          <w:caps w:val="false"/>
          <w:smallCaps w:val="false"/>
          <w:sz w:val="20"/>
        </w:rPr>
        <w:t>), financial services institutions (</w:t>
      </w:r>
      <w:r>
        <w:rPr>
          <w:rFonts w:ascii="Times New Roman PS Std;serif" w:hAnsi="Times New Roman PS Std;serif"/>
          <w:b w:val="false"/>
          <w:i/>
          <w:caps w:val="false"/>
          <w:smallCaps w:val="false"/>
          <w:sz w:val="20"/>
        </w:rPr>
        <w:t>Finanzdienstleistungsinstitute</w:t>
      </w:r>
      <w:r>
        <w:rPr>
          <w:rFonts w:ascii="Times New Roman PS Std;serif" w:hAnsi="Times New Roman PS Std;serif"/>
          <w:b w:val="false"/>
          <w:i w:val="false"/>
          <w:caps w:val="false"/>
          <w:smallCaps w:val="false"/>
          <w:sz w:val="20"/>
        </w:rPr>
        <w:t>), financial enterprises (</w:t>
      </w:r>
      <w:r>
        <w:rPr>
          <w:rFonts w:ascii="Times New Roman PS Std;serif" w:hAnsi="Times New Roman PS Std;serif"/>
          <w:b w:val="false"/>
          <w:i/>
          <w:caps w:val="false"/>
          <w:smallCaps w:val="false"/>
          <w:sz w:val="20"/>
        </w:rPr>
        <w:t>Finanzunternehmen</w:t>
      </w:r>
      <w:r>
        <w:rPr>
          <w:rFonts w:ascii="Times New Roman PS Std;serif" w:hAnsi="Times New Roman PS Std;serif"/>
          <w:b w:val="false"/>
          <w:i w:val="false"/>
          <w:caps w:val="false"/>
          <w:smallCaps w:val="false"/>
          <w:sz w:val="20"/>
        </w:rPr>
        <w:t>), life insurance and health insurance companies (</w:t>
      </w:r>
      <w:r>
        <w:rPr>
          <w:rFonts w:ascii="Times New Roman PS Std;serif" w:hAnsi="Times New Roman PS Std;serif"/>
          <w:b w:val="false"/>
          <w:i/>
          <w:caps w:val="false"/>
          <w:smallCaps w:val="false"/>
          <w:sz w:val="20"/>
        </w:rPr>
        <w:t>Lebens- und Krankenversicherungsunternehmen</w:t>
      </w:r>
      <w:r>
        <w:rPr>
          <w:rFonts w:ascii="Times New Roman PS Std;serif" w:hAnsi="Times New Roman PS Std;serif"/>
          <w:b w:val="false"/>
          <w:i w:val="false"/>
          <w:caps w:val="false"/>
          <w:smallCaps w:val="false"/>
          <w:sz w:val="20"/>
        </w:rPr>
        <w:t>), pension funds (</w:t>
      </w:r>
      <w:r>
        <w:rPr>
          <w:rFonts w:ascii="Times New Roman PS Std;serif" w:hAnsi="Times New Roman PS Std;serif"/>
          <w:b w:val="false"/>
          <w:i/>
          <w:caps w:val="false"/>
          <w:smallCaps w:val="false"/>
          <w:sz w:val="20"/>
        </w:rPr>
        <w:t>Pensionsfonds</w:t>
      </w:r>
      <w:r>
        <w:rPr>
          <w:rFonts w:ascii="Times New Roman PS Std;serif" w:hAnsi="Times New Roman PS Std;serif"/>
          <w:b w:val="false"/>
          <w:i w:val="false"/>
          <w:caps w:val="false"/>
          <w:smallCaps w:val="false"/>
          <w:sz w:val="20"/>
        </w:rPr>
        <w:t>) and investment funds (</w:t>
      </w:r>
      <w:r>
        <w:rPr>
          <w:rFonts w:ascii="Times New Roman PS Std;serif" w:hAnsi="Times New Roman PS Std;serif"/>
          <w:b w:val="false"/>
          <w:i/>
          <w:caps w:val="false"/>
          <w:smallCaps w:val="false"/>
          <w:sz w:val="20"/>
        </w:rPr>
        <w:t>Investmentfonds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German Inheritance and Gift Tax (Erbschaft- und Schenkungsteuer)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Generally, a transfer of ADSs (and subscription rights relating thereto) by inheritance or by way of gift will be subject to German gift or inheritance tax, </w:t>
      </w:r>
      <w:r>
        <w:rPr>
          <w:rFonts w:ascii="Times New Roman PS Std;serif" w:hAnsi="Times New Roman PS Std;serif"/>
          <w:b w:val="false"/>
          <w:i/>
          <w:caps w:val="false"/>
          <w:smallCaps w:val="false"/>
          <w:sz w:val="20"/>
        </w:rPr>
        <w:t>inter alia</w:t>
      </w:r>
      <w:r>
        <w:rPr>
          <w:rFonts w:ascii="Times New Roman PS Std;serif" w:hAnsi="Times New Roman PS Std;serif"/>
          <w:b w:val="false"/>
          <w:i w:val="false"/>
          <w:caps w:val="false"/>
          <w:smallCaps w:val="false"/>
          <w:sz w:val="20"/>
        </w:rPr>
        <w:t>, if (i) the decedent or donor, or the heir, donee or other transferee is resident in Germany at the time of the transfer, or with respect to German citizens who are not resident in Germany, if the decedent or donor, or the heir, donee or other transferee has not been continuously outside of Germany for a period of more than five years; (ii) the ADSs (and subscription rights relating thereto) are part of the business property of a permanent establishment or a fixed base in Germany; or (iii) the ADSs (and subscription rights relating thereto) subject to such transfer form part of a portfolio that represents 10% or more of the registered share capital of the company and has been held, directly or indirectly, by the decedent or donor.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the right of Germany to impose gift or inheritance tax on a non-resident shareholder may be limited by an applicable estate tax treaty. In the case of a U.S. resident holder, a transfer of ADSs (and subscription rights relating thereto) by a U.S. resident holder at death or by way of gift generally will not be subject to German gift or inheritance tax pursuant to the estate tax treaty between the U.S. and Germany (Convention between the Federal Republic of Germany and the United States of America for the Avoidance of Double Taxation with respect to Estate, Gift and Inheritance Taxes, </w:t>
      </w:r>
      <w:r>
        <w:rPr>
          <w:rFonts w:ascii="Times New Roman PS Std;serif" w:hAnsi="Times New Roman PS Std;serif"/>
          <w:b w:val="false"/>
          <w:i/>
          <w:caps w:val="false"/>
          <w:smallCaps w:val="false"/>
          <w:sz w:val="20"/>
        </w:rPr>
        <w:t>Abkommen zwischen der Bundesrepublik Deutschland und den Vereinigten Staaten von Amerika zur Vermeidung der Doppelbesteuerung auf dem Gebiet der Nachlass-, Erbschaft- und Schenkungssteuern</w:t>
      </w:r>
      <w:r>
        <w:rPr>
          <w:rFonts w:ascii="Times New Roman PS Std;serif" w:hAnsi="Times New Roman PS Std;serif"/>
          <w:b w:val="false"/>
          <w:i w:val="false"/>
          <w:caps w:val="false"/>
          <w:smallCaps w:val="false"/>
          <w:sz w:val="20"/>
        </w:rPr>
        <w:t>) as published on December 21, 2000 (the “Estate Tax Treaty”) provided the decedent or donor, or the heir, donee or other transferee was not domiciled in Germany for purposes of the Estate Tax Treaty at the time the gift was made, or at the time of the decedent’s death, and the ADSs (and subscription rights relating thereto) were not held in connection with a permanent establishment or a fixed base in Germany. In general, the Estate Tax Treaty provides a credit against the U.S. federal gift or estate tax liability for the amount of gift or inheritance tax.</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German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currently no German net worth, transfer, stamp or other similar taxes that would apply to a U.S. holder on the acquisition, ownership, sale or other disposition of the ADSs (and subscription rights relating thereto). Certain member states of the European Union are considering introducing a financial transaction tax (</w:t>
      </w:r>
      <w:r>
        <w:rPr>
          <w:rFonts w:ascii="Times New Roman PS Std;serif" w:hAnsi="Times New Roman PS Std;serif"/>
          <w:b w:val="false"/>
          <w:i/>
          <w:caps w:val="false"/>
          <w:smallCaps w:val="false"/>
          <w:sz w:val="20"/>
        </w:rPr>
        <w:t>Finanztransaktionssteuer</w:t>
      </w:r>
      <w:r>
        <w:rPr>
          <w:rFonts w:ascii="Times New Roman PS Std;serif" w:hAnsi="Times New Roman PS Std;serif"/>
          <w:b w:val="false"/>
          <w:i w:val="false"/>
          <w:caps w:val="false"/>
          <w:smallCaps w:val="false"/>
          <w:sz w:val="20"/>
        </w:rPr>
        <w:t>) which, if and when introduced, may also be applicable on sales and/or transfer of ADS (and subscription rights relating thereto).</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Information and Reporting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Organization for Economic Co-Operation and Development released the Common Reporting Standard (“CRS”) designed to create a global standard for the automatic exchange of financial account information, similar to the information to be reported under FATCA.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CRS and legislation enacted in Germany to implement the CRS, generally certain information needs to be disclosed about investors in the shares, the ultimate beneficial owners and/or controllers, and their investment in and returns from the shares.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prospective investors should consult with their own tax advisors regarding the tax consequences of their investment in the ADSs (and subscription rights relating thereto).</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 Taxation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describes United States federal income tax considerations generally applicable to the receipt and exercise of ADS rights and the ownership of ADSs that are received upon the exercise of ADS rights or that are acquired in an offering. It applies to you only if you are a U.S. holder (as defined below), you acquire your ADS rights or ADSs in an offering or through the exercise of ADS rights acquired in an offering and you hold your ADS rights or ADSs as capital assets for tax purposes. This discussion does not address the tax treatment of holders of ordinary shares that receive ordinary shares rights or acquire ordinary shares, and any such holders should consult their tax advisors regarding the tax treatment of the receipt and exercise of ordinary share rights or the acquisition of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addresses only United States federal income taxation and does not discuss all of the tax consequences that may be relevant to you in light of your individual circumstances, including foreign, state or local tax consequences, estate and gift tax consequences, and tax consequences arising under the Medicare contribution tax on net investment income or the alternative minimum tax. This section does not discuss all of the tax consequences applicable to you if you are a member of a special class of holders subject to special rules,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broker or dealer in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trader in securities that elects to use a mark-to-market method of accounting for securities holdings,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tax-exempt organization or governmental organization,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tax-qualified retirement plan,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bank, insurance company or other financial institution,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real estate investment trust or regulated investment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person that actually or constructively owns 10% or more of the combined voting power of our voting stock or of the total value of our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person that holds ADS rights or ADSs as part of a straddle or a hedging or conversion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person that acquires or sells ADS rights or ADSs as part of a wash sale for tax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person whose functional currency is not the U.S. dollar,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that accumulates earnings to avoid U.S. federal income tax,</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S corporation, partnership or other entity or arrangement treated as a partnership for U.S. federal income tax purposes (and investors therein),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person deemed to sell ADS rights or ADSs under the constructive sale provisions of the Code (as defined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is based on the Internal Revenue Code of 1986, as amended (the “Code”), its legislative history, existing and proposed regulations, published rulings and court decisions, all as currently in effect, as well as on the Convention Between the Federal Republic of Germany and the United States of America for the Avoidance of Double Taxation and the Prevention of Fiscal Evasion with respect to Taxes on Income and Capital and to certain other Taxes in the version published as of June 4, 2008 (</w:t>
      </w:r>
      <w:r>
        <w:rPr>
          <w:rFonts w:ascii="Times New Roman PS Std;serif" w:hAnsi="Times New Roman PS Std;serif"/>
          <w:b w:val="false"/>
          <w:i/>
          <w:caps w:val="false"/>
          <w:smallCaps w:val="false"/>
          <w:sz w:val="20"/>
        </w:rPr>
        <w:t>Abkommen zwischen der Bundesrepublik Deutschland und den Vereinigten Staaten von Amerika zur Vermeidung der Doppelbesteuerung und zur Verhinderung der Steuerverkürzung auf dem Gebiet der Steuern vom Einkommen und vom Vermögen und einiger anderer Steuern in der Fassung der Bekanntmachung vom 4. Juni 2008</w:t>
      </w:r>
      <w:r>
        <w:rPr>
          <w:rFonts w:ascii="Times New Roman PS Std;serif" w:hAnsi="Times New Roman PS Std;serif"/>
          <w:b w:val="false"/>
          <w:i w:val="false"/>
          <w:caps w:val="false"/>
          <w:smallCaps w:val="false"/>
          <w:sz w:val="20"/>
        </w:rPr>
        <w:t>) as published in the German Federal Law Gazette 2008 vol. II pp. 611/851 (the “Treaty”). These laws are subject to change, possibly on a retroactive basis. In addition, this section is based in part upon the assumption that each obligation in the deposit agreement and any related agreement will be performed in accordance with its terms.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entity or arrangement that is treated as a partnership for United States federal income tax purposes holds the ADS rights or ADSs, the United States federal income tax treatment of a partner will generally depend on the status of the partner and the tax treatment of the partnership. A partner in an entity or arrangement that is treated as a partnership and that holds the ADS rights or ADSs should consult its tax advisor with regard to the United States federal income tax treatment of an investment in the ADS rights or ADSs.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are a “U.S. holder” if you are a beneficial owner of ADS rights or ADSs and you are, for United States federal income tax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citizen or resident of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domestic corporation,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whose income is subject to United States federal income tax regardless of its source,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if a United States court can exercise primary supervision over the trust’s administration and one or more United States persons are authorized to control all substantial decisions of the trust.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if you are the beneficial owner of ADSs, you will be treated as the beneficial owner of the ordinary shares represented by those ADSs for United States federal income tax purposes. Accordingly, exchanges of ordinary shares for ADSs, and of ADSs for ordinary shares, generally will not be subject to United States federal income tax.</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tcPr>
          <w:p>
            <w:pPr>
              <w:pStyle w:val="TableContents"/>
              <w:keepNext w:val="false"/>
              <w:widowControl/>
              <w:pBdr/>
              <w:bidi w:val="0"/>
              <w:spacing w:before="160" w:after="80"/>
              <w:ind w:left="80" w:right="8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You should consult your own tax advisor regarding the United States federal, state and local tax consequences of the receipt of ADS rights and of owning and disposing of ADSs in your particular circumstances.</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described below under “— </w:t>
      </w:r>
      <w:r>
        <w:rPr>
          <w:rFonts w:ascii="Times New Roman PS Std;serif" w:hAnsi="Times New Roman PS Std;serif"/>
          <w:b w:val="false"/>
          <w:i/>
          <w:caps w:val="false"/>
          <w:smallCaps w:val="false"/>
          <w:sz w:val="20"/>
        </w:rPr>
        <w:t>PFIC Classification</w:t>
      </w:r>
      <w:r>
        <w:rPr>
          <w:rFonts w:ascii="Times New Roman PS Std;serif" w:hAnsi="Times New Roman PS Std;serif"/>
          <w:b w:val="false"/>
          <w:i w:val="false"/>
          <w:caps w:val="false"/>
          <w:smallCaps w:val="false"/>
          <w:sz w:val="20"/>
        </w:rPr>
        <w:t>,” this discussion assumes that we are not, and will not become, a PFIC for United States federal income tax purposes.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Receipt of ADS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 federal income tax consequences of a rights offering will depend on whether the offering is considered part of a “disproportionate distribution” within the meaning of the Code. A “disproportionate distribution” is a distribution (or a series of distributions), including deemed distributions, from a corporation that has the effect of the receipt of cash or other property by some stockholders and an increase in the proportionate interest of other stockholders in the corporation’s assets or earnings and profits. We believe and intend to take the position, and the following discussion assumes (unless explicitly stated otherwise), that the issuance of the ADS rights is not part of a “disproportionate distribution.” You should therefore not be required to include any amount in income for U.S. federal income tax purposes in connection with the receipt of the ADS rights. The disproportionate distribution rules are complicated, however, and their application is uncertain. Accordingly, it is possible that the Internal Revenue Service (“IRS”) could challenge our position.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 Basis in the ADS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basis in the ADS rights you receive should be zero, unless either (i) the fair market value of your ADS rights on the date such ADS rights are distributed equals 15% or more of the value of the existing ADSs with respect to which you receive the ADS rights or (ii) you elect to allocate to the ADS rights a portion of your basis in the existing ADSs with respect to which you will have received the ADS rights. If either of these situations applies, basis will be allocated in proportion to the relative fair market value of the existing ADSs and ADS rights distributed thereon on the date the ADS rights are distributed. If you wish to make the election to allocate a portion of your basis in the existing ADSs to the ADS rights, you must attach a statement to this effect to your United States federal income tax return for the tax year in which you receive the ADS rights. The election will apply to all ADS rights you receive pursuant to this offering and, once made, will be irrevocable.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that the value of the ADS rights is less than 15% of the value of the existing ADSs with respect to which they are distributed, you should consult your own tax advisors regarding the advisability of making such an election.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Exercise of ADS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not realize gain or loss upon the receipt of new ADSs pursuant to the exercise of the ADS rights. Your basis in such new ADSs will equal the sum of (i) the ADS subscription price and (ii) your basis, if any, in the ADS rights exercised to obtain such ADSs. Your holding period in each new ADS acquired through the exercise of the ADS rights will generally begin with and include the date of exercise.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Expiration of ADS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ADS rights expire, you generally will not recognize any gain or loss for United States federal income tax purposes upon expiration of the ADS rights. If you have tax basis in the expired ADS rights, such tax basis should be re-allocated to the tax basis of the ADSs with respect to which the ADS rights were received. If the ADS rights expire after you have disposed of the ADSs with respect to which the ADS rights are received, you should consult your tax advisor regarding your ability to recognize a loss (if any) on the expiration of the ADS rights.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Dividends with respect to ADSs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gross amount of any distribution we pay out of our current or accumulated earnings and profits (as determined for United States federal income tax purposes), other than certain pro-rata distributions of our ordinary shares, will be treated as a dividend that is subject to United States federal income taxation. If you are a noncorporate U.S. holder, dividends that constitute qualified dividend income will be taxable to you at the preferential rates applicable to long-term capital gains provided that you hold the ADSs for more than 60 days during the 121-day period beginning 60 days before the ex-dividend date and other requirements are met. Dividends we pay with respect to the ADSs generally will be qualified dividend income provided that, in the year that you receive the dividend, the ADSs are readily tradable on an established securities market in the United States. The ADSs are listed on Nasdaq and we therefore expect that dividends we pay with respect to the ADSs will be qualified dividend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must include any German tax withheld from the dividend payment in this gross amount even though you do not in fact receive it. The dividend is taxable to you when the depositary receives the dividend, actually or constructively. The dividend will not be eligible for the dividends-received deduction generally allowed to United States corporations in respect of dividends received from other United States corporations. The amount of the dividend distribution that you must include in your income will be the U.S. dollar value of the Euro payments made, determined at the spot Euro/U.S. dollar rate on the date the dividend is distributed, regardless of whether the payment is in fact converted into U.S. dollars. Generally, any gain or loss resulting from currency exchange fluctuations during the period from the date the dividend is distributed to the date you or the depositary on your behalf converts the payment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Distributions in excess of current and accumulated earnings and profits, as determined for United States federal income tax purposes, will be treated as a non-taxable return of capital to the extent of your basis in the ADSs and thereafter as capital gain. However, we do not expect to calculate earnings and profits in accordance with United States federal income tax principles. Accordingly, you should expect to generally treat distributions we make as dividends.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above under “</w:t>
      </w:r>
      <w:r>
        <w:rPr>
          <w:rFonts w:ascii="Times New Roman PS Std;serif" w:hAnsi="Times New Roman PS Std;serif"/>
          <w:b w:val="false"/>
          <w:i/>
          <w:caps w:val="false"/>
          <w:smallCaps w:val="false"/>
          <w:sz w:val="20"/>
        </w:rPr>
        <w:t>Description of the American Depositary Shares — Fees and Expenses</w:t>
      </w:r>
      <w:r>
        <w:rPr>
          <w:rFonts w:ascii="Times New Roman PS Std;serif" w:hAnsi="Times New Roman PS Std;serif"/>
          <w:b w:val="false"/>
          <w:i w:val="false"/>
          <w:caps w:val="false"/>
          <w:smallCaps w:val="false"/>
          <w:sz w:val="20"/>
        </w:rPr>
        <w:t>,” the amount of any dividend that is paid to you will be reduced by certain fees that you are required to pay to the depositary. The amount of the dividend you are deemed to receive and include in income for United States federal income tax purposes will equal the gross amount of the dividend and will not be reduced by the amount of the fees that are withheld in respect of the dividend payment. You would then be deemed to pay the amount of such fees to the depositary. Such fees will generally be treated as items of investment expense which may not be deductible in the case of certain investors due to general limitations on the deduction of investment expenses. U.S. holders are urged to consult their tax advisors with respect to the tax treatment of the payment of such fees to the depositary.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Subject to certain limitations, the German tax withheld in accordance with the Treaty and paid over to Germany will be creditable or deductible against your United States federal income tax liability. However, under recently finalized Treasury regulations, it is possible that taxes may not be creditable unless you are eligible for and elect to apply the benefits of the Treaty. Special rules apply in determining the foreign tax credit limitation with respect to dividends that are subject to the preferential tax rates. To the extent a reduction or refund of the tax withheld is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available to you under German law or under the Treaty, the amount of tax withheld that could have been reduced or that is refundable will not be eligible for credit against your United States federal income tax liability. See “— </w:t>
      </w:r>
      <w:r>
        <w:rPr>
          <w:rFonts w:ascii="Times New Roman PS Std;serif" w:hAnsi="Times New Roman PS Std;serif"/>
          <w:b w:val="false"/>
          <w:i/>
          <w:caps w:val="false"/>
          <w:smallCaps w:val="false"/>
          <w:sz w:val="20"/>
        </w:rPr>
        <w:t>German Taxation — General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German Tax Treatment of ADSs — General Rules for the Taxation of Non-German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Tax Resident Holders of ADSs</w:t>
      </w:r>
      <w:r>
        <w:rPr>
          <w:rFonts w:ascii="Times New Roman PS Std;serif" w:hAnsi="Times New Roman PS Std;serif"/>
          <w:b w:val="false"/>
          <w:i w:val="false"/>
          <w:caps w:val="false"/>
          <w:smallCaps w:val="false"/>
          <w:sz w:val="20"/>
        </w:rPr>
        <w:t>” and “— </w:t>
      </w:r>
      <w:r>
        <w:rPr>
          <w:rFonts w:ascii="Times New Roman PS Std;serif" w:hAnsi="Times New Roman PS Std;serif"/>
          <w:b w:val="false"/>
          <w:i/>
          <w:caps w:val="false"/>
          <w:smallCaps w:val="false"/>
          <w:sz w:val="20"/>
        </w:rPr>
        <w:t>German Taxation — General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German Tax Treatment of ADSs — General Rules for the Taxation of Non-German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Tax Resident Holders of ADSs — Withholding Tax Refund for U.S. Treaty Beneficiaries</w:t>
      </w:r>
      <w:r>
        <w:rPr>
          <w:rFonts w:ascii="Times New Roman PS Std;serif" w:hAnsi="Times New Roman PS Std;serif"/>
          <w:b w:val="false"/>
          <w:i w:val="false"/>
          <w:caps w:val="false"/>
          <w:smallCaps w:val="false"/>
          <w:sz w:val="20"/>
        </w:rPr>
        <w:t>” for the procedures for obtaining a tax refund.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will generally be income from sources outside the United States and will generally be “passive” income for purposes of computing the foreign tax credit allowable to you. However, if (a) we are 50% or more owned, by vote or value, by United States persons and (b) at least 10% of our earnings and profits are attributable to sources within the United States, then for foreign tax credit purposes, a portion of our dividends would be treated as derived from sources within the United States. With respect to any dividend paid for any taxable year, the United States source ratio of our dividends for foreign tax credit purposes would be equal to the portion of our earnings and profits from sources within the United States for such taxable year, divided by the total amount of our earnings and profits for such taxable year.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Sale or Disposition of ADSs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sell or otherwise dispose of your ADSs, you will recognize capital gain or loss for United States federal income tax purposes equal to the difference between the amount that you realize and your tax basis in your ADSs. Capital gain of a noncorporate U.S. holder is generally taxed at preferential rates where the property is held for more than one year. The gain or loss will generally be income or loss from sources within the United States for foreign tax credit limitation purposes.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Depositary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above under “</w:t>
      </w:r>
      <w:r>
        <w:rPr>
          <w:rFonts w:ascii="Times New Roman PS Std;serif" w:hAnsi="Times New Roman PS Std;serif"/>
          <w:b w:val="false"/>
          <w:i/>
          <w:caps w:val="false"/>
          <w:smallCaps w:val="false"/>
          <w:sz w:val="20"/>
        </w:rPr>
        <w:t>Description of the American Depositary Shares — Fees and Expenses</w:t>
      </w:r>
      <w:r>
        <w:rPr>
          <w:rFonts w:ascii="Times New Roman PS Std;serif" w:hAnsi="Times New Roman PS Std;serif"/>
          <w:b w:val="false"/>
          <w:i w:val="false"/>
          <w:caps w:val="false"/>
          <w:smallCaps w:val="false"/>
          <w:sz w:val="20"/>
        </w:rPr>
        <w:t>,” you will be required to pay certain fees to the depositary. Such fees will generally be treated as items of investment expense which may not be deductible in the case of certain investors due to general limitations on the deduction of investment expenses. U.S. holders are urged to consult their tax advisors regarding the tax treatment of such expenses.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PFIC Classification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we are currently not a PFIC for United States federal income tax purposes and we do not expect to be a PFIC for our current taxable year or become a PFIC in the foreseeable future. However, this conclusion is a factual determination that is made annually and thus may be subject to change. It is therefore possible that we could become a PFIC in a future taxable year. In addition, our current position that we are not a PFIC is based in part upon the value of our goodwill which is based on the market value for the ADSs and ordinary shares. Accordingly, we could become a PFIC in the future if there is a substantial decline in the value of the ADSs and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we will be a PFIC for any taxable year if: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75% of our gross income for the taxable year is passive income,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50% of the value, determined on the basis of a quarterly average, of our assets is attributable to assets that produce or are held for the production of passive income.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Passive income” generally includes dividends, interest, gains from the sale or exchange of investment property, rents and royalties (other than certain rents and royalties derived in the active conduct of a trade or business) and certain other specified categories of income. If a foreign corporation owns at least 25% by value of the stock of another corporation, the foreign corporation is treated for purposes of the PFIC tests as owning its proportionate share of the assets of the other corporation, and as receiving directly its proportionate share of the other corporation’s income.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treated as a PFIC, and you did not make a mark-to-market election, as described below, you will generally be subject to special rules with respect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gain you realize on the sale or other disposition of your ADSs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excess distribution that we make to you (generally, any distributions to you during a single taxable year, other than the taxable year in which your holding period in the ADSs begins, that are greater than 125% of the average annual distributions received by you in respect of the ADSs during the three preceding taxable years or, if shorter, your holding period for the ADSs that preceded the taxable year in which you receive the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these rules: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gain or excess distribution will be allocated ratably over your holding period for the ADSs,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allocated to the taxable year in which you realized the gain or excess distribution or to prior years before the first year in which we were a PFIC during your holding period will be taxed as ordinary income,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allocated to each other prior year will be taxed at the highest tax rate in effect for that year,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interest charge generally applicable to underpayments of tax will be imposed in respect of the tax attributable to each such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Special rules apply for calculating the amount of the foreign tax credit with respect to excess distributions by a PFIC.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a PFIC in a taxable year and the ADSs are treated as “marketable stock” in such year, you may make a mark-to-market election with respect to your ADSs (but not with respect to the ADS rights). If you make this election, for the first tax year in which you hold (or are deemed to hold) ADSs and for which we are a PFIC, you will not be subject to the PFIC rules described above. Instead, in general, you will include as ordinary income each year the excess, if any, of the fair market value of your ADSs at the end of the taxable year over your adjusted basis in your ADSs. You will also be allowed to take an ordinary loss in respect of the excess, if any, of the adjusted basis of your ADSs over their fair market value at the end of the taxable year (but only to the extent of the net amount of previously included income as a result of the mark-to-market election). Your basis in the ADSs will be adjusted to reflect any such income or loss amounts. Any gain that you recognize on the sale or other disposition of your ADSs would be ordinary income and any loss would be an ordinary loss to the extent of the net amount of previously included income as a result of the mark-to-market election and, thereafter, a capital loss. Special tax rules may apply if we were a PFIC for any year in which you own the ADSs but before a mark-to-market election is made.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you are eligible to make and make a mark-to-market election with respect to your ADSs or a “purging election” with respect to your ADSs, such ADSs will generally be treated as stock in a PFIC if we were a PFIC at any time during your holding period in your ADSs, even if we are not currently a PFIC.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notwithstanding any election you make with regard to the ADSs, dividends that you receive from us will not constitute qualified dividend income to you if we are a PFIC (or are treated as a PFIC with respect to you) either in the taxable year of the distribution or the preceding taxable year. Dividends that you receive that do not constitute qualified dividend income are not eligible for taxation at the preferential rates applicable to qualified dividend income. Instead, you must include the gross amount of any such dividend paid by us out of our accumulated earnings and profits (as determined for United States federal income tax purposes) in your gross income, and it will be subject to tax at rates applicable to ordinary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a PFIC and, at any time, have a foreign subsidiary that is classified as a PFIC, you generally would be deemed to own a portion of the shares of such lower-tier PFIC, and generally could incur liability for the deferred tax and interest charge described above if we receive a distribution from, or dispose of all or part of our interest in, the lower-tier PFIC or you otherwise were deemed to have disposed of an interest in the lower-tier PFIC. A mark-to-market election generally would not be available with respect to such lower-tier PFIC.</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not entirely clear, it is likely that the ADS rights will not be subject to the PFIC rules even if we are classified as a PFIC for the current taxable year. It is possible, however, that the IRS could issue final regulations with a retroactive effective date that could cause the ADS rights to be subject to the PFIC rules if we are classified as a PFIC for the current taxable year. A mark-to-market election may not be made with respect to the ADS rights. Holders of ADS rights should consult their tax advisors regarding the potential application of the PFIC rules to their ADS rights if, contrary to current expectations, we are classified as a PFIC for our current taxable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own (or are deemed to own) ADSs during any year that we are a PFIC with respect to you, you may be required to file IRS Form 8621.</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Shareholder Reporting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that owns “specified foreign financial assets” with an aggregate value in excess of $50,000 (and in some circumstances, a higher threshold) may be required to file an information report with respect to such assets with its tax return. “Specified foreign financial assets” may include financial accounts maintained by foreign financial institutions, as well as the following, but only if they are held for investment and not held in accounts maintained by financial institutions: (i) stocks and securities issued by non-United States persons, (ii) financial instruments and contracts that have non-United States issuers or counterparties, and (iii) interests in foreign entities. U.S. Holders are urged to contact their tax advisors regarding the application of this filing requirement to their ownership of ADS rights and ADSs.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Backup Withholding and Information Reporting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noncorporate U.S. holder, information reporting requirements, on IRS Form 1099, generally will apply to dividend payments or other taxable distributions made to you within the United States, and the payment of proceeds to you from the sale of ADS rights or ADSs effected at a United States office of a broker.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backup withholding may apply to such payments if you fail to comply with applicable certification requirements or (in the case of dividend payments) are notified by the IRS that you have failed to report all interest and dividends required to be shown on your federal income tax returns.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the proceeds from the sale of ADS rights or ADSs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the proceeds or confirmation are sent to the United States or (iii) the sale has certain other specified connections with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generally may obtain a refund of any amounts withheld under the backup withholding rules that exceed your income tax liability by filing a refund claim with the IRS.</w:t>
      </w:r>
    </w:p>
    <w:p>
      <w:pPr>
        <w:pStyle w:val="TextBody"/>
        <w:keepNext w:val="false"/>
        <w:pageBreakBefore w:val="false"/>
        <w:widowControl/>
        <w:pBdr/>
        <w:bidi w:val="0"/>
        <w:spacing w:before="160" w:after="283"/>
        <w:ind w:left="0" w:right="0" w:firstLine="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DISCUSSION ABOVE IS A GENERAL SUMMARY. IT DOES NOT COVER ALL TAX MATTERS THAT MAY BE IMPORTANT TO YOU. EACH PROSPECTIVE PURCHASER SHOULD CONSULT ITS OWN TAX ADVISOR ABOUT THE TAX CONSEQUENCES OF AN INVESTMENT IN SHARES UNDER THE INVESTOR’S OWN CIRCUMSTANCES.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4" w:name="T6"/>
      <w:bookmarkEnd w:id="14"/>
      <w:r>
        <w:rPr>
          <w:rFonts w:ascii="Times New Roman PS Std;serif" w:hAnsi="Times New Roman PS Std;serif"/>
          <w:b/>
          <w:i w:val="false"/>
          <w:caps/>
          <w:sz w:val="20"/>
        </w:rPr>
        <w:t>Plan of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sell the securities in one or more of the following ways (or in any combination) from time to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or through underwriters or dealers;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directly to one or more purchasers;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“at-the-market” offerings, within the meaning of Rule 415(a)(4) under the Securities Act, to or through a market maker or into an existing trading market on an exchange or otherwise;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agents;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any other method permitted by applicable law and described in the applicable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may issue the securities as a dividend or distribution or in a subscription rights offering to our existing shareholders. In connection with any distribution of subscription rights to shareholders, if all of the underlying securities are not subscribed for, we may sell the unsubscribed securities directly to third parties or may engage the services of one or more underwriters, dealers or agents, including standby underwriters, to sell the unsubscribed securities to third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prospectus supplement will state the terms of the offering of the securities,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name or names of any underwriters, dealers or agents;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purchase price of such securities and the proceeds to be received by us, if 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underwriting discounts or agency fees and other items constituting underwriters’ or agents’ compensation;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public offering price;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discounts or concessions allowed or re-allowed or paid to dealers.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public offering price and any discounts or concessions allowed or re-allowed or paid to dealers may be changed from time to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underwriters are used in the sale, the securities will be acquired by the underwriters for their own account and may be resold from time to time in one or more transactions,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negotiated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a fixed public offering price or prices, which may be changed;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market prices prevailing at the time of sale;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prices related to prevailing market prices;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negotiated prices.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securities may be sold through agents from time to time. The prospectus supplement will name any agent involved in the offer or sale of the securities and any commissions paid to them. Generally, any agent will be acting on a best efforts basis for the period of its appointment.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securities may be sold on a daily basis on any stock exchange, market or trading facility on which the securities are traded, in privately negotiated transactions or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otherwise as agreed with the underwriters or agents. The distribution agreement will provide that any securities sold will be sold at negotiated prices or at prices related to the then prevailing market prices for our ordinary shares or ADSs. Therefore, exact figures regarding proceeds that will be raised or commissions to be paid cannot be determined at this time and will be described in a prospectus supplement. Under the distribution agreement, we may also agree to sell, and the relevant underwriters or agents may agree to solicit offers to purchase, blocks of our securities. The terms of each such distribution agreement will be described in a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applicable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Underwriters and agents may be customers of, engage in transactions with, or perform services for us and our affiliates in the ordinary course of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sold pursuant to the registration statement of which this prospectus is a part will be authorized for listing and trading on Nasdaq. Any underwriters to whom securities are sold for public offering and sale may make a market in the securities, but such underwriters will not be obligated to do so and may discontinue any market making at any time without notice. We can give no assurance as to the liquidity of or development or maintenance of trading markets for any of the securities.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5" w:name="T5"/>
      <w:bookmarkEnd w:id="15"/>
      <w:r>
        <w:rPr>
          <w:rFonts w:ascii="Times New Roman PS Std;serif" w:hAnsi="Times New Roman PS Std;serif"/>
          <w:b/>
          <w:i w:val="false"/>
          <w:caps/>
          <w:sz w:val="20"/>
        </w:rPr>
        <w:t>Incorporation by Reference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or incorporated by reference subsequent to the date of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incorporate by reference:</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annual report on </w:t>
      </w:r>
      <w:hyperlink r:id="rId3">
        <w:r>
          <w:rPr>
            <w:rStyle w:val="InternetLink"/>
            <w:rFonts w:ascii="Times New Roman PS Std;serif" w:hAnsi="Times New Roman PS Std;serif"/>
            <w:b w:val="false"/>
            <w:i w:val="false"/>
            <w:caps w:val="false"/>
            <w:smallCaps w:val="false"/>
            <w:sz w:val="20"/>
          </w:rPr>
          <w:t>Form 20-F</w:t>
        </w:r>
      </w:hyperlink>
      <w:r>
        <w:rPr>
          <w:rFonts w:ascii="Times New Roman PS Std;serif" w:hAnsi="Times New Roman PS Std;serif"/>
          <w:b w:val="false"/>
          <w:i w:val="false"/>
          <w:caps w:val="false"/>
          <w:smallCaps w:val="false"/>
          <w:sz w:val="20"/>
        </w:rPr>
        <w:t xml:space="preserve"> for the fiscal year ended December 31, 2022 filed with the SEC on May 1, 2023 and the amendment to our annual report on </w:t>
      </w:r>
      <w:hyperlink r:id="rId4">
        <w:r>
          <w:rPr>
            <w:rStyle w:val="InternetLink"/>
            <w:rFonts w:ascii="Times New Roman PS Std;serif" w:hAnsi="Times New Roman PS Std;serif"/>
            <w:b w:val="false"/>
            <w:i w:val="false"/>
            <w:caps w:val="false"/>
            <w:smallCaps w:val="false"/>
            <w:sz w:val="20"/>
          </w:rPr>
          <w:t>Form 20-F/A</w:t>
        </w:r>
      </w:hyperlink>
      <w:r>
        <w:rPr>
          <w:rFonts w:ascii="Times New Roman PS Std;serif" w:hAnsi="Times New Roman PS Std;serif"/>
          <w:b w:val="false"/>
          <w:i w:val="false"/>
          <w:caps w:val="false"/>
          <w:smallCaps w:val="false"/>
          <w:sz w:val="20"/>
        </w:rPr>
        <w:t xml:space="preserve"> for the fiscal year ended December 31, 2022 filed with the SEC on August 23, 2023;</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Reports on Form 6-K furnished to the SEC on </w:t>
      </w:r>
      <w:hyperlink r:id="rId5">
        <w:r>
          <w:rPr>
            <w:rStyle w:val="InternetLink"/>
            <w:rFonts w:ascii="Times New Roman PS Std;serif" w:hAnsi="Times New Roman PS Std;serif"/>
            <w:b w:val="false"/>
            <w:i w:val="false"/>
            <w:caps w:val="false"/>
            <w:smallCaps w:val="false"/>
            <w:sz w:val="20"/>
          </w:rPr>
          <w:t>May 2, 2023</w:t>
        </w:r>
      </w:hyperlink>
      <w:r>
        <w:rPr>
          <w:rFonts w:ascii="Times New Roman PS Std;serif" w:hAnsi="Times New Roman PS Std;serif"/>
          <w:b w:val="false"/>
          <w:i w:val="false"/>
          <w:caps w:val="false"/>
          <w:smallCaps w:val="false"/>
          <w:sz w:val="20"/>
        </w:rPr>
        <w:t xml:space="preserve"> (solely with respect to the first paragraph of the press release attached as </w:t>
      </w:r>
      <w:hyperlink r:id="rId6">
        <w:r>
          <w:rPr>
            <w:rStyle w:val="InternetLink"/>
            <w:rFonts w:ascii="Times New Roman PS Std;serif" w:hAnsi="Times New Roman PS Std;serif"/>
            <w:b w:val="false"/>
            <w:i w:val="false"/>
            <w:caps w:val="false"/>
            <w:smallCaps w:val="false"/>
            <w:sz w:val="20"/>
          </w:rPr>
          <w:t>Exhibit 99.1</w:t>
        </w:r>
      </w:hyperlink>
      <w:r>
        <w:rPr>
          <w:rFonts w:ascii="Times New Roman PS Std;serif" w:hAnsi="Times New Roman PS Std;serif"/>
          <w:b w:val="false"/>
          <w:i w:val="false"/>
          <w:caps w:val="false"/>
          <w:smallCaps w:val="false"/>
          <w:sz w:val="20"/>
        </w:rPr>
        <w:t xml:space="preserve"> thereto), </w:t>
      </w:r>
      <w:hyperlink r:id="rId7">
        <w:r>
          <w:rPr>
            <w:rStyle w:val="InternetLink"/>
            <w:rFonts w:ascii="Times New Roman PS Std;serif" w:hAnsi="Times New Roman PS Std;serif"/>
            <w:b w:val="false"/>
            <w:i w:val="false"/>
            <w:caps w:val="false"/>
            <w:smallCaps w:val="false"/>
            <w:sz w:val="20"/>
          </w:rPr>
          <w:t>May 11, 2023</w:t>
        </w:r>
      </w:hyperlink>
      <w:r>
        <w:rPr>
          <w:rFonts w:ascii="Times New Roman PS Std;serif" w:hAnsi="Times New Roman PS Std;serif"/>
          <w:b w:val="false"/>
          <w:i w:val="false"/>
          <w:caps w:val="false"/>
          <w:smallCaps w:val="false"/>
          <w:sz w:val="20"/>
        </w:rPr>
        <w:t xml:space="preserve">, </w:t>
      </w:r>
      <w:hyperlink r:id="rId8">
        <w:r>
          <w:rPr>
            <w:rStyle w:val="InternetLink"/>
            <w:rFonts w:ascii="Times New Roman PS Std;serif" w:hAnsi="Times New Roman PS Std;serif"/>
            <w:b w:val="false"/>
            <w:i w:val="false"/>
            <w:caps w:val="false"/>
            <w:smallCaps w:val="false"/>
            <w:sz w:val="20"/>
          </w:rPr>
          <w:t>June 21, 2023</w:t>
        </w:r>
      </w:hyperlink>
      <w:r>
        <w:rPr>
          <w:rFonts w:ascii="Times New Roman PS Std;serif" w:hAnsi="Times New Roman PS Std;serif"/>
          <w:b w:val="false"/>
          <w:i w:val="false"/>
          <w:caps w:val="false"/>
          <w:smallCaps w:val="false"/>
          <w:sz w:val="20"/>
        </w:rPr>
        <w:t xml:space="preserve"> (solely with respect to the first paragraph of the press release attached as </w:t>
      </w:r>
      <w:hyperlink r:id="rId9">
        <w:r>
          <w:rPr>
            <w:rStyle w:val="InternetLink"/>
            <w:rFonts w:ascii="Times New Roman PS Std;serif" w:hAnsi="Times New Roman PS Std;serif"/>
            <w:b w:val="false"/>
            <w:i w:val="false"/>
            <w:caps w:val="false"/>
            <w:smallCaps w:val="false"/>
            <w:sz w:val="20"/>
          </w:rPr>
          <w:t>Exhibit 99.1</w:t>
        </w:r>
      </w:hyperlink>
      <w:r>
        <w:rPr>
          <w:rFonts w:ascii="Times New Roman PS Std;serif" w:hAnsi="Times New Roman PS Std;serif"/>
          <w:b w:val="false"/>
          <w:i w:val="false"/>
          <w:caps w:val="false"/>
          <w:smallCaps w:val="false"/>
          <w:sz w:val="20"/>
        </w:rPr>
        <w:t xml:space="preserve"> thereto), </w:t>
      </w:r>
      <w:hyperlink r:id="rId10">
        <w:r>
          <w:rPr>
            <w:rStyle w:val="InternetLink"/>
            <w:rFonts w:ascii="Times New Roman PS Std;serif" w:hAnsi="Times New Roman PS Std;serif"/>
            <w:b w:val="false"/>
            <w:i w:val="false"/>
            <w:caps w:val="false"/>
            <w:smallCaps w:val="false"/>
            <w:sz w:val="20"/>
          </w:rPr>
          <w:t>June 29, 2023</w:t>
        </w:r>
      </w:hyperlink>
      <w:r>
        <w:rPr>
          <w:rFonts w:ascii="Times New Roman PS Std;serif" w:hAnsi="Times New Roman PS Std;serif"/>
          <w:b w:val="false"/>
          <w:i w:val="false"/>
          <w:caps w:val="false"/>
          <w:smallCaps w:val="false"/>
          <w:sz w:val="20"/>
        </w:rPr>
        <w:t xml:space="preserve">, </w:t>
      </w:r>
      <w:hyperlink r:id="rId11">
        <w:r>
          <w:rPr>
            <w:rStyle w:val="InternetLink"/>
            <w:rFonts w:ascii="Times New Roman PS Std;serif" w:hAnsi="Times New Roman PS Std;serif"/>
            <w:b w:val="false"/>
            <w:i w:val="false"/>
            <w:caps w:val="false"/>
            <w:smallCaps w:val="false"/>
            <w:sz w:val="20"/>
          </w:rPr>
          <w:t>August 8, 2023</w:t>
        </w:r>
      </w:hyperlink>
      <w:r>
        <w:rPr>
          <w:rFonts w:ascii="Times New Roman PS Std;serif" w:hAnsi="Times New Roman PS Std;serif"/>
          <w:b w:val="false"/>
          <w:i w:val="false"/>
          <w:caps w:val="false"/>
          <w:smallCaps w:val="false"/>
          <w:sz w:val="20"/>
        </w:rPr>
        <w:t xml:space="preserve">, </w:t>
      </w:r>
      <w:hyperlink r:id="rId12">
        <w:r>
          <w:rPr>
            <w:rStyle w:val="InternetLink"/>
            <w:rFonts w:ascii="Times New Roman PS Std;serif" w:hAnsi="Times New Roman PS Std;serif"/>
            <w:b w:val="false"/>
            <w:i w:val="false"/>
            <w:caps w:val="false"/>
            <w:smallCaps w:val="false"/>
            <w:sz w:val="20"/>
          </w:rPr>
          <w:t>August 22, 2023</w:t>
        </w:r>
      </w:hyperlink>
      <w:r>
        <w:rPr>
          <w:rFonts w:ascii="Times New Roman PS Std;serif" w:hAnsi="Times New Roman PS Std;serif"/>
          <w:b w:val="false"/>
          <w:i w:val="false"/>
          <w:caps w:val="false"/>
          <w:smallCaps w:val="false"/>
          <w:sz w:val="20"/>
        </w:rPr>
        <w:t xml:space="preserve"> (solely with respect to the first paragraph of the press release attached as </w:t>
      </w:r>
      <w:hyperlink r:id="rId13">
        <w:r>
          <w:rPr>
            <w:rStyle w:val="InternetLink"/>
            <w:rFonts w:ascii="Times New Roman PS Std;serif" w:hAnsi="Times New Roman PS Std;serif"/>
            <w:b w:val="false"/>
            <w:i w:val="false"/>
            <w:caps w:val="false"/>
            <w:smallCaps w:val="false"/>
            <w:sz w:val="20"/>
          </w:rPr>
          <w:t>Exhibit 99.1</w:t>
        </w:r>
      </w:hyperlink>
      <w:r>
        <w:rPr>
          <w:rFonts w:ascii="Times New Roman PS Std;serif" w:hAnsi="Times New Roman PS Std;serif"/>
          <w:b w:val="false"/>
          <w:i w:val="false"/>
          <w:caps w:val="false"/>
          <w:smallCaps w:val="false"/>
          <w:sz w:val="20"/>
        </w:rPr>
        <w:t xml:space="preserve"> thereto) and </w:t>
      </w:r>
      <w:hyperlink r:id="rId14">
        <w:r>
          <w:rPr>
            <w:rStyle w:val="InternetLink"/>
            <w:rFonts w:ascii="Times New Roman PS Std;serif" w:hAnsi="Times New Roman PS Std;serif"/>
            <w:b w:val="false"/>
            <w:i w:val="false"/>
            <w:caps w:val="false"/>
            <w:smallCaps w:val="false"/>
            <w:sz w:val="20"/>
          </w:rPr>
          <w:t>September 28, 2023</w:t>
        </w:r>
      </w:hyperlink>
      <w:r>
        <w:rPr>
          <w:rFonts w:ascii="Times New Roman PS Std;serif" w:hAnsi="Times New Roman PS Std;serif"/>
          <w:b w:val="false"/>
          <w:i w:val="false"/>
          <w:caps w:val="false"/>
          <w:smallCaps w:val="false"/>
          <w:sz w:val="20"/>
        </w:rPr>
        <w:t xml:space="preserve"> (solely with respect to the first paragraph of the press release attached as </w:t>
      </w:r>
      <w:hyperlink r:id="rId15">
        <w:r>
          <w:rPr>
            <w:rStyle w:val="InternetLink"/>
            <w:rFonts w:ascii="Times New Roman PS Std;serif" w:hAnsi="Times New Roman PS Std;serif"/>
            <w:b w:val="false"/>
            <w:i w:val="false"/>
            <w:caps w:val="false"/>
            <w:smallCaps w:val="false"/>
            <w:sz w:val="20"/>
          </w:rPr>
          <w:t>Exhibit 99.1</w:t>
        </w:r>
      </w:hyperlink>
      <w:r>
        <w:rPr>
          <w:rFonts w:ascii="Times New Roman PS Std;serif" w:hAnsi="Times New Roman PS Std;serif"/>
          <w:b w:val="false"/>
          <w:i w:val="false"/>
          <w:caps w:val="false"/>
          <w:smallCaps w:val="false"/>
          <w:sz w:val="20"/>
        </w:rPr>
        <w:t xml:space="preserve"> thereto).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annual reports we file with the SEC pursuant to the Exchange Act on Form 20-F after the date of this prospectus and prior to termination or expiration of this registration statement shall be deemed incorporated by reference into this prospectus and to be part hereof from the date of filing of such documents. We may incorporate by reference any Form 6-K subsequently furnished to the SEC by identifying in such Form 6-K that it is being incorporated by reference into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Documents incorporated by reference in this prospectus are available from us without charge upon written or oral request, excluding any exhibits to those documents that are not specifically incorporated by reference into those documents. You can obtain documents incorporated by reference in this document by requesting them from:</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Mynaric AG</w:t>
        <w:br/>
        <w:t>Dornierstraße 1</w:t>
        <w:br/>
        <w:t>82205 Gilching</w:t>
        <w:br/>
        <w:t>Germany</w:t>
        <w:br/>
        <w:t>+49 (30) 8105 79990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may also access these documents on our website, </w:t>
      </w:r>
      <w:r>
        <w:rPr>
          <w:rFonts w:ascii="Times New Roman PS Std;serif" w:hAnsi="Times New Roman PS Std;serif"/>
          <w:b w:val="false"/>
          <w:i/>
          <w:caps w:val="false"/>
          <w:smallCaps w:val="false"/>
          <w:sz w:val="20"/>
        </w:rPr>
        <w:t>https://www.mynaric.com</w:t>
      </w:r>
      <w:r>
        <w:rPr>
          <w:rFonts w:ascii="Times New Roman PS Std;serif" w:hAnsi="Times New Roman PS Std;serif"/>
          <w:b w:val="false"/>
          <w:i w:val="false"/>
          <w:caps w:val="false"/>
          <w:smallCaps w:val="false"/>
          <w:sz w:val="20"/>
        </w:rPr>
        <w:t>. The information contained on, or that can be accessed through, our website is not a part of this prospectus. We have included our website address in this prospectus solely as an inactive textual reference.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6" w:name="T4"/>
      <w:bookmarkEnd w:id="16"/>
      <w:r>
        <w:rPr>
          <w:rFonts w:ascii="Times New Roman PS Std;serif" w:hAnsi="Times New Roman PS Std;serif"/>
          <w:b/>
          <w:i w:val="false"/>
          <w:caps/>
          <w:sz w:val="20"/>
        </w:rPr>
        <w:t>Enforcement of Civil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stock corporation (</w:t>
      </w:r>
      <w:r>
        <w:rPr>
          <w:rFonts w:ascii="Times New Roman PS Std;serif" w:hAnsi="Times New Roman PS Std;serif"/>
          <w:b w:val="false"/>
          <w:i/>
          <w:caps w:val="false"/>
          <w:smallCaps w:val="false"/>
          <w:sz w:val="20"/>
        </w:rPr>
        <w:t>Aktiengesellschaft</w:t>
      </w:r>
      <w:r>
        <w:rPr>
          <w:rFonts w:ascii="Times New Roman PS Std;serif" w:hAnsi="Times New Roman PS Std;serif"/>
          <w:b w:val="false"/>
          <w:i w:val="false"/>
          <w:caps w:val="false"/>
          <w:smallCaps w:val="false"/>
          <w:sz w:val="20"/>
        </w:rPr>
        <w:t>) organized under the laws of the Federal Republic of Germany. Our registered office and most of our assets are located outside of the United States. In addition, all members of our management board, three out of five supervisory board members and the experts named herein are residents of Germany or jurisdictions other than the United States. As a result, it may not be possible for you to effect service of process within the United States upon these individuals or upon us or to enforce judgments obtained in U.S. courts based on the civil liability provisions of the U.S. securities laws against us in the United States. Awards of punitive damages in actions brought in the United States or elsewhere are generally not enforceable in Germany. In addition, actions brought in a German court against us or the members of our management board or supervisory board or the experts named herein to enforce liabilities based on U.S. federal securities laws may be subject to certain restrictions; in particular, German courts generally do not award punitive damages. Litigation in Germany is also subject to rules of procedure that differ from the U.S. rules, including with respect to the taking and admissibility of evidence, the conduct of the proceedings and the allocation of costs. With very narrow exceptions,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the members of our management board or supervisory board and the experts named in this prospectus. In addition, even if a judgment against our company, members of our management board, supervisory board or the experts named in this prospectus based on the civil liability provisions of the U.S. federal securities laws is obtained, a U.S. investor may not be able to enforce it in U.S. or German courts.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7" w:name="T3"/>
      <w:bookmarkEnd w:id="17"/>
      <w:r>
        <w:rPr>
          <w:rFonts w:ascii="Times New Roman PS Std;serif" w:hAnsi="Times New Roman PS Std;serif"/>
          <w:b/>
          <w:i w:val="false"/>
          <w:caps/>
          <w:sz w:val="20"/>
        </w:rPr>
        <w:t>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tbl>
      <w:tblPr>
        <w:tblW w:w="4574" w:type="dxa"/>
        <w:jc w:val="left"/>
        <w:tblInd w:w="0" w:type="dxa"/>
        <w:tblLayout w:type="fixed"/>
        <w:tblCellMar>
          <w:top w:w="0" w:type="dxa"/>
          <w:left w:w="0" w:type="dxa"/>
          <w:bottom w:w="0" w:type="dxa"/>
          <w:right w:w="0" w:type="dxa"/>
        </w:tblCellMar>
      </w:tblPr>
      <w:tblGrid>
        <w:gridCol w:w="3091"/>
        <w:gridCol w:w="146"/>
        <w:gridCol w:w="226"/>
        <w:gridCol w:w="1111"/>
      </w:tblGrid>
      <w:tr>
        <w:trPr/>
        <w:tc>
          <w:tcPr>
            <w:tcW w:w="30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registration fee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10,094.32</w:t>
            </w:r>
          </w:p>
        </w:tc>
      </w:tr>
      <w:tr>
        <w:trPr/>
        <w:tc>
          <w:tcPr>
            <w:tcW w:w="3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FINRA filing fee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14,240.00</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fees and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Accounting fees and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fee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Printing fee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Miscellaneous costs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To be provided by a prospectus supplement or a Report on Form 6-K that is incorporated by reference into this prospectus.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8" w:name="T2"/>
      <w:bookmarkEnd w:id="18"/>
      <w:r>
        <w:rPr>
          <w:rFonts w:ascii="Times New Roman PS Std;serif" w:hAnsi="Times New Roman PS Std;serif"/>
          <w:b/>
          <w:i w:val="false"/>
          <w:caps/>
          <w:sz w:val="20"/>
        </w:rPr>
        <w:t>Legal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validity of the securities offered by this prospectus and any accompanying prospectus supplement will be passed upon for us by Sullivan &amp; Cromwell LLP, our German and U.S. counsel.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9" w:name="T1"/>
      <w:bookmarkEnd w:id="19"/>
      <w:r>
        <w:rPr>
          <w:rFonts w:ascii="Times New Roman PS Std;serif" w:hAnsi="Times New Roman PS Std;serif"/>
          <w:b/>
          <w:i w:val="false"/>
          <w:caps/>
          <w:sz w:val="20"/>
        </w:rPr>
        <w:t>Experts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Mynaric AG as of December 31, 2022 and 2021 and for each of the three years in the period ended December 31, 2022 appearing in Mynaric AG’s annual report on Form 20-F for the year ended December 31, 2022, have been incorporated by reference herein in reliance upon the report of KPMG AG Wirtschaftsprüfungsgesellschaft, independent registered public accounting firm, incorporated by reference herein and upon the authority of such firm as experts in accounting and auditing.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caps w:val="false"/>
          <w:smallCaps w:val="false"/>
          <w:bdr w:val="double" w:sz="16" w:space="4" w:color="000000"/>
        </w:rPr>
      </w:pPr>
      <w:r>
        <w:rPr>
          <w:caps w:val="false"/>
          <w:smallCaps w:val="false"/>
          <w:bdr w:val="double" w:sz="16" w:space="4" w:color="000000"/>
        </w:rPr>
        <w:t> </w:t>
      </w:r>
    </w:p>
    <w:p>
      <w:pPr>
        <w:pStyle w:val="TextBody"/>
        <w:keepNext w:val="true"/>
        <w:pageBreakBefore w:val="false"/>
        <w:widowControl/>
        <w:pBdr/>
        <w:bidi w:val="0"/>
        <w:spacing w:before="900" w:after="283"/>
        <w:jc w:val="center"/>
        <w:rPr>
          <w:caps w:val="false"/>
          <w:smallCaps w:val="false"/>
        </w:rPr>
      </w:pPr>
      <w:r>
        <w:rPr>
          <w:caps w:val="false"/>
          <w:smallCaps w:val="false"/>
        </w:rPr>
        <w:drawing>
          <wp:inline distT="0" distB="0" distL="0" distR="0">
            <wp:extent cx="1743075" cy="9264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1743075" cy="926465"/>
                    </a:xfrm>
                    <a:prstGeom prst="rect">
                      <a:avLst/>
                    </a:prstGeom>
                  </pic:spPr>
                </pic:pic>
              </a:graphicData>
            </a:graphic>
          </wp:inline>
        </w:drawing>
      </w:r>
    </w:p>
    <w:p>
      <w:pPr>
        <w:pStyle w:val="TextBody"/>
        <w:keepNext w:val="true"/>
        <w:pageBreakBefore w:val="false"/>
        <w:widowControl/>
        <w:pBdr/>
        <w:bidi w:val="0"/>
        <w:spacing w:before="90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 xml:space="preserve">20,000,000 American Depositary Shares Representing </w:t>
        <w:br/>
        <w:t>5,000,000 Ordinary Shares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Rights to Subscribe for 20,000,000 American Depositary Shares</w:t>
      </w:r>
    </w:p>
    <w:p>
      <w:pPr>
        <w:pStyle w:val="TextBody"/>
        <w:keepNext w:val="false"/>
        <w:pageBreakBefore w:val="false"/>
        <w:widowControl/>
        <w:pBdr/>
        <w:bidi w:val="0"/>
        <w:spacing w:before="9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w:t>
      </w:r>
    </w:p>
    <w:p>
      <w:pPr>
        <w:pStyle w:val="TextBody"/>
        <w:keepNext w:val="false"/>
        <w:pageBreakBefore w:val="false"/>
        <w:widowControl/>
        <w:pBdr/>
        <w:bidi w:val="0"/>
        <w:spacing w:before="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p>
      <w:pPr>
        <w:pStyle w:val="TextBody"/>
        <w:keepNext w:val="fals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w:t>
      </w:r>
    </w:p>
    <w:p>
      <w:pPr>
        <w:pStyle w:val="TextBody"/>
        <w:keepNext w:val="true"/>
        <w:pageBreakBefore w:val="false"/>
        <w:widowControl/>
        <w:pBdr/>
        <w:bidi w:val="0"/>
        <w:spacing w:before="240" w:after="700"/>
        <w:jc w:val="center"/>
        <w:rPr>
          <w:caps w:val="false"/>
          <w:smallCaps w:val="false"/>
        </w:rPr>
      </w:pPr>
      <w:r>
        <w:rPr>
          <w:caps w:val="false"/>
          <w:smallCaps w:val="false"/>
        </w:rPr>
        <w:t>          </w:t>
      </w:r>
      <w:r>
        <w:rPr>
          <w:rFonts w:ascii="Times New Roman PS Std;serif" w:hAnsi="Times New Roman PS Std;serif"/>
          <w:b/>
          <w:i w:val="false"/>
          <w:caps w:val="false"/>
          <w:smallCaps w:val="false"/>
          <w:sz w:val="20"/>
        </w:rPr>
        <w:t>, 2023</w:t>
      </w:r>
    </w:p>
    <w:p>
      <w:pPr>
        <w:pStyle w:val="TextBody"/>
        <w:keepNext w:val="true"/>
        <w:pageBreakBefore w:val="false"/>
        <w:widowControl/>
        <w:pBdr/>
        <w:bidi w:val="0"/>
        <w:spacing w:before="240" w:after="283"/>
        <w:ind w:left="0" w:right="0" w:hanging="0"/>
        <w:jc w:val="center"/>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PART II</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NOT REQUIRED IN THE PROSPECTUS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8. Indemnification of directors and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German law, we may not, as a general matter, indemnify members of our management board or supervisory board. Certain limited exceptions may apply if the indemnification is in the legitimate interest of our company. We indemnify our management board and supervisory board members, to the extent permissible under German law, from and against any liabilities arising out of or in connection with their services to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directors’ and officers’ liability insurance for the members of our management and supervisory boards against civil liabilities, which they may incur in connection with their activities on behalf of our company, including against liabilities under the Securities Act.</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9. Exhibits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Reference is made to the Exhibit Index included herewith which is incorporated herein by reference.</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10. Undertakings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undersigned registrant hereby undertakes:</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file, during any period in which offers or sales are being made, a post-effective amendment to this registration statement:</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include any prospectus required by section 10(a)(3) of the Securities Act;</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of the Securities Act if, in the aggregate, the changes in volume and price represent no more than 20% change in the maximum aggregate offering price set forth in the “Calculation of Registration Fee” table in the effective registration statement.</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however</w:t>
      </w:r>
      <w:r>
        <w:rPr>
          <w:rFonts w:ascii="Times New Roman PS Std;serif" w:hAnsi="Times New Roman PS Std;serif"/>
          <w:b w:val="false"/>
          <w:i w:val="false"/>
          <w:caps w:val="false"/>
          <w:smallCaps w:val="false"/>
          <w:sz w:val="20"/>
        </w:rPr>
        <w:t>, that paragraphs (a)(1)(i), (a)(1)(ii) and (a)(1)(iii)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of the Securities Act that is part of the registration statement.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Securities Act or Item 8.A of Form 20-F if such financial statements and information are contained in periodic reports filed with or furnished to the Commission by the registrant pursuant to section 13 or section 15(d) of the Exchange Act that are incorporated by reference in the Form F-3.</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That, for the purpose of determining liability under the Securities Act to any purchaser:</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prospectus filed by the registrant pursuant to Rule 424(b)(3) shall be deemed to be part of the registration statement as of the date the filed prospectus was deemed part of and included in the registration statement; and</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however</w:t>
      </w:r>
      <w:r>
        <w:rPr>
          <w:rFonts w:ascii="Times New Roman PS Std;serif" w:hAnsi="Times New Roman PS Std;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That, for the purpose of determining liability of the registrant under the Securities Act to any purchaser in the initial distribution of the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preliminary prospectus or prospectus of the undersigned registrant relating to the offering required to be filed pursuant to Rule 424;</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Any other communication that is an offer in the offering made by the undersigned registrant to the purchaser.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undersigned registrant hereby undertakes that: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INDEX</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documents are filed as part of this registration statement:</w:t>
      </w:r>
    </w:p>
    <w:tbl>
      <w:tblPr>
        <w:tblW w:w="10205" w:type="dxa"/>
        <w:jc w:val="left"/>
        <w:tblInd w:w="0" w:type="dxa"/>
        <w:tblLayout w:type="fixed"/>
        <w:tblCellMar>
          <w:top w:w="0" w:type="dxa"/>
          <w:left w:w="0" w:type="dxa"/>
          <w:bottom w:w="0" w:type="dxa"/>
          <w:right w:w="0" w:type="dxa"/>
        </w:tblCellMar>
      </w:tblPr>
      <w:tblGrid>
        <w:gridCol w:w="1006"/>
        <w:gridCol w:w="146"/>
        <w:gridCol w:w="9053"/>
      </w:tblGrid>
      <w:tr>
        <w:trPr/>
        <w:tc>
          <w:tcPr>
            <w:tcW w:w="10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Exhibit </w:t>
              <w:br/>
              <w:t>Number</w:t>
            </w:r>
          </w:p>
        </w:tc>
        <w:tc>
          <w:tcPr>
            <w:tcW w:w="146" w:type="dxa"/>
            <w:tcBorders/>
            <w:vAlign w:val="bottom"/>
          </w:tcPr>
          <w:p>
            <w:pPr>
              <w:pStyle w:val="TableContents"/>
              <w:bidi w:val="0"/>
              <w:spacing w:before="0" w:after="283"/>
              <w:jc w:val="left"/>
              <w:rPr/>
            </w:pPr>
            <w:r>
              <w:rPr/>
              <w:t> </w:t>
            </w:r>
          </w:p>
        </w:tc>
        <w:tc>
          <w:tcPr>
            <w:tcW w:w="905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 of Exhibit</w:t>
            </w:r>
          </w:p>
        </w:tc>
      </w:tr>
      <w:tr>
        <w:trPr/>
        <w:tc>
          <w:tcPr>
            <w:tcW w:w="100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tcPr>
          <w:p>
            <w:pPr>
              <w:pStyle w:val="TableContents"/>
              <w:bidi w:val="0"/>
              <w:spacing w:before="0" w:after="283"/>
              <w:jc w:val="left"/>
              <w:rPr/>
            </w:pPr>
            <w:r>
              <w:rPr/>
              <w:t> </w:t>
            </w:r>
          </w:p>
        </w:tc>
        <w:tc>
          <w:tcPr>
            <w:tcW w:w="9053"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Underwriting Agreement</w:t>
            </w:r>
          </w:p>
        </w:tc>
      </w:tr>
      <w:tr>
        <w:trPr/>
        <w:tc>
          <w:tcPr>
            <w:tcW w:w="1006" w:type="dxa"/>
            <w:tcBorders/>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tcPr>
          <w:p>
            <w:pPr>
              <w:pStyle w:val="TableContents"/>
              <w:bidi w:val="0"/>
              <w:spacing w:before="0" w:after="283"/>
              <w:jc w:val="left"/>
              <w:rPr/>
            </w:pPr>
            <w:r>
              <w:rPr/>
              <w:t> </w:t>
            </w:r>
          </w:p>
        </w:tc>
        <w:tc>
          <w:tcPr>
            <w:tcW w:w="9053" w:type="dxa"/>
            <w:tcBorders/>
            <w:vAlign w:val="bottom"/>
          </w:tcPr>
          <w:p>
            <w:pPr>
              <w:pStyle w:val="TableContents"/>
              <w:keepNext w:val="false"/>
              <w:widowControl/>
              <w:pBdr/>
              <w:bidi w:val="0"/>
              <w:spacing w:before="0" w:after="283"/>
              <w:jc w:val="both"/>
              <w:rPr/>
            </w:pPr>
            <w:hyperlink w:anchor="ff32023ex3-1_mynaricag.htm">
              <w:r>
                <w:rPr>
                  <w:rStyle w:val="InternetLink"/>
                  <w:rFonts w:ascii="Times New Roman PS Std;serif" w:hAnsi="Times New Roman PS Std;serif"/>
                  <w:b w:val="false"/>
                  <w:i w:val="false"/>
                  <w:caps w:val="false"/>
                  <w:smallCaps w:val="false"/>
                  <w:sz w:val="20"/>
                </w:rPr>
                <w:t>Articles of Association of the Registrant, dated August 23, 2023 (translated into English)</w:t>
              </w:r>
            </w:hyperlink>
          </w:p>
        </w:tc>
      </w:tr>
      <w:tr>
        <w:trPr/>
        <w:tc>
          <w:tcPr>
            <w:tcW w:w="100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46" w:type="dxa"/>
            <w:tcBorders/>
            <w:shd w:fill="CCEEFF" w:val="clear"/>
          </w:tcPr>
          <w:p>
            <w:pPr>
              <w:pStyle w:val="TableContents"/>
              <w:bidi w:val="0"/>
              <w:spacing w:before="0" w:after="283"/>
              <w:jc w:val="left"/>
              <w:rPr/>
            </w:pPr>
            <w:r>
              <w:rPr/>
              <w:t> </w:t>
            </w:r>
          </w:p>
        </w:tc>
        <w:tc>
          <w:tcPr>
            <w:tcW w:w="9053" w:type="dxa"/>
            <w:tcBorders/>
            <w:shd w:fill="CCEEFF" w:val="clear"/>
            <w:vAlign w:val="bottom"/>
          </w:tcPr>
          <w:p>
            <w:pPr>
              <w:pStyle w:val="TableContents"/>
              <w:keepNext w:val="false"/>
              <w:widowControl/>
              <w:pBdr/>
              <w:bidi w:val="0"/>
              <w:spacing w:before="0" w:after="283"/>
              <w:jc w:val="both"/>
              <w:rPr/>
            </w:pPr>
            <w:hyperlink r:id="rId17">
              <w:r>
                <w:rPr>
                  <w:rStyle w:val="InternetLink"/>
                  <w:rFonts w:ascii="Times New Roman PS Std;serif" w:hAnsi="Times New Roman PS Std;serif"/>
                  <w:b w:val="false"/>
                  <w:i w:val="false"/>
                  <w:caps w:val="false"/>
                  <w:smallCaps w:val="false"/>
                  <w:sz w:val="20"/>
                </w:rPr>
                <w:t>Rules of Procedure of the Management Board of Mynaric AG (incorporated by reference to Exhibit 3.2 to the Company’s Registration Statement on Form F-1 (File No. 333-260357) filed with the SEC on October 29, 2021)</w:t>
              </w:r>
            </w:hyperlink>
          </w:p>
        </w:tc>
      </w:tr>
      <w:tr>
        <w:trPr/>
        <w:tc>
          <w:tcPr>
            <w:tcW w:w="1006" w:type="dxa"/>
            <w:tcBorders/>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46" w:type="dxa"/>
            <w:tcBorders/>
          </w:tcPr>
          <w:p>
            <w:pPr>
              <w:pStyle w:val="TableContents"/>
              <w:bidi w:val="0"/>
              <w:spacing w:before="0" w:after="283"/>
              <w:jc w:val="left"/>
              <w:rPr/>
            </w:pPr>
            <w:r>
              <w:rPr/>
              <w:t> </w:t>
            </w:r>
          </w:p>
        </w:tc>
        <w:tc>
          <w:tcPr>
            <w:tcW w:w="9053" w:type="dxa"/>
            <w:tcBorders/>
            <w:vAlign w:val="bottom"/>
          </w:tcPr>
          <w:p>
            <w:pPr>
              <w:pStyle w:val="TableContents"/>
              <w:keepNext w:val="false"/>
              <w:widowControl/>
              <w:pBdr/>
              <w:bidi w:val="0"/>
              <w:spacing w:before="0" w:after="283"/>
              <w:jc w:val="both"/>
              <w:rPr/>
            </w:pPr>
            <w:hyperlink r:id="rId18">
              <w:r>
                <w:rPr>
                  <w:rStyle w:val="InternetLink"/>
                  <w:rFonts w:ascii="Times New Roman PS Std;serif" w:hAnsi="Times New Roman PS Std;serif"/>
                  <w:b w:val="false"/>
                  <w:i w:val="false"/>
                  <w:caps w:val="false"/>
                  <w:smallCaps w:val="false"/>
                  <w:sz w:val="20"/>
                </w:rPr>
                <w:t>Rules of Procedure of the Supervisory Board of Mynaric AG (incorporated by reference to Exhibit 3.3 to the Company’s Registration Statement on Form F-1 (File No. 333-260357) filed with the SEC on October 29, 2021)</w:t>
              </w:r>
            </w:hyperlink>
          </w:p>
        </w:tc>
      </w:tr>
      <w:tr>
        <w:trPr/>
        <w:tc>
          <w:tcPr>
            <w:tcW w:w="100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shd w:fill="CCEEFF" w:val="clear"/>
          </w:tcPr>
          <w:p>
            <w:pPr>
              <w:pStyle w:val="TableContents"/>
              <w:bidi w:val="0"/>
              <w:spacing w:before="0" w:after="283"/>
              <w:jc w:val="left"/>
              <w:rPr/>
            </w:pPr>
            <w:r>
              <w:rPr/>
              <w:t> </w:t>
            </w:r>
          </w:p>
        </w:tc>
        <w:tc>
          <w:tcPr>
            <w:tcW w:w="9053" w:type="dxa"/>
            <w:tcBorders/>
            <w:shd w:fill="CCEEFF" w:val="clear"/>
            <w:vAlign w:val="bottom"/>
          </w:tcPr>
          <w:p>
            <w:pPr>
              <w:pStyle w:val="TableContents"/>
              <w:keepNext w:val="false"/>
              <w:widowControl/>
              <w:pBdr/>
              <w:bidi w:val="0"/>
              <w:spacing w:before="0" w:after="283"/>
              <w:jc w:val="both"/>
              <w:rPr/>
            </w:pPr>
            <w:hyperlink r:id="rId19">
              <w:r>
                <w:rPr>
                  <w:rStyle w:val="InternetLink"/>
                  <w:rFonts w:ascii="Times New Roman PS Std;serif" w:hAnsi="Times New Roman PS Std;serif"/>
                  <w:b w:val="false"/>
                  <w:i w:val="false"/>
                  <w:caps w:val="false"/>
                  <w:smallCaps w:val="false"/>
                  <w:sz w:val="20"/>
                </w:rPr>
                <w:t>Form of Deposit Agreement between the registrant, the depositary and holders and beneficial owners of American Depositary Shares issued thereunder (incorporated by reference to Exhibit 4.1 to the Company’s Registration Statement on Form F-1 (File No. 333-260357) filed with the SEC on November 3, 2021)</w:t>
              </w:r>
            </w:hyperlink>
          </w:p>
        </w:tc>
      </w:tr>
      <w:tr>
        <w:trPr/>
        <w:tc>
          <w:tcPr>
            <w:tcW w:w="1006" w:type="dxa"/>
            <w:tcBorders/>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tcPr>
          <w:p>
            <w:pPr>
              <w:pStyle w:val="TableContents"/>
              <w:bidi w:val="0"/>
              <w:spacing w:before="0" w:after="283"/>
              <w:jc w:val="left"/>
              <w:rPr/>
            </w:pPr>
            <w:r>
              <w:rPr/>
              <w:t> </w:t>
            </w:r>
          </w:p>
        </w:tc>
        <w:tc>
          <w:tcPr>
            <w:tcW w:w="9053" w:type="dxa"/>
            <w:tcBorders/>
            <w:vAlign w:val="bottom"/>
          </w:tcPr>
          <w:p>
            <w:pPr>
              <w:pStyle w:val="TableContents"/>
              <w:keepNext w:val="false"/>
              <w:widowControl/>
              <w:pBdr/>
              <w:bidi w:val="0"/>
              <w:spacing w:before="0" w:after="283"/>
              <w:jc w:val="both"/>
              <w:rPr/>
            </w:pPr>
            <w:hyperlink r:id="rId20">
              <w:r>
                <w:rPr>
                  <w:rStyle w:val="InternetLink"/>
                  <w:rFonts w:ascii="Times New Roman PS Std;serif" w:hAnsi="Times New Roman PS Std;serif"/>
                  <w:b w:val="false"/>
                  <w:i w:val="false"/>
                  <w:caps w:val="false"/>
                  <w:smallCaps w:val="false"/>
                  <w:sz w:val="20"/>
                </w:rPr>
                <w:t>Form of American Depositary Receipt evidencing American Depositary Shares (incorporated by reference to Exhibit 4.1 to the Company’s Registration Statement on Form F-1 (File No. 333-260357) filed with the SEC on November 3, 2021)</w:t>
              </w:r>
            </w:hyperlink>
          </w:p>
        </w:tc>
      </w:tr>
      <w:tr>
        <w:trPr/>
        <w:tc>
          <w:tcPr>
            <w:tcW w:w="100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shd w:fill="CCEEFF" w:val="clear"/>
          </w:tcPr>
          <w:p>
            <w:pPr>
              <w:pStyle w:val="TableContents"/>
              <w:bidi w:val="0"/>
              <w:spacing w:before="0" w:after="283"/>
              <w:jc w:val="left"/>
              <w:rPr/>
            </w:pPr>
            <w:r>
              <w:rPr/>
              <w:t> </w:t>
            </w:r>
          </w:p>
        </w:tc>
        <w:tc>
          <w:tcPr>
            <w:tcW w:w="9053" w:type="dxa"/>
            <w:tcBorders/>
            <w:shd w:fill="CCEEFF" w:val="clear"/>
            <w:vAlign w:val="bottom"/>
          </w:tcPr>
          <w:p>
            <w:pPr>
              <w:pStyle w:val="TableContents"/>
              <w:keepNext w:val="false"/>
              <w:widowControl/>
              <w:pBdr/>
              <w:bidi w:val="0"/>
              <w:spacing w:before="0" w:after="283"/>
              <w:jc w:val="both"/>
              <w:rPr/>
            </w:pPr>
            <w:hyperlink r:id="rId21">
              <w:r>
                <w:rPr>
                  <w:rStyle w:val="InternetLink"/>
                  <w:rFonts w:ascii="Times New Roman PS Std;serif" w:hAnsi="Times New Roman PS Std;serif"/>
                  <w:b w:val="false"/>
                  <w:i w:val="false"/>
                  <w:caps w:val="false"/>
                  <w:smallCaps w:val="false"/>
                  <w:sz w:val="20"/>
                </w:rPr>
                <w:t>Description of Securities (incorporated by reference to Exhibit 2.3 to the Company’s Annual Report on Form 20-F (File No. 001-41045) filed with the SEC on May 1, 2023)</w:t>
              </w:r>
            </w:hyperlink>
          </w:p>
        </w:tc>
      </w:tr>
      <w:tr>
        <w:trPr/>
        <w:tc>
          <w:tcPr>
            <w:tcW w:w="1006" w:type="dxa"/>
            <w:tcBorders/>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tcPr>
          <w:p>
            <w:pPr>
              <w:pStyle w:val="TableContents"/>
              <w:bidi w:val="0"/>
              <w:spacing w:before="0" w:after="283"/>
              <w:jc w:val="left"/>
              <w:rPr/>
            </w:pPr>
            <w:r>
              <w:rPr/>
              <w:t> </w:t>
            </w:r>
          </w:p>
        </w:tc>
        <w:tc>
          <w:tcPr>
            <w:tcW w:w="9053"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Subscription Rights Agreement</w:t>
            </w:r>
          </w:p>
        </w:tc>
      </w:tr>
      <w:tr>
        <w:trPr/>
        <w:tc>
          <w:tcPr>
            <w:tcW w:w="100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shd w:fill="CCEEFF" w:val="clear"/>
          </w:tcPr>
          <w:p>
            <w:pPr>
              <w:pStyle w:val="TableContents"/>
              <w:bidi w:val="0"/>
              <w:spacing w:before="0" w:after="283"/>
              <w:jc w:val="left"/>
              <w:rPr/>
            </w:pPr>
            <w:r>
              <w:rPr/>
              <w:t> </w:t>
            </w:r>
          </w:p>
        </w:tc>
        <w:tc>
          <w:tcPr>
            <w:tcW w:w="9053" w:type="dxa"/>
            <w:tcBorders/>
            <w:shd w:fill="CCEEFF" w:val="clear"/>
            <w:vAlign w:val="bottom"/>
          </w:tcPr>
          <w:p>
            <w:pPr>
              <w:pStyle w:val="TableContents"/>
              <w:keepNext w:val="false"/>
              <w:widowControl/>
              <w:pBdr/>
              <w:bidi w:val="0"/>
              <w:spacing w:before="0" w:after="283"/>
              <w:jc w:val="both"/>
              <w:rPr/>
            </w:pPr>
            <w:hyperlink w:anchor="ff32023ex5-1_mynaricag.htm">
              <w:r>
                <w:rPr>
                  <w:rStyle w:val="InternetLink"/>
                  <w:rFonts w:ascii="Times New Roman PS Std;serif" w:hAnsi="Times New Roman PS Std;serif"/>
                  <w:b w:val="false"/>
                  <w:i w:val="false"/>
                  <w:caps w:val="false"/>
                  <w:smallCaps w:val="false"/>
                  <w:sz w:val="20"/>
                </w:rPr>
                <w:t>Opinion of Sullivan &amp; Cromwell LLP as to the validity of the ordinary shares and the validity of subscription rights</w:t>
              </w:r>
            </w:hyperlink>
          </w:p>
        </w:tc>
      </w:tr>
      <w:tr>
        <w:trPr/>
        <w:tc>
          <w:tcPr>
            <w:tcW w:w="1006" w:type="dxa"/>
            <w:tcBorders/>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tcPr>
          <w:p>
            <w:pPr>
              <w:pStyle w:val="TableContents"/>
              <w:bidi w:val="0"/>
              <w:spacing w:before="0" w:after="283"/>
              <w:jc w:val="left"/>
              <w:rPr/>
            </w:pPr>
            <w:r>
              <w:rPr/>
              <w:t> </w:t>
            </w:r>
          </w:p>
        </w:tc>
        <w:tc>
          <w:tcPr>
            <w:tcW w:w="9053" w:type="dxa"/>
            <w:tcBorders/>
            <w:vAlign w:val="bottom"/>
          </w:tcPr>
          <w:p>
            <w:pPr>
              <w:pStyle w:val="TableContents"/>
              <w:keepNext w:val="false"/>
              <w:widowControl/>
              <w:pBdr/>
              <w:bidi w:val="0"/>
              <w:spacing w:before="0" w:after="283"/>
              <w:jc w:val="both"/>
              <w:rPr/>
            </w:pPr>
            <w:hyperlink w:anchor="ff32023ex8-1_mynaricag.htm">
              <w:r>
                <w:rPr>
                  <w:rStyle w:val="InternetLink"/>
                  <w:rFonts w:ascii="Times New Roman PS Std;serif" w:hAnsi="Times New Roman PS Std;serif"/>
                  <w:b w:val="false"/>
                  <w:i w:val="false"/>
                  <w:caps w:val="false"/>
                  <w:smallCaps w:val="false"/>
                  <w:sz w:val="20"/>
                </w:rPr>
                <w:t>Opinion of Sullivan &amp; Cromwell LLP as to U.S. tax matters</w:t>
              </w:r>
            </w:hyperlink>
          </w:p>
        </w:tc>
      </w:tr>
      <w:tr>
        <w:trPr/>
        <w:tc>
          <w:tcPr>
            <w:tcW w:w="100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46" w:type="dxa"/>
            <w:tcBorders/>
            <w:shd w:fill="CCEEFF" w:val="clear"/>
          </w:tcPr>
          <w:p>
            <w:pPr>
              <w:pStyle w:val="TableContents"/>
              <w:bidi w:val="0"/>
              <w:spacing w:before="0" w:after="283"/>
              <w:jc w:val="left"/>
              <w:rPr/>
            </w:pPr>
            <w:r>
              <w:rPr/>
              <w:t> </w:t>
            </w:r>
          </w:p>
        </w:tc>
        <w:tc>
          <w:tcPr>
            <w:tcW w:w="9053" w:type="dxa"/>
            <w:tcBorders/>
            <w:shd w:fill="CCEEFF" w:val="clear"/>
            <w:vAlign w:val="bottom"/>
          </w:tcPr>
          <w:p>
            <w:pPr>
              <w:pStyle w:val="TableContents"/>
              <w:keepNext w:val="false"/>
              <w:widowControl/>
              <w:pBdr/>
              <w:bidi w:val="0"/>
              <w:spacing w:before="0" w:after="283"/>
              <w:jc w:val="both"/>
              <w:rPr/>
            </w:pPr>
            <w:hyperlink w:anchor="ff32023ex5-1_mynaricag.htm">
              <w:r>
                <w:rPr>
                  <w:rStyle w:val="InternetLink"/>
                  <w:rFonts w:ascii="Times New Roman PS Std;serif" w:hAnsi="Times New Roman PS Std;serif"/>
                  <w:b w:val="false"/>
                  <w:i w:val="false"/>
                  <w:caps w:val="false"/>
                  <w:smallCaps w:val="false"/>
                  <w:sz w:val="20"/>
                </w:rPr>
                <w:t>Opinion of Sullivan &amp; Cromwell LLP as to German tax matters (included in Exhibit 5.1)</w:t>
              </w:r>
            </w:hyperlink>
          </w:p>
        </w:tc>
      </w:tr>
      <w:tr>
        <w:trPr/>
        <w:tc>
          <w:tcPr>
            <w:tcW w:w="1006" w:type="dxa"/>
            <w:tcBorders/>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tcPr>
          <w:p>
            <w:pPr>
              <w:pStyle w:val="TableContents"/>
              <w:bidi w:val="0"/>
              <w:spacing w:before="0" w:after="283"/>
              <w:jc w:val="left"/>
              <w:rPr/>
            </w:pPr>
            <w:r>
              <w:rPr/>
              <w:t> </w:t>
            </w:r>
          </w:p>
        </w:tc>
        <w:tc>
          <w:tcPr>
            <w:tcW w:w="9053" w:type="dxa"/>
            <w:tcBorders/>
            <w:vAlign w:val="bottom"/>
          </w:tcPr>
          <w:p>
            <w:pPr>
              <w:pStyle w:val="TableContents"/>
              <w:keepNext w:val="false"/>
              <w:widowControl/>
              <w:pBdr/>
              <w:bidi w:val="0"/>
              <w:spacing w:before="0" w:after="283"/>
              <w:jc w:val="both"/>
              <w:rPr/>
            </w:pPr>
            <w:hyperlink r:id="rId22">
              <w:r>
                <w:rPr>
                  <w:rStyle w:val="InternetLink"/>
                  <w:rFonts w:ascii="Times New Roman PS Std;serif" w:hAnsi="Times New Roman PS Std;serif"/>
                  <w:b w:val="false"/>
                  <w:i w:val="false"/>
                  <w:caps w:val="false"/>
                  <w:smallCaps w:val="false"/>
                  <w:sz w:val="20"/>
                </w:rPr>
                <w:t>Mynaric AG, Stock Option Program 2019 (incorporated by reference to Exhibit 10.1 to the Company’s Registration Statement on Form F-1 (File No. 333-260357) filed with the SEC on October 19, 2021)</w:t>
              </w:r>
            </w:hyperlink>
          </w:p>
        </w:tc>
      </w:tr>
      <w:tr>
        <w:trPr/>
        <w:tc>
          <w:tcPr>
            <w:tcW w:w="100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shd w:fill="CCEEFF" w:val="clear"/>
          </w:tcPr>
          <w:p>
            <w:pPr>
              <w:pStyle w:val="TableContents"/>
              <w:bidi w:val="0"/>
              <w:spacing w:before="0" w:after="283"/>
              <w:jc w:val="left"/>
              <w:rPr/>
            </w:pPr>
            <w:r>
              <w:rPr/>
              <w:t> </w:t>
            </w:r>
          </w:p>
        </w:tc>
        <w:tc>
          <w:tcPr>
            <w:tcW w:w="9053" w:type="dxa"/>
            <w:tcBorders/>
            <w:shd w:fill="CCEEFF" w:val="clear"/>
            <w:vAlign w:val="bottom"/>
          </w:tcPr>
          <w:p>
            <w:pPr>
              <w:pStyle w:val="TableContents"/>
              <w:keepNext w:val="false"/>
              <w:widowControl/>
              <w:pBdr/>
              <w:bidi w:val="0"/>
              <w:spacing w:before="0" w:after="283"/>
              <w:jc w:val="both"/>
              <w:rPr/>
            </w:pPr>
            <w:hyperlink r:id="rId23">
              <w:r>
                <w:rPr>
                  <w:rStyle w:val="InternetLink"/>
                  <w:rFonts w:ascii="Times New Roman PS Std;serif" w:hAnsi="Times New Roman PS Std;serif"/>
                  <w:b w:val="false"/>
                  <w:i w:val="false"/>
                  <w:caps w:val="false"/>
                  <w:smallCaps w:val="false"/>
                  <w:sz w:val="20"/>
                </w:rPr>
                <w:t>Mynaric AG, Stock Option Program 2020 (incorporated by reference to Exhibit 10.2 to the Company’s Registration Statement on Form F-1 (File No. 333-260357) filed with the SEC on October 19, 2021)</w:t>
              </w:r>
            </w:hyperlink>
          </w:p>
        </w:tc>
      </w:tr>
      <w:tr>
        <w:trPr/>
        <w:tc>
          <w:tcPr>
            <w:tcW w:w="1006" w:type="dxa"/>
            <w:tcBorders/>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46" w:type="dxa"/>
            <w:tcBorders/>
          </w:tcPr>
          <w:p>
            <w:pPr>
              <w:pStyle w:val="TableContents"/>
              <w:bidi w:val="0"/>
              <w:spacing w:before="0" w:after="283"/>
              <w:jc w:val="left"/>
              <w:rPr/>
            </w:pPr>
            <w:r>
              <w:rPr/>
              <w:t> </w:t>
            </w:r>
          </w:p>
        </w:tc>
        <w:tc>
          <w:tcPr>
            <w:tcW w:w="9053" w:type="dxa"/>
            <w:tcBorders/>
            <w:vAlign w:val="bottom"/>
          </w:tcPr>
          <w:p>
            <w:pPr>
              <w:pStyle w:val="TableContents"/>
              <w:keepNext w:val="false"/>
              <w:widowControl/>
              <w:pBdr/>
              <w:bidi w:val="0"/>
              <w:spacing w:before="0" w:after="283"/>
              <w:jc w:val="both"/>
              <w:rPr/>
            </w:pPr>
            <w:hyperlink r:id="rId24">
              <w:r>
                <w:rPr>
                  <w:rStyle w:val="InternetLink"/>
                  <w:rFonts w:ascii="Times New Roman PS Std;serif" w:hAnsi="Times New Roman PS Std;serif"/>
                  <w:b w:val="false"/>
                  <w:i w:val="false"/>
                  <w:caps w:val="false"/>
                  <w:smallCaps w:val="false"/>
                  <w:sz w:val="20"/>
                </w:rPr>
                <w:t>Mynaric AG, Stock Option Program 2021 (incorporated by reference to Exhibit 10.3 to the Company’s Registration Statement on Form F-1 (File No. 333-260357) filed with the SEC on October 19, 2021)</w:t>
              </w:r>
            </w:hyperlink>
          </w:p>
        </w:tc>
      </w:tr>
      <w:tr>
        <w:trPr/>
        <w:tc>
          <w:tcPr>
            <w:tcW w:w="100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46" w:type="dxa"/>
            <w:tcBorders/>
            <w:shd w:fill="CCEEFF" w:val="clear"/>
          </w:tcPr>
          <w:p>
            <w:pPr>
              <w:pStyle w:val="TableContents"/>
              <w:bidi w:val="0"/>
              <w:spacing w:before="0" w:after="283"/>
              <w:jc w:val="left"/>
              <w:rPr/>
            </w:pPr>
            <w:r>
              <w:rPr/>
              <w:t> </w:t>
            </w:r>
          </w:p>
        </w:tc>
        <w:tc>
          <w:tcPr>
            <w:tcW w:w="9053" w:type="dxa"/>
            <w:tcBorders/>
            <w:shd w:fill="CCEEFF" w:val="clear"/>
            <w:vAlign w:val="bottom"/>
          </w:tcPr>
          <w:p>
            <w:pPr>
              <w:pStyle w:val="TableContents"/>
              <w:keepNext w:val="false"/>
              <w:widowControl/>
              <w:pBdr/>
              <w:bidi w:val="0"/>
              <w:spacing w:before="0" w:after="283"/>
              <w:jc w:val="both"/>
              <w:rPr/>
            </w:pPr>
            <w:hyperlink r:id="rId25">
              <w:r>
                <w:rPr>
                  <w:rStyle w:val="InternetLink"/>
                  <w:rFonts w:ascii="Times New Roman PS Std;serif" w:hAnsi="Times New Roman PS Std;serif"/>
                  <w:b w:val="false"/>
                  <w:i w:val="false"/>
                  <w:caps w:val="false"/>
                  <w:smallCaps w:val="false"/>
                  <w:sz w:val="20"/>
                </w:rPr>
                <w:t>Mynaric AG, Restricted Stock Units Program 2021 (incorporated by reference to Exhibit 10.4 to the Company’s Registration Statement on Form F-1 (File No. 333-260357) filed with the SEC on October 19, 2021)</w:t>
              </w:r>
            </w:hyperlink>
          </w:p>
        </w:tc>
      </w:tr>
      <w:tr>
        <w:trPr/>
        <w:tc>
          <w:tcPr>
            <w:tcW w:w="1006" w:type="dxa"/>
            <w:tcBorders/>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146" w:type="dxa"/>
            <w:tcBorders/>
          </w:tcPr>
          <w:p>
            <w:pPr>
              <w:pStyle w:val="TableContents"/>
              <w:bidi w:val="0"/>
              <w:spacing w:before="0" w:after="283"/>
              <w:jc w:val="left"/>
              <w:rPr/>
            </w:pPr>
            <w:r>
              <w:rPr/>
              <w:t> </w:t>
            </w:r>
          </w:p>
        </w:tc>
        <w:tc>
          <w:tcPr>
            <w:tcW w:w="9053" w:type="dxa"/>
            <w:tcBorders/>
            <w:vAlign w:val="bottom"/>
          </w:tcPr>
          <w:p>
            <w:pPr>
              <w:pStyle w:val="TableContents"/>
              <w:keepNext w:val="false"/>
              <w:widowControl/>
              <w:pBdr/>
              <w:bidi w:val="0"/>
              <w:spacing w:before="0" w:after="283"/>
              <w:jc w:val="both"/>
              <w:rPr/>
            </w:pPr>
            <w:hyperlink r:id="rId26">
              <w:r>
                <w:rPr>
                  <w:rStyle w:val="InternetLink"/>
                  <w:rFonts w:ascii="Times New Roman PS Std;serif" w:hAnsi="Times New Roman PS Std;serif"/>
                  <w:b w:val="false"/>
                  <w:i w:val="false"/>
                  <w:caps w:val="false"/>
                  <w:smallCaps w:val="false"/>
                  <w:sz w:val="20"/>
                </w:rPr>
                <w:t>Mynaric AG, Stock Option Program 2022 (incorporated by reference to Exhibit 4.5 to the Company’s Annual Report on Form 20-F (File No. 001-41045) filed with the SEC on May 1, 2023)</w:t>
              </w:r>
            </w:hyperlink>
          </w:p>
        </w:tc>
      </w:tr>
      <w:tr>
        <w:trPr/>
        <w:tc>
          <w:tcPr>
            <w:tcW w:w="100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146" w:type="dxa"/>
            <w:tcBorders/>
            <w:shd w:fill="CCEEFF" w:val="clear"/>
          </w:tcPr>
          <w:p>
            <w:pPr>
              <w:pStyle w:val="TableContents"/>
              <w:bidi w:val="0"/>
              <w:spacing w:before="0" w:after="283"/>
              <w:jc w:val="left"/>
              <w:rPr/>
            </w:pPr>
            <w:r>
              <w:rPr/>
              <w:t> </w:t>
            </w:r>
          </w:p>
        </w:tc>
        <w:tc>
          <w:tcPr>
            <w:tcW w:w="9053" w:type="dxa"/>
            <w:tcBorders/>
            <w:shd w:fill="CCEEFF" w:val="clear"/>
            <w:vAlign w:val="bottom"/>
          </w:tcPr>
          <w:p>
            <w:pPr>
              <w:pStyle w:val="TableContents"/>
              <w:keepNext w:val="false"/>
              <w:widowControl/>
              <w:pBdr/>
              <w:bidi w:val="0"/>
              <w:spacing w:before="0" w:after="283"/>
              <w:jc w:val="both"/>
              <w:rPr/>
            </w:pPr>
            <w:hyperlink w:anchor="ff32023ex10-6_mynaricag.htm">
              <w:r>
                <w:rPr>
                  <w:rStyle w:val="InternetLink"/>
                  <w:rFonts w:ascii="Times New Roman PS Std;serif" w:hAnsi="Times New Roman PS Std;serif"/>
                  <w:b w:val="false"/>
                  <w:i w:val="false"/>
                  <w:caps w:val="false"/>
                  <w:smallCaps w:val="false"/>
                  <w:sz w:val="20"/>
                </w:rPr>
                <w:t>Mynaric AG, Restricted Stock Unit Program 2022</w:t>
              </w:r>
            </w:hyperlink>
          </w:p>
        </w:tc>
      </w:tr>
      <w:tr>
        <w:trPr/>
        <w:tc>
          <w:tcPr>
            <w:tcW w:w="1006" w:type="dxa"/>
            <w:tcBorders/>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tcPr>
          <w:p>
            <w:pPr>
              <w:pStyle w:val="TableContents"/>
              <w:bidi w:val="0"/>
              <w:spacing w:before="0" w:after="283"/>
              <w:jc w:val="left"/>
              <w:rPr/>
            </w:pPr>
            <w:r>
              <w:rPr/>
              <w:t> </w:t>
            </w:r>
          </w:p>
        </w:tc>
        <w:tc>
          <w:tcPr>
            <w:tcW w:w="9053" w:type="dxa"/>
            <w:tcBorders/>
            <w:vAlign w:val="bottom"/>
          </w:tcPr>
          <w:p>
            <w:pPr>
              <w:pStyle w:val="TableContents"/>
              <w:keepNext w:val="false"/>
              <w:widowControl/>
              <w:pBdr/>
              <w:bidi w:val="0"/>
              <w:spacing w:before="0" w:after="283"/>
              <w:jc w:val="both"/>
              <w:rPr/>
            </w:pPr>
            <w:hyperlink r:id="rId27">
              <w:r>
                <w:rPr>
                  <w:rStyle w:val="InternetLink"/>
                  <w:rFonts w:ascii="Times New Roman PS Std;serif" w:hAnsi="Times New Roman PS Std;serif"/>
                  <w:b w:val="false"/>
                  <w:i w:val="false"/>
                  <w:caps w:val="false"/>
                  <w:smallCaps w:val="false"/>
                  <w:sz w:val="20"/>
                </w:rPr>
                <w:t>Business Opportunity Agreement, dated October 21, 2021 (incorporated by reference to Exhibit 10.5 to the Company’s Registration Statement on Form F-1 (File No. 333-260357) filed with the SEC on November 3, 2021)</w:t>
              </w:r>
            </w:hyperlink>
          </w:p>
        </w:tc>
      </w:tr>
      <w:tr>
        <w:trPr/>
        <w:tc>
          <w:tcPr>
            <w:tcW w:w="100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146" w:type="dxa"/>
            <w:tcBorders/>
            <w:shd w:fill="CCEEFF" w:val="clear"/>
          </w:tcPr>
          <w:p>
            <w:pPr>
              <w:pStyle w:val="TableContents"/>
              <w:bidi w:val="0"/>
              <w:spacing w:before="0" w:after="283"/>
              <w:jc w:val="left"/>
              <w:rPr/>
            </w:pPr>
            <w:r>
              <w:rPr/>
              <w:t> </w:t>
            </w:r>
          </w:p>
        </w:tc>
        <w:tc>
          <w:tcPr>
            <w:tcW w:w="9053" w:type="dxa"/>
            <w:tcBorders/>
            <w:shd w:fill="CCEEFF" w:val="clear"/>
            <w:vAlign w:val="bottom"/>
          </w:tcPr>
          <w:p>
            <w:pPr>
              <w:pStyle w:val="TableContents"/>
              <w:keepNext w:val="false"/>
              <w:widowControl/>
              <w:pBdr/>
              <w:bidi w:val="0"/>
              <w:spacing w:before="0" w:after="283"/>
              <w:jc w:val="both"/>
              <w:rPr/>
            </w:pPr>
            <w:hyperlink r:id="rId28">
              <w:r>
                <w:rPr>
                  <w:rStyle w:val="InternetLink"/>
                  <w:rFonts w:ascii="Times New Roman PS Std;serif" w:hAnsi="Times New Roman PS Std;serif"/>
                  <w:b w:val="false"/>
                  <w:i w:val="false"/>
                  <w:caps w:val="false"/>
                  <w:smallCaps w:val="false"/>
                  <w:sz w:val="20"/>
                </w:rPr>
                <w:t>Credit Agreement entered into by and between Mynaric USA Inc., Mynaric AG, CO FINANCE II LVS I LLC, CO FINANCE LVS XL LLC and Alter Domus (US) LLC, dated as of April 25, 2023 (incorporated by reference to Exhibit 4.7 to the Company’s Annual Report on Form 20-F (File No. 001-41045) filed with the SEC on May 1, 2023)</w:t>
              </w:r>
            </w:hyperlink>
          </w:p>
        </w:tc>
      </w:tr>
      <w:tr>
        <w:trPr/>
        <w:tc>
          <w:tcPr>
            <w:tcW w:w="1006" w:type="dxa"/>
            <w:tcBorders/>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146" w:type="dxa"/>
            <w:tcBorders/>
          </w:tcPr>
          <w:p>
            <w:pPr>
              <w:pStyle w:val="TableContents"/>
              <w:bidi w:val="0"/>
              <w:spacing w:before="0" w:after="283"/>
              <w:jc w:val="left"/>
              <w:rPr/>
            </w:pPr>
            <w:r>
              <w:rPr/>
              <w:t> </w:t>
            </w:r>
          </w:p>
        </w:tc>
        <w:tc>
          <w:tcPr>
            <w:tcW w:w="9053" w:type="dxa"/>
            <w:tcBorders/>
            <w:vAlign w:val="bottom"/>
          </w:tcPr>
          <w:p>
            <w:pPr>
              <w:pStyle w:val="TableContents"/>
              <w:keepNext w:val="false"/>
              <w:widowControl/>
              <w:pBdr/>
              <w:bidi w:val="0"/>
              <w:spacing w:before="0" w:after="283"/>
              <w:jc w:val="both"/>
              <w:rPr/>
            </w:pPr>
            <w:hyperlink r:id="rId29">
              <w:r>
                <w:rPr>
                  <w:rStyle w:val="InternetLink"/>
                  <w:rFonts w:ascii="Times New Roman PS Std;serif" w:hAnsi="Times New Roman PS Std;serif"/>
                  <w:b w:val="false"/>
                  <w:i w:val="false"/>
                  <w:caps w:val="false"/>
                  <w:smallCaps w:val="false"/>
                  <w:sz w:val="20"/>
                </w:rPr>
                <w:t>List of Subsidiaries (incorporated by reference to Exhibit 8.1 to the Company’s Annual Report on Form 20-F (File No. 001-41045) filed with the SEC on May 6, 2022)</w:t>
              </w:r>
            </w:hyperlink>
          </w:p>
        </w:tc>
      </w:tr>
      <w:tr>
        <w:trPr/>
        <w:tc>
          <w:tcPr>
            <w:tcW w:w="100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146" w:type="dxa"/>
            <w:tcBorders/>
            <w:shd w:fill="CCEEFF" w:val="clear"/>
          </w:tcPr>
          <w:p>
            <w:pPr>
              <w:pStyle w:val="TableContents"/>
              <w:bidi w:val="0"/>
              <w:spacing w:before="0" w:after="283"/>
              <w:jc w:val="left"/>
              <w:rPr/>
            </w:pPr>
            <w:r>
              <w:rPr/>
              <w:t> </w:t>
            </w:r>
          </w:p>
        </w:tc>
        <w:tc>
          <w:tcPr>
            <w:tcW w:w="9053" w:type="dxa"/>
            <w:tcBorders/>
            <w:shd w:fill="CCEEFF" w:val="clear"/>
            <w:vAlign w:val="bottom"/>
          </w:tcPr>
          <w:p>
            <w:pPr>
              <w:pStyle w:val="TableContents"/>
              <w:keepNext w:val="false"/>
              <w:widowControl/>
              <w:pBdr/>
              <w:bidi w:val="0"/>
              <w:spacing w:before="0" w:after="283"/>
              <w:jc w:val="both"/>
              <w:rPr/>
            </w:pPr>
            <w:hyperlink w:anchor="ff32023ex23-1_mynaricag.htm">
              <w:r>
                <w:rPr>
                  <w:rStyle w:val="InternetLink"/>
                  <w:rFonts w:ascii="Times New Roman PS Std;serif" w:hAnsi="Times New Roman PS Std;serif"/>
                  <w:b w:val="false"/>
                  <w:i w:val="false"/>
                  <w:caps w:val="false"/>
                  <w:smallCaps w:val="false"/>
                  <w:sz w:val="20"/>
                </w:rPr>
                <w:t>Consent of KPMG AG Wirtschaftsprüfungsgesellschaft</w:t>
              </w:r>
            </w:hyperlink>
          </w:p>
        </w:tc>
      </w:tr>
      <w:tr>
        <w:trPr/>
        <w:tc>
          <w:tcPr>
            <w:tcW w:w="1006" w:type="dxa"/>
            <w:tcBorders/>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tcPr>
          <w:p>
            <w:pPr>
              <w:pStyle w:val="TableContents"/>
              <w:bidi w:val="0"/>
              <w:spacing w:before="0" w:after="283"/>
              <w:jc w:val="left"/>
              <w:rPr/>
            </w:pPr>
            <w:r>
              <w:rPr/>
              <w:t> </w:t>
            </w:r>
          </w:p>
        </w:tc>
        <w:tc>
          <w:tcPr>
            <w:tcW w:w="9053" w:type="dxa"/>
            <w:tcBorders/>
            <w:vAlign w:val="bottom"/>
          </w:tcPr>
          <w:p>
            <w:pPr>
              <w:pStyle w:val="TableContents"/>
              <w:keepNext w:val="false"/>
              <w:widowControl/>
              <w:pBdr/>
              <w:bidi w:val="0"/>
              <w:spacing w:before="0" w:after="283"/>
              <w:jc w:val="both"/>
              <w:rPr/>
            </w:pPr>
            <w:hyperlink w:anchor="ff32023ex5-1_mynaricag.htm">
              <w:r>
                <w:rPr>
                  <w:rStyle w:val="InternetLink"/>
                  <w:rFonts w:ascii="Times New Roman PS Std;serif" w:hAnsi="Times New Roman PS Std;serif"/>
                  <w:b w:val="false"/>
                  <w:i w:val="false"/>
                  <w:caps w:val="false"/>
                  <w:smallCaps w:val="false"/>
                  <w:sz w:val="20"/>
                </w:rPr>
                <w:t>Consent of Sullivan &amp; Cromwell LLP (included in Exhibit 5.1)</w:t>
              </w:r>
            </w:hyperlink>
          </w:p>
        </w:tc>
      </w:tr>
      <w:tr>
        <w:trPr/>
        <w:tc>
          <w:tcPr>
            <w:tcW w:w="100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shd w:fill="CCEEFF" w:val="clear"/>
          </w:tcPr>
          <w:p>
            <w:pPr>
              <w:pStyle w:val="TableContents"/>
              <w:bidi w:val="0"/>
              <w:spacing w:before="0" w:after="283"/>
              <w:jc w:val="left"/>
              <w:rPr/>
            </w:pPr>
            <w:r>
              <w:rPr/>
              <w:t> </w:t>
            </w:r>
          </w:p>
        </w:tc>
        <w:tc>
          <w:tcPr>
            <w:tcW w:w="9053" w:type="dxa"/>
            <w:tcBorders/>
            <w:shd w:fill="CCEEFF" w:val="clear"/>
            <w:vAlign w:val="bottom"/>
          </w:tcPr>
          <w:p>
            <w:pPr>
              <w:pStyle w:val="TableContents"/>
              <w:keepNext w:val="false"/>
              <w:widowControl/>
              <w:pBdr/>
              <w:bidi w:val="0"/>
              <w:spacing w:before="0" w:after="283"/>
              <w:jc w:val="both"/>
              <w:rPr/>
            </w:pPr>
            <w:hyperlink w:anchor="T11111">
              <w:r>
                <w:rPr>
                  <w:rStyle w:val="InternetLink"/>
                  <w:rFonts w:ascii="Times New Roman PS Std;serif" w:hAnsi="Times New Roman PS Std;serif"/>
                  <w:b w:val="false"/>
                  <w:i w:val="false"/>
                  <w:caps w:val="false"/>
                  <w:smallCaps w:val="false"/>
                  <w:sz w:val="20"/>
                </w:rPr>
                <w:t>Powers of Attorney (included on signature page)</w:t>
              </w:r>
            </w:hyperlink>
          </w:p>
        </w:tc>
      </w:tr>
      <w:tr>
        <w:trPr/>
        <w:tc>
          <w:tcPr>
            <w:tcW w:w="1006" w:type="dxa"/>
            <w:tcBorders/>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tcPr>
          <w:p>
            <w:pPr>
              <w:pStyle w:val="TableContents"/>
              <w:bidi w:val="0"/>
              <w:spacing w:before="0" w:after="283"/>
              <w:jc w:val="left"/>
              <w:rPr/>
            </w:pPr>
            <w:r>
              <w:rPr/>
              <w:t> </w:t>
            </w:r>
          </w:p>
        </w:tc>
        <w:tc>
          <w:tcPr>
            <w:tcW w:w="9053" w:type="dxa"/>
            <w:tcBorders/>
            <w:vAlign w:val="bottom"/>
          </w:tcPr>
          <w:p>
            <w:pPr>
              <w:pStyle w:val="TableContents"/>
              <w:keepNext w:val="false"/>
              <w:widowControl/>
              <w:pBdr/>
              <w:bidi w:val="0"/>
              <w:spacing w:before="0" w:after="283"/>
              <w:jc w:val="both"/>
              <w:rPr/>
            </w:pPr>
            <w:hyperlink w:anchor="ff32023ex-fee_mynaricag.htm">
              <w:r>
                <w:rPr>
                  <w:rStyle w:val="InternetLink"/>
                  <w:rFonts w:ascii="Times New Roman PS Std;serif" w:hAnsi="Times New Roman PS Std;serif"/>
                  <w:b w:val="false"/>
                  <w:i w:val="false"/>
                  <w:caps w:val="false"/>
                  <w:smallCaps w:val="false"/>
                  <w:sz w:val="20"/>
                </w:rPr>
                <w:t>Calculation of Filing Fee Tables</w:t>
              </w:r>
            </w:hyperlink>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Certain of the exhibits and schedules to this Exhibit have been omitted in accordance with Regulation S-K Item 601(a)(5). The registrant agrees to furnish a copy of all omitted exhibits and schedules to the SEC upon its request.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To be filed, if necessary, by amendment or furnished on Form 6-K.</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Filed herewith.</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11111"/>
      <w:bookmarkEnd w:id="20"/>
      <w:r>
        <w:rPr>
          <w:rFonts w:ascii="Times New Roman PS Std;serif" w:hAnsi="Times New Roman PS Std;serif"/>
          <w:b/>
          <w:i w:val="false"/>
          <w:caps w:val="false"/>
          <w:smallCaps w:val="false"/>
          <w:sz w:val="20"/>
        </w:rPr>
        <w:t>SIGNATURES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Gilching, Federal Republic of Germany, on September 29, 2023.</w:t>
      </w:r>
    </w:p>
    <w:tbl>
      <w:tblPr>
        <w:tblW w:w="4070" w:type="dxa"/>
        <w:jc w:val="left"/>
        <w:tblInd w:w="0" w:type="dxa"/>
        <w:tblLayout w:type="fixed"/>
        <w:tblCellMar>
          <w:top w:w="0" w:type="dxa"/>
          <w:left w:w="0" w:type="dxa"/>
          <w:bottom w:w="0" w:type="dxa"/>
          <w:right w:w="0" w:type="dxa"/>
        </w:tblCellMar>
      </w:tblPr>
      <w:tblGrid>
        <w:gridCol w:w="161"/>
        <w:gridCol w:w="146"/>
        <w:gridCol w:w="751"/>
        <w:gridCol w:w="146"/>
        <w:gridCol w:w="286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763" w:type="dxa"/>
            <w:gridSpan w:val="3"/>
            <w:tcBorders/>
            <w:vAlign w:val="bottom"/>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Mynaric AG</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286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Mustafa Veziroglu</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28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Mustafa Veziroglu</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28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286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Stefan Berndt-von Bülow</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28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Stefan Berndt-von Bülow</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286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POWER OF ATTORNEY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KNOW ALL PERSONS BY THESE PRESENTS, that each person whose signature appears below does hereby constitute and appoint Mustafa Veziroglu and Stefan Berndt-von Bülow, and each of them, as his or her true and lawful attorneys-in-fact and agents, each with the full power of substitution and re-substitution, for and in such person’s name, place and stead, in any and all capacities, to sign any and all amendments (including post-effective amendments) to this registration statement and sign any registration statement for the same offering covered by the registration statement that is to be effective upon filing pursuant to Rule 462(b) promulgated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as amended, this registration statement has been signed by the following persons in the capacities and on the dates indicated.</w:t>
      </w:r>
    </w:p>
    <w:tbl>
      <w:tblPr>
        <w:tblW w:w="10205" w:type="dxa"/>
        <w:jc w:val="left"/>
        <w:tblInd w:w="0" w:type="dxa"/>
        <w:tblLayout w:type="fixed"/>
        <w:tblCellMar>
          <w:top w:w="0" w:type="dxa"/>
          <w:left w:w="0" w:type="dxa"/>
          <w:bottom w:w="0" w:type="dxa"/>
          <w:right w:w="0" w:type="dxa"/>
        </w:tblCellMar>
      </w:tblPr>
      <w:tblGrid>
        <w:gridCol w:w="2513"/>
        <w:gridCol w:w="146"/>
        <w:gridCol w:w="5390"/>
        <w:gridCol w:w="146"/>
        <w:gridCol w:w="2010"/>
      </w:tblGrid>
      <w:tr>
        <w:trPr/>
        <w:tc>
          <w:tcPr>
            <w:tcW w:w="251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Signature</w:t>
            </w:r>
          </w:p>
        </w:tc>
        <w:tc>
          <w:tcPr>
            <w:tcW w:w="146" w:type="dxa"/>
            <w:tcBorders/>
            <w:vAlign w:val="bottom"/>
          </w:tcPr>
          <w:p>
            <w:pPr>
              <w:pStyle w:val="TableContents"/>
              <w:bidi w:val="0"/>
              <w:spacing w:before="0" w:after="283"/>
              <w:jc w:val="left"/>
              <w:rPr/>
            </w:pPr>
            <w:r>
              <w:rPr/>
              <w:t> </w:t>
            </w:r>
          </w:p>
        </w:tc>
        <w:tc>
          <w:tcPr>
            <w:tcW w:w="539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c>
          <w:tcPr>
            <w:tcW w:w="146" w:type="dxa"/>
            <w:tcBorders/>
            <w:vAlign w:val="bottom"/>
          </w:tcPr>
          <w:p>
            <w:pPr>
              <w:pStyle w:val="TableContents"/>
              <w:bidi w:val="0"/>
              <w:spacing w:before="0" w:after="283"/>
              <w:jc w:val="left"/>
              <w:rPr/>
            </w:pPr>
            <w:r>
              <w:rPr/>
              <w:t> </w:t>
            </w:r>
          </w:p>
        </w:tc>
        <w:tc>
          <w:tcPr>
            <w:tcW w:w="201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w:t>
            </w:r>
          </w:p>
        </w:tc>
      </w:tr>
      <w:tr>
        <w:trPr/>
        <w:tc>
          <w:tcPr>
            <w:tcW w:w="2513"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Mustafa Veziroglu</w:t>
            </w:r>
          </w:p>
        </w:tc>
        <w:tc>
          <w:tcPr>
            <w:tcW w:w="146" w:type="dxa"/>
            <w:tcBorders/>
            <w:vAlign w:val="bottom"/>
          </w:tcPr>
          <w:p>
            <w:pPr>
              <w:pStyle w:val="TableContents"/>
              <w:bidi w:val="0"/>
              <w:spacing w:before="0" w:after="283"/>
              <w:jc w:val="left"/>
              <w:rPr/>
            </w:pPr>
            <w:r>
              <w:rPr/>
              <w:t> </w:t>
            </w:r>
          </w:p>
        </w:tc>
        <w:tc>
          <w:tcPr>
            <w:tcW w:w="5390" w:type="dxa"/>
            <w:vMerge w:val="restart"/>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Member of the Management Board</w:t>
            </w:r>
          </w:p>
        </w:tc>
        <w:tc>
          <w:tcPr>
            <w:tcW w:w="146" w:type="dxa"/>
            <w:vMerge w:val="restart"/>
            <w:tcBorders/>
            <w:vAlign w:val="center"/>
          </w:tcPr>
          <w:p>
            <w:pPr>
              <w:pStyle w:val="TableContents"/>
              <w:bidi w:val="0"/>
              <w:spacing w:before="0" w:after="283"/>
              <w:jc w:val="left"/>
              <w:rPr/>
            </w:pPr>
            <w:r>
              <w:rPr/>
              <w:t> </w:t>
            </w:r>
          </w:p>
        </w:tc>
        <w:tc>
          <w:tcPr>
            <w:tcW w:w="2010" w:type="dxa"/>
            <w:vMerge w:val="restart"/>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29, 2023</w:t>
            </w:r>
          </w:p>
        </w:tc>
      </w:tr>
      <w:tr>
        <w:trPr/>
        <w:tc>
          <w:tcPr>
            <w:tcW w:w="251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Mustafa Veziroglu</w:t>
            </w:r>
          </w:p>
        </w:tc>
        <w:tc>
          <w:tcPr>
            <w:tcW w:w="146" w:type="dxa"/>
            <w:tcBorders/>
            <w:vAlign w:val="bottom"/>
          </w:tcPr>
          <w:p>
            <w:pPr>
              <w:pStyle w:val="TableContents"/>
              <w:bidi w:val="0"/>
              <w:spacing w:before="0" w:after="283"/>
              <w:jc w:val="left"/>
              <w:rPr/>
            </w:pPr>
            <w:r>
              <w:rPr/>
              <w:t> </w:t>
            </w:r>
          </w:p>
        </w:tc>
        <w:tc>
          <w:tcPr>
            <w:tcW w:w="5390"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2010" w:type="dxa"/>
            <w:vMerge w:val="continue"/>
            <w:tcBorders/>
          </w:tcPr>
          <w:p>
            <w:pPr>
              <w:pStyle w:val="Normal"/>
              <w:bidi w:val="0"/>
              <w:jc w:val="left"/>
              <w:rPr/>
            </w:pPr>
            <w:r>
              <w:rPr/>
            </w:r>
          </w:p>
        </w:tc>
      </w:tr>
      <w:tr>
        <w:trPr/>
        <w:tc>
          <w:tcPr>
            <w:tcW w:w="2513"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Stefan Berndt-von Bülow</w:t>
            </w:r>
          </w:p>
        </w:tc>
        <w:tc>
          <w:tcPr>
            <w:tcW w:w="146" w:type="dxa"/>
            <w:tcBorders/>
            <w:vAlign w:val="bottom"/>
          </w:tcPr>
          <w:p>
            <w:pPr>
              <w:pStyle w:val="TableContents"/>
              <w:bidi w:val="0"/>
              <w:spacing w:before="0" w:after="283"/>
              <w:jc w:val="left"/>
              <w:rPr/>
            </w:pPr>
            <w:r>
              <w:rPr/>
              <w:t> </w:t>
            </w:r>
          </w:p>
        </w:tc>
        <w:tc>
          <w:tcPr>
            <w:tcW w:w="5390" w:type="dxa"/>
            <w:vMerge w:val="restart"/>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 and Member of the Management Board</w:t>
            </w:r>
          </w:p>
        </w:tc>
        <w:tc>
          <w:tcPr>
            <w:tcW w:w="146" w:type="dxa"/>
            <w:vMerge w:val="restart"/>
            <w:tcBorders/>
            <w:vAlign w:val="center"/>
          </w:tcPr>
          <w:p>
            <w:pPr>
              <w:pStyle w:val="TableContents"/>
              <w:bidi w:val="0"/>
              <w:spacing w:before="0" w:after="283"/>
              <w:jc w:val="left"/>
              <w:rPr/>
            </w:pPr>
            <w:r>
              <w:rPr/>
              <w:t> </w:t>
            </w:r>
          </w:p>
        </w:tc>
        <w:tc>
          <w:tcPr>
            <w:tcW w:w="2010" w:type="dxa"/>
            <w:vMerge w:val="restart"/>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29, 2023</w:t>
            </w:r>
          </w:p>
        </w:tc>
      </w:tr>
      <w:tr>
        <w:trPr/>
        <w:tc>
          <w:tcPr>
            <w:tcW w:w="251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Stefan Berndt-von Bülow</w:t>
            </w:r>
          </w:p>
        </w:tc>
        <w:tc>
          <w:tcPr>
            <w:tcW w:w="146" w:type="dxa"/>
            <w:tcBorders/>
            <w:vAlign w:val="bottom"/>
          </w:tcPr>
          <w:p>
            <w:pPr>
              <w:pStyle w:val="TableContents"/>
              <w:bidi w:val="0"/>
              <w:spacing w:before="0" w:after="283"/>
              <w:jc w:val="left"/>
              <w:rPr/>
            </w:pPr>
            <w:r>
              <w:rPr/>
              <w:t> </w:t>
            </w:r>
          </w:p>
        </w:tc>
        <w:tc>
          <w:tcPr>
            <w:tcW w:w="5390"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2010" w:type="dxa"/>
            <w:vMerge w:val="continue"/>
            <w:tcBorders/>
          </w:tcPr>
          <w:p>
            <w:pPr>
              <w:pStyle w:val="Normal"/>
              <w:bidi w:val="0"/>
              <w:jc w:val="left"/>
              <w:rPr/>
            </w:pPr>
            <w:r>
              <w:rPr/>
            </w:r>
          </w:p>
        </w:tc>
      </w:tr>
      <w:tr>
        <w:trPr/>
        <w:tc>
          <w:tcPr>
            <w:tcW w:w="2513"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Joachim Horwath</w:t>
            </w:r>
          </w:p>
        </w:tc>
        <w:tc>
          <w:tcPr>
            <w:tcW w:w="146" w:type="dxa"/>
            <w:tcBorders/>
            <w:vAlign w:val="bottom"/>
          </w:tcPr>
          <w:p>
            <w:pPr>
              <w:pStyle w:val="TableContents"/>
              <w:bidi w:val="0"/>
              <w:spacing w:before="0" w:after="283"/>
              <w:jc w:val="left"/>
              <w:rPr/>
            </w:pPr>
            <w:r>
              <w:rPr/>
              <w:t> </w:t>
            </w:r>
          </w:p>
        </w:tc>
        <w:tc>
          <w:tcPr>
            <w:tcW w:w="5390" w:type="dxa"/>
            <w:vMerge w:val="restart"/>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Technology Officer and Member of the Management Board</w:t>
            </w:r>
          </w:p>
        </w:tc>
        <w:tc>
          <w:tcPr>
            <w:tcW w:w="146" w:type="dxa"/>
            <w:vMerge w:val="restart"/>
            <w:tcBorders/>
            <w:vAlign w:val="center"/>
          </w:tcPr>
          <w:p>
            <w:pPr>
              <w:pStyle w:val="TableContents"/>
              <w:bidi w:val="0"/>
              <w:spacing w:before="0" w:after="283"/>
              <w:jc w:val="left"/>
              <w:rPr/>
            </w:pPr>
            <w:r>
              <w:rPr/>
              <w:t> </w:t>
            </w:r>
          </w:p>
        </w:tc>
        <w:tc>
          <w:tcPr>
            <w:tcW w:w="2010" w:type="dxa"/>
            <w:vMerge w:val="restart"/>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29, 2023</w:t>
            </w:r>
          </w:p>
        </w:tc>
      </w:tr>
      <w:tr>
        <w:trPr/>
        <w:tc>
          <w:tcPr>
            <w:tcW w:w="251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Joachim Horwath</w:t>
            </w:r>
          </w:p>
        </w:tc>
        <w:tc>
          <w:tcPr>
            <w:tcW w:w="146" w:type="dxa"/>
            <w:tcBorders/>
            <w:vAlign w:val="bottom"/>
          </w:tcPr>
          <w:p>
            <w:pPr>
              <w:pStyle w:val="TableContents"/>
              <w:bidi w:val="0"/>
              <w:spacing w:before="0" w:after="283"/>
              <w:jc w:val="left"/>
              <w:rPr/>
            </w:pPr>
            <w:r>
              <w:rPr/>
              <w:t> </w:t>
            </w:r>
          </w:p>
        </w:tc>
        <w:tc>
          <w:tcPr>
            <w:tcW w:w="5390"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2010" w:type="dxa"/>
            <w:vMerge w:val="continue"/>
            <w:tcBorders/>
          </w:tcPr>
          <w:p>
            <w:pPr>
              <w:pStyle w:val="Normal"/>
              <w:bidi w:val="0"/>
              <w:jc w:val="left"/>
              <w:rPr/>
            </w:pPr>
            <w:r>
              <w:rPr/>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 OF AUTHORIZED REPRESENTATIVE IN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Securities Act of 1933, as amended, the undersigned, the duly appointed representative in the United States of Mynaric AG has signed this registration statement or amendment thereto in the city of Newark, State of Delaware on September 29, 2023.</w:t>
      </w:r>
    </w:p>
    <w:tbl>
      <w:tblPr>
        <w:tblW w:w="3215" w:type="dxa"/>
        <w:jc w:val="left"/>
        <w:tblInd w:w="0" w:type="dxa"/>
        <w:tblLayout w:type="fixed"/>
        <w:tblCellMar>
          <w:top w:w="0" w:type="dxa"/>
          <w:left w:w="0" w:type="dxa"/>
          <w:bottom w:w="0" w:type="dxa"/>
          <w:right w:w="0" w:type="dxa"/>
        </w:tblCellMar>
      </w:tblPr>
      <w:tblGrid>
        <w:gridCol w:w="161"/>
        <w:gridCol w:w="146"/>
        <w:gridCol w:w="751"/>
        <w:gridCol w:w="146"/>
        <w:gridCol w:w="201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08" w:type="dxa"/>
            <w:gridSpan w:val="3"/>
            <w:tcBorders/>
            <w:vAlign w:val="bottom"/>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Puglisi &amp; Associates</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Donald J. Puglisi</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Donald J. Puglisi</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Managing Director</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II-6</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ff32023ex3-1_mynaricag.htm"/>
      <w:bookmarkStart w:id="22" w:name="ksff32023ex31_mynaricag"/>
      <w:bookmarkEnd w:id="21"/>
      <w:bookmarkEnd w:id="22"/>
      <w:r>
        <w:rPr>
          <w:rFonts w:ascii="Times New Roman;Times;Serif" w:hAnsi="Times New Roman;Times;Serif"/>
          <w:b/>
          <w:i w:val="false"/>
          <w:caps w:val="false"/>
          <w:smallCaps w:val="false"/>
          <w:sz w:val="20"/>
        </w:rPr>
        <w:t>Exhibit 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ARTICLES OF INCORPORATION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General provisions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name, registered office, and financial year</w:t>
      </w:r>
    </w:p>
    <w:p>
      <w:pPr>
        <w:pStyle w:val="TextBody"/>
        <w:bidi w:val="0"/>
        <w:spacing w:before="0" w:after="0"/>
        <w:ind w:left="720" w:right="381" w:hanging="0"/>
        <w:jc w:val="left"/>
        <w:rPr>
          <w:caps w:val="false"/>
          <w:smallCaps w:val="false"/>
        </w:rPr>
      </w:pPr>
      <w:r>
        <w:rPr>
          <w:caps w:val="false"/>
          <w:smallCaps w:val="false"/>
        </w:rPr>
        <w:t> </w:t>
      </w:r>
    </w:p>
    <w:tbl>
      <w:tblPr>
        <w:tblW w:w="3108" w:type="dxa"/>
        <w:jc w:val="left"/>
        <w:tblInd w:w="0" w:type="dxa"/>
        <w:tblLayout w:type="fixed"/>
        <w:tblCellMar>
          <w:top w:w="0" w:type="dxa"/>
          <w:left w:w="0" w:type="dxa"/>
          <w:bottom w:w="0" w:type="dxa"/>
          <w:right w:w="0" w:type="dxa"/>
        </w:tblCellMar>
      </w:tblPr>
      <w:tblGrid>
        <w:gridCol w:w="38"/>
        <w:gridCol w:w="290"/>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2780" w:type="dxa"/>
            <w:tcBorders/>
            <w:vAlign w:val="center"/>
          </w:tcPr>
          <w:p>
            <w:pPr>
              <w:pStyle w:val="TableContents"/>
              <w:bidi w:val="0"/>
              <w:spacing w:before="0" w:after="283"/>
              <w:jc w:val="both"/>
              <w:rPr/>
            </w:pPr>
            <w:r>
              <w:rPr/>
              <w:t>The name of the company is:</w:t>
              <w:br/>
              <w:t>Mynaric AG</w:t>
            </w:r>
          </w:p>
        </w:tc>
      </w:tr>
    </w:tbl>
    <w:p>
      <w:pPr>
        <w:pStyle w:val="TextBody"/>
        <w:bidi w:val="0"/>
        <w:spacing w:before="0" w:after="283"/>
        <w:jc w:val="left"/>
        <w:rPr/>
      </w:pPr>
      <w:r>
        <w:rPr/>
        <w:t> </w:t>
      </w:r>
    </w:p>
    <w:tbl>
      <w:tblPr>
        <w:tblW w:w="9108" w:type="dxa"/>
        <w:jc w:val="left"/>
        <w:tblInd w:w="0" w:type="dxa"/>
        <w:tblLayout w:type="fixed"/>
        <w:tblCellMar>
          <w:top w:w="0" w:type="dxa"/>
          <w:left w:w="0" w:type="dxa"/>
          <w:bottom w:w="0" w:type="dxa"/>
          <w:right w:w="0" w:type="dxa"/>
        </w:tblCellMar>
      </w:tblPr>
      <w:tblGrid>
        <w:gridCol w:w="38"/>
        <w:gridCol w:w="290"/>
        <w:gridCol w:w="87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8780" w:type="dxa"/>
            <w:tcBorders/>
            <w:vAlign w:val="center"/>
          </w:tcPr>
          <w:p>
            <w:pPr>
              <w:pStyle w:val="TableContents"/>
              <w:bidi w:val="0"/>
              <w:spacing w:before="0" w:after="283"/>
              <w:jc w:val="both"/>
              <w:rPr/>
            </w:pPr>
            <w:r>
              <w:rPr/>
              <w:t>The Company’s registered office is located in Gilching in the district of Starnberg, Germany.</w:t>
            </w:r>
          </w:p>
        </w:tc>
      </w:tr>
    </w:tbl>
    <w:p>
      <w:pPr>
        <w:pStyle w:val="TextBody"/>
        <w:bidi w:val="0"/>
        <w:spacing w:before="0" w:after="283"/>
        <w:jc w:val="left"/>
        <w:rPr/>
      </w:pPr>
      <w:r>
        <w:rPr/>
        <w:t> </w:t>
      </w:r>
    </w:p>
    <w:tbl>
      <w:tblPr>
        <w:tblW w:w="6303" w:type="dxa"/>
        <w:jc w:val="left"/>
        <w:tblInd w:w="0" w:type="dxa"/>
        <w:tblLayout w:type="fixed"/>
        <w:tblCellMar>
          <w:top w:w="0" w:type="dxa"/>
          <w:left w:w="0" w:type="dxa"/>
          <w:bottom w:w="0" w:type="dxa"/>
          <w:right w:w="0" w:type="dxa"/>
        </w:tblCellMar>
      </w:tblPr>
      <w:tblGrid>
        <w:gridCol w:w="38"/>
        <w:gridCol w:w="290"/>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5975" w:type="dxa"/>
            <w:tcBorders/>
            <w:vAlign w:val="center"/>
          </w:tcPr>
          <w:p>
            <w:pPr>
              <w:pStyle w:val="TableContents"/>
              <w:bidi w:val="0"/>
              <w:spacing w:before="0" w:after="283"/>
              <w:jc w:val="both"/>
              <w:rPr/>
            </w:pPr>
            <w:r>
              <w:rPr/>
              <w:t>The Company’s financial year is the same as the calendar year.</w:t>
            </w:r>
          </w:p>
        </w:tc>
      </w:tr>
    </w:tbl>
    <w:p>
      <w:pPr>
        <w:pStyle w:val="TextBody"/>
        <w:bidi w:val="0"/>
        <w:spacing w:before="0" w:after="0"/>
        <w:ind w:left="720" w:right="381"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Objects of the Company</w:t>
      </w:r>
    </w:p>
    <w:p>
      <w:pPr>
        <w:pStyle w:val="TextBody"/>
        <w:bidi w:val="0"/>
        <w:spacing w:before="0" w:after="0"/>
        <w:ind w:left="720" w:right="381"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(1)</w:t>
            </w:r>
          </w:p>
        </w:tc>
        <w:tc>
          <w:tcPr>
            <w:tcW w:w="9932" w:type="dxa"/>
            <w:tcBorders/>
            <w:vAlign w:val="center"/>
          </w:tcPr>
          <w:p>
            <w:pPr>
              <w:pStyle w:val="TableContents"/>
              <w:bidi w:val="0"/>
              <w:spacing w:before="0" w:after="283"/>
              <w:jc w:val="both"/>
              <w:rPr/>
            </w:pPr>
            <w:r>
              <w:rPr/>
              <w:t>The objects of the Company are the development, manufacture, sale, and operation of equipment, software, systems, and solutions for communication networks – particularly in the aerospace sector – and related products, the holding and management of equity investments in companies that operate in this area, and the performance of related services.</w:t>
            </w:r>
          </w:p>
        </w:tc>
      </w:tr>
    </w:tbl>
    <w:p>
      <w:pPr>
        <w:pStyle w:val="TextBody"/>
        <w:bidi w:val="0"/>
        <w:spacing w:before="0" w:after="0"/>
        <w:ind w:left="720" w:right="381"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(2)</w:t>
            </w:r>
          </w:p>
        </w:tc>
        <w:tc>
          <w:tcPr>
            <w:tcW w:w="9928" w:type="dxa"/>
            <w:tcBorders/>
            <w:vAlign w:val="center"/>
          </w:tcPr>
          <w:p>
            <w:pPr>
              <w:pStyle w:val="TableContents"/>
              <w:bidi w:val="0"/>
              <w:spacing w:before="0" w:after="283"/>
              <w:jc w:val="both"/>
              <w:rPr/>
            </w:pPr>
            <w:r>
              <w:rPr/>
              <w:t>The Company is authorized to carry out all transactions and measures that serve to support the objects of the Company. To this end, the Company may establish, acquire, or dispose of other companies or branch offices in Germany and abroad or enter into company agreements with other companies.</w:t>
            </w:r>
          </w:p>
        </w:tc>
      </w:tr>
    </w:tbl>
    <w:p>
      <w:pPr>
        <w:pStyle w:val="TextBody"/>
        <w:bidi w:val="0"/>
        <w:spacing w:before="0" w:after="0"/>
        <w:ind w:left="720" w:right="381"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3</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Official announcements</w:t>
      </w:r>
    </w:p>
    <w:p>
      <w:pPr>
        <w:pStyle w:val="TextBody"/>
        <w:bidi w:val="0"/>
        <w:spacing w:before="0" w:after="0"/>
        <w:ind w:left="720" w:right="381"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official announcements are published in the German Federal Gazette.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Share capital and shares</w:t>
      </w:r>
    </w:p>
    <w:p>
      <w:pPr>
        <w:pStyle w:val="TextBody"/>
        <w:bidi w:val="0"/>
        <w:spacing w:before="0" w:after="0"/>
        <w:ind w:left="720" w:right="381"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capital</w:t>
      </w:r>
    </w:p>
    <w:p>
      <w:pPr>
        <w:pStyle w:val="TextBody"/>
        <w:bidi w:val="0"/>
        <w:spacing w:before="0" w:after="0"/>
        <w:ind w:left="720" w:right="381" w:hanging="0"/>
        <w:jc w:val="center"/>
        <w:rPr>
          <w:caps w:val="false"/>
          <w:smallCaps w:val="false"/>
        </w:rPr>
      </w:pPr>
      <w:r>
        <w:rPr>
          <w:caps w:val="false"/>
          <w:smallCaps w:val="false"/>
        </w:rPr>
        <w:t> </w:t>
      </w:r>
    </w:p>
    <w:tbl>
      <w:tblPr>
        <w:tblW w:w="9993" w:type="dxa"/>
        <w:jc w:val="left"/>
        <w:tblInd w:w="0" w:type="dxa"/>
        <w:tblLayout w:type="fixed"/>
        <w:tblCellMar>
          <w:top w:w="0" w:type="dxa"/>
          <w:left w:w="0" w:type="dxa"/>
          <w:bottom w:w="0" w:type="dxa"/>
          <w:right w:w="0" w:type="dxa"/>
        </w:tblCellMar>
      </w:tblPr>
      <w:tblGrid>
        <w:gridCol w:w="38"/>
        <w:gridCol w:w="29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9665" w:type="dxa"/>
            <w:tcBorders/>
            <w:vAlign w:val="center"/>
          </w:tcPr>
          <w:p>
            <w:pPr>
              <w:pStyle w:val="TableContents"/>
              <w:bidi w:val="0"/>
              <w:spacing w:before="0" w:after="283"/>
              <w:jc w:val="both"/>
              <w:rPr/>
            </w:pPr>
            <w:r>
              <w:rPr/>
              <w:t>The share capital of the Company is €6,233,615.00 and is divided into 6,233,615 no-par-value shares.</w:t>
            </w:r>
          </w:p>
        </w:tc>
      </w:tr>
    </w:tbl>
    <w:p>
      <w:pPr>
        <w:pStyle w:val="TextBody"/>
        <w:bidi w:val="0"/>
        <w:spacing w:before="0" w:after="0"/>
        <w:ind w:left="720" w:right="381" w:hanging="0"/>
        <w:jc w:val="left"/>
        <w:rPr>
          <w:caps w:val="false"/>
          <w:smallCaps w:val="false"/>
        </w:rPr>
      </w:pPr>
      <w:r>
        <w:rPr>
          <w:caps w:val="false"/>
          <w:smallCaps w:val="false"/>
        </w:rPr>
        <w:t> </w:t>
      </w:r>
    </w:p>
    <w:tbl>
      <w:tblPr>
        <w:tblW w:w="3408" w:type="dxa"/>
        <w:jc w:val="left"/>
        <w:tblInd w:w="0" w:type="dxa"/>
        <w:tblLayout w:type="fixed"/>
        <w:tblCellMar>
          <w:top w:w="0" w:type="dxa"/>
          <w:left w:w="0" w:type="dxa"/>
          <w:bottom w:w="0" w:type="dxa"/>
          <w:right w:w="0" w:type="dxa"/>
        </w:tblCellMar>
      </w:tblPr>
      <w:tblGrid>
        <w:gridCol w:w="38"/>
        <w:gridCol w:w="29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3080" w:type="dxa"/>
            <w:tcBorders/>
            <w:vAlign w:val="center"/>
          </w:tcPr>
          <w:p>
            <w:pPr>
              <w:pStyle w:val="TableContents"/>
              <w:bidi w:val="0"/>
              <w:spacing w:before="0" w:after="283"/>
              <w:jc w:val="both"/>
              <w:rPr/>
            </w:pPr>
            <w:r>
              <w:rPr/>
              <w:t>The shares are registered shares.</w:t>
            </w:r>
          </w:p>
        </w:tc>
      </w:tr>
    </w:tbl>
    <w:p>
      <w:pPr>
        <w:pStyle w:val="TextBody"/>
        <w:bidi w:val="0"/>
        <w:spacing w:before="0" w:after="0"/>
        <w:ind w:left="720" w:right="381" w:hanging="65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(3)</w:t>
            </w:r>
          </w:p>
        </w:tc>
        <w:tc>
          <w:tcPr>
            <w:tcW w:w="9933" w:type="dxa"/>
            <w:tcBorders/>
            <w:vAlign w:val="center"/>
          </w:tcPr>
          <w:p>
            <w:pPr>
              <w:pStyle w:val="TableContents"/>
              <w:bidi w:val="0"/>
              <w:spacing w:before="0" w:after="283"/>
              <w:jc w:val="both"/>
              <w:rPr/>
            </w:pPr>
            <w:r>
              <w:rPr/>
              <w:t>The Management Board is authorized, with the consent of the Supervisory Board, to increase the share capital by up to EUR 2,493,446.00 on one or more occasions until and including August 6, 2028, by issuing up to 2,493,446 new no-par value registered shares in return for cash contributions and/or contributions in kind (Authorized Capital 2023/I).</w:t>
            </w:r>
          </w:p>
        </w:tc>
      </w:tr>
    </w:tbl>
    <w:p>
      <w:pPr>
        <w:pStyle w:val="TextBody"/>
        <w:bidi w:val="0"/>
        <w:spacing w:before="0" w:after="0"/>
        <w:ind w:left="720" w:right="381" w:hanging="655"/>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381" w:hanging="655"/>
        <w:jc w:val="both"/>
        <w:rPr>
          <w:caps w:val="false"/>
          <w:smallCaps w:val="false"/>
        </w:rPr>
      </w:pPr>
      <w:r>
        <w:rPr>
          <w:caps w:val="false"/>
          <w:smallCaps w:val="false"/>
        </w:rPr>
        <w:t> </w:t>
      </w:r>
    </w:p>
    <w:p>
      <w:pPr>
        <w:pStyle w:val="TextBody"/>
        <w:bidi w:val="0"/>
        <w:spacing w:before="0" w:after="0"/>
        <w:ind w:left="50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shall be granted subscription rights. The new shares may also be subscribed by a credit institution to be determined by the Management Board or by an enterprise operating pursuant to section 53 para. 1 sentence 1 KWG or section 53b para. 1 sentence 1 or para. 7 KWG (financial institution) or by a syndicate of such credit or financial institutions with the obligation to offer them for subscription to the shareholders of the Company. However, the Management Board is authorized, with the consent of the Supervisory Board, to exclude the shareholders’ subscription rights on one or more occasions,</w:t>
      </w:r>
    </w:p>
    <w:p>
      <w:pPr>
        <w:pStyle w:val="TextBody"/>
        <w:bidi w:val="0"/>
        <w:spacing w:before="0" w:after="0"/>
        <w:ind w:left="720" w:right="381" w:hanging="0"/>
        <w:jc w:val="left"/>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200"/>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8015" w:type="dxa"/>
            <w:tcBorders/>
            <w:vAlign w:val="center"/>
          </w:tcPr>
          <w:p>
            <w:pPr>
              <w:pStyle w:val="TableContents"/>
              <w:bidi w:val="0"/>
              <w:spacing w:before="0" w:after="283"/>
              <w:jc w:val="both"/>
              <w:rPr/>
            </w:pPr>
            <w:r>
              <w:rPr/>
              <w:t>to the extent necessary to exclude any fractional amounts from the subscription right,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50" w:type="dxa"/>
            <w:tcBorders/>
            <w:vAlign w:val="center"/>
          </w:tcPr>
          <w:p>
            <w:pPr>
              <w:pStyle w:val="TableContents"/>
              <w:bidi w:val="0"/>
              <w:spacing w:before="0" w:after="283"/>
              <w:jc w:val="both"/>
              <w:rPr/>
            </w:pPr>
            <w:r>
              <w:rPr/>
              <w:t>in the event of a capital increase against contributions in kind, in particular in the context of business combinations or for the (also indirect) acquisition of companies, businesses, parts of businesses, equity interests or other assets or claims to the acquisition of assets, including claims against the Company or its Group companies,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903" w:type="dxa"/>
            <w:tcBorders/>
            <w:vAlign w:val="center"/>
          </w:tcPr>
          <w:p>
            <w:pPr>
              <w:pStyle w:val="TableContents"/>
              <w:bidi w:val="0"/>
              <w:spacing w:before="0" w:after="283"/>
              <w:jc w:val="both"/>
              <w:rPr/>
            </w:pPr>
            <w:r>
              <w:rPr/>
              <w:t>if a capital increase against cash contributions does not exceed 10% of the share capital either at the time this authorization becomes effective or – if this amount is lower – at the time this authorization is exercised, and the issue price of the new shares is not significantly lower than the stock market price (section 186 para. 3 sentence 4 AktG); when exercising this authorization with exclusion of subscription rights pursuant to section 186 para. 3 sentence 4 AktG, the exclusion of subscription rights on the basis of other authorizations in direct or corresponding application of section 186 para. 3 sentence 4 AktG shall be taken into account; the stock exchange price shall also be deemed to be the price of an American Depositary Share (“</w:t>
            </w:r>
            <w:r>
              <w:rPr>
                <w:b/>
              </w:rPr>
              <w:t>ADS</w:t>
            </w:r>
            <w:r>
              <w:rPr/>
              <w:t>”) listed on the New York Stock Exchange or on the NASDAQ stock exchange multiplied by the number of ADSs representing one share; if the Company’s share is listed on the Xetra system of the Frankfurt Stock Exchange (or a functionally comparable successor system replacing the Xetra system) and, at the same time, ADSs of the Company are listed on the New York Stock Exchange or on the NASDAQ Stock Exchange, the Company shall choose which of these stock exchange prices shall be decisive.</w:t>
            </w:r>
          </w:p>
        </w:tc>
      </w:tr>
    </w:tbl>
    <w:p>
      <w:pPr>
        <w:pStyle w:val="TextBody"/>
        <w:bidi w:val="0"/>
        <w:spacing w:before="0" w:after="0"/>
        <w:ind w:left="720" w:right="381" w:hanging="0"/>
        <w:jc w:val="right"/>
        <w:rPr>
          <w:caps w:val="false"/>
          <w:smallCaps w:val="false"/>
        </w:rPr>
      </w:pPr>
      <w:r>
        <w:rPr>
          <w:caps w:val="false"/>
          <w:smallCaps w:val="false"/>
        </w:rPr>
        <w:t> </w:t>
      </w:r>
    </w:p>
    <w:p>
      <w:pPr>
        <w:pStyle w:val="TextBody"/>
        <w:bidi w:val="0"/>
        <w:spacing w:before="0" w:after="0"/>
        <w:ind w:left="50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Board is authorized, with the consent of the Supervisory Board, to determine the further details of the capital increase and the terms and conditions of the share issue; this also includes the determination of the dividend entitlement of the new shares, which, in deviation of section 60 para. 2 AktG, may also be determined for a financial year which has already expired, if, at the time of the issue of the new shares, a resolution by the general meeting on the appropriation of profits for this financial year has not yet been adopted. The Supervisory Board is authorized to amend section 4 of the Articles of Association after the full or partial implementation of the increase of the share capital in accordance with the respective utilization of the authorized capital and after expiry of the authorization period.</w:t>
      </w:r>
    </w:p>
    <w:p>
      <w:pPr>
        <w:pStyle w:val="TextBody"/>
        <w:bidi w:val="0"/>
        <w:spacing w:before="0" w:after="0"/>
        <w:ind w:left="720" w:right="381" w:hanging="0"/>
        <w:jc w:val="left"/>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290"/>
        <w:gridCol w:w="19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(4)</w:t>
            </w:r>
          </w:p>
        </w:tc>
        <w:tc>
          <w:tcPr>
            <w:tcW w:w="1925" w:type="dxa"/>
            <w:tcBorders/>
            <w:vAlign w:val="center"/>
          </w:tcPr>
          <w:p>
            <w:pPr>
              <w:pStyle w:val="TableContents"/>
              <w:bidi w:val="0"/>
              <w:spacing w:before="0" w:after="283"/>
              <w:jc w:val="both"/>
              <w:rPr/>
            </w:pPr>
            <w:r>
              <w:rPr/>
              <w:t>(currently not filled)</w:t>
            </w:r>
          </w:p>
        </w:tc>
      </w:tr>
    </w:tbl>
    <w:p>
      <w:pPr>
        <w:pStyle w:val="TextBody"/>
        <w:bidi w:val="0"/>
        <w:spacing w:before="0" w:after="0"/>
        <w:ind w:left="720" w:right="381"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(5)</w:t>
            </w:r>
          </w:p>
        </w:tc>
        <w:tc>
          <w:tcPr>
            <w:tcW w:w="9948" w:type="dxa"/>
            <w:tcBorders/>
            <w:vAlign w:val="center"/>
          </w:tcPr>
          <w:p>
            <w:pPr>
              <w:pStyle w:val="TableContents"/>
              <w:bidi w:val="0"/>
              <w:spacing w:before="0" w:after="283"/>
              <w:jc w:val="both"/>
              <w:rPr/>
            </w:pPr>
            <w:r>
              <w:rPr/>
              <w:t>The Company’s share capital has been increased by conditional capital of up to €173,250.00 through the issue of up to 173,250 new, no-par-value bearer or registered shares (Conditional Capital 2019). The conditional capital increase serves solely to grant pre-emption rights to shares (share options) to members of the Company’s Management Board or Managing Directors of the Company’s affiliated companies and to employees of the Company or of the Company’s affiliated companies, such rights being granted on the basis of the Annual General Meeting authorization dated July 2, 2019. The shares are issued at the issue price specified in the aforementioned authorization. The conditional capital increase is exercised only to the extent that pre-emption rights are exercised and the Company does not grant treasury shares or a cash settlement to settle the pre-emption rights. The new shares carry dividend rights from the start of the financial year for which, on the date of the exercise of the pre-emption rights, the Annual General Meeting has not yet approved a resolution on the appropriation of profit. The Company’s Management Board or, if members of the Company’s Management Board are affected, the Company’s Supervisory Board is authorized to specify the finer details of the conditional capital increase and the procedure for carrying it out. The Supervisory Board is authorized to amend the wording of the articles of incorporation in line with the issue of shares in connection with the exercise of pre-emption rights.</w:t>
            </w:r>
          </w:p>
        </w:tc>
      </w:tr>
    </w:tbl>
    <w:p>
      <w:pPr>
        <w:pStyle w:val="TextBody"/>
        <w:bidi w:val="0"/>
        <w:spacing w:before="0" w:after="0"/>
        <w:ind w:left="720" w:right="381" w:hanging="0"/>
        <w:jc w:val="both"/>
        <w:rPr>
          <w:caps w:val="false"/>
          <w:smallCaps w:val="false"/>
        </w:rPr>
      </w:pPr>
      <w:r>
        <w:rPr>
          <w:caps w:val="false"/>
          <w:smallCaps w:val="false"/>
        </w:rPr>
        <w:t> </w:t>
      </w:r>
    </w:p>
    <w:p>
      <w:pPr>
        <w:pStyle w:val="TextBody"/>
        <w:bidi w:val="0"/>
        <w:spacing w:before="0" w:after="0"/>
        <w:ind w:left="720" w:right="381"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381"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(6)</w:t>
            </w:r>
          </w:p>
        </w:tc>
        <w:tc>
          <w:tcPr>
            <w:tcW w:w="9945" w:type="dxa"/>
            <w:tcBorders/>
            <w:vAlign w:val="center"/>
          </w:tcPr>
          <w:p>
            <w:pPr>
              <w:pStyle w:val="TableContents"/>
              <w:bidi w:val="0"/>
              <w:spacing w:before="0" w:after="283"/>
              <w:jc w:val="both"/>
              <w:rPr/>
            </w:pPr>
            <w:r>
              <w:rPr/>
              <w:t>The Company’s share capital has been increased by conditional capital of up to €34,473.00 through the issue of up to 34,473 new, no-par-value bearer or registered shares (Conditional Capital 2020/I). The conditional capital increase serves solely to grant pre-emption rights to shares (share options) to members of the Company’s Management Board or Managing Directors of the Company’s affiliated companies and to employees of the Company or of the Company’s affiliated companies, such rights being granted on the basis of the Annual General Meeting authorization dated June 12, 2020. The shares are issued at the issue price specified in the aforementioned authorization. The conditional capital increase is exercised only to the extent that pre-emption rights are exercised and the Company does not grant treasury shares or a cash settlement to settle the pre-emption rights.</w:t>
            </w:r>
          </w:p>
        </w:tc>
      </w:tr>
    </w:tbl>
    <w:p>
      <w:pPr>
        <w:pStyle w:val="TextBody"/>
        <w:bidi w:val="0"/>
        <w:spacing w:before="0" w:after="0"/>
        <w:ind w:left="720" w:right="381" w:hanging="0"/>
        <w:jc w:val="both"/>
        <w:rPr>
          <w:caps w:val="false"/>
          <w:smallCaps w:val="false"/>
        </w:rPr>
      </w:pPr>
      <w:r>
        <w:rPr>
          <w:caps w:val="false"/>
          <w:smallCaps w:val="false"/>
        </w:rPr>
        <w:t> </w:t>
      </w:r>
    </w:p>
    <w:p>
      <w:pPr>
        <w:pStyle w:val="TextBody"/>
        <w:bidi w:val="0"/>
        <w:spacing w:before="0" w:after="0"/>
        <w:ind w:left="50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shares carry dividend rights from the start of the financial year for which, on the date of the exercise of the pre-emption rights, the Annual General Meeting has not yet approved a resolution on the appropriation of profit. The Company’s Management Board or, if members of the Company’s Management Board are affected, the Company’s Supervisory Board is authorized to specify the finer details of the conditional capital increase and the procedure for carrying it out. The Supervisory Board is authorized to amend the wording of the articles of incorporation in line with the issue of shares in connection with the exercise of pre-emption rights.</w:t>
      </w:r>
    </w:p>
    <w:p>
      <w:pPr>
        <w:pStyle w:val="TextBody"/>
        <w:bidi w:val="0"/>
        <w:spacing w:before="0" w:after="0"/>
        <w:ind w:left="720" w:right="381"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(7)</w:t>
            </w:r>
          </w:p>
        </w:tc>
        <w:tc>
          <w:tcPr>
            <w:tcW w:w="9947" w:type="dxa"/>
            <w:tcBorders/>
            <w:vAlign w:val="center"/>
          </w:tcPr>
          <w:p>
            <w:pPr>
              <w:pStyle w:val="TableContents"/>
              <w:bidi w:val="0"/>
              <w:spacing w:before="0" w:after="283"/>
              <w:jc w:val="both"/>
              <w:rPr/>
            </w:pPr>
            <w:r>
              <w:rPr/>
              <w:t>The Company’s share capital has been increased by conditional capital of up to €1,179,679.00 through the issue of up to 1,179,679 new, no-par-value bearer or registered shares (auf den Inhaber oder den Namen lautende Stückaktien) (Conditional Capital 2020/II). The conditional capital increase is exercised only to the extent that the holders of convertible and/or warrant-linked bonds issued by the Company until June 11, 2025 on the basis of the Annual General Meeting authorization dated June 12, 2020 exercise their conversion right or warrant, or conversion obligations arising from such debt instruments are fulfilled, and provided that other forms of settlement are not used. The new shares carry dividend rights from the beginning of the financial year in which they are issued as a result of the exercise of conversion rights or warrants or the fulfillment of conversion obligations. The Management Board is authorized, subject to the approval of the Supervisory Board, to specify the finer details of the procedure for the conditional capital increase. The Supervisory Board is authorized to amend the wording of the articles of incorporation in line with the specific utilization of the conditional capital.</w:t>
            </w:r>
          </w:p>
        </w:tc>
      </w:tr>
    </w:tbl>
    <w:p>
      <w:pPr>
        <w:pStyle w:val="TextBody"/>
        <w:bidi w:val="0"/>
        <w:spacing w:before="0" w:after="0"/>
        <w:ind w:left="720" w:right="381"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(8)</w:t>
            </w:r>
          </w:p>
        </w:tc>
        <w:tc>
          <w:tcPr>
            <w:tcW w:w="9935" w:type="dxa"/>
            <w:tcBorders/>
            <w:vAlign w:val="center"/>
          </w:tcPr>
          <w:p>
            <w:pPr>
              <w:pStyle w:val="TableContents"/>
              <w:bidi w:val="0"/>
              <w:spacing w:before="0" w:after="283"/>
              <w:jc w:val="both"/>
              <w:rPr/>
            </w:pPr>
            <w:r>
              <w:rPr/>
              <w:t>The Management Board is authorized, subject to the approval of the Supervisory Board, to increase the Company’s share capital by up to €188,498.00 by issuing up to 188,498 new, no-par-value bearer or registered shares (auf den Inhaber oder den Namen lautende Stückaktien) in return for cash and/or non-cash contributions on one or more occasions until May 13, 2026 (Authorized Capital 2021/II).</w:t>
            </w:r>
          </w:p>
        </w:tc>
      </w:tr>
    </w:tbl>
    <w:p>
      <w:pPr>
        <w:pStyle w:val="TextBody"/>
        <w:bidi w:val="0"/>
        <w:spacing w:before="0" w:after="0"/>
        <w:ind w:left="720" w:right="381" w:hanging="0"/>
        <w:jc w:val="both"/>
        <w:rPr>
          <w:caps w:val="false"/>
          <w:smallCaps w:val="false"/>
        </w:rPr>
      </w:pPr>
      <w:r>
        <w:rPr>
          <w:caps w:val="false"/>
          <w:smallCaps w:val="false"/>
        </w:rPr>
        <w:t> </w:t>
      </w:r>
    </w:p>
    <w:p>
      <w:pPr>
        <w:pStyle w:val="TextBody"/>
        <w:bidi w:val="0"/>
        <w:spacing w:before="0" w:after="0"/>
        <w:ind w:left="50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pre-emption rights are disapplied. Authorized Capital 2021/II serves the delivery of shares of the Company for the settlement of Restricted Stock Units (RSUs) under the Company’s Restricted Stock Unit Program (RSUP) to selected employees of the Company and its affiliated companies, as specified in more detail in the RSUP, in return for the entitlement to payment that arose in connection with the RSUs. The issue price of the new shares can be paid in cash and/or non-cash contributions, including but not limited to the contribution of receivables due from the Company under the RSUP. The Management Board is authorized, subject to the approval of the Supervisory Board, to specify the finer details of the capital increase and the procedure for carrying it out; this also includes determination of the dividend rights of the new shares, which, in departure from section 60 (2) AktG, may be stipulated for a financial year that has already ended.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50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Board is authorized, subject to the approval of the Supervisory Board, to specify the finer details of the capital increase and the conditions governing the share issue. This authorization also encompasses the issue of RSUs. The Supervisory Board is authorized to amend article 4 of the articles of incorporation after the share capital has been increased in full or in part in accordance with the specific utilization of the authorized capital and after expiry of the authorization period.</w:t>
      </w:r>
    </w:p>
    <w:p>
      <w:pPr>
        <w:pStyle w:val="TextBody"/>
        <w:bidi w:val="0"/>
        <w:spacing w:before="0" w:after="0"/>
        <w:ind w:left="720" w:right="381"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(9)</w:t>
            </w:r>
          </w:p>
        </w:tc>
        <w:tc>
          <w:tcPr>
            <w:tcW w:w="9948" w:type="dxa"/>
            <w:tcBorders/>
            <w:vAlign w:val="center"/>
          </w:tcPr>
          <w:p>
            <w:pPr>
              <w:pStyle w:val="TableContents"/>
              <w:bidi w:val="0"/>
              <w:spacing w:before="0" w:after="283"/>
              <w:jc w:val="both"/>
              <w:rPr/>
            </w:pPr>
            <w:r>
              <w:rPr/>
              <w:t>The Company’s share capital has been increased by conditional capital of up to €917.501,00 through the issue of up to 917,501 new, no-par-value bearer or registered shares (auf den Inhaber oder den Namen lautende Stückaktien) (Conditional Capital 2022/I). The conditional capital increase serves to grant shares to the holders of convertible bonds or bonds with warrants issued by the Company or by a domestic or foreign company dependent on it or in which it directly or indirectly holds a majority interest by July 13, 2027 (inclusive) on the basis of authorization pursuant to the resolution of the Annual General Meeting of July 14, 2022. It will only be implemented to the extent that the holders of such bonds exercise their conversion or option rights, or conversion obligations under such bonds are fulfilled, and to the extent that no other forms of settlement are used for servicing. The new shares shall participate in the profits of the Company from the beginning of the financial year in which they are issued; instead, they shall participate in the profits of the Company from the beginning of the financial year preceding their issue if, at the time of issue of the new shares, a resolution by the Annual General Meeting on the appropriation of profits for this financial year has not yet been adopted. The Management Board is authorized, subject to the approval of the Supervisory Board, to specify the finer details of the procedure for the conditional capital increase. The Supervisory Board is authorized to amend the wording of the articles of incorporation in line with the specific utilization of the conditional capital.</w:t>
            </w:r>
          </w:p>
        </w:tc>
      </w:tr>
    </w:tbl>
    <w:p>
      <w:pPr>
        <w:pStyle w:val="TextBody"/>
        <w:bidi w:val="0"/>
        <w:spacing w:before="0" w:after="0"/>
        <w:ind w:left="720" w:right="381"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0"/>
        <w:gridCol w:w="9827"/>
      </w:tblGrid>
      <w:tr>
        <w:trPr/>
        <w:tc>
          <w:tcPr>
            <w:tcW w:w="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(10)</w:t>
            </w:r>
          </w:p>
        </w:tc>
        <w:tc>
          <w:tcPr>
            <w:tcW w:w="9827" w:type="dxa"/>
            <w:tcBorders/>
            <w:vAlign w:val="center"/>
          </w:tcPr>
          <w:p>
            <w:pPr>
              <w:pStyle w:val="TableContents"/>
              <w:bidi w:val="0"/>
              <w:spacing w:before="0" w:after="283"/>
              <w:jc w:val="both"/>
              <w:rPr/>
            </w:pPr>
            <w:r>
              <w:rPr/>
              <w:t>The Company’s share capital has been increased by conditional capital of up to €103,321.00 through the issue of up to 103,321 new, no-par-value bearer or registered shares (Conditional Capital 2021/II). The conditional capital increase serves solely to grant pre-emption rights to shares (share options) to members of the Company’s Management Board, such rights being granted on the basis of the Annual General Meeting authorization dated May 14, 2021. The shares are issued at the issue price specified in the aforementioned authorization. The conditional capital increase is exercised only to the extent that pre-emption rights are exercised and the Company does not grant treasury shares or a cash settlement to settle the pre-emption rights. The new shares carry dividend rights from the start of the financial year for which, on the date of the exercise of the pre-emption rights, the Annual General Meeting has not yet approved a resolution on the appropriation of profit. The Company’s Supervisory Board is authorized to specify the finer details of the conditional capital increase and the procedure for carrying it out. The Supervisory Board is also authorized to amend the wording of the articles of incorporation in line with the issue of shares in connection with the exercise of pre-emption rights.</w:t>
            </w:r>
          </w:p>
        </w:tc>
      </w:tr>
    </w:tbl>
    <w:p>
      <w:pPr>
        <w:pStyle w:val="TextBody"/>
        <w:bidi w:val="0"/>
        <w:spacing w:before="0" w:after="0"/>
        <w:ind w:left="720" w:right="381"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0"/>
        <w:gridCol w:w="9827"/>
      </w:tblGrid>
      <w:tr>
        <w:trPr/>
        <w:tc>
          <w:tcPr>
            <w:tcW w:w="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(11)</w:t>
            </w:r>
          </w:p>
        </w:tc>
        <w:tc>
          <w:tcPr>
            <w:tcW w:w="9827" w:type="dxa"/>
            <w:tcBorders/>
            <w:vAlign w:val="center"/>
          </w:tcPr>
          <w:p>
            <w:pPr>
              <w:pStyle w:val="TableContents"/>
              <w:bidi w:val="0"/>
              <w:spacing w:before="0" w:after="283"/>
              <w:jc w:val="both"/>
              <w:rPr/>
            </w:pPr>
            <w:r>
              <w:rPr/>
              <w:t>The share capital of the Company is conditionally increased by up to EUR 115,000.00 by issuing up to 115,000 new no-par value bearer or registered shares (auf den Inhaber oder den Namen lautende Stückaktien) (Conditional Capital 2022/II). The conditional capital increase serves exclusively to grant subscription rights to shares (stock options) to members of the Executive Board of the Company granted on the basis of the authorization of the Annual General Meeting on July 14, 2022. The shares will be issued at the issue price specified in the authorization. The conditional capital increase will only be implemented to the extent that subscription rights are exercised and the Company does not grant treasury shares or a cash settlement to fulfill the subscription rights. The new shares shall carry dividend rights from the beginning of the fiscal year for which, at the time the subscription right is exercised, no resolution has yet been passed by the Annual General Meeting on the appropriation of net income. The Supervisory Board of the Company is authorized to determine the further details of the conditional capital increase and its implementation. The Supervisory Board is also authorized to amend the wording of the Articles of Association in line with the issue of subscription shares.</w:t>
            </w:r>
          </w:p>
        </w:tc>
      </w:tr>
    </w:tbl>
    <w:p>
      <w:pPr>
        <w:pStyle w:val="TextBody"/>
        <w:bidi w:val="0"/>
        <w:spacing w:before="0" w:after="0"/>
        <w:ind w:left="720" w:right="381" w:hanging="0"/>
        <w:jc w:val="right"/>
        <w:rPr>
          <w:caps w:val="false"/>
          <w:smallCaps w:val="false"/>
        </w:rPr>
      </w:pPr>
      <w:r>
        <w:rPr>
          <w:caps w:val="false"/>
          <w:smallCaps w:val="false"/>
        </w:rPr>
        <w:t> </w:t>
      </w:r>
    </w:p>
    <w:p>
      <w:pPr>
        <w:pStyle w:val="TextBody"/>
        <w:bidi w:val="0"/>
        <w:spacing w:before="0" w:after="0"/>
        <w:ind w:left="720" w:right="381"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381"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1"/>
        <w:gridCol w:w="9816"/>
      </w:tblGrid>
      <w:tr>
        <w:trPr/>
        <w:tc>
          <w:tcPr>
            <w:tcW w:w="3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pPr>
            <w:r>
              <w:rPr/>
              <w:t>(12)</w:t>
            </w:r>
          </w:p>
        </w:tc>
        <w:tc>
          <w:tcPr>
            <w:tcW w:w="9816" w:type="dxa"/>
            <w:tcBorders/>
            <w:vAlign w:val="center"/>
          </w:tcPr>
          <w:p>
            <w:pPr>
              <w:pStyle w:val="TableContents"/>
              <w:bidi w:val="0"/>
              <w:spacing w:before="0" w:after="283"/>
              <w:jc w:val="both"/>
              <w:rPr/>
            </w:pPr>
            <w:r>
              <w:rPr/>
              <w:t>The Executive Board is authorized, with the approval of the Supervisory Board, to increase the share capital of the Company in the period up to and including July 13, 2027 by up to EUR 262,147.00 on one or more occasions by issuing up to 262,147 new no-par value registered or bearer shares (auf den Inhaber oder den Namen lautende Stückaktien) against cash and/or non-cash contributions (Authorized Capital 2022/II).</w:t>
            </w:r>
          </w:p>
        </w:tc>
      </w:tr>
    </w:tbl>
    <w:p>
      <w:pPr>
        <w:pStyle w:val="TextBody"/>
        <w:bidi w:val="0"/>
        <w:spacing w:before="0" w:after="0"/>
        <w:ind w:left="720" w:right="381" w:hanging="0"/>
        <w:jc w:val="both"/>
        <w:rPr>
          <w:caps w:val="false"/>
          <w:smallCaps w:val="false"/>
        </w:rPr>
      </w:pPr>
      <w:r>
        <w:rPr>
          <w:caps w:val="false"/>
          <w:smallCaps w:val="false"/>
        </w:rPr>
        <w:t> </w:t>
      </w:r>
    </w:p>
    <w:p>
      <w:pPr>
        <w:pStyle w:val="TextBody"/>
        <w:bidi w:val="0"/>
        <w:spacing w:before="0" w:after="0"/>
        <w:ind w:left="50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subscription rights are excluded. Authorized Capital 2022/II serves to deliver shares of the Company to service restricted stock units (RSUs) granted under the Company’s Restricted Stock Unit Program (RSUP) to selected employees of the Company and its affiliated companies in accordance with the more detailed provisions of the RSUP against contribution of the respective payment entitlements arising under the Restricted Stock Units (RSUs). The issue price of the new shares may be paid in cash and/or in kind, in particular also by contributing claims against the Company under the RSUP. The Executive Board is authorized, with the approval of the Supervisory Board, to determine the further details of the capital increase and its implementation; this also includes the determination of the dividend entitlement of the new shares, which, in derogation of Section 60 (2) of the German Stock Corporation Act (AktG), may also be determined for a fiscal year which has already expired if, at the time of the issue of the new shares, a resolution by the Annual General Meeting on the appropriation of profits for this fiscal year has not yet been adopted. The Executive Board is authorized, with the approval of the Supervisory Board, to determine the further details of the capital increase and the conditions of the share issue. This authorization also already covers the issue of RSUs. The Supervisory Board is authorized to amend § 4 of the Articles of Association after full or partial implementation of the capital stock increase in accordance with the respective utilization of the authorized capital and after expiry of the authorization period.</w:t>
      </w:r>
    </w:p>
    <w:p>
      <w:pPr>
        <w:pStyle w:val="TextBody"/>
        <w:bidi w:val="0"/>
        <w:spacing w:before="0" w:after="0"/>
        <w:ind w:left="720" w:right="381"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4"/>
        <w:gridCol w:w="9813"/>
      </w:tblGrid>
      <w:tr>
        <w:trPr/>
        <w:tc>
          <w:tcPr>
            <w:tcW w:w="3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pPr>
            <w:r>
              <w:rPr/>
              <w:t>(13)</w:t>
            </w:r>
          </w:p>
        </w:tc>
        <w:tc>
          <w:tcPr>
            <w:tcW w:w="9813" w:type="dxa"/>
            <w:tcBorders/>
            <w:vAlign w:val="center"/>
          </w:tcPr>
          <w:p>
            <w:pPr>
              <w:pStyle w:val="TableContents"/>
              <w:bidi w:val="0"/>
              <w:spacing w:before="0" w:after="283"/>
              <w:jc w:val="both"/>
              <w:rPr/>
            </w:pPr>
            <w:r>
              <w:rPr/>
              <w:t>The Management Board is authorized, with the consent of the Supervisory Board, to increase the share capital of the Company in the period until and including August 6, 2028, by up to EUR 172,716.00 on one or more occasions by issuing up to 172,716 new no-par value registered shares against cash and/or non-cash contributions (Authorized Capital 2023/II).</w:t>
            </w:r>
          </w:p>
        </w:tc>
      </w:tr>
    </w:tbl>
    <w:p>
      <w:pPr>
        <w:pStyle w:val="TextBody"/>
        <w:bidi w:val="0"/>
        <w:spacing w:before="0" w:after="0"/>
        <w:ind w:left="720" w:right="381" w:hanging="0"/>
        <w:jc w:val="left"/>
        <w:rPr>
          <w:caps w:val="false"/>
          <w:smallCaps w:val="false"/>
        </w:rPr>
      </w:pPr>
      <w:r>
        <w:rPr>
          <w:caps w:val="false"/>
          <w:smallCaps w:val="false"/>
        </w:rPr>
        <w:t> </w:t>
      </w:r>
    </w:p>
    <w:p>
      <w:pPr>
        <w:pStyle w:val="TextBody"/>
        <w:bidi w:val="0"/>
        <w:spacing w:before="0" w:after="0"/>
        <w:ind w:left="50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subscription rights are excluded. The Authorized Capital 2023/II serves to deliver shares of the Company to service restricted stock units (RSUs) granted under the Company’s Restricted Stock Unit Program (RSUP) to selected employees of the Company and its affiliated companies in accordance with the RSUP in return for the contribution of the respective payment claims arising under the RSUs. The issue price of the new shares may be paid in cash and/or in kind, in particular also by contributing claims against the Company under the RSUP. The Management Board is authorized, with the approval of the Supervisory Board, to determine the further details of the capital increase and its implementation; this also includes the determination of the dividend entitlement of the new shares, which, in deviation of section 60 para. 2 AktG, may also be determined for a financial year that has already expired if, at the time of the issue of the new shares, a resolution by the general meeting on the appropriation of profits for this financial year has not yet been adopted.</w:t>
      </w:r>
    </w:p>
    <w:p>
      <w:pPr>
        <w:pStyle w:val="TextBody"/>
        <w:bidi w:val="0"/>
        <w:spacing w:before="0" w:after="0"/>
        <w:ind w:left="720" w:right="381" w:hanging="0"/>
        <w:jc w:val="left"/>
        <w:rPr>
          <w:caps w:val="false"/>
          <w:smallCaps w:val="false"/>
        </w:rPr>
      </w:pPr>
      <w:r>
        <w:rPr>
          <w:caps w:val="false"/>
          <w:smallCaps w:val="false"/>
        </w:rPr>
        <w:t> </w:t>
      </w:r>
    </w:p>
    <w:p>
      <w:pPr>
        <w:pStyle w:val="TextBody"/>
        <w:bidi w:val="0"/>
        <w:spacing w:before="0" w:after="0"/>
        <w:ind w:left="50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Board is authorized, with the consent of the Supervisory Board, to determine the further details of the capital increase and the terms and conditions of the share issue. This authorization also already covers the issue of RSUs. The Supervisory Board is authorized to amend section 4 of the Articles of Association after full or partial implementation of the capital increase in accordance with the respective utilization of the authorized capital and after expiry of the authorization period.</w:t>
      </w:r>
    </w:p>
    <w:p>
      <w:pPr>
        <w:pStyle w:val="TextBody"/>
        <w:bidi w:val="0"/>
        <w:spacing w:before="0" w:after="0"/>
        <w:ind w:left="720" w:right="381" w:hanging="0"/>
        <w:jc w:val="left"/>
        <w:rPr>
          <w:caps w:val="false"/>
          <w:smallCaps w:val="false"/>
        </w:rPr>
      </w:pPr>
      <w:r>
        <w:rPr>
          <w:caps w:val="false"/>
          <w:smallCaps w:val="false"/>
        </w:rPr>
        <w:t> </w:t>
      </w:r>
    </w:p>
    <w:p>
      <w:pPr>
        <w:pStyle w:val="TextBody"/>
        <w:bidi w:val="0"/>
        <w:spacing w:before="0" w:after="0"/>
        <w:ind w:left="720" w:right="381"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720" w:right="381"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0"/>
        <w:gridCol w:w="9827"/>
      </w:tblGrid>
      <w:tr>
        <w:trPr/>
        <w:tc>
          <w:tcPr>
            <w:tcW w:w="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(14)</w:t>
            </w:r>
          </w:p>
        </w:tc>
        <w:tc>
          <w:tcPr>
            <w:tcW w:w="9827" w:type="dxa"/>
            <w:tcBorders/>
            <w:vAlign w:val="center"/>
          </w:tcPr>
          <w:p>
            <w:pPr>
              <w:pStyle w:val="TableContents"/>
              <w:bidi w:val="0"/>
              <w:spacing w:before="0" w:after="283"/>
              <w:jc w:val="both"/>
              <w:rPr/>
            </w:pPr>
            <w:r>
              <w:rPr/>
              <w:t>The share capital of the Company is conditionally increased by up to EUR 197,317.00 by issuing up to 197,317 new no-par value registered shares (Conditional Capital 2023). The conditional capital increase serves exclusively to grant subscription rights to shares (stock options) to members of the Management Board of the Company granted on the basis of the authorization of the Annual General Meeting on August 7, 2023. The shares will be issued at the issue price specified in the authorization. The conditional capital increase will only be implemented to the extent that subscription rights are exercised and the Company does not grant treasury shares or cash to fulfill the subscription rights. The new shares shall carry dividend rights from the beginning of the financial year for which, at the time the subscription right is exercised, no resolution has yet been passed by the general meeting on the appropriation of profits. The Supervisory Board of the Company is authorized to determine the further details of the conditional capital increase and its implementation. The Supervisory Board is also authorized to amend the wording of the Articles of Association in each case to reflect the issue of subscription shares.</w:t>
            </w:r>
          </w:p>
        </w:tc>
      </w:tr>
    </w:tbl>
    <w:p>
      <w:pPr>
        <w:pStyle w:val="TextBody"/>
        <w:bidi w:val="0"/>
        <w:spacing w:before="0" w:after="0"/>
        <w:ind w:left="720" w:right="381" w:hanging="0"/>
        <w:jc w:val="left"/>
        <w:rPr>
          <w:caps w:val="false"/>
          <w:smallCaps w:val="false"/>
        </w:rPr>
      </w:pPr>
      <w:r>
        <w:rPr>
          <w:caps w:val="false"/>
          <w:smallCaps w:val="false"/>
        </w:rPr>
        <w:t> </w:t>
      </w:r>
    </w:p>
    <w:p>
      <w:pPr>
        <w:pStyle w:val="TextBody"/>
        <w:bidi w:val="0"/>
        <w:spacing w:before="0" w:after="0"/>
        <w:ind w:left="720" w:right="38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5</w:t>
      </w:r>
    </w:p>
    <w:p>
      <w:pPr>
        <w:pStyle w:val="TextBody"/>
        <w:bidi w:val="0"/>
        <w:spacing w:before="0" w:after="0"/>
        <w:ind w:left="720" w:right="38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extBody"/>
        <w:bidi w:val="0"/>
        <w:spacing w:before="0" w:after="0"/>
        <w:ind w:left="720" w:right="381"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(1)</w:t>
            </w:r>
          </w:p>
        </w:tc>
        <w:tc>
          <w:tcPr>
            <w:tcW w:w="9910" w:type="dxa"/>
            <w:tcBorders/>
            <w:vAlign w:val="center"/>
          </w:tcPr>
          <w:p>
            <w:pPr>
              <w:pStyle w:val="TableContents"/>
              <w:bidi w:val="0"/>
              <w:spacing w:before="0" w:after="283"/>
              <w:jc w:val="both"/>
              <w:rPr/>
            </w:pPr>
            <w:r>
              <w:rPr/>
              <w:t>The form and content of the share certificates, and of dividend and renewal coupons, are specified by the Management Board, subject to the approval of the Supervisory Board.</w:t>
            </w:r>
          </w:p>
        </w:tc>
      </w:tr>
    </w:tbl>
    <w:p>
      <w:pPr>
        <w:pStyle w:val="TextBody"/>
        <w:bidi w:val="0"/>
        <w:spacing w:before="0" w:after="0"/>
        <w:ind w:left="720" w:right="381"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(2)</w:t>
            </w:r>
          </w:p>
        </w:tc>
        <w:tc>
          <w:tcPr>
            <w:tcW w:w="9923" w:type="dxa"/>
            <w:tcBorders/>
            <w:vAlign w:val="center"/>
          </w:tcPr>
          <w:p>
            <w:pPr>
              <w:pStyle w:val="TableContents"/>
              <w:bidi w:val="0"/>
              <w:spacing w:before="0" w:after="283"/>
              <w:jc w:val="both"/>
              <w:rPr/>
            </w:pPr>
            <w:r>
              <w:rPr/>
              <w:t>Shareholders’ entitlement to individual share certificates is excluded, unless individual share certificates are necessary according to the rules applicable on a stock exchange to which the shares have been admitted. Global certificates can be issued.</w:t>
            </w:r>
          </w:p>
        </w:tc>
      </w:tr>
    </w:tbl>
    <w:p>
      <w:pPr>
        <w:pStyle w:val="TextBody"/>
        <w:bidi w:val="0"/>
        <w:spacing w:before="0" w:after="0"/>
        <w:ind w:left="720" w:right="381" w:hanging="0"/>
        <w:jc w:val="left"/>
        <w:rPr>
          <w:caps w:val="false"/>
          <w:smallCaps w:val="false"/>
        </w:rPr>
      </w:pPr>
      <w:r>
        <w:rPr>
          <w:caps w:val="false"/>
          <w:smallCaps w:val="false"/>
        </w:rPr>
        <w:t> </w:t>
      </w:r>
    </w:p>
    <w:p>
      <w:pPr>
        <w:pStyle w:val="TextBody"/>
        <w:bidi w:val="0"/>
        <w:spacing w:before="0" w:after="0"/>
        <w:ind w:left="720" w:right="38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6</w:t>
      </w:r>
    </w:p>
    <w:p>
      <w:pPr>
        <w:pStyle w:val="TextBody"/>
        <w:bidi w:val="0"/>
        <w:spacing w:before="0" w:after="0"/>
        <w:ind w:left="720" w:right="38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securities</w:t>
      </w:r>
    </w:p>
    <w:p>
      <w:pPr>
        <w:pStyle w:val="TextBody"/>
        <w:bidi w:val="0"/>
        <w:spacing w:before="0" w:after="0"/>
        <w:ind w:left="720" w:right="381"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and content of the certificates for convertible bonds, debt instruments, warrant-linked bonds, and warrants issued by the Company, and the corresponding interest coupons, depositary receipts, and renewal coupons are specified by the Management Board, subject to the approval of the Supervisory Board. Entitlement to individual certificates is excluded.</w:t>
      </w:r>
    </w:p>
    <w:p>
      <w:pPr>
        <w:pStyle w:val="TextBody"/>
        <w:bidi w:val="0"/>
        <w:spacing w:before="0" w:after="0"/>
        <w:ind w:left="720" w:right="381"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Management Board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7</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 rules of procedure, and adoption of resolutions</w:t>
      </w:r>
    </w:p>
    <w:p>
      <w:pPr>
        <w:pStyle w:val="TextBody"/>
        <w:bidi w:val="0"/>
        <w:spacing w:before="0" w:after="0"/>
        <w:ind w:left="720" w:right="381" w:firstLine="283"/>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8" w:type="dxa"/>
            <w:tcBorders/>
            <w:vAlign w:val="center"/>
          </w:tcPr>
          <w:p>
            <w:pPr>
              <w:pStyle w:val="TableContents"/>
              <w:bidi w:val="0"/>
              <w:spacing w:before="0" w:after="283"/>
              <w:jc w:val="both"/>
              <w:rPr/>
            </w:pPr>
            <w:r>
              <w:rPr/>
              <w:t>The Management Board comprises one or more persons. The Management Board may consist of just one person, even if the Company’s share capital exceeds €3,000,000. Deputy members of the Management Board may be appointed.</w:t>
            </w:r>
          </w:p>
        </w:tc>
      </w:tr>
    </w:tbl>
    <w:p>
      <w:pPr>
        <w:pStyle w:val="TextBody"/>
        <w:bidi w:val="0"/>
        <w:spacing w:before="0" w:after="0"/>
        <w:ind w:left="720" w:right="381"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8" w:type="dxa"/>
            <w:tcBorders/>
            <w:vAlign w:val="center"/>
          </w:tcPr>
          <w:p>
            <w:pPr>
              <w:pStyle w:val="TableContents"/>
              <w:bidi w:val="0"/>
              <w:spacing w:before="0" w:after="283"/>
              <w:jc w:val="both"/>
              <w:rPr/>
            </w:pPr>
            <w:r>
              <w:rPr/>
              <w:t>The Supervisory Board appoints the Management Board members and decides on the number of members in accordance with paragraph 1. The Supervisory Board may appoint a Chief Executive Officer and a deputy Chief Executive Officer.</w:t>
            </w:r>
          </w:p>
        </w:tc>
      </w:tr>
    </w:tbl>
    <w:p>
      <w:pPr>
        <w:pStyle w:val="TextBody"/>
        <w:bidi w:val="0"/>
        <w:spacing w:before="0" w:after="0"/>
        <w:ind w:left="720" w:right="381"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58" w:type="dxa"/>
            <w:tcBorders/>
            <w:vAlign w:val="center"/>
          </w:tcPr>
          <w:p>
            <w:pPr>
              <w:pStyle w:val="TableContents"/>
              <w:bidi w:val="0"/>
              <w:spacing w:before="0" w:after="283"/>
              <w:jc w:val="both"/>
              <w:rPr/>
            </w:pPr>
            <w:r>
              <w:rPr/>
              <w:t>Resolutions of the Management Board are adopted by simple majority of the votes of the Management Board members participating in the adoption of a resolution. In the event of a tied vote, the Chief Executive Officer has the casting vote.</w:t>
            </w:r>
          </w:p>
        </w:tc>
      </w:tr>
    </w:tbl>
    <w:p>
      <w:pPr>
        <w:pStyle w:val="TextBody"/>
        <w:bidi w:val="0"/>
        <w:spacing w:before="0" w:after="0"/>
        <w:ind w:left="720" w:right="381"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and representation of the Company</w:t>
      </w:r>
    </w:p>
    <w:p>
      <w:pPr>
        <w:pStyle w:val="TextBody"/>
        <w:bidi w:val="0"/>
        <w:spacing w:before="0" w:after="0"/>
        <w:ind w:left="720" w:right="381"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9" w:type="dxa"/>
            <w:tcBorders/>
            <w:vAlign w:val="center"/>
          </w:tcPr>
          <w:p>
            <w:pPr>
              <w:pStyle w:val="TableContents"/>
              <w:bidi w:val="0"/>
              <w:spacing w:before="0" w:after="283"/>
              <w:jc w:val="both"/>
              <w:rPr/>
            </w:pPr>
            <w:r>
              <w:rPr/>
              <w:t>The Management Board members must run the Company’s business in accordance with the law, the articles of incorporation, the rules of procedure for the Management Board, the schedule of responsibilities, and their individual service contracts.</w:t>
            </w:r>
          </w:p>
        </w:tc>
      </w:tr>
    </w:tbl>
    <w:p>
      <w:pPr>
        <w:pStyle w:val="TextBody"/>
        <w:bidi w:val="0"/>
        <w:spacing w:before="0" w:after="0"/>
        <w:ind w:left="720" w:right="381"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6" w:type="dxa"/>
            <w:tcBorders/>
            <w:vAlign w:val="center"/>
          </w:tcPr>
          <w:p>
            <w:pPr>
              <w:pStyle w:val="TableContents"/>
              <w:bidi w:val="0"/>
              <w:spacing w:before="0" w:after="283"/>
              <w:jc w:val="both"/>
              <w:rPr/>
            </w:pPr>
            <w:r>
              <w:rPr/>
              <w:t>If only one member has been appointed, this person represents the Company alone. If more than one Management Board has been appointed, the Company is represented by either two Management Board members together or by one Management Board member in conjunction with one person with commercial power of attorney (Prokurist).</w:t>
            </w:r>
          </w:p>
        </w:tc>
      </w:tr>
    </w:tbl>
    <w:p>
      <w:pPr>
        <w:pStyle w:val="TextBody"/>
        <w:bidi w:val="0"/>
        <w:spacing w:before="0" w:after="0"/>
        <w:ind w:left="720" w:right="381"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0" w:type="dxa"/>
            <w:tcBorders/>
            <w:vAlign w:val="center"/>
          </w:tcPr>
          <w:p>
            <w:pPr>
              <w:pStyle w:val="TableContents"/>
              <w:bidi w:val="0"/>
              <w:spacing w:before="0" w:after="283"/>
              <w:jc w:val="both"/>
              <w:rPr/>
            </w:pPr>
            <w:r>
              <w:rPr/>
              <w:t>The Supervisory Board may stipulate different representation rules, including, but not limited to, authorizing Management Board members to represent the Company alone. Furthermore, the Supervisory Board can determine generally or on a case-by-case basis that individual or all Management Board members be authorized to represent the Company in legal transactions while acting as a representative of a third party; section 112 AktG still applies.</w:t>
            </w:r>
          </w:p>
        </w:tc>
      </w:tr>
    </w:tbl>
    <w:p>
      <w:pPr>
        <w:pStyle w:val="TextBody"/>
        <w:bidi w:val="0"/>
        <w:spacing w:before="0" w:after="0"/>
        <w:ind w:left="720" w:right="381"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2" w:type="dxa"/>
            <w:tcBorders/>
            <w:vAlign w:val="center"/>
          </w:tcPr>
          <w:p>
            <w:pPr>
              <w:pStyle w:val="TableContents"/>
              <w:bidi w:val="0"/>
              <w:spacing w:before="0" w:after="283"/>
              <w:jc w:val="both"/>
              <w:rPr/>
            </w:pPr>
            <w:r>
              <w:rPr/>
              <w:t>The Supervisory Board must stipulate by means of a resolution or in the rules of procedure for the Management Board that certain types of transaction require the Supervisory Board’s approval.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Supervisory Board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9</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 and term of office</w:t>
      </w:r>
    </w:p>
    <w:p>
      <w:pPr>
        <w:pStyle w:val="TextBody"/>
        <w:bidi w:val="0"/>
        <w:spacing w:before="0" w:after="0"/>
        <w:ind w:left="720" w:right="381" w:hanging="0"/>
        <w:jc w:val="center"/>
        <w:rPr>
          <w:caps w:val="false"/>
          <w:smallCaps w:val="false"/>
        </w:rPr>
      </w:pPr>
      <w:r>
        <w:rPr>
          <w:caps w:val="false"/>
          <w:smallCaps w:val="false"/>
        </w:rPr>
        <w:t> </w:t>
      </w:r>
    </w:p>
    <w:tbl>
      <w:tblPr>
        <w:tblW w:w="4938" w:type="dxa"/>
        <w:jc w:val="left"/>
        <w:tblInd w:w="0" w:type="dxa"/>
        <w:tblLayout w:type="fixed"/>
        <w:tblCellMar>
          <w:top w:w="0" w:type="dxa"/>
          <w:left w:w="0" w:type="dxa"/>
          <w:bottom w:w="0" w:type="dxa"/>
          <w:right w:w="0" w:type="dxa"/>
        </w:tblCellMar>
      </w:tblPr>
      <w:tblGrid>
        <w:gridCol w:w="38"/>
        <w:gridCol w:w="245"/>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655" w:type="dxa"/>
            <w:tcBorders/>
            <w:vAlign w:val="center"/>
          </w:tcPr>
          <w:p>
            <w:pPr>
              <w:pStyle w:val="TableContents"/>
              <w:bidi w:val="0"/>
              <w:spacing w:before="0" w:after="283"/>
              <w:jc w:val="both"/>
              <w:rPr/>
            </w:pPr>
            <w:r>
              <w:rPr/>
              <w:t>The Supervisory Board comprises five members.</w:t>
            </w:r>
          </w:p>
        </w:tc>
      </w:tr>
    </w:tbl>
    <w:p>
      <w:pPr>
        <w:pStyle w:val="TextBody"/>
        <w:bidi w:val="0"/>
        <w:spacing w:before="0" w:after="0"/>
        <w:ind w:left="720" w:right="381"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283"/>
              <w:jc w:val="both"/>
              <w:rPr/>
            </w:pPr>
            <w:r>
              <w:rPr/>
              <w:t>Unless a shorter period is specified by the Annual General Meeting at the time of election, the members of the Supervisory Board shall be elected for the period of up to the end of the Annual General Meeting in which their actions are formally approved for the fourth financial year after the start of their term of office, not including the financial year in which the term of office begins.Members of the Supervisory Board can be re-elected.</w:t>
            </w:r>
          </w:p>
        </w:tc>
      </w:tr>
    </w:tbl>
    <w:p>
      <w:pPr>
        <w:pStyle w:val="TextBody"/>
        <w:bidi w:val="0"/>
        <w:spacing w:before="0" w:after="0"/>
        <w:ind w:left="720" w:right="381" w:hanging="0"/>
        <w:jc w:val="both"/>
        <w:rPr>
          <w:caps w:val="false"/>
          <w:smallCaps w:val="false"/>
        </w:rPr>
      </w:pPr>
      <w:r>
        <w:rPr>
          <w:caps w:val="false"/>
          <w:smallCaps w:val="false"/>
        </w:rPr>
        <w:t> </w:t>
      </w:r>
    </w:p>
    <w:p>
      <w:pPr>
        <w:pStyle w:val="TextBody"/>
        <w:bidi w:val="0"/>
        <w:spacing w:before="0" w:after="0"/>
        <w:ind w:left="720" w:right="381"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720" w:right="381"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5" w:type="dxa"/>
            <w:tcBorders/>
            <w:vAlign w:val="center"/>
          </w:tcPr>
          <w:p>
            <w:pPr>
              <w:pStyle w:val="TableContents"/>
              <w:bidi w:val="0"/>
              <w:spacing w:before="0" w:after="283"/>
              <w:jc w:val="both"/>
              <w:rPr/>
            </w:pPr>
            <w:r>
              <w:rPr/>
              <w:t>Substitute members for one or more particular Supervisory Board members may be elected at the same time as the ordinary Supervisory Board members. They become Supervisory Board members in the sequence determined in the election if the Supervisory Board members for whom they were elected as substitute members leave the Supervisory Board before the end of their term of office. In the event that a substitute member takes the place of the departing member and, at a subsequent Annual General Meeting after the substitution, an election is held to replace the departing member, the substitute member’s term of office expires at the end of this Annual General Meeting, otherwise at the end of the remaining term of office of the departing member.</w:t>
            </w:r>
          </w:p>
        </w:tc>
      </w:tr>
    </w:tbl>
    <w:p>
      <w:pPr>
        <w:pStyle w:val="TextBody"/>
        <w:bidi w:val="0"/>
        <w:spacing w:before="0" w:after="0"/>
        <w:ind w:left="720" w:right="381"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66" w:type="dxa"/>
            <w:tcBorders/>
            <w:vAlign w:val="center"/>
          </w:tcPr>
          <w:p>
            <w:pPr>
              <w:pStyle w:val="TableContents"/>
              <w:bidi w:val="0"/>
              <w:spacing w:before="0" w:after="283"/>
              <w:jc w:val="both"/>
              <w:rPr/>
            </w:pPr>
            <w:r>
              <w:rPr/>
              <w:t>If a Supervisory Board member is elected in place of a departing member, his or her term of office continues for the remaining term of office of the departing member, unless a different period is specified by the General Meeting at the time of election, which period may not, however, exceed the maximum period permitted under subsection 2 sentence 1.</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63" w:type="dxa"/>
            <w:tcBorders/>
            <w:vAlign w:val="center"/>
          </w:tcPr>
          <w:p>
            <w:pPr>
              <w:pStyle w:val="TableContents"/>
              <w:bidi w:val="0"/>
              <w:spacing w:before="0" w:after="283"/>
              <w:jc w:val="both"/>
              <w:rPr/>
            </w:pPr>
            <w:r>
              <w:rPr/>
              <w:t>Every Supervisory Board member may resign from office by giving three months’ notice. Resignation must take the form of a written declaration to the Management Board, and the chairperson of the Supervisory Board must also be notified. This does not affect the right to resign for good cause.</w:t>
            </w:r>
          </w:p>
        </w:tc>
      </w:tr>
    </w:tbl>
    <w:p>
      <w:pPr>
        <w:pStyle w:val="TextBody"/>
        <w:bidi w:val="0"/>
        <w:spacing w:before="0" w:after="0"/>
        <w:ind w:left="720" w:right="381"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10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Chairperson and deputy chairperson</w:t>
      </w:r>
    </w:p>
    <w:p>
      <w:pPr>
        <w:pStyle w:val="TextBody"/>
        <w:bidi w:val="0"/>
        <w:spacing w:before="0" w:after="0"/>
        <w:ind w:left="720" w:right="381"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8" w:type="dxa"/>
            <w:tcBorders/>
            <w:vAlign w:val="center"/>
          </w:tcPr>
          <w:p>
            <w:pPr>
              <w:pStyle w:val="TableContents"/>
              <w:bidi w:val="0"/>
              <w:spacing w:before="0" w:after="283"/>
              <w:jc w:val="both"/>
              <w:rPr/>
            </w:pPr>
            <w:r>
              <w:rPr/>
              <w:t>The Supervisory Board elects from its number a chairperson and one or more deputies at the first meeting after it has been elected. They are each elected for the duration of the term of office for which they have been elected to the Supervisory Board or for a shorter period defined by the Supervisory Board. Where there is more than one deputy, the sequence specified by the voting applies.</w:t>
            </w:r>
          </w:p>
        </w:tc>
      </w:tr>
    </w:tbl>
    <w:p>
      <w:pPr>
        <w:pStyle w:val="TextBody"/>
        <w:bidi w:val="0"/>
        <w:spacing w:before="0" w:after="0"/>
        <w:ind w:left="720" w:right="381"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8" w:type="dxa"/>
            <w:tcBorders/>
            <w:vAlign w:val="center"/>
          </w:tcPr>
          <w:p>
            <w:pPr>
              <w:pStyle w:val="TableContents"/>
              <w:bidi w:val="0"/>
              <w:spacing w:before="0" w:after="283"/>
              <w:jc w:val="both"/>
              <w:rPr/>
            </w:pPr>
            <w:r>
              <w:rPr/>
              <w:t>If the chairperson or one of his or her deputies leaves before his or her term of office has expired, the Supervisory Board must hold an election for a successor for the remaining term of office of the departing member without undue delay.</w:t>
            </w:r>
          </w:p>
        </w:tc>
      </w:tr>
    </w:tbl>
    <w:p>
      <w:pPr>
        <w:pStyle w:val="TextBody"/>
        <w:bidi w:val="0"/>
        <w:spacing w:before="0" w:after="0"/>
        <w:ind w:left="720" w:right="381"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11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Supervisory Board meetings</w:t>
      </w:r>
    </w:p>
    <w:p>
      <w:pPr>
        <w:pStyle w:val="TextBody"/>
        <w:bidi w:val="0"/>
        <w:spacing w:before="0" w:after="0"/>
        <w:ind w:left="720" w:right="381"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9" w:type="dxa"/>
            <w:tcBorders/>
            <w:vAlign w:val="center"/>
          </w:tcPr>
          <w:p>
            <w:pPr>
              <w:pStyle w:val="TableContents"/>
              <w:bidi w:val="0"/>
              <w:spacing w:before="0" w:after="283"/>
              <w:jc w:val="both"/>
              <w:rPr/>
            </w:pPr>
            <w:r>
              <w:rPr/>
              <w:t>The meetings of the Supervisory Board are convened in writing by the chairperson of the Supervisory Board with 14 days’ notice. The day on which the invitation is sent and the day of the meeting are not included in the calculation of the notice period. In urgent cases, the chairperson can shorten the notice period appropriately and convene meetings orally, by telephone, or in writing using electronic media (e.g. email).</w:t>
            </w:r>
          </w:p>
        </w:tc>
      </w:tr>
    </w:tbl>
    <w:p>
      <w:pPr>
        <w:pStyle w:val="TextBody"/>
        <w:bidi w:val="0"/>
        <w:spacing w:before="0" w:after="0"/>
        <w:ind w:left="720" w:right="381"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4" w:type="dxa"/>
            <w:tcBorders/>
            <w:vAlign w:val="center"/>
          </w:tcPr>
          <w:p>
            <w:pPr>
              <w:pStyle w:val="TableContents"/>
              <w:bidi w:val="0"/>
              <w:spacing w:before="0" w:after="283"/>
              <w:jc w:val="both"/>
              <w:rPr/>
            </w:pPr>
            <w:r>
              <w:rPr/>
              <w:t>The invitation must include details of the agenda. If proper notice of the agenda is not provided, voting in respect of the agenda may only take place if no objection is raised by any Supervisory Board member.</w:t>
            </w:r>
          </w:p>
        </w:tc>
      </w:tr>
    </w:tbl>
    <w:p>
      <w:pPr>
        <w:pStyle w:val="TextBody"/>
        <w:bidi w:val="0"/>
        <w:spacing w:before="0" w:after="0"/>
        <w:ind w:left="720" w:right="381"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12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Supervisory Board resolutions</w:t>
      </w:r>
    </w:p>
    <w:p>
      <w:pPr>
        <w:pStyle w:val="TextBody"/>
        <w:bidi w:val="0"/>
        <w:spacing w:before="0" w:after="0"/>
        <w:ind w:left="720" w:right="381"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3" w:type="dxa"/>
            <w:tcBorders/>
            <w:vAlign w:val="center"/>
          </w:tcPr>
          <w:p>
            <w:pPr>
              <w:pStyle w:val="TableContents"/>
              <w:bidi w:val="0"/>
              <w:spacing w:before="0" w:after="283"/>
              <w:jc w:val="both"/>
              <w:rPr/>
            </w:pPr>
            <w:r>
              <w:rPr/>
              <w:t>Resolutions of the Supervisory Board are usually adopted in meetings. By order of the chairperson of the Supervisory Board, resolutions may be adopted outside of meetings by means of voting conducted in writing, by telex, by telephone, or using electronic media unless a member objects to this procedure by an appropriate deadline specified by the chairperson. The chairperson produces a written record of such resolutions without undue delay and forwards it to all members. Where votes are held outside of meetings, the provisions below apply with the necessary modifications.</w:t>
            </w:r>
          </w:p>
        </w:tc>
      </w:tr>
    </w:tbl>
    <w:p>
      <w:pPr>
        <w:pStyle w:val="TextBody"/>
        <w:bidi w:val="0"/>
        <w:spacing w:before="0" w:after="0"/>
        <w:ind w:left="720" w:right="381" w:hanging="0"/>
        <w:jc w:val="left"/>
        <w:rPr>
          <w:caps w:val="false"/>
          <w:smallCaps w:val="false"/>
        </w:rPr>
      </w:pPr>
      <w:r>
        <w:rPr>
          <w:caps w:val="false"/>
          <w:smallCaps w:val="false"/>
        </w:rPr>
        <w:t> </w:t>
      </w:r>
    </w:p>
    <w:p>
      <w:pPr>
        <w:pStyle w:val="TextBody"/>
        <w:bidi w:val="0"/>
        <w:spacing w:before="0" w:after="0"/>
        <w:ind w:left="720" w:right="381"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720" w:right="381"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9" w:type="dxa"/>
            <w:tcBorders/>
            <w:vAlign w:val="center"/>
          </w:tcPr>
          <w:p>
            <w:pPr>
              <w:pStyle w:val="TableContents"/>
              <w:bidi w:val="0"/>
              <w:spacing w:before="0" w:after="283"/>
              <w:jc w:val="both"/>
              <w:rPr/>
            </w:pPr>
            <w:r>
              <w:rPr/>
              <w:t>A member is deemed to have participated in the adoption of a resolution even if that member abstained from voting.</w:t>
            </w:r>
          </w:p>
        </w:tc>
      </w:tr>
    </w:tbl>
    <w:p>
      <w:pPr>
        <w:pStyle w:val="TextBody"/>
        <w:bidi w:val="0"/>
        <w:spacing w:before="0" w:after="0"/>
        <w:ind w:left="720" w:right="381"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5" w:type="dxa"/>
            <w:tcBorders/>
            <w:vAlign w:val="center"/>
          </w:tcPr>
          <w:p>
            <w:pPr>
              <w:pStyle w:val="TableContents"/>
              <w:bidi w:val="0"/>
              <w:spacing w:before="0" w:after="283"/>
              <w:jc w:val="both"/>
              <w:rPr/>
            </w:pPr>
            <w:r>
              <w:rPr/>
              <w:t>The Supervisory Board adopts its resolutions by a simple majority of the votes cast, unless the law stipulates otherwise. An abstention is not deemed to be a cast vote. A relative majority applies in elections. In the event of a tied vote, the chairperson of the Supervisory Board has the casting vote; this also applies to elections.</w:t>
            </w:r>
          </w:p>
        </w:tc>
      </w:tr>
    </w:tbl>
    <w:p>
      <w:pPr>
        <w:pStyle w:val="TextBody"/>
        <w:bidi w:val="0"/>
        <w:spacing w:before="0" w:after="0"/>
        <w:ind w:left="720" w:right="381"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3" w:type="dxa"/>
            <w:tcBorders/>
            <w:vAlign w:val="center"/>
          </w:tcPr>
          <w:p>
            <w:pPr>
              <w:pStyle w:val="TableContents"/>
              <w:bidi w:val="0"/>
              <w:spacing w:before="0" w:after="283"/>
              <w:jc w:val="both"/>
              <w:rPr/>
            </w:pPr>
            <w:r>
              <w:rPr/>
              <w:t>The chairperson of the Supervisory Board is authorized to issue declarations of intent in the name of the Supervisory Board that are necessary for the implementation of Supervisory Board resolutions.</w:t>
            </w:r>
          </w:p>
        </w:tc>
      </w:tr>
    </w:tbl>
    <w:p>
      <w:pPr>
        <w:pStyle w:val="TextBody"/>
        <w:bidi w:val="0"/>
        <w:spacing w:before="0" w:after="0"/>
        <w:ind w:left="720" w:right="381"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56" w:type="dxa"/>
            <w:tcBorders/>
            <w:vAlign w:val="center"/>
          </w:tcPr>
          <w:p>
            <w:pPr>
              <w:pStyle w:val="TableContents"/>
              <w:bidi w:val="0"/>
              <w:spacing w:before="0" w:after="283"/>
              <w:jc w:val="both"/>
              <w:rPr/>
            </w:pPr>
            <w:r>
              <w:rPr/>
              <w:t>Minutes must be taken of the discussions and resolutions of the Supervisory Board; the minutes must be signed by the meeting chairperson or, in the case of voting outside of meetings, by the person who chaired the voting.</w:t>
            </w:r>
          </w:p>
        </w:tc>
      </w:tr>
    </w:tbl>
    <w:p>
      <w:pPr>
        <w:pStyle w:val="TextBody"/>
        <w:bidi w:val="0"/>
        <w:spacing w:before="0" w:after="0"/>
        <w:ind w:left="720" w:right="381"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13</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Rules of procedure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Supervisory Board establishes its own rules of procedure within the framework of the law and the articles of incorporation.</w:t>
      </w:r>
    </w:p>
    <w:p>
      <w:pPr>
        <w:pStyle w:val="TextBody"/>
        <w:bidi w:val="0"/>
        <w:spacing w:before="0" w:after="0"/>
        <w:ind w:left="720" w:right="381"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14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Remuneration</w:t>
      </w:r>
    </w:p>
    <w:p>
      <w:pPr>
        <w:pStyle w:val="TextBody"/>
        <w:bidi w:val="0"/>
        <w:spacing w:before="0" w:after="0"/>
        <w:ind w:left="720" w:right="381"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3" w:type="dxa"/>
            <w:tcBorders/>
            <w:vAlign w:val="center"/>
          </w:tcPr>
          <w:p>
            <w:pPr>
              <w:pStyle w:val="TableContents"/>
              <w:bidi w:val="0"/>
              <w:spacing w:before="0" w:after="283"/>
              <w:jc w:val="both"/>
              <w:rPr/>
            </w:pPr>
            <w:r>
              <w:rPr/>
              <w:t>The remuneration of the members of the Supervisory Board is approved by the Annual General Meeting.</w:t>
            </w:r>
          </w:p>
        </w:tc>
      </w:tr>
    </w:tbl>
    <w:p>
      <w:pPr>
        <w:pStyle w:val="TextBody"/>
        <w:bidi w:val="0"/>
        <w:spacing w:before="0" w:after="0"/>
        <w:ind w:left="720" w:right="381" w:hanging="42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5" w:type="dxa"/>
            <w:tcBorders/>
            <w:vAlign w:val="center"/>
          </w:tcPr>
          <w:p>
            <w:pPr>
              <w:pStyle w:val="TableContents"/>
              <w:bidi w:val="0"/>
              <w:spacing w:before="0" w:after="283"/>
              <w:jc w:val="both"/>
              <w:rPr/>
            </w:pPr>
            <w:r>
              <w:rPr/>
              <w:t>The Supervisory Board members are also reimbursed for all out-of-pocket expenses and for any VAT payable on their remuneration or out-of-pocket expenses.</w:t>
            </w:r>
          </w:p>
        </w:tc>
      </w:tr>
    </w:tbl>
    <w:p>
      <w:pPr>
        <w:pStyle w:val="TextBody"/>
        <w:bidi w:val="0"/>
        <w:spacing w:before="0" w:after="0"/>
        <w:ind w:left="720" w:right="381" w:hanging="426"/>
        <w:jc w:val="left"/>
        <w:rPr>
          <w:caps w:val="false"/>
          <w:smallCaps w:val="false"/>
        </w:rPr>
      </w:pPr>
      <w:r>
        <w:rPr>
          <w:caps w:val="false"/>
          <w:smallCaps w:val="false"/>
        </w:rPr>
        <w:t> </w:t>
      </w:r>
    </w:p>
    <w:tbl>
      <w:tblPr>
        <w:tblW w:w="9948" w:type="dxa"/>
        <w:jc w:val="left"/>
        <w:tblInd w:w="0" w:type="dxa"/>
        <w:tblLayout w:type="fixed"/>
        <w:tblCellMar>
          <w:top w:w="0" w:type="dxa"/>
          <w:left w:w="0" w:type="dxa"/>
          <w:bottom w:w="0" w:type="dxa"/>
          <w:right w:w="0" w:type="dxa"/>
        </w:tblCellMar>
      </w:tblPr>
      <w:tblGrid>
        <w:gridCol w:w="38"/>
        <w:gridCol w:w="245"/>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665" w:type="dxa"/>
            <w:tcBorders/>
            <w:vAlign w:val="center"/>
          </w:tcPr>
          <w:p>
            <w:pPr>
              <w:pStyle w:val="TableContents"/>
              <w:bidi w:val="0"/>
              <w:spacing w:before="0" w:after="283"/>
              <w:jc w:val="both"/>
              <w:rPr/>
            </w:pPr>
            <w:r>
              <w:rPr/>
              <w:t>The Company pays the costs of directors’ and officers’ insurance for the Supervisory Board members.</w:t>
            </w:r>
          </w:p>
        </w:tc>
      </w:tr>
    </w:tbl>
    <w:p>
      <w:pPr>
        <w:pStyle w:val="TextBody"/>
        <w:bidi w:val="0"/>
        <w:spacing w:before="0" w:after="0"/>
        <w:ind w:left="720" w:right="381" w:hanging="0"/>
        <w:jc w:val="left"/>
        <w:rPr>
          <w:caps w:val="false"/>
          <w:smallCaps w:val="false"/>
        </w:rPr>
      </w:pPr>
      <w:r>
        <w:rPr>
          <w:caps w:val="false"/>
          <w:smallCaps w:val="false"/>
        </w:rPr>
        <w:t> </w:t>
      </w:r>
    </w:p>
    <w:p>
      <w:pPr>
        <w:pStyle w:val="TextBody"/>
        <w:bidi w:val="0"/>
        <w:spacing w:before="0" w:after="0"/>
        <w:ind w:left="720" w:right="38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15</w:t>
      </w:r>
    </w:p>
    <w:p>
      <w:pPr>
        <w:pStyle w:val="TextBody"/>
        <w:bidi w:val="0"/>
        <w:spacing w:before="0" w:after="0"/>
        <w:ind w:left="720" w:right="38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the articles of incorporation</w:t>
      </w:r>
    </w:p>
    <w:p>
      <w:pPr>
        <w:pStyle w:val="TextBody"/>
        <w:bidi w:val="0"/>
        <w:spacing w:before="0" w:after="0"/>
        <w:ind w:left="720" w:right="381"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Supervisory Board is authorized to decide on amendments to the articles of incorporation that relate purely to the wording.</w:t>
      </w:r>
    </w:p>
    <w:p>
      <w:pPr>
        <w:pStyle w:val="TextBody"/>
        <w:bidi w:val="0"/>
        <w:spacing w:before="0" w:after="0"/>
        <w:ind w:left="720" w:right="381" w:hanging="0"/>
        <w:jc w:val="left"/>
        <w:rPr>
          <w:caps w:val="false"/>
          <w:smallCaps w:val="false"/>
        </w:rPr>
      </w:pPr>
      <w:r>
        <w:rPr>
          <w:caps w:val="false"/>
          <w:smallCaps w:val="false"/>
        </w:rPr>
        <w:t> </w:t>
      </w:r>
    </w:p>
    <w:p>
      <w:pPr>
        <w:pStyle w:val="TextBody"/>
        <w:bidi w:val="0"/>
        <w:spacing w:before="0" w:after="0"/>
        <w:ind w:left="720" w:right="38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Annual General Meeting</w:t>
      </w:r>
    </w:p>
    <w:p>
      <w:pPr>
        <w:pStyle w:val="TextBody"/>
        <w:bidi w:val="0"/>
        <w:spacing w:before="0" w:after="0"/>
        <w:ind w:left="720" w:right="381" w:hanging="0"/>
        <w:jc w:val="center"/>
        <w:rPr>
          <w:caps w:val="false"/>
          <w:smallCaps w:val="false"/>
        </w:rPr>
      </w:pPr>
      <w:r>
        <w:rPr>
          <w:caps w:val="false"/>
          <w:smallCaps w:val="false"/>
        </w:rPr>
        <w:t> </w:t>
      </w:r>
    </w:p>
    <w:p>
      <w:pPr>
        <w:pStyle w:val="TextBody"/>
        <w:bidi w:val="0"/>
        <w:spacing w:before="0" w:after="0"/>
        <w:ind w:left="720" w:right="38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16</w:t>
      </w:r>
    </w:p>
    <w:p>
      <w:pPr>
        <w:pStyle w:val="TextBody"/>
        <w:bidi w:val="0"/>
        <w:spacing w:before="0" w:after="0"/>
        <w:ind w:left="720" w:right="38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Venue, notice, and participation</w:t>
      </w:r>
    </w:p>
    <w:p>
      <w:pPr>
        <w:pStyle w:val="TextBody"/>
        <w:bidi w:val="0"/>
        <w:spacing w:before="0" w:after="0"/>
        <w:ind w:left="720" w:right="381"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8" w:type="dxa"/>
            <w:tcBorders/>
            <w:vAlign w:val="center"/>
          </w:tcPr>
          <w:p>
            <w:pPr>
              <w:pStyle w:val="TableContents"/>
              <w:bidi w:val="0"/>
              <w:spacing w:before="0" w:after="283"/>
              <w:jc w:val="both"/>
              <w:rPr/>
            </w:pPr>
            <w:r>
              <w:rPr/>
              <w:t>The Annual General Meeting is held at the registered office of the Company, at the premises of a German stock exchange, or in a German city with more than 500,000 residents.</w:t>
            </w:r>
          </w:p>
        </w:tc>
      </w:tr>
    </w:tbl>
    <w:p>
      <w:pPr>
        <w:pStyle w:val="TextBody"/>
        <w:bidi w:val="0"/>
        <w:spacing w:before="0" w:after="0"/>
        <w:ind w:left="720" w:right="381"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34" w:type="dxa"/>
            <w:tcBorders/>
            <w:vAlign w:val="center"/>
          </w:tcPr>
          <w:p>
            <w:pPr>
              <w:pStyle w:val="TableContents"/>
              <w:bidi w:val="0"/>
              <w:spacing w:before="0" w:after="283"/>
              <w:jc w:val="both"/>
              <w:rPr/>
            </w:pPr>
            <w:r>
              <w:rPr/>
              <w:t>The Annual General Meeting is convened by the Management Board or, in cases prescribed by law, by the Supervisory Board.</w:t>
            </w:r>
          </w:p>
        </w:tc>
      </w:tr>
    </w:tbl>
    <w:p>
      <w:pPr>
        <w:pStyle w:val="TextBody"/>
        <w:bidi w:val="0"/>
        <w:spacing w:before="0" w:after="0"/>
        <w:ind w:left="720" w:right="381"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1" w:type="dxa"/>
            <w:tcBorders/>
            <w:vAlign w:val="center"/>
          </w:tcPr>
          <w:p>
            <w:pPr>
              <w:pStyle w:val="TableContents"/>
              <w:bidi w:val="0"/>
              <w:spacing w:before="0" w:after="283"/>
              <w:jc w:val="both"/>
              <w:rPr/>
            </w:pPr>
            <w:r>
              <w:rPr/>
              <w:t>Only those shareholders who are entered in the Company’s share register on the day of the Annual General Meeting and who have registered in good time prior to the Annual General Meeting are entitled to attend the Annual General Meeting and exercise their voting rights.</w:t>
            </w:r>
          </w:p>
        </w:tc>
      </w:tr>
    </w:tbl>
    <w:p>
      <w:pPr>
        <w:pStyle w:val="TextBody"/>
        <w:bidi w:val="0"/>
        <w:spacing w:before="0" w:after="0"/>
        <w:ind w:left="720" w:right="381" w:hanging="0"/>
        <w:jc w:val="left"/>
        <w:rPr>
          <w:caps w:val="false"/>
          <w:smallCaps w:val="false"/>
        </w:rPr>
      </w:pPr>
      <w:r>
        <w:rPr>
          <w:caps w:val="false"/>
          <w:smallCaps w:val="false"/>
        </w:rPr>
        <w:t> </w:t>
      </w:r>
    </w:p>
    <w:p>
      <w:pPr>
        <w:pStyle w:val="TextBody"/>
        <w:bidi w:val="0"/>
        <w:spacing w:before="0" w:after="0"/>
        <w:ind w:left="720" w:right="381"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720" w:right="381" w:hanging="0"/>
        <w:jc w:val="left"/>
        <w:rPr>
          <w:caps w:val="false"/>
          <w:smallCaps w:val="false"/>
        </w:rPr>
      </w:pPr>
      <w:r>
        <w:rPr>
          <w:caps w:val="false"/>
          <w:smallCaps w:val="false"/>
        </w:rPr>
        <w:t> </w:t>
      </w:r>
    </w:p>
    <w:tbl>
      <w:tblPr>
        <w:tblW w:w="2208" w:type="dxa"/>
        <w:jc w:val="left"/>
        <w:tblInd w:w="0" w:type="dxa"/>
        <w:tblLayout w:type="fixed"/>
        <w:tblCellMar>
          <w:top w:w="0" w:type="dxa"/>
          <w:left w:w="0" w:type="dxa"/>
          <w:bottom w:w="0" w:type="dxa"/>
          <w:right w:w="0" w:type="dxa"/>
        </w:tblCellMar>
      </w:tblPr>
      <w:tblGrid>
        <w:gridCol w:w="38"/>
        <w:gridCol w:w="245"/>
        <w:gridCol w:w="19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925" w:type="dxa"/>
            <w:tcBorders/>
            <w:vAlign w:val="center"/>
          </w:tcPr>
          <w:p>
            <w:pPr>
              <w:pStyle w:val="TableContents"/>
              <w:bidi w:val="0"/>
              <w:spacing w:before="0" w:after="283"/>
              <w:jc w:val="both"/>
              <w:rPr/>
            </w:pPr>
            <w:r>
              <w:rPr/>
              <w:t>(currently not filled)</w:t>
            </w:r>
          </w:p>
        </w:tc>
      </w:tr>
    </w:tbl>
    <w:p>
      <w:pPr>
        <w:pStyle w:val="TextBody"/>
        <w:bidi w:val="0"/>
        <w:spacing w:before="0" w:after="0"/>
        <w:ind w:left="720" w:right="381"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73" w:type="dxa"/>
            <w:tcBorders/>
            <w:vAlign w:val="center"/>
          </w:tcPr>
          <w:p>
            <w:pPr>
              <w:pStyle w:val="TableContents"/>
              <w:bidi w:val="0"/>
              <w:spacing w:before="0" w:after="283"/>
              <w:jc w:val="both"/>
              <w:rPr/>
            </w:pPr>
            <w:r>
              <w:rPr/>
              <w:t>The registration form must be received by the Company at the address shown in the notice of the meeting no later than the sixth day before the Annual General Meeting; the statutory provisions govern the calculation of the registration period. The Management Board is entitled to specify a shorter registration period (measured in days) in the notice of the Annual General Meeting; in this case, the shorter registration period stipulated by the Management Board applies to the receipt of the registration form. This does not affect any further shortening of the registration period on the basis of statutory provisions.</w:t>
            </w:r>
          </w:p>
        </w:tc>
      </w:tr>
    </w:tbl>
    <w:p>
      <w:pPr>
        <w:pStyle w:val="TextBody"/>
        <w:bidi w:val="0"/>
        <w:spacing w:before="0" w:after="0"/>
        <w:ind w:left="720" w:right="381"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26" w:type="dxa"/>
            <w:tcBorders/>
            <w:vAlign w:val="center"/>
          </w:tcPr>
          <w:p>
            <w:pPr>
              <w:pStyle w:val="TableContents"/>
              <w:bidi w:val="0"/>
              <w:spacing w:before="0" w:after="283"/>
              <w:jc w:val="both"/>
              <w:rPr/>
            </w:pPr>
            <w:r>
              <w:rPr/>
              <w:t>The announcement giving notice of the Annual General Meeting can include further details about registration.</w:t>
            </w:r>
          </w:p>
        </w:tc>
      </w:tr>
    </w:tbl>
    <w:p>
      <w:pPr>
        <w:pStyle w:val="TextBody"/>
        <w:bidi w:val="0"/>
        <w:spacing w:before="0" w:after="0"/>
        <w:ind w:left="720" w:right="381"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77" w:type="dxa"/>
            <w:tcBorders/>
            <w:vAlign w:val="center"/>
          </w:tcPr>
          <w:p>
            <w:pPr>
              <w:pStyle w:val="TableContents"/>
              <w:bidi w:val="0"/>
              <w:spacing w:before="0" w:after="283"/>
              <w:jc w:val="both"/>
              <w:rPr/>
            </w:pPr>
            <w:r>
              <w:rPr/>
              <w:t>Shareholders can appoint authorized representatives to represent them at the Annual General Meeting and exercise their voting rights. The appointment of an authorized representative, and the cancellation and proof of such an appointment, must be in text form (as defined in section 126b BGB). The notice of the Annual General Meeting can specify simplified processes for appointing an authorized representative, and for cancelling and providing proof of such an appointment; to the extent permitted by law, it can also specify details about appointing and cancelling an authorized representative, including the manner in which proof of such an appointment can be sent to the Company. The proxies appointed by the Company can also be appointed as authorized representatives by fax or using electronic media if this is indicated by the Management Board in the announcement giving notice of the Annual General Meeting. Section 135 AktG still applies.</w:t>
            </w:r>
          </w:p>
        </w:tc>
      </w:tr>
    </w:tbl>
    <w:p>
      <w:pPr>
        <w:pStyle w:val="TextBody"/>
        <w:bidi w:val="0"/>
        <w:spacing w:before="0" w:after="0"/>
        <w:ind w:left="720" w:right="381" w:hanging="65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68" w:type="dxa"/>
            <w:tcBorders/>
            <w:vAlign w:val="center"/>
          </w:tcPr>
          <w:p>
            <w:pPr>
              <w:pStyle w:val="TableContents"/>
              <w:bidi w:val="0"/>
              <w:spacing w:before="0" w:after="283"/>
              <w:jc w:val="both"/>
              <w:rPr/>
            </w:pPr>
            <w:r>
              <w:rPr/>
              <w:t>The Management Board is authorized to provide that shareholders may also participate in the general meeting without being present at its location and without a representative and exercise all or some of their rights in whole or in part by means of electronic communication (online participation). The Management Board may regulate the scope and procedure of online participation in detail.</w:t>
            </w:r>
          </w:p>
        </w:tc>
      </w:tr>
    </w:tbl>
    <w:p>
      <w:pPr>
        <w:pStyle w:val="TextBody"/>
        <w:bidi w:val="0"/>
        <w:spacing w:before="0" w:after="0"/>
        <w:ind w:left="720" w:right="381" w:hanging="65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62" w:type="dxa"/>
            <w:tcBorders/>
            <w:vAlign w:val="center"/>
          </w:tcPr>
          <w:p>
            <w:pPr>
              <w:pStyle w:val="TableContents"/>
              <w:bidi w:val="0"/>
              <w:spacing w:before="0" w:after="283"/>
              <w:jc w:val="both"/>
              <w:rPr/>
            </w:pPr>
            <w:r>
              <w:rPr/>
              <w:t>The Management Board is authorized to provide that shareholders may also cast their votes without attending the meeting, in writing or by way of electronic communication (postal vote). The Management Board may regulate the scope and procedure of the postal vote in detail.</w:t>
            </w:r>
          </w:p>
        </w:tc>
      </w:tr>
    </w:tbl>
    <w:p>
      <w:pPr>
        <w:pStyle w:val="TextBody"/>
        <w:bidi w:val="0"/>
        <w:spacing w:before="0" w:after="0"/>
        <w:ind w:left="720" w:right="381" w:hanging="65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3"/>
        <w:gridCol w:w="9864"/>
      </w:tblGrid>
      <w:tr>
        <w:trPr/>
        <w:tc>
          <w:tcPr>
            <w:tcW w:w="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864" w:type="dxa"/>
            <w:tcBorders/>
            <w:vAlign w:val="center"/>
          </w:tcPr>
          <w:p>
            <w:pPr>
              <w:pStyle w:val="TableContents"/>
              <w:bidi w:val="0"/>
              <w:spacing w:before="0" w:after="283"/>
              <w:jc w:val="both"/>
              <w:rPr/>
            </w:pPr>
            <w:r>
              <w:rPr/>
              <w:t>The Management Board is authorized to provide for the general meeting to be held without the physical presence of the shareholders or their proxies at the location of the general meeting (virtual general meeting). The authorization shall apply to the holding of virtual general meetings during a period of five years after the registration of this provision of the Articles of Association with the commercial register of the Company.</w:t>
            </w:r>
          </w:p>
        </w:tc>
      </w:tr>
    </w:tbl>
    <w:p>
      <w:pPr>
        <w:pStyle w:val="TextBody"/>
        <w:bidi w:val="0"/>
        <w:spacing w:before="0" w:after="0"/>
        <w:ind w:left="720" w:right="381" w:hanging="65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0"/>
        <w:gridCol w:w="9867"/>
      </w:tblGrid>
      <w:tr>
        <w:trPr/>
        <w:tc>
          <w:tcPr>
            <w:tcW w:w="3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867" w:type="dxa"/>
            <w:tcBorders/>
            <w:vAlign w:val="center"/>
          </w:tcPr>
          <w:p>
            <w:pPr>
              <w:pStyle w:val="TableContents"/>
              <w:bidi w:val="0"/>
              <w:spacing w:before="0" w:after="283"/>
              <w:jc w:val="both"/>
              <w:rPr/>
            </w:pPr>
            <w:r>
              <w:rPr/>
              <w:t>Members of the Supervisory Board shall be permitted to participate in the general meeting by means of video and audio transmission in cases where, due to legal restrictions, their residence abroad, or due to an unreasonable travel time, their physical presence at the location of the general meeting would not be possible or would be possible only at considerable expense, or if the general meeting is held as a virtual general meeting without the physical presence of the shareholders or their proxies at the location of the general meeting.</w:t>
            </w:r>
          </w:p>
        </w:tc>
      </w:tr>
    </w:tbl>
    <w:p>
      <w:pPr>
        <w:pStyle w:val="TextBody"/>
        <w:bidi w:val="0"/>
        <w:spacing w:before="0" w:after="0"/>
        <w:ind w:left="720" w:right="381" w:hanging="0"/>
        <w:jc w:val="left"/>
        <w:rPr>
          <w:caps w:val="false"/>
          <w:smallCaps w:val="false"/>
        </w:rPr>
      </w:pPr>
      <w:r>
        <w:rPr>
          <w:caps w:val="false"/>
          <w:smallCaps w:val="false"/>
        </w:rPr>
        <w:t> </w:t>
      </w:r>
    </w:p>
    <w:p>
      <w:pPr>
        <w:pStyle w:val="TextBody"/>
        <w:bidi w:val="0"/>
        <w:spacing w:before="0" w:after="0"/>
        <w:ind w:left="720" w:right="381"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720" w:right="381" w:hanging="0"/>
        <w:jc w:val="both"/>
        <w:rPr>
          <w:caps w:val="false"/>
          <w:smallCaps w:val="false"/>
        </w:rPr>
      </w:pPr>
      <w:r>
        <w:rPr>
          <w:caps w:val="false"/>
          <w:smallCaps w:val="false"/>
        </w:rPr>
        <w:t> </w:t>
      </w:r>
    </w:p>
    <w:p>
      <w:pPr>
        <w:pStyle w:val="TextBody"/>
        <w:bidi w:val="0"/>
        <w:spacing w:before="0" w:after="0"/>
        <w:ind w:left="720" w:right="37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17</w:t>
      </w:r>
    </w:p>
    <w:p>
      <w:pPr>
        <w:pStyle w:val="TextBody"/>
        <w:bidi w:val="0"/>
        <w:spacing w:before="0" w:after="0"/>
        <w:ind w:left="720" w:right="37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Chairing the Annual General Meeting</w:t>
      </w:r>
    </w:p>
    <w:p>
      <w:pPr>
        <w:pStyle w:val="TextBody"/>
        <w:bidi w:val="0"/>
        <w:spacing w:before="0" w:after="0"/>
        <w:ind w:left="720" w:right="374"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5" w:type="dxa"/>
            <w:tcBorders/>
            <w:vAlign w:val="center"/>
          </w:tcPr>
          <w:p>
            <w:pPr>
              <w:pStyle w:val="TableContents"/>
              <w:bidi w:val="0"/>
              <w:spacing w:before="0" w:after="283"/>
              <w:jc w:val="both"/>
              <w:rPr/>
            </w:pPr>
            <w:r>
              <w:rPr/>
              <w:t>The Annual General Meeting is chaired by the chairman of the Supervisory Board or another person designated by the Supervisory Board. It cannot be chaired by a Management Board member or the certifying notary.</w:t>
            </w:r>
          </w:p>
        </w:tc>
      </w:tr>
    </w:tbl>
    <w:p>
      <w:pPr>
        <w:pStyle w:val="TextBody"/>
        <w:bidi w:val="0"/>
        <w:spacing w:before="0" w:after="0"/>
        <w:ind w:left="720" w:right="381"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3" w:type="dxa"/>
            <w:tcBorders/>
            <w:vAlign w:val="center"/>
          </w:tcPr>
          <w:p>
            <w:pPr>
              <w:pStyle w:val="TableContents"/>
              <w:bidi w:val="0"/>
              <w:spacing w:before="0" w:after="283"/>
              <w:jc w:val="both"/>
              <w:rPr/>
            </w:pPr>
            <w:r>
              <w:rPr/>
              <w:t>The chairperson chairs the discussions and determines the sequence in which the agenda is dealt with, the form and sequence of the votes, and the sequence of contributions to the debate. The chairperson can set an appropriate limit on the time allotted to shareholders for speaking and asking questions and can specify further details in this regard. In particular, he or she is entitled, at the beginning of the Annual General Meeting or while it is in progress, to set an appropriate time limit for the entire Annual General Meeting, for the individual agenda items, or for individual speakers.</w:t>
            </w:r>
          </w:p>
        </w:tc>
      </w:tr>
    </w:tbl>
    <w:p>
      <w:pPr>
        <w:pStyle w:val="TextBody"/>
        <w:bidi w:val="0"/>
        <w:spacing w:before="0" w:after="0"/>
        <w:ind w:left="720" w:right="381"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47" w:type="dxa"/>
            <w:tcBorders/>
            <w:vAlign w:val="center"/>
          </w:tcPr>
          <w:p>
            <w:pPr>
              <w:pStyle w:val="TableContents"/>
              <w:bidi w:val="0"/>
              <w:spacing w:before="0" w:after="283"/>
              <w:jc w:val="both"/>
              <w:rPr/>
            </w:pPr>
            <w:r>
              <w:rPr/>
              <w:t>The meeting chairperson is authorized to permit the video and audio broadcasting of all or parts of the Annual General Meeting in a manner that he or she has determined.</w:t>
            </w:r>
          </w:p>
        </w:tc>
      </w:tr>
    </w:tbl>
    <w:p>
      <w:pPr>
        <w:pStyle w:val="TextBody"/>
        <w:bidi w:val="0"/>
        <w:spacing w:before="0" w:after="0"/>
        <w:ind w:left="720" w:right="381" w:hanging="0"/>
        <w:jc w:val="left"/>
        <w:rPr>
          <w:caps w:val="false"/>
          <w:smallCaps w:val="false"/>
        </w:rPr>
      </w:pPr>
      <w:r>
        <w:rPr>
          <w:caps w:val="false"/>
          <w:smallCaps w:val="false"/>
        </w:rPr>
        <w:t> </w:t>
      </w:r>
    </w:p>
    <w:p>
      <w:pPr>
        <w:pStyle w:val="TextBody"/>
        <w:bidi w:val="0"/>
        <w:spacing w:before="0" w:after="0"/>
        <w:ind w:left="720" w:right="38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18</w:t>
      </w:r>
    </w:p>
    <w:p>
      <w:pPr>
        <w:pStyle w:val="TextBody"/>
        <w:bidi w:val="0"/>
        <w:spacing w:before="0" w:after="0"/>
        <w:ind w:left="720" w:right="38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Adoption of resolutions</w:t>
      </w:r>
    </w:p>
    <w:p>
      <w:pPr>
        <w:pStyle w:val="TextBody"/>
        <w:bidi w:val="0"/>
        <w:spacing w:before="0" w:after="0"/>
        <w:ind w:left="720" w:right="381"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stipulated by law or the articles of incorporation, the Annual General Meeting adopts its resolutions with a simple majority of the votes cast or, where a majority of capital is required, by simple majority of the share capital represented in the voting. An abstention is not deemed to be a cast vote.</w:t>
      </w:r>
    </w:p>
    <w:p>
      <w:pPr>
        <w:pStyle w:val="TextBody"/>
        <w:bidi w:val="0"/>
        <w:spacing w:before="0" w:after="0"/>
        <w:ind w:left="720" w:right="381"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Single-entity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38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19</w:t>
      </w:r>
    </w:p>
    <w:p>
      <w:pPr>
        <w:pStyle w:val="TextBody"/>
        <w:bidi w:val="0"/>
        <w:spacing w:before="0" w:after="0"/>
        <w:ind w:left="720" w:right="38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Single-entity financial statements</w:t>
      </w:r>
    </w:p>
    <w:p>
      <w:pPr>
        <w:pStyle w:val="TextBody"/>
        <w:bidi w:val="0"/>
        <w:spacing w:before="0" w:after="0"/>
        <w:ind w:left="720" w:right="381"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7" w:type="dxa"/>
            <w:tcBorders/>
            <w:vAlign w:val="center"/>
          </w:tcPr>
          <w:p>
            <w:pPr>
              <w:pStyle w:val="TableContents"/>
              <w:bidi w:val="0"/>
              <w:spacing w:before="0" w:after="283"/>
              <w:jc w:val="both"/>
              <w:rPr/>
            </w:pPr>
            <w:r>
              <w:rPr/>
              <w:t>The Management Board must prepare the single-entity financial statements, the management report if required by law, the consolidated financial statements if required, and the group management report if required by law for the preceding financial year and present them to the Supervisory Board by the statutory deadlines. At the same time, the Management Board must present to the Supervisory Board the proposal for the appropriation of profit that it wishes to submit to the Annual General Meeting. The Supervisory Board must review the single-entity financial statements, the management report if applicable, the proposal for the appropriation of profit, the consolidated financial statements, and the group management report if applicable. If the Supervisory Board approves the single-entity financial statements, they are deemed adopted, unless the Management Board or Supervisory Board resolves to have the Annual General Meeting adopt the single-entity financial statements. The Supervisory Board must resolve on the approval of the consolidated financial statements.</w:t>
            </w:r>
          </w:p>
        </w:tc>
      </w:tr>
    </w:tbl>
    <w:p>
      <w:pPr>
        <w:pStyle w:val="TextBody"/>
        <w:bidi w:val="0"/>
        <w:spacing w:before="0" w:after="0"/>
        <w:ind w:left="720" w:right="381"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both"/>
              <w:rPr/>
            </w:pPr>
            <w:r>
              <w:rPr/>
              <w:t>The Management Board must convene the Annual General Meeting without undue delay once it has received the Supervisory Board’s report on the outcome of its review.</w:t>
            </w:r>
          </w:p>
        </w:tc>
      </w:tr>
    </w:tbl>
    <w:p>
      <w:pPr>
        <w:pStyle w:val="TextBody"/>
        <w:bidi w:val="0"/>
        <w:spacing w:before="0" w:after="0"/>
        <w:ind w:left="720" w:right="381"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Appropriation of profit</w:t>
      </w:r>
    </w:p>
    <w:p>
      <w:pPr>
        <w:pStyle w:val="TextBody"/>
        <w:bidi w:val="0"/>
        <w:spacing w:before="0" w:after="0"/>
        <w:ind w:left="720" w:right="381"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7" w:type="dxa"/>
            <w:tcBorders/>
            <w:vAlign w:val="center"/>
          </w:tcPr>
          <w:p>
            <w:pPr>
              <w:pStyle w:val="TableContents"/>
              <w:bidi w:val="0"/>
              <w:spacing w:before="0" w:after="283"/>
              <w:jc w:val="both"/>
              <w:rPr/>
            </w:pPr>
            <w:r>
              <w:rPr/>
              <w:t>The statutory provisions apply with respect to the appropriation of profit. In a resolution concerning a capital increase, the distribution of profit for new shares may be determined in departure from section 60 (2) sentence 3 AktG.</w:t>
            </w:r>
          </w:p>
        </w:tc>
      </w:tr>
    </w:tbl>
    <w:p>
      <w:pPr>
        <w:pStyle w:val="TextBody"/>
        <w:bidi w:val="0"/>
        <w:spacing w:before="0" w:after="0"/>
        <w:ind w:left="720" w:right="381" w:hanging="0"/>
        <w:jc w:val="both"/>
        <w:rPr>
          <w:caps w:val="false"/>
          <w:smallCaps w:val="false"/>
        </w:rPr>
      </w:pPr>
      <w:r>
        <w:rPr>
          <w:caps w:val="false"/>
          <w:smallCaps w:val="false"/>
        </w:rPr>
        <w:t> </w:t>
      </w:r>
    </w:p>
    <w:p>
      <w:pPr>
        <w:pStyle w:val="TextBody"/>
        <w:bidi w:val="0"/>
        <w:spacing w:before="0" w:after="0"/>
        <w:ind w:left="720" w:right="381"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720" w:right="381"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9" w:type="dxa"/>
            <w:tcBorders/>
            <w:vAlign w:val="center"/>
          </w:tcPr>
          <w:p>
            <w:pPr>
              <w:pStyle w:val="TableContents"/>
              <w:bidi w:val="0"/>
              <w:spacing w:before="0" w:after="283"/>
              <w:jc w:val="both"/>
              <w:rPr/>
            </w:pPr>
            <w:r>
              <w:rPr/>
              <w:t>The Annual General Meeting may decide on a non-cash distribution in place of or in addition to a cash distribution.</w:t>
            </w:r>
          </w:p>
        </w:tc>
      </w:tr>
    </w:tbl>
    <w:p>
      <w:pPr>
        <w:pStyle w:val="TextBody"/>
        <w:bidi w:val="0"/>
        <w:spacing w:before="0" w:after="0"/>
        <w:ind w:left="720" w:right="381"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Concluding provisions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Formation expenses</w:t>
      </w:r>
    </w:p>
    <w:p>
      <w:pPr>
        <w:pStyle w:val="TextBody"/>
        <w:bidi w:val="0"/>
        <w:spacing w:before="0" w:after="0"/>
        <w:ind w:left="720" w:right="381"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court costs and notary costs, including publication costs and other costs for legal and tax advice that are incurred in connection with setting up the Company are borne by the Company up to a total sum of €2,500.00.</w:t>
      </w:r>
    </w:p>
    <w:p>
      <w:pPr>
        <w:pStyle w:val="TextBody"/>
        <w:bidi w:val="0"/>
        <w:spacing w:before="0" w:after="0"/>
        <w:ind w:left="0" w:right="381"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p>
      <w:pPr>
        <w:pStyle w:val="TextBody"/>
        <w:bidi w:val="0"/>
        <w:spacing w:before="0" w:after="0"/>
        <w:ind w:left="0" w:right="381"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 applies where the articles of incorporation do not contain relevant provisions. Should individual provisions of this document be or become ineffective, this should not affect the rest of the content. The shareholders are obliged to replace any ineffective provision with an effective provision that corresponds as closely as possible to the intended commercial purpose. The same applies to omissions.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p>
      <w:pPr>
        <w:pStyle w:val="TextBody"/>
        <w:bidi w:val="0"/>
        <w:jc w:val="left"/>
        <w:rPr>
          <w:bdr w:val="single" w:sz="12" w:space="1" w:color="000000"/>
        </w:rPr>
      </w:pPr>
      <w:r>
        <w:rPr>
          <w:bdr w:val="single" w:sz="12" w:space="1" w:color="000000"/>
        </w:rPr>
        <w:t> </w:t>
      </w:r>
    </w:p>
    <w:p>
      <w:pPr>
        <w:pStyle w:val="TextBody"/>
        <w:bidi w:val="0"/>
        <w:spacing w:before="0" w:after="0"/>
        <w:ind w:left="0" w:right="381" w:hanging="0"/>
        <w:jc w:val="both"/>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3" w:name="ff32023ex5-1_mynaricag.htm"/>
      <w:bookmarkStart w:id="24" w:name="ksff32023ex51_mynaricag"/>
      <w:bookmarkEnd w:id="23"/>
      <w:bookmarkEnd w:id="24"/>
      <w:r>
        <w:rPr>
          <w:rFonts w:ascii="Times New Roman;Times;Serif" w:hAnsi="Times New Roman;Times;Serif"/>
          <w:b/>
          <w:i w:val="false"/>
          <w:caps w:val="false"/>
          <w:smallCaps w:val="false"/>
          <w:sz w:val="20"/>
        </w:rPr>
        <w:t>Exhibit 5.1</w:t>
      </w:r>
      <w:r>
        <w:br w:type="page"/>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[Letterhead of Sullivan &amp; Cromwell LLP]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Mynaric AG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Dornierstraße 19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82205 Gilching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29, 2023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acting as German counsel to Mynaric AG, Gilching,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 stock corporation organized under the laws of the Federal Republic of Germany (</w:t>
      </w:r>
      <w:r>
        <w:rPr>
          <w:rFonts w:ascii="Times New Roman;Times;Serif" w:hAnsi="Times New Roman;Times;Serif"/>
          <w:b/>
          <w:i w:val="false"/>
          <w:caps w:val="false"/>
          <w:smallCaps w:val="false"/>
          <w:sz w:val="20"/>
        </w:rPr>
        <w:t>Germany</w:t>
      </w:r>
      <w:r>
        <w:rPr>
          <w:rFonts w:ascii="Times New Roman;Times;Serif" w:hAnsi="Times New Roman;Times;Serif"/>
          <w:b w:val="false"/>
          <w:i w:val="false"/>
          <w:caps w:val="false"/>
          <w:smallCaps w:val="false"/>
          <w:sz w:val="20"/>
        </w:rPr>
        <w:t xml:space="preserve">), as to matters of German law in connection with the filing of a registration statement on Form F-3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with the Securities and Exchange Commission on September 29, 2023. The purpose of the Registration Statement is to register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5,000,000 new ordinary registered shares with no-par value, which, upon a potential future conversion into American Depositary Shares evidenced by American depositary receipts (the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xml:space="preserve">), will represent 20,000,000 ADS (the </w:t>
      </w:r>
      <w:r>
        <w:rPr>
          <w:rFonts w:ascii="Times New Roman;Times;Serif" w:hAnsi="Times New Roman;Times;Serif"/>
          <w:b/>
          <w:i w:val="false"/>
          <w:caps w:val="false"/>
          <w:smallCaps w:val="false"/>
          <w:sz w:val="20"/>
        </w:rPr>
        <w:t>Future Shares</w:t>
      </w:r>
      <w:r>
        <w:rPr>
          <w:rFonts w:ascii="Times New Roman;Times;Serif" w:hAnsi="Times New Roman;Times;Serif"/>
          <w:b w:val="false"/>
          <w:i w:val="false"/>
          <w:caps w:val="false"/>
          <w:smallCaps w:val="false"/>
          <w:sz w:val="20"/>
        </w:rPr>
        <w:t>), with four (4) ADSs representing an ownership interest in one (1) ordinary registered share of the Company with a notional amount attributable to each ordinary registered share of €1.00.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being furnished to the Company in connection with the requirements of Item 601(b)(5) of Regulation S-K under the Securities Act, and no opinion is expressed herein as to any matter pertaining to the contents of the Registration Statement other than as expressly stated herein with respect to the Future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this context, we examined,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the following documents:</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current articles of association (</w:t>
            </w:r>
            <w:r>
              <w:rPr>
                <w:rFonts w:ascii="Times New Roman;Times;Serif" w:hAnsi="Times New Roman;Times;Serif"/>
                <w:b w:val="false"/>
                <w:i/>
                <w:caps w:val="false"/>
                <w:smallCaps w:val="false"/>
                <w:sz w:val="20"/>
              </w:rPr>
              <w:t>Satzung</w:t>
            </w:r>
            <w:r>
              <w:rPr>
                <w:rFonts w:ascii="Times New Roman;Times;Serif" w:hAnsi="Times New Roman;Times;Serif"/>
                <w:b w:val="false"/>
                <w:i w:val="false"/>
                <w:caps w:val="false"/>
                <w:smallCaps w:val="false"/>
                <w:sz w:val="20"/>
              </w:rPr>
              <w:t xml:space="preserve">) of the Company dated August 23, 2023 (the </w:t>
            </w:r>
            <w:r>
              <w:rPr>
                <w:rFonts w:ascii="Times New Roman;Times;Serif" w:hAnsi="Times New Roman;Times;Serif"/>
                <w:b/>
                <w:i w:val="false"/>
                <w:caps w:val="false"/>
                <w:smallCaps w:val="false"/>
                <w:sz w:val="20"/>
              </w:rPr>
              <w:t>Articles of Association</w:t>
            </w:r>
            <w:r>
              <w:rPr>
                <w:rFonts w:ascii="Times New Roman;Times;Serif" w:hAnsi="Times New Roman;Times;Serif"/>
                <w:b w:val="false"/>
                <w:i w:val="false"/>
                <w:caps w:val="false"/>
                <w:smallCaps w:val="false"/>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an electronic excerpt from the commercial register (</w:t>
            </w:r>
            <w:r>
              <w:rPr>
                <w:rFonts w:ascii="Times New Roman;Times;Serif" w:hAnsi="Times New Roman;Times;Serif"/>
                <w:b w:val="false"/>
                <w:i/>
                <w:caps w:val="false"/>
                <w:smallCaps w:val="false"/>
                <w:sz w:val="20"/>
              </w:rPr>
              <w:t>Handelsregister</w:t>
            </w:r>
            <w:r>
              <w:rPr>
                <w:rFonts w:ascii="Times New Roman;Times;Serif" w:hAnsi="Times New Roman;Times;Serif"/>
                <w:b w:val="false"/>
                <w:i w:val="false"/>
                <w:caps w:val="false"/>
                <w:smallCaps w:val="false"/>
                <w:sz w:val="20"/>
              </w:rPr>
              <w:t>) of the local court (</w:t>
            </w:r>
            <w:r>
              <w:rPr>
                <w:rFonts w:ascii="Times New Roman;Times;Serif" w:hAnsi="Times New Roman;Times;Serif"/>
                <w:b w:val="false"/>
                <w:i/>
                <w:caps w:val="false"/>
                <w:smallCaps w:val="false"/>
                <w:sz w:val="20"/>
              </w:rPr>
              <w:t>Amtsgericht</w:t>
            </w:r>
            <w:r>
              <w:rPr>
                <w:rFonts w:ascii="Times New Roman;Times;Serif" w:hAnsi="Times New Roman;Times;Serif"/>
                <w:b w:val="false"/>
                <w:i w:val="false"/>
                <w:caps w:val="false"/>
                <w:smallCaps w:val="false"/>
                <w:sz w:val="20"/>
              </w:rPr>
              <w:t xml:space="preserve">) of Munich, Germany (the </w:t>
            </w:r>
            <w:r>
              <w:rPr>
                <w:rFonts w:ascii="Times New Roman;Times;Serif" w:hAnsi="Times New Roman;Times;Serif"/>
                <w:b/>
                <w:i w:val="false"/>
                <w:caps w:val="false"/>
                <w:smallCaps w:val="false"/>
                <w:sz w:val="20"/>
              </w:rPr>
              <w:t>Commercial Register</w:t>
            </w:r>
            <w:r>
              <w:rPr>
                <w:rFonts w:ascii="Times New Roman;Times;Serif" w:hAnsi="Times New Roman;Times;Serif"/>
                <w:b w:val="false"/>
                <w:i w:val="false"/>
                <w:caps w:val="false"/>
                <w:smallCaps w:val="false"/>
                <w:sz w:val="20"/>
              </w:rPr>
              <w:t>), docket number HRB 232763, relating to the Company dated September 29, 2023; and</w:t>
            </w:r>
          </w:p>
        </w:tc>
      </w:tr>
    </w:tbl>
    <w:p>
      <w:pPr>
        <w:pStyle w:val="TextBody"/>
        <w:bidi w:val="0"/>
        <w:spacing w:before="0" w:after="0"/>
        <w:ind w:left="1440" w:right="0" w:hanging="720"/>
        <w:jc w:val="both"/>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215"/>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Registration Statement.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assumed that all documents submitted to us as a copy correspond to the respective original and the authenticity of the originals of such copied documents and that all documents examined by us are within the power of, and have been or will be validly authorized and executed by all parties thereto other than the Company and the genuineness of all signatures on all documents submitted to us. We have further assumed that (1) all authorizations, other than those authorizing the Company with respect to which we have received copies of the resolutions, have been or will be validly issued and that none of these authorizations has been revoked; (2) all documents, including electronic excerpts from the Commercial Register, submitted to us and made as of a specific date, have not been amended, cancelled, or otherwise been altered since that date until the date hereof; (3) all documents submitted to us in purported final draft form have been, or will be, executed in the form submitted; (4) the Company will at all times continue to have sufficient authorized capital; (5) the management board and the supervisory board of the Company will duly pass the relevant resolutions for the issue of the Future Shares in accordance with the Articles of Association and applicable law; (6) any and all measures, steps, resolutions and declarations relating to the calling and holding of a general meeting of the shareholders of the Company will be complied with and all resolutions relating to capital increases will be valid and effective; (7) upon issue of the Future Shares, the Company will receive payment in cash of an issue price in accordance with the resolutions and applicable law; (8) there will be no amendments to the authorized share capital of the Company which would adversely affect the issue of the Future Shares and the conclusions stated in this opinion; and (9) the Future Shares will have been (a) issued in the form and manner prescribed by the Articles of Association at the time of issue; and (b) otherwise offered, issued and accepted by their subscribers in accordance with all applicable laws. As to any facts relevant to the opinions stated herein that we did not independently establish or verify, we have relied upon statements and representations of officers and other representatives of the Company and others and of public officials. In this opinion, the phrase “non-assessable” means, with respect to the issuance of shares, that a shareholder shall not, in respect of the relevant shares, have any obligation to make further contributions to the Company’s assets (except in exceptional circumstances in which a court may be prepared to pierce or lift the corporate veil) (</w:t>
      </w:r>
      <w:r>
        <w:rPr>
          <w:rFonts w:ascii="Times New Roman;Times;Serif" w:hAnsi="Times New Roman;Times;Serif"/>
          <w:b w:val="false"/>
          <w:i/>
          <w:caps w:val="false"/>
          <w:smallCaps w:val="false"/>
          <w:sz w:val="20"/>
        </w:rPr>
        <w:t>nicht nachschusspflichtig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and the qualifications set out below, we are of the opinion that:</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stock corporation (</w:t>
            </w:r>
            <w:r>
              <w:rPr>
                <w:rFonts w:ascii="Times New Roman;Times;Serif" w:hAnsi="Times New Roman;Times;Serif"/>
                <w:b w:val="false"/>
                <w:i/>
                <w:caps w:val="false"/>
                <w:smallCaps w:val="false"/>
                <w:sz w:val="20"/>
              </w:rPr>
              <w:t>Aktiengesellschaft</w:t>
            </w:r>
            <w:r>
              <w:rPr>
                <w:rFonts w:ascii="Times New Roman;Times;Serif" w:hAnsi="Times New Roman;Times;Serif"/>
                <w:b w:val="false"/>
                <w:i w:val="false"/>
                <w:caps w:val="false"/>
                <w:smallCaps w:val="false"/>
                <w:sz w:val="20"/>
              </w:rPr>
              <w:t>) duly registered with the Commercial Register of the local court (</w:t>
            </w:r>
            <w:r>
              <w:rPr>
                <w:rFonts w:ascii="Times New Roman;Times;Serif" w:hAnsi="Times New Roman;Times;Serif"/>
                <w:b w:val="false"/>
                <w:i/>
                <w:caps w:val="false"/>
                <w:smallCaps w:val="false"/>
                <w:sz w:val="20"/>
              </w:rPr>
              <w:t>Amtsgericht</w:t>
            </w:r>
            <w:r>
              <w:rPr>
                <w:rFonts w:ascii="Times New Roman;Times;Serif" w:hAnsi="Times New Roman;Times;Serif"/>
                <w:b w:val="false"/>
                <w:i w:val="false"/>
                <w:caps w:val="false"/>
                <w:smallCaps w:val="false"/>
                <w:sz w:val="20"/>
              </w:rPr>
              <w:t>) of Munich, Germany, under HRB 232763 and validly existing under the laws of Germany.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1"/>
        <w:gridCol w:w="10036"/>
      </w:tblGrid>
      <w:tr>
        <w:trPr/>
        <w:tc>
          <w:tcPr>
            <w:tcW w:w="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subscription and payment for the Future Shares, their issuance in accordance with the German Stock Corporation Act (</w:t>
            </w:r>
            <w:r>
              <w:rPr>
                <w:rFonts w:ascii="Times New Roman;Times;Serif" w:hAnsi="Times New Roman;Times;Serif"/>
                <w:b w:val="false"/>
                <w:i/>
                <w:caps w:val="false"/>
                <w:smallCaps w:val="false"/>
                <w:sz w:val="20"/>
              </w:rPr>
              <w:t>Aktiengesetz</w:t>
            </w:r>
            <w:r>
              <w:rPr>
                <w:rFonts w:ascii="Times New Roman;Times;Serif" w:hAnsi="Times New Roman;Times;Serif"/>
                <w:b w:val="false"/>
                <w:i w:val="false"/>
                <w:caps w:val="false"/>
                <w:smallCaps w:val="false"/>
                <w:sz w:val="20"/>
              </w:rPr>
              <w:t>) as well as the relevant decisions of the general meeting of the shareholders of the Company, the management board and the supervisory board of the Company as well as application and registration of a capital increase for the Future Shares with the commercial register of the local court at Munich, the Future Shares will be validly issued, fully paid-in, non-assessable (</w:t>
            </w:r>
            <w:r>
              <w:rPr>
                <w:rFonts w:ascii="Times New Roman;Times;Serif" w:hAnsi="Times New Roman;Times;Serif"/>
                <w:b w:val="false"/>
                <w:i/>
                <w:caps w:val="false"/>
                <w:smallCaps w:val="false"/>
                <w:sz w:val="20"/>
              </w:rPr>
              <w:t>nicht nachschusspflichtig</w:t>
            </w:r>
            <w:r>
              <w:rPr>
                <w:rFonts w:ascii="Times New Roman;Times;Serif" w:hAnsi="Times New Roman;Times;Serif"/>
                <w:b w:val="false"/>
                <w:i w:val="false"/>
                <w:caps w:val="false"/>
                <w:smallCaps w:val="false"/>
                <w:sz w:val="20"/>
              </w:rPr>
              <w:t>) and not subject to any transfer restrictions or rights of preemption (</w:t>
            </w:r>
            <w:r>
              <w:rPr>
                <w:rFonts w:ascii="Times New Roman;Times;Serif" w:hAnsi="Times New Roman;Times;Serif"/>
                <w:b w:val="false"/>
                <w:i/>
                <w:caps w:val="false"/>
                <w:smallCaps w:val="false"/>
                <w:sz w:val="20"/>
              </w:rPr>
              <w:t>Vorkaufsrecht</w:t>
            </w:r>
            <w:r>
              <w:rPr>
                <w:rFonts w:ascii="Times New Roman;Times;Serif" w:hAnsi="Times New Roman;Times;Serif"/>
                <w:b w:val="false"/>
                <w:i w:val="false"/>
                <w:caps w:val="false"/>
                <w:smallCaps w:val="false"/>
                <w:sz w:val="20"/>
              </w:rPr>
              <w:t>) under the Articles of Association or applicable provisions of German law except as set forth in the Registration Statement as of the date of such registration.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2"/>
        <w:gridCol w:w="10035"/>
      </w:tblGrid>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relevant decisions of the general meeting of the shareholders of the Company, the management board and the supervisory board of the Company and the publication of the subscription offer (</w:t>
            </w:r>
            <w:r>
              <w:rPr>
                <w:rFonts w:ascii="Times New Roman;Times;Serif" w:hAnsi="Times New Roman;Times;Serif"/>
                <w:b w:val="false"/>
                <w:i/>
                <w:caps w:val="false"/>
                <w:smallCaps w:val="false"/>
                <w:sz w:val="20"/>
              </w:rPr>
              <w:t>Bezugsangebot</w:t>
            </w:r>
            <w:r>
              <w:rPr>
                <w:rFonts w:ascii="Times New Roman;Times;Serif" w:hAnsi="Times New Roman;Times;Serif"/>
                <w:b w:val="false"/>
                <w:i w:val="false"/>
                <w:caps w:val="false"/>
                <w:smallCaps w:val="false"/>
                <w:sz w:val="20"/>
              </w:rPr>
              <w:t xml:space="preserve">), offering the shareholders a direct or indirect right of subscription for Future Shares at a subscription ratio and at the subscription price per Future Share as determined by the management board and the supervisory board of the Company and to be exercised during a subscription period as described therein (together the </w:t>
            </w:r>
            <w:r>
              <w:rPr>
                <w:rFonts w:ascii="Times New Roman;Times;Serif" w:hAnsi="Times New Roman;Times;Serif"/>
                <w:b/>
                <w:i w:val="false"/>
                <w:caps w:val="false"/>
                <w:smallCaps w:val="false"/>
                <w:sz w:val="20"/>
              </w:rPr>
              <w:t>Subscription Rights</w:t>
            </w:r>
            <w:r>
              <w:rPr>
                <w:rFonts w:ascii="Times New Roman;Times;Serif" w:hAnsi="Times New Roman;Times;Serif"/>
                <w:b w:val="false"/>
                <w:i w:val="false"/>
                <w:caps w:val="false"/>
                <w:smallCaps w:val="false"/>
                <w:sz w:val="20"/>
              </w:rPr>
              <w:t>), in the German Federal Gazette (</w:t>
            </w:r>
            <w:r>
              <w:rPr>
                <w:rFonts w:ascii="Times New Roman;Times;Serif" w:hAnsi="Times New Roman;Times;Serif"/>
                <w:b w:val="false"/>
                <w:i/>
                <w:caps w:val="false"/>
                <w:smallCaps w:val="false"/>
                <w:sz w:val="20"/>
              </w:rPr>
              <w:t>Bundesanzeiger</w:t>
            </w:r>
            <w:r>
              <w:rPr>
                <w:rFonts w:ascii="Times New Roman;Times;Serif" w:hAnsi="Times New Roman;Times;Serif"/>
                <w:b w:val="false"/>
                <w:i w:val="false"/>
                <w:caps w:val="false"/>
                <w:smallCaps w:val="false"/>
                <w:sz w:val="20"/>
              </w:rPr>
              <w:t>), the Subscription Rights will validly accrue to the relevant shareholders.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set forth under the heading “Taxation—German Taxation” in the Registration Statement, insofar as such statements discuss the material German tax consequences for a U.S. holder of acquiring, owning and disposing of the ADSs and receiving, owning and disposing of the subscription rights relating to the ADSs, represent our opinion with respect to the matters referred to therein.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opinions are subject to the following qualifications: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Pursuant to Sections 57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and 71a of the German Stock Corporation Act (</w:t>
      </w:r>
      <w:r>
        <w:rPr>
          <w:rFonts w:ascii="Times New Roman;Times;Serif" w:hAnsi="Times New Roman;Times;Serif"/>
          <w:b w:val="false"/>
          <w:i/>
          <w:caps w:val="false"/>
          <w:smallCaps w:val="false"/>
          <w:sz w:val="20"/>
        </w:rPr>
        <w:t>Aktiengesetz</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AktG</w:t>
      </w:r>
      <w:r>
        <w:rPr>
          <w:rFonts w:ascii="Times New Roman;Times;Serif" w:hAnsi="Times New Roman;Times;Serif"/>
          <w:b w:val="false"/>
          <w:i w:val="false"/>
          <w:caps w:val="false"/>
          <w:smallCaps w:val="false"/>
          <w:sz w:val="20"/>
        </w:rPr>
        <w:t>), except for dividends or unless explicitly permitted under the AktG, no payments, other distributions, financing arrangements, financial support, or other services of any kind may be made, directly or indirectly, by a stock corporation (</w:t>
      </w:r>
      <w:r>
        <w:rPr>
          <w:rFonts w:ascii="Times New Roman;Times;Serif" w:hAnsi="Times New Roman;Times;Serif"/>
          <w:b w:val="false"/>
          <w:i/>
          <w:caps w:val="false"/>
          <w:smallCaps w:val="false"/>
          <w:sz w:val="20"/>
        </w:rPr>
        <w:t>Aktiengesellschaft</w:t>
      </w:r>
      <w:r>
        <w:rPr>
          <w:rFonts w:ascii="Times New Roman;Times;Serif" w:hAnsi="Times New Roman;Times;Serif"/>
          <w:b w:val="false"/>
          <w:i w:val="false"/>
          <w:caps w:val="false"/>
          <w:smallCaps w:val="false"/>
          <w:sz w:val="20"/>
        </w:rPr>
        <w:t>) to current or future shareholders in their capacity as such.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We have not verified, do not opine upon, and do not assume any responsibility for the accuracy, completeness, or reasonableness of any statement contained in the Registration Statement (including in documents incorporated into the Registration Statement by reference) or any documents with respect to the Future Shares, the Subscription Rights, or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This opinion speaks as of its date and is confined to, and is given on the basis of, the laws of Germany as they exist at the date hereof; it is governed by the laws of Germany. We do not assume any obligation to update this opinion letter or to inform you of any changes to facts or laws. Please note that such changes may have retrospective or retroactive effect. We are expressing no opinion as to the effect of the laws of any other jurisdiction than the laws of Germany.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This opinion letter is addressed to and solely for the benefit of the Company and is not intended to create third party rights pursuant to Section 328 of the German Civil Code </w:t>
      </w:r>
      <w:r>
        <w:rPr>
          <w:rFonts w:ascii="Times New Roman;Times;Serif" w:hAnsi="Times New Roman;Times;Serif"/>
          <w:b w:val="false"/>
          <w:i/>
          <w:caps w:val="false"/>
          <w:smallCaps w:val="false"/>
          <w:sz w:val="20"/>
        </w:rPr>
        <w:t xml:space="preserve">(Bürgerliches Gesetzbuch) (Vertrag zugunsten Dritter) </w:t>
      </w:r>
      <w:r>
        <w:rPr>
          <w:rFonts w:ascii="Times New Roman;Times;Serif" w:hAnsi="Times New Roman;Times;Serif"/>
          <w:b w:val="false"/>
          <w:i w:val="false"/>
          <w:caps w:val="false"/>
          <w:smallCaps w:val="false"/>
          <w:sz w:val="20"/>
        </w:rPr>
        <w:t>or rights for all benefit of third parties (</w:t>
      </w:r>
      <w:r>
        <w:rPr>
          <w:rFonts w:ascii="Times New Roman;Times;Serif" w:hAnsi="Times New Roman;Times;Serif"/>
          <w:b w:val="false"/>
          <w:i/>
          <w:caps w:val="false"/>
          <w:smallCaps w:val="false"/>
          <w:sz w:val="20"/>
        </w:rPr>
        <w:t>Vertrag mit Schutzwirkung zugunsten Dritter</w:t>
      </w:r>
      <w:r>
        <w:rPr>
          <w:rFonts w:ascii="Times New Roman;Times;Serif" w:hAnsi="Times New Roman;Times;Serif"/>
          <w:b w:val="false"/>
          <w:i w:val="false"/>
          <w:caps w:val="false"/>
          <w:smallCaps w:val="false"/>
          <w:sz w:val="20"/>
        </w:rPr>
        <w:t>) and, except with our prior written consent, is not to be transmitted or disclosed to or used or relied upon by any other person, provided, however, that it may be relied upon by persons entitled to rely on it pursuant to applicable provisions of U.S. federal securities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This opinion expresses and describes German legal concepts in English and not in their original language and form. Therefore, it cannot be ruled out that due to differences of legal systems some words or phrases may have different connotations than the German words or phrases would have. Where English terms and expressions are used, the meaning to be attributed to such terms and expressions shall be the meaning to be attributed to the equivalent German concepts under German law. Where we have included the relevant German expressions these shall prevail over their English translation.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We hereby consent to the filing of this opinion as an exhibit to the Registration Statement and to the references to us under the heading “Legal Matters” in the prospectus. In giving such consent, we do not admit that we are in the category of persons whose consent is required under Section 7 of the Securities Act.</w:t>
      </w:r>
    </w:p>
    <w:p>
      <w:pPr>
        <w:pStyle w:val="TextBody"/>
        <w:bidi w:val="0"/>
        <w:spacing w:before="0" w:after="0"/>
        <w:ind w:left="0" w:right="0" w:firstLine="720"/>
        <w:jc w:val="both"/>
        <w:rPr>
          <w:caps w:val="false"/>
          <w:smallCaps w:val="false"/>
        </w:rPr>
      </w:pPr>
      <w:r>
        <w:rPr>
          <w:caps w:val="false"/>
          <w:smallCaps w:val="false"/>
        </w:rPr>
        <w:t> </w:t>
      </w:r>
    </w:p>
    <w:tbl>
      <w:tblPr>
        <w:tblW w:w="2900" w:type="dxa"/>
        <w:jc w:val="left"/>
        <w:tblInd w:w="0" w:type="dxa"/>
        <w:tblLayout w:type="fixed"/>
        <w:tblCellMar>
          <w:top w:w="0" w:type="dxa"/>
          <w:left w:w="0" w:type="dxa"/>
          <w:bottom w:w="0" w:type="dxa"/>
          <w:right w:w="0" w:type="dxa"/>
        </w:tblCellMar>
      </w:tblPr>
      <w:tblGrid>
        <w:gridCol w:w="75"/>
        <w:gridCol w:w="2825"/>
      </w:tblGrid>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/s/ Sullivan &amp; Cromwell LLP</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Sullivan &amp; Cromwell LLP</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p>
      <w:pPr>
        <w:pStyle w:val="TextBody"/>
        <w:bidi w:val="0"/>
        <w:ind w:left="0" w:right="0" w:firstLine="720"/>
        <w:jc w:val="left"/>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5" w:name="ff32023ex8-1_mynaricag.htm"/>
      <w:bookmarkStart w:id="26" w:name="ksff32023ex81_mynaricag"/>
      <w:bookmarkEnd w:id="25"/>
      <w:bookmarkEnd w:id="26"/>
      <w:r>
        <w:rPr>
          <w:rFonts w:ascii="Times New Roman;Times;Serif" w:hAnsi="Times New Roman;Times;Serif"/>
          <w:b/>
          <w:i w:val="false"/>
          <w:caps w:val="false"/>
          <w:smallCaps w:val="false"/>
          <w:sz w:val="20"/>
        </w:rPr>
        <w:t>Exhibit 8.1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[Letterhead of Sullivan &amp; Cromwell LLP]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29, 2023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Mynaric AG,</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Dornierstraße 19,</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82205 Gilching, Germany.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your tax counsel in connection with the registration statement on Form F-3 (the “Registration Statement”) filed with the Securities and Exchange Commission (the “SEC”) on the date hereof.</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confirm to you that, insofar as it relates to matters of United States federal income tax law, the discussion under the caption “U.S. Taxation” in the prospectus included in the Registration Statement, subject to the qualifications, exceptions, assumptions and limitations contained herein and therein, is our opinion.</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with the SEC as Exhibit 8 to the Registration Statement. In giving this consent, we do not hereby admit that we are included in the category of persons whose consent is required under Section 7 of the Securities Act of 1933, as amended, or the rules and regulations of the SEC thereunder.</w:t>
      </w:r>
    </w:p>
    <w:p>
      <w:pPr>
        <w:pStyle w:val="TextBody"/>
        <w:bidi w:val="0"/>
        <w:spacing w:before="0" w:after="0"/>
        <w:ind w:left="0" w:right="0" w:firstLine="900"/>
        <w:jc w:val="both"/>
        <w:rPr>
          <w:caps w:val="false"/>
          <w:smallCaps w:val="false"/>
        </w:rPr>
      </w:pPr>
      <w:r>
        <w:rPr>
          <w:caps w:val="false"/>
          <w:smallCaps w:val="false"/>
        </w:rPr>
        <w:t> </w:t>
      </w:r>
    </w:p>
    <w:tbl>
      <w:tblPr>
        <w:tblW w:w="2465" w:type="dxa"/>
        <w:jc w:val="left"/>
        <w:tblInd w:w="0" w:type="dxa"/>
        <w:tblLayout w:type="fixed"/>
        <w:tblCellMar>
          <w:top w:w="0" w:type="dxa"/>
          <w:left w:w="0" w:type="dxa"/>
          <w:bottom w:w="0" w:type="dxa"/>
          <w:right w:w="0" w:type="dxa"/>
        </w:tblCellMar>
      </w:tblPr>
      <w:tblGrid>
        <w:gridCol w:w="75"/>
        <w:gridCol w:w="2390"/>
      </w:tblGrid>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sz w:val="20"/>
              </w:rPr>
            </w:pPr>
            <w:r>
              <w:rPr>
                <w:sz w:val="20"/>
              </w:rPr>
              <w:t>Very truly yours,</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sz w:val="20"/>
              </w:rPr>
            </w:pPr>
            <w:r>
              <w:rPr>
                <w:sz w:val="20"/>
              </w:rPr>
              <w:t>/s/ Sullivan &amp; Cromwell LLP</w:t>
            </w:r>
          </w:p>
        </w:tc>
      </w:tr>
    </w:tbl>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ff32023ex10-6_mynaricag.htm"/>
      <w:bookmarkStart w:id="28" w:name="ksff32023ex106_mynaricag"/>
      <w:bookmarkEnd w:id="27"/>
      <w:bookmarkEnd w:id="28"/>
      <w:r>
        <w:rPr>
          <w:rFonts w:ascii="Times New Roman;Times;Serif" w:hAnsi="Times New Roman;Times;Serif"/>
          <w:b/>
          <w:i w:val="false"/>
          <w:caps w:val="false"/>
          <w:smallCaps w:val="false"/>
          <w:sz w:val="20"/>
        </w:rPr>
        <w:t>Exhibit 10.6</w:t>
      </w:r>
      <w:r>
        <w:br w:type="page"/>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285875" cy="1285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0"/>
                    <a:stretch>
                      <a:fillRect/>
                    </a:stretch>
                  </pic:blipFill>
                  <pic:spPr bwMode="auto">
                    <a:xfrm>
                      <a:off x="0" y="0"/>
                      <a:ext cx="1285875" cy="12858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Restricted Stock Unit Program 2022</w:t>
      </w:r>
    </w:p>
    <w:p>
      <w:pPr>
        <w:pStyle w:val="TextBody"/>
        <w:bidi w:val="0"/>
        <w:spacing w:before="0" w:after="0"/>
        <w:jc w:val="center"/>
        <w:rPr>
          <w:smallCaps/>
        </w:rPr>
      </w:pPr>
      <w:r>
        <w:rPr>
          <w:smallCaps/>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Terms and Conditions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w:t>
      </w:r>
    </w:p>
    <w:p>
      <w:pPr>
        <w:pStyle w:val="TextBody"/>
        <w:bidi w:val="0"/>
        <w:spacing w:before="0" w:after="0"/>
        <w:ind w:left="851" w:right="567" w:hanging="851"/>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1940"/>
        <w:gridCol w:w="140"/>
      </w:tblGrid>
      <w:tr>
        <w:trPr/>
        <w:tc>
          <w:tcPr>
            <w:tcW w:w="19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TABLE OF CONTENT </w:t>
            </w:r>
          </w:p>
        </w:tc>
        <w:tc>
          <w:tcPr>
            <w:tcW w:w="1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19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  </w:t>
            </w:r>
          </w:p>
        </w:tc>
        <w:tc>
          <w:tcPr>
            <w:tcW w:w="1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19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c>
          <w:tcPr>
            <w:tcW w:w="1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bl>
    <w:tbl>
      <w:tblPr>
        <w:tblW w:w="10205" w:type="dxa"/>
        <w:jc w:val="left"/>
        <w:tblInd w:w="0" w:type="dxa"/>
        <w:tblLayout w:type="fixed"/>
        <w:tblCellMar>
          <w:top w:w="0" w:type="dxa"/>
          <w:left w:w="0" w:type="dxa"/>
          <w:bottom w:w="0" w:type="dxa"/>
          <w:right w:w="0" w:type="dxa"/>
        </w:tblCellMar>
      </w:tblPr>
      <w:tblGrid>
        <w:gridCol w:w="140"/>
        <w:gridCol w:w="227"/>
        <w:gridCol w:w="9592"/>
        <w:gridCol w:w="246"/>
      </w:tblGrid>
      <w:tr>
        <w:trPr/>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w:t>
            </w:r>
          </w:p>
        </w:tc>
        <w:tc>
          <w:tcPr>
            <w:tcW w:w="95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ELIGIBILITY</w:t>
            </w:r>
          </w:p>
        </w:tc>
        <w:tc>
          <w:tcPr>
            <w:tcW w:w="2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2</w:t>
            </w:r>
          </w:p>
        </w:tc>
        <w:tc>
          <w:tcPr>
            <w:tcW w:w="95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PLAN VOLUME AND GRANT OF RSUs</w:t>
            </w:r>
          </w:p>
        </w:tc>
        <w:tc>
          <w:tcPr>
            <w:tcW w:w="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3</w:t>
            </w:r>
          </w:p>
        </w:tc>
        <w:tc>
          <w:tcPr>
            <w:tcW w:w="95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VESTING</w:t>
            </w:r>
          </w:p>
        </w:tc>
        <w:tc>
          <w:tcPr>
            <w:tcW w:w="2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w:t>
            </w:r>
          </w:p>
        </w:tc>
        <w:tc>
          <w:tcPr>
            <w:tcW w:w="95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CONSEQUENCES OF A TERMINATION OF EMPLOYMENT</w:t>
            </w:r>
          </w:p>
        </w:tc>
        <w:tc>
          <w:tcPr>
            <w:tcW w:w="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5</w:t>
            </w:r>
          </w:p>
        </w:tc>
        <w:tc>
          <w:tcPr>
            <w:tcW w:w="95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PAYMENT CLAIM RESULTING FROM RSUs AND SETTLEMENT OF RSUs, CASHLESS EXERCISE OPTION</w:t>
            </w:r>
          </w:p>
        </w:tc>
        <w:tc>
          <w:tcPr>
            <w:tcW w:w="2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6</w:t>
            </w:r>
          </w:p>
        </w:tc>
        <w:tc>
          <w:tcPr>
            <w:tcW w:w="95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TRANSFERABILlTY</w:t>
            </w:r>
          </w:p>
        </w:tc>
        <w:tc>
          <w:tcPr>
            <w:tcW w:w="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7</w:t>
            </w:r>
          </w:p>
        </w:tc>
        <w:tc>
          <w:tcPr>
            <w:tcW w:w="95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 IN CASE OF SPECIFIC CAPITAL AND OTHER STRUCTURAL MEASURES</w:t>
            </w:r>
          </w:p>
        </w:tc>
        <w:tc>
          <w:tcPr>
            <w:tcW w:w="2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8</w:t>
            </w:r>
          </w:p>
        </w:tc>
        <w:tc>
          <w:tcPr>
            <w:tcW w:w="95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EXTRAORDINARY DEVELOPMENTS</w:t>
            </w:r>
          </w:p>
        </w:tc>
        <w:tc>
          <w:tcPr>
            <w:tcW w:w="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9</w:t>
            </w:r>
          </w:p>
        </w:tc>
        <w:tc>
          <w:tcPr>
            <w:tcW w:w="95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INSIDER TRADING AND NON-TRADING PERIODS</w:t>
            </w:r>
          </w:p>
        </w:tc>
        <w:tc>
          <w:tcPr>
            <w:tcW w:w="2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10</w:t>
            </w:r>
          </w:p>
        </w:tc>
        <w:tc>
          <w:tcPr>
            <w:tcW w:w="95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OF LIABILITY</w:t>
            </w:r>
          </w:p>
        </w:tc>
        <w:tc>
          <w:tcPr>
            <w:tcW w:w="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11</w:t>
            </w:r>
          </w:p>
        </w:tc>
        <w:tc>
          <w:tcPr>
            <w:tcW w:w="95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 SOCIAL SECURITY AND COSTS</w:t>
            </w:r>
          </w:p>
        </w:tc>
        <w:tc>
          <w:tcPr>
            <w:tcW w:w="2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12</w:t>
            </w:r>
          </w:p>
        </w:tc>
        <w:tc>
          <w:tcPr>
            <w:tcW w:w="95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REQUIREMENTS</w:t>
            </w:r>
          </w:p>
        </w:tc>
        <w:tc>
          <w:tcPr>
            <w:tcW w:w="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13</w:t>
            </w:r>
          </w:p>
        </w:tc>
        <w:tc>
          <w:tcPr>
            <w:tcW w:w="95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PROCESSING OF PERSONAL DATA</w:t>
            </w:r>
          </w:p>
        </w:tc>
        <w:tc>
          <w:tcPr>
            <w:tcW w:w="2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14</w:t>
            </w:r>
          </w:p>
        </w:tc>
        <w:tc>
          <w:tcPr>
            <w:tcW w:w="95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 AND JURISDICTION</w:t>
            </w:r>
          </w:p>
        </w:tc>
        <w:tc>
          <w:tcPr>
            <w:tcW w:w="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7"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15</w:t>
            </w:r>
          </w:p>
        </w:tc>
        <w:tc>
          <w:tcPr>
            <w:tcW w:w="95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FINAL PROVISIONS</w:t>
            </w:r>
          </w:p>
        </w:tc>
        <w:tc>
          <w:tcPr>
            <w:tcW w:w="2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bl>
    <w:p>
      <w:pPr>
        <w:pStyle w:val="TextBody"/>
        <w:bidi w:val="0"/>
        <w:spacing w:before="0" w:after="0"/>
        <w:ind w:left="851" w:right="567" w:hanging="851"/>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851" w:right="567" w:hanging="851"/>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DEFINITIONS</w:t>
      </w:r>
    </w:p>
    <w:p>
      <w:pPr>
        <w:pStyle w:val="TextBody"/>
        <w:bidi w:val="0"/>
        <w:spacing w:before="0" w:after="0"/>
        <w:ind w:left="0" w:right="0" w:hanging="0"/>
        <w:jc w:val="center"/>
        <w:rPr>
          <w:caps w:val="false"/>
          <w:smallCaps w:val="false"/>
        </w:rPr>
      </w:pPr>
      <w:r>
        <w:rPr>
          <w:caps w:val="false"/>
          <w:smallCaps w:val="false"/>
        </w:rPr>
        <w:t> </w:t>
      </w:r>
    </w:p>
    <w:tbl>
      <w:tblPr>
        <w:tblW w:w="6485" w:type="dxa"/>
        <w:jc w:val="left"/>
        <w:tblInd w:w="0" w:type="dxa"/>
        <w:tblLayout w:type="fixed"/>
        <w:tblCellMar>
          <w:top w:w="0" w:type="dxa"/>
          <w:left w:w="0" w:type="dxa"/>
          <w:bottom w:w="0" w:type="dxa"/>
          <w:right w:w="0" w:type="dxa"/>
        </w:tblCellMar>
      </w:tblPr>
      <w:tblGrid>
        <w:gridCol w:w="3185"/>
        <w:gridCol w:w="230"/>
        <w:gridCol w:w="60"/>
        <w:gridCol w:w="2765"/>
        <w:gridCol w:w="245"/>
      </w:tblGrid>
      <w:tr>
        <w:trPr/>
        <w:tc>
          <w:tcPr>
            <w:tcW w:w="3185" w:type="dxa"/>
            <w:tcBorders/>
            <w:shd w:fill="CCEEFF" w:val="clear"/>
            <w:vAlign w:val="center"/>
          </w:tcPr>
          <w:p>
            <w:pPr>
              <w:pStyle w:val="TableContents"/>
              <w:bidi w:val="0"/>
              <w:spacing w:before="0" w:after="283"/>
              <w:jc w:val="left"/>
              <w:rPr>
                <w:sz w:val="20"/>
              </w:rPr>
            </w:pPr>
            <w:r>
              <w:rPr>
                <w:sz w:val="20"/>
              </w:rPr>
              <w:t>Adjustment</w:t>
            </w:r>
          </w:p>
        </w:tc>
        <w:tc>
          <w:tcPr>
            <w:tcW w:w="230" w:type="dxa"/>
            <w:tcBorders/>
            <w:shd w:fill="CCEEFF" w:val="clear"/>
            <w:vAlign w:val="center"/>
          </w:tcPr>
          <w:p>
            <w:pPr>
              <w:pStyle w:val="TableContents"/>
              <w:bidi w:val="0"/>
              <w:spacing w:before="0" w:after="283"/>
              <w:jc w:val="right"/>
              <w:rPr>
                <w:sz w:val="20"/>
              </w:rPr>
            </w:pPr>
            <w:r>
              <w:rPr>
                <w:sz w:val="20"/>
              </w:rPr>
              <w:t>9</w:t>
            </w:r>
          </w:p>
        </w:tc>
        <w:tc>
          <w:tcPr>
            <w:tcW w:w="60" w:type="dxa"/>
            <w:tcBorders/>
            <w:shd w:fill="CCEEFF" w:val="clear"/>
            <w:vAlign w:val="center"/>
          </w:tcPr>
          <w:p>
            <w:pPr>
              <w:pStyle w:val="TableContents"/>
              <w:bidi w:val="0"/>
              <w:spacing w:before="0" w:after="283"/>
              <w:jc w:val="left"/>
              <w:rPr/>
            </w:pPr>
            <w:r>
              <w:rPr/>
              <w:t> </w:t>
            </w:r>
          </w:p>
        </w:tc>
        <w:tc>
          <w:tcPr>
            <w:tcW w:w="2765" w:type="dxa"/>
            <w:tcBorders/>
            <w:shd w:fill="CCEEFF" w:val="clear"/>
            <w:vAlign w:val="center"/>
          </w:tcPr>
          <w:p>
            <w:pPr>
              <w:pStyle w:val="TableContents"/>
              <w:bidi w:val="0"/>
              <w:spacing w:before="0" w:after="283"/>
              <w:jc w:val="left"/>
              <w:rPr>
                <w:sz w:val="20"/>
              </w:rPr>
            </w:pPr>
            <w:r>
              <w:rPr>
                <w:sz w:val="20"/>
              </w:rPr>
              <w:t>Insider Trading Rules</w:t>
            </w:r>
          </w:p>
        </w:tc>
        <w:tc>
          <w:tcPr>
            <w:tcW w:w="245" w:type="dxa"/>
            <w:tcBorders/>
            <w:shd w:fill="CCEEFF" w:val="clear"/>
            <w:vAlign w:val="center"/>
          </w:tcPr>
          <w:p>
            <w:pPr>
              <w:pStyle w:val="TableContents"/>
              <w:bidi w:val="0"/>
              <w:spacing w:before="0" w:after="283"/>
              <w:jc w:val="right"/>
              <w:rPr>
                <w:sz w:val="20"/>
              </w:rPr>
            </w:pPr>
            <w:r>
              <w:rPr>
                <w:sz w:val="20"/>
              </w:rPr>
              <w:t>15</w:t>
            </w:r>
          </w:p>
        </w:tc>
      </w:tr>
      <w:tr>
        <w:trPr/>
        <w:tc>
          <w:tcPr>
            <w:tcW w:w="3185" w:type="dxa"/>
            <w:tcBorders/>
            <w:shd w:fill="FFFFFF" w:val="clear"/>
            <w:vAlign w:val="center"/>
          </w:tcPr>
          <w:p>
            <w:pPr>
              <w:pStyle w:val="TableContents"/>
              <w:bidi w:val="0"/>
              <w:spacing w:before="0" w:after="283"/>
              <w:jc w:val="left"/>
              <w:rPr>
                <w:sz w:val="20"/>
              </w:rPr>
            </w:pPr>
            <w:r>
              <w:rPr>
                <w:sz w:val="20"/>
              </w:rPr>
              <w:t>Adjustment Event</w:t>
            </w:r>
          </w:p>
        </w:tc>
        <w:tc>
          <w:tcPr>
            <w:tcW w:w="230" w:type="dxa"/>
            <w:tcBorders/>
            <w:shd w:fill="FFFFFF" w:val="clear"/>
            <w:vAlign w:val="center"/>
          </w:tcPr>
          <w:p>
            <w:pPr>
              <w:pStyle w:val="TableContents"/>
              <w:bidi w:val="0"/>
              <w:spacing w:before="0" w:after="283"/>
              <w:jc w:val="right"/>
              <w:rPr>
                <w:sz w:val="20"/>
              </w:rPr>
            </w:pPr>
            <w:r>
              <w:rPr>
                <w:sz w:val="20"/>
              </w:rPr>
              <w:t>14</w:t>
            </w:r>
          </w:p>
        </w:tc>
        <w:tc>
          <w:tcPr>
            <w:tcW w:w="60" w:type="dxa"/>
            <w:tcBorders/>
            <w:shd w:fill="FFFFFF" w:val="clear"/>
            <w:vAlign w:val="center"/>
          </w:tcPr>
          <w:p>
            <w:pPr>
              <w:pStyle w:val="TableContents"/>
              <w:bidi w:val="0"/>
              <w:spacing w:before="0" w:after="283"/>
              <w:jc w:val="left"/>
              <w:rPr/>
            </w:pPr>
            <w:r>
              <w:rPr/>
              <w:t> </w:t>
            </w:r>
          </w:p>
        </w:tc>
        <w:tc>
          <w:tcPr>
            <w:tcW w:w="2765" w:type="dxa"/>
            <w:tcBorders/>
            <w:shd w:fill="FFFFFF" w:val="clear"/>
            <w:vAlign w:val="center"/>
          </w:tcPr>
          <w:p>
            <w:pPr>
              <w:pStyle w:val="TableContents"/>
              <w:bidi w:val="0"/>
              <w:spacing w:before="0" w:after="283"/>
              <w:jc w:val="left"/>
              <w:rPr>
                <w:sz w:val="20"/>
              </w:rPr>
            </w:pPr>
            <w:r>
              <w:rPr>
                <w:sz w:val="20"/>
              </w:rPr>
              <w:t>Managing Director</w:t>
            </w:r>
          </w:p>
        </w:tc>
        <w:tc>
          <w:tcPr>
            <w:tcW w:w="245" w:type="dxa"/>
            <w:tcBorders/>
            <w:shd w:fill="FFFFFF" w:val="clear"/>
            <w:vAlign w:val="center"/>
          </w:tcPr>
          <w:p>
            <w:pPr>
              <w:pStyle w:val="TableContents"/>
              <w:bidi w:val="0"/>
              <w:spacing w:before="0" w:after="283"/>
              <w:jc w:val="right"/>
              <w:rPr>
                <w:sz w:val="20"/>
              </w:rPr>
            </w:pPr>
            <w:r>
              <w:rPr>
                <w:sz w:val="20"/>
              </w:rPr>
              <w:t>5</w:t>
            </w:r>
          </w:p>
        </w:tc>
      </w:tr>
      <w:tr>
        <w:trPr/>
        <w:tc>
          <w:tcPr>
            <w:tcW w:w="3185" w:type="dxa"/>
            <w:tcBorders/>
            <w:shd w:fill="CCEEFF" w:val="clear"/>
            <w:vAlign w:val="center"/>
          </w:tcPr>
          <w:p>
            <w:pPr>
              <w:pStyle w:val="TableContents"/>
              <w:bidi w:val="0"/>
              <w:spacing w:before="0" w:after="283"/>
              <w:jc w:val="left"/>
              <w:rPr>
                <w:sz w:val="20"/>
              </w:rPr>
            </w:pPr>
            <w:r>
              <w:rPr>
                <w:sz w:val="20"/>
              </w:rPr>
              <w:t>ADS</w:t>
            </w:r>
          </w:p>
        </w:tc>
        <w:tc>
          <w:tcPr>
            <w:tcW w:w="230" w:type="dxa"/>
            <w:tcBorders/>
            <w:shd w:fill="CCEEFF" w:val="clear"/>
            <w:vAlign w:val="center"/>
          </w:tcPr>
          <w:p>
            <w:pPr>
              <w:pStyle w:val="TableContents"/>
              <w:bidi w:val="0"/>
              <w:spacing w:before="0" w:after="283"/>
              <w:jc w:val="right"/>
              <w:rPr>
                <w:sz w:val="20"/>
              </w:rPr>
            </w:pPr>
            <w:r>
              <w:rPr>
                <w:sz w:val="20"/>
              </w:rPr>
              <w:t>4</w:t>
            </w:r>
          </w:p>
        </w:tc>
        <w:tc>
          <w:tcPr>
            <w:tcW w:w="60" w:type="dxa"/>
            <w:tcBorders/>
            <w:shd w:fill="CCEEFF" w:val="clear"/>
            <w:vAlign w:val="center"/>
          </w:tcPr>
          <w:p>
            <w:pPr>
              <w:pStyle w:val="TableContents"/>
              <w:bidi w:val="0"/>
              <w:spacing w:before="0" w:after="283"/>
              <w:jc w:val="left"/>
              <w:rPr/>
            </w:pPr>
            <w:r>
              <w:rPr/>
              <w:t> </w:t>
            </w:r>
          </w:p>
        </w:tc>
        <w:tc>
          <w:tcPr>
            <w:tcW w:w="2765" w:type="dxa"/>
            <w:tcBorders/>
            <w:shd w:fill="CCEEFF" w:val="clear"/>
            <w:vAlign w:val="center"/>
          </w:tcPr>
          <w:p>
            <w:pPr>
              <w:pStyle w:val="TableContents"/>
              <w:bidi w:val="0"/>
              <w:spacing w:before="0" w:after="283"/>
              <w:jc w:val="left"/>
              <w:rPr>
                <w:sz w:val="20"/>
              </w:rPr>
            </w:pPr>
            <w:r>
              <w:rPr>
                <w:sz w:val="20"/>
              </w:rPr>
              <w:t>MAR</w:t>
            </w:r>
          </w:p>
        </w:tc>
        <w:tc>
          <w:tcPr>
            <w:tcW w:w="245" w:type="dxa"/>
            <w:tcBorders/>
            <w:shd w:fill="CCEEFF" w:val="clear"/>
            <w:vAlign w:val="center"/>
          </w:tcPr>
          <w:p>
            <w:pPr>
              <w:pStyle w:val="TableContents"/>
              <w:bidi w:val="0"/>
              <w:spacing w:before="0" w:after="283"/>
              <w:jc w:val="right"/>
              <w:rPr>
                <w:sz w:val="20"/>
              </w:rPr>
            </w:pPr>
            <w:r>
              <w:rPr>
                <w:sz w:val="20"/>
              </w:rPr>
              <w:t>6</w:t>
            </w:r>
          </w:p>
        </w:tc>
      </w:tr>
      <w:tr>
        <w:trPr/>
        <w:tc>
          <w:tcPr>
            <w:tcW w:w="3185" w:type="dxa"/>
            <w:tcBorders/>
            <w:shd w:fill="FFFFFF" w:val="clear"/>
            <w:vAlign w:val="center"/>
          </w:tcPr>
          <w:p>
            <w:pPr>
              <w:pStyle w:val="TableContents"/>
              <w:bidi w:val="0"/>
              <w:spacing w:before="0" w:after="283"/>
              <w:jc w:val="left"/>
              <w:rPr>
                <w:sz w:val="20"/>
              </w:rPr>
            </w:pPr>
            <w:r>
              <w:rPr>
                <w:sz w:val="20"/>
              </w:rPr>
              <w:t>ADSs</w:t>
            </w:r>
          </w:p>
        </w:tc>
        <w:tc>
          <w:tcPr>
            <w:tcW w:w="230" w:type="dxa"/>
            <w:tcBorders/>
            <w:shd w:fill="FFFFFF" w:val="clear"/>
            <w:vAlign w:val="center"/>
          </w:tcPr>
          <w:p>
            <w:pPr>
              <w:pStyle w:val="TableContents"/>
              <w:bidi w:val="0"/>
              <w:spacing w:before="0" w:after="283"/>
              <w:jc w:val="right"/>
              <w:rPr>
                <w:sz w:val="20"/>
              </w:rPr>
            </w:pPr>
            <w:r>
              <w:rPr>
                <w:sz w:val="20"/>
              </w:rPr>
              <w:t>4</w:t>
            </w:r>
          </w:p>
        </w:tc>
        <w:tc>
          <w:tcPr>
            <w:tcW w:w="60" w:type="dxa"/>
            <w:tcBorders/>
            <w:shd w:fill="FFFFFF" w:val="clear"/>
            <w:vAlign w:val="center"/>
          </w:tcPr>
          <w:p>
            <w:pPr>
              <w:pStyle w:val="TableContents"/>
              <w:bidi w:val="0"/>
              <w:spacing w:before="0" w:after="283"/>
              <w:jc w:val="left"/>
              <w:rPr/>
            </w:pPr>
            <w:r>
              <w:rPr/>
              <w:t> </w:t>
            </w:r>
          </w:p>
        </w:tc>
        <w:tc>
          <w:tcPr>
            <w:tcW w:w="2765" w:type="dxa"/>
            <w:tcBorders/>
            <w:shd w:fill="FFFFFF" w:val="clear"/>
            <w:vAlign w:val="center"/>
          </w:tcPr>
          <w:p>
            <w:pPr>
              <w:pStyle w:val="TableContents"/>
              <w:bidi w:val="0"/>
              <w:spacing w:before="0" w:after="283"/>
              <w:jc w:val="left"/>
              <w:rPr>
                <w:sz w:val="20"/>
              </w:rPr>
            </w:pPr>
            <w:r>
              <w:rPr>
                <w:sz w:val="20"/>
              </w:rPr>
              <w:t>Mynaric</w:t>
            </w:r>
          </w:p>
        </w:tc>
        <w:tc>
          <w:tcPr>
            <w:tcW w:w="245" w:type="dxa"/>
            <w:tcBorders/>
            <w:shd w:fill="FFFFFF" w:val="clear"/>
            <w:vAlign w:val="center"/>
          </w:tcPr>
          <w:p>
            <w:pPr>
              <w:pStyle w:val="TableContents"/>
              <w:bidi w:val="0"/>
              <w:spacing w:before="0" w:after="283"/>
              <w:jc w:val="right"/>
              <w:rPr>
                <w:sz w:val="20"/>
              </w:rPr>
            </w:pPr>
            <w:r>
              <w:rPr>
                <w:sz w:val="20"/>
              </w:rPr>
              <w:t>4</w:t>
            </w:r>
          </w:p>
        </w:tc>
      </w:tr>
      <w:tr>
        <w:trPr/>
        <w:tc>
          <w:tcPr>
            <w:tcW w:w="3185" w:type="dxa"/>
            <w:tcBorders/>
            <w:shd w:fill="CCEEFF" w:val="clear"/>
            <w:vAlign w:val="center"/>
          </w:tcPr>
          <w:p>
            <w:pPr>
              <w:pStyle w:val="TableContents"/>
              <w:bidi w:val="0"/>
              <w:spacing w:before="0" w:after="283"/>
              <w:jc w:val="left"/>
              <w:rPr>
                <w:sz w:val="20"/>
              </w:rPr>
            </w:pPr>
            <w:r>
              <w:rPr>
                <w:sz w:val="20"/>
              </w:rPr>
              <w:t>Affiliated Companies</w:t>
            </w:r>
          </w:p>
        </w:tc>
        <w:tc>
          <w:tcPr>
            <w:tcW w:w="230" w:type="dxa"/>
            <w:tcBorders/>
            <w:shd w:fill="CCEEFF" w:val="clear"/>
            <w:vAlign w:val="center"/>
          </w:tcPr>
          <w:p>
            <w:pPr>
              <w:pStyle w:val="TableContents"/>
              <w:bidi w:val="0"/>
              <w:spacing w:before="0" w:after="283"/>
              <w:jc w:val="right"/>
              <w:rPr>
                <w:sz w:val="20"/>
              </w:rPr>
            </w:pPr>
            <w:r>
              <w:rPr>
                <w:sz w:val="20"/>
              </w:rPr>
              <w:t>5</w:t>
            </w:r>
          </w:p>
        </w:tc>
        <w:tc>
          <w:tcPr>
            <w:tcW w:w="60" w:type="dxa"/>
            <w:tcBorders/>
            <w:shd w:fill="CCEEFF" w:val="clear"/>
            <w:vAlign w:val="center"/>
          </w:tcPr>
          <w:p>
            <w:pPr>
              <w:pStyle w:val="TableContents"/>
              <w:bidi w:val="0"/>
              <w:spacing w:before="0" w:after="283"/>
              <w:jc w:val="left"/>
              <w:rPr/>
            </w:pPr>
            <w:r>
              <w:rPr/>
              <w:t> </w:t>
            </w:r>
          </w:p>
        </w:tc>
        <w:tc>
          <w:tcPr>
            <w:tcW w:w="2765" w:type="dxa"/>
            <w:tcBorders/>
            <w:shd w:fill="CCEEFF" w:val="clear"/>
            <w:vAlign w:val="center"/>
          </w:tcPr>
          <w:p>
            <w:pPr>
              <w:pStyle w:val="TableContents"/>
              <w:bidi w:val="0"/>
              <w:spacing w:before="0" w:after="283"/>
              <w:jc w:val="left"/>
              <w:rPr>
                <w:sz w:val="20"/>
              </w:rPr>
            </w:pPr>
            <w:r>
              <w:rPr>
                <w:sz w:val="20"/>
              </w:rPr>
              <w:t>Non-Trading Periods</w:t>
            </w:r>
          </w:p>
        </w:tc>
        <w:tc>
          <w:tcPr>
            <w:tcW w:w="245" w:type="dxa"/>
            <w:tcBorders/>
            <w:shd w:fill="CCEEFF" w:val="clear"/>
            <w:vAlign w:val="center"/>
          </w:tcPr>
          <w:p>
            <w:pPr>
              <w:pStyle w:val="TableContents"/>
              <w:bidi w:val="0"/>
              <w:spacing w:before="0" w:after="283"/>
              <w:jc w:val="right"/>
              <w:rPr>
                <w:sz w:val="20"/>
              </w:rPr>
            </w:pPr>
            <w:r>
              <w:rPr>
                <w:sz w:val="20"/>
              </w:rPr>
              <w:t>16</w:t>
            </w:r>
          </w:p>
        </w:tc>
      </w:tr>
      <w:tr>
        <w:trPr/>
        <w:tc>
          <w:tcPr>
            <w:tcW w:w="3185" w:type="dxa"/>
            <w:tcBorders/>
            <w:shd w:fill="FFFFFF" w:val="clear"/>
            <w:vAlign w:val="center"/>
          </w:tcPr>
          <w:p>
            <w:pPr>
              <w:pStyle w:val="TableContents"/>
              <w:bidi w:val="0"/>
              <w:spacing w:before="0" w:after="283"/>
              <w:jc w:val="left"/>
              <w:rPr>
                <w:sz w:val="20"/>
              </w:rPr>
            </w:pPr>
            <w:r>
              <w:rPr>
                <w:sz w:val="20"/>
              </w:rPr>
              <w:t>Affiliated Companies’ Employees</w:t>
            </w:r>
          </w:p>
        </w:tc>
        <w:tc>
          <w:tcPr>
            <w:tcW w:w="230" w:type="dxa"/>
            <w:tcBorders/>
            <w:shd w:fill="FFFFFF" w:val="clear"/>
            <w:vAlign w:val="center"/>
          </w:tcPr>
          <w:p>
            <w:pPr>
              <w:pStyle w:val="TableContents"/>
              <w:bidi w:val="0"/>
              <w:spacing w:before="0" w:after="283"/>
              <w:jc w:val="right"/>
              <w:rPr>
                <w:sz w:val="20"/>
              </w:rPr>
            </w:pPr>
            <w:r>
              <w:rPr>
                <w:sz w:val="20"/>
              </w:rPr>
              <w:t>5</w:t>
            </w:r>
          </w:p>
        </w:tc>
        <w:tc>
          <w:tcPr>
            <w:tcW w:w="60" w:type="dxa"/>
            <w:tcBorders/>
            <w:shd w:fill="FFFFFF" w:val="clear"/>
            <w:vAlign w:val="center"/>
          </w:tcPr>
          <w:p>
            <w:pPr>
              <w:pStyle w:val="TableContents"/>
              <w:bidi w:val="0"/>
              <w:spacing w:before="0" w:after="283"/>
              <w:jc w:val="left"/>
              <w:rPr/>
            </w:pPr>
            <w:r>
              <w:rPr/>
              <w:t> </w:t>
            </w:r>
          </w:p>
        </w:tc>
        <w:tc>
          <w:tcPr>
            <w:tcW w:w="2765" w:type="dxa"/>
            <w:tcBorders/>
            <w:shd w:fill="FFFFFF" w:val="clear"/>
            <w:vAlign w:val="center"/>
          </w:tcPr>
          <w:p>
            <w:pPr>
              <w:pStyle w:val="TableContents"/>
              <w:bidi w:val="0"/>
              <w:spacing w:before="0" w:after="283"/>
              <w:jc w:val="left"/>
              <w:rPr>
                <w:sz w:val="20"/>
              </w:rPr>
            </w:pPr>
            <w:r>
              <w:rPr>
                <w:sz w:val="20"/>
              </w:rPr>
              <w:t>Notices</w:t>
            </w:r>
          </w:p>
        </w:tc>
        <w:tc>
          <w:tcPr>
            <w:tcW w:w="245" w:type="dxa"/>
            <w:tcBorders/>
            <w:shd w:fill="FFFFFF" w:val="clear"/>
            <w:vAlign w:val="center"/>
          </w:tcPr>
          <w:p>
            <w:pPr>
              <w:pStyle w:val="TableContents"/>
              <w:bidi w:val="0"/>
              <w:spacing w:before="0" w:after="283"/>
              <w:jc w:val="right"/>
              <w:rPr>
                <w:sz w:val="20"/>
              </w:rPr>
            </w:pPr>
            <w:r>
              <w:rPr>
                <w:sz w:val="20"/>
              </w:rPr>
              <w:t>18</w:t>
            </w:r>
          </w:p>
        </w:tc>
      </w:tr>
      <w:tr>
        <w:trPr/>
        <w:tc>
          <w:tcPr>
            <w:tcW w:w="3185" w:type="dxa"/>
            <w:tcBorders/>
            <w:shd w:fill="CCEEFF" w:val="clear"/>
            <w:vAlign w:val="center"/>
          </w:tcPr>
          <w:p>
            <w:pPr>
              <w:pStyle w:val="TableContents"/>
              <w:bidi w:val="0"/>
              <w:spacing w:before="0" w:after="283"/>
              <w:jc w:val="left"/>
              <w:rPr>
                <w:sz w:val="20"/>
              </w:rPr>
            </w:pPr>
            <w:r>
              <w:rPr>
                <w:sz w:val="20"/>
              </w:rPr>
              <w:t>AktG</w:t>
            </w:r>
          </w:p>
        </w:tc>
        <w:tc>
          <w:tcPr>
            <w:tcW w:w="230" w:type="dxa"/>
            <w:tcBorders/>
            <w:shd w:fill="CCEEFF" w:val="clear"/>
            <w:vAlign w:val="center"/>
          </w:tcPr>
          <w:p>
            <w:pPr>
              <w:pStyle w:val="TableContents"/>
              <w:bidi w:val="0"/>
              <w:spacing w:before="0" w:after="283"/>
              <w:jc w:val="right"/>
              <w:rPr>
                <w:sz w:val="20"/>
              </w:rPr>
            </w:pPr>
            <w:r>
              <w:rPr>
                <w:sz w:val="20"/>
              </w:rPr>
              <w:t>5</w:t>
            </w:r>
          </w:p>
        </w:tc>
        <w:tc>
          <w:tcPr>
            <w:tcW w:w="60" w:type="dxa"/>
            <w:tcBorders/>
            <w:shd w:fill="CCEEFF" w:val="clear"/>
            <w:vAlign w:val="center"/>
          </w:tcPr>
          <w:p>
            <w:pPr>
              <w:pStyle w:val="TableContents"/>
              <w:bidi w:val="0"/>
              <w:spacing w:before="0" w:after="283"/>
              <w:jc w:val="left"/>
              <w:rPr/>
            </w:pPr>
            <w:r>
              <w:rPr/>
              <w:t> </w:t>
            </w:r>
          </w:p>
        </w:tc>
        <w:tc>
          <w:tcPr>
            <w:tcW w:w="2765" w:type="dxa"/>
            <w:tcBorders/>
            <w:shd w:fill="CCEEFF" w:val="clear"/>
            <w:vAlign w:val="center"/>
          </w:tcPr>
          <w:p>
            <w:pPr>
              <w:pStyle w:val="TableContents"/>
              <w:bidi w:val="0"/>
              <w:spacing w:before="0" w:after="283"/>
              <w:jc w:val="left"/>
              <w:rPr>
                <w:sz w:val="20"/>
              </w:rPr>
            </w:pPr>
            <w:r>
              <w:rPr>
                <w:sz w:val="20"/>
              </w:rPr>
              <w:t>Primary Stock Exchange</w:t>
            </w:r>
          </w:p>
        </w:tc>
        <w:tc>
          <w:tcPr>
            <w:tcW w:w="245" w:type="dxa"/>
            <w:tcBorders/>
            <w:shd w:fill="CCEEFF" w:val="clear"/>
            <w:vAlign w:val="center"/>
          </w:tcPr>
          <w:p>
            <w:pPr>
              <w:pStyle w:val="TableContents"/>
              <w:bidi w:val="0"/>
              <w:spacing w:before="0" w:after="283"/>
              <w:jc w:val="right"/>
              <w:rPr/>
            </w:pPr>
            <w:r>
              <w:rPr/>
              <w:t>5</w:t>
            </w:r>
          </w:p>
        </w:tc>
      </w:tr>
      <w:tr>
        <w:trPr/>
        <w:tc>
          <w:tcPr>
            <w:tcW w:w="3185" w:type="dxa"/>
            <w:tcBorders/>
            <w:shd w:fill="FFFFFF" w:val="clear"/>
            <w:vAlign w:val="center"/>
          </w:tcPr>
          <w:p>
            <w:pPr>
              <w:pStyle w:val="TableContents"/>
              <w:bidi w:val="0"/>
              <w:spacing w:before="0" w:after="283"/>
              <w:jc w:val="left"/>
              <w:rPr>
                <w:sz w:val="20"/>
              </w:rPr>
            </w:pPr>
            <w:r>
              <w:rPr>
                <w:sz w:val="20"/>
              </w:rPr>
              <w:t>Authorized Capital 2022/II</w:t>
            </w:r>
          </w:p>
        </w:tc>
        <w:tc>
          <w:tcPr>
            <w:tcW w:w="230" w:type="dxa"/>
            <w:tcBorders/>
            <w:shd w:fill="FFFFFF" w:val="clear"/>
            <w:vAlign w:val="center"/>
          </w:tcPr>
          <w:p>
            <w:pPr>
              <w:pStyle w:val="TableContents"/>
              <w:bidi w:val="0"/>
              <w:spacing w:before="0" w:after="283"/>
              <w:jc w:val="right"/>
              <w:rPr>
                <w:sz w:val="20"/>
              </w:rPr>
            </w:pPr>
            <w:r>
              <w:rPr>
                <w:sz w:val="20"/>
              </w:rPr>
              <w:t>4</w:t>
            </w:r>
          </w:p>
        </w:tc>
        <w:tc>
          <w:tcPr>
            <w:tcW w:w="60" w:type="dxa"/>
            <w:tcBorders/>
            <w:shd w:fill="FFFFFF" w:val="clear"/>
            <w:vAlign w:val="center"/>
          </w:tcPr>
          <w:p>
            <w:pPr>
              <w:pStyle w:val="TableContents"/>
              <w:bidi w:val="0"/>
              <w:spacing w:before="0" w:after="283"/>
              <w:jc w:val="left"/>
              <w:rPr/>
            </w:pPr>
            <w:r>
              <w:rPr/>
              <w:t> </w:t>
            </w:r>
          </w:p>
        </w:tc>
        <w:tc>
          <w:tcPr>
            <w:tcW w:w="2765" w:type="dxa"/>
            <w:tcBorders/>
            <w:shd w:fill="FFFFFF" w:val="clear"/>
            <w:vAlign w:val="center"/>
          </w:tcPr>
          <w:p>
            <w:pPr>
              <w:pStyle w:val="TableContents"/>
              <w:bidi w:val="0"/>
              <w:spacing w:before="0" w:after="283"/>
              <w:jc w:val="left"/>
              <w:rPr>
                <w:sz w:val="20"/>
              </w:rPr>
            </w:pPr>
            <w:r>
              <w:rPr>
                <w:sz w:val="20"/>
              </w:rPr>
              <w:t>Relevant Closing Price</w:t>
            </w:r>
          </w:p>
        </w:tc>
        <w:tc>
          <w:tcPr>
            <w:tcW w:w="245" w:type="dxa"/>
            <w:tcBorders/>
            <w:shd w:fill="FFFFFF" w:val="clear"/>
            <w:vAlign w:val="center"/>
          </w:tcPr>
          <w:p>
            <w:pPr>
              <w:pStyle w:val="TableContents"/>
              <w:bidi w:val="0"/>
              <w:spacing w:before="0" w:after="283"/>
              <w:jc w:val="right"/>
              <w:rPr>
                <w:sz w:val="20"/>
              </w:rPr>
            </w:pPr>
            <w:r>
              <w:rPr>
                <w:sz w:val="20"/>
              </w:rPr>
              <w:t>5</w:t>
            </w:r>
          </w:p>
        </w:tc>
      </w:tr>
      <w:tr>
        <w:trPr/>
        <w:tc>
          <w:tcPr>
            <w:tcW w:w="3185" w:type="dxa"/>
            <w:tcBorders/>
            <w:shd w:fill="CCEEFF" w:val="clear"/>
            <w:vAlign w:val="center"/>
          </w:tcPr>
          <w:p>
            <w:pPr>
              <w:pStyle w:val="TableContents"/>
              <w:bidi w:val="0"/>
              <w:spacing w:before="0" w:after="283"/>
              <w:jc w:val="left"/>
              <w:rPr>
                <w:sz w:val="20"/>
              </w:rPr>
            </w:pPr>
            <w:r>
              <w:rPr>
                <w:sz w:val="20"/>
              </w:rPr>
              <w:t>Beneficiaries</w:t>
            </w:r>
          </w:p>
        </w:tc>
        <w:tc>
          <w:tcPr>
            <w:tcW w:w="230" w:type="dxa"/>
            <w:tcBorders/>
            <w:shd w:fill="CCEEFF" w:val="clear"/>
            <w:vAlign w:val="center"/>
          </w:tcPr>
          <w:p>
            <w:pPr>
              <w:pStyle w:val="TableContents"/>
              <w:bidi w:val="0"/>
              <w:spacing w:before="0" w:after="283"/>
              <w:jc w:val="right"/>
              <w:rPr>
                <w:sz w:val="20"/>
              </w:rPr>
            </w:pPr>
            <w:r>
              <w:rPr>
                <w:sz w:val="20"/>
              </w:rPr>
              <w:t>5</w:t>
            </w:r>
          </w:p>
        </w:tc>
        <w:tc>
          <w:tcPr>
            <w:tcW w:w="60" w:type="dxa"/>
            <w:tcBorders/>
            <w:shd w:fill="CCEEFF" w:val="clear"/>
            <w:vAlign w:val="center"/>
          </w:tcPr>
          <w:p>
            <w:pPr>
              <w:pStyle w:val="TableContents"/>
              <w:bidi w:val="0"/>
              <w:spacing w:before="0" w:after="283"/>
              <w:jc w:val="left"/>
              <w:rPr/>
            </w:pPr>
            <w:r>
              <w:rPr/>
              <w:t> </w:t>
            </w:r>
          </w:p>
        </w:tc>
        <w:tc>
          <w:tcPr>
            <w:tcW w:w="2765" w:type="dxa"/>
            <w:tcBorders/>
            <w:shd w:fill="CCEEFF" w:val="clear"/>
            <w:vAlign w:val="center"/>
          </w:tcPr>
          <w:p>
            <w:pPr>
              <w:pStyle w:val="TableContents"/>
              <w:bidi w:val="0"/>
              <w:spacing w:before="0" w:after="283"/>
              <w:jc w:val="left"/>
              <w:rPr>
                <w:sz w:val="20"/>
              </w:rPr>
            </w:pPr>
            <w:r>
              <w:rPr>
                <w:sz w:val="20"/>
              </w:rPr>
              <w:t>Remaining RSUs</w:t>
            </w:r>
          </w:p>
        </w:tc>
        <w:tc>
          <w:tcPr>
            <w:tcW w:w="245" w:type="dxa"/>
            <w:tcBorders/>
            <w:shd w:fill="CCEEFF" w:val="clear"/>
            <w:vAlign w:val="center"/>
          </w:tcPr>
          <w:p>
            <w:pPr>
              <w:pStyle w:val="TableContents"/>
              <w:bidi w:val="0"/>
              <w:spacing w:before="0" w:after="283"/>
              <w:jc w:val="right"/>
              <w:rPr>
                <w:sz w:val="20"/>
              </w:rPr>
            </w:pPr>
            <w:r>
              <w:rPr>
                <w:sz w:val="20"/>
              </w:rPr>
              <w:t>7</w:t>
            </w:r>
          </w:p>
        </w:tc>
      </w:tr>
      <w:tr>
        <w:trPr/>
        <w:tc>
          <w:tcPr>
            <w:tcW w:w="3185" w:type="dxa"/>
            <w:tcBorders/>
            <w:shd w:fill="FFFFFF" w:val="clear"/>
            <w:vAlign w:val="center"/>
          </w:tcPr>
          <w:p>
            <w:pPr>
              <w:pStyle w:val="TableContents"/>
              <w:bidi w:val="0"/>
              <w:spacing w:before="0" w:after="283"/>
              <w:jc w:val="left"/>
              <w:rPr>
                <w:sz w:val="20"/>
              </w:rPr>
            </w:pPr>
            <w:r>
              <w:rPr>
                <w:sz w:val="20"/>
              </w:rPr>
              <w:t>Beneficiary</w:t>
            </w:r>
          </w:p>
        </w:tc>
        <w:tc>
          <w:tcPr>
            <w:tcW w:w="230" w:type="dxa"/>
            <w:tcBorders/>
            <w:shd w:fill="FFFFFF" w:val="clear"/>
            <w:vAlign w:val="center"/>
          </w:tcPr>
          <w:p>
            <w:pPr>
              <w:pStyle w:val="TableContents"/>
              <w:bidi w:val="0"/>
              <w:spacing w:before="0" w:after="283"/>
              <w:jc w:val="right"/>
              <w:rPr>
                <w:sz w:val="20"/>
              </w:rPr>
            </w:pPr>
            <w:r>
              <w:rPr>
                <w:sz w:val="20"/>
              </w:rPr>
              <w:t>5</w:t>
            </w:r>
          </w:p>
        </w:tc>
        <w:tc>
          <w:tcPr>
            <w:tcW w:w="60" w:type="dxa"/>
            <w:tcBorders/>
            <w:shd w:fill="FFFFFF" w:val="clear"/>
            <w:vAlign w:val="center"/>
          </w:tcPr>
          <w:p>
            <w:pPr>
              <w:pStyle w:val="TableContents"/>
              <w:bidi w:val="0"/>
              <w:spacing w:before="0" w:after="283"/>
              <w:jc w:val="left"/>
              <w:rPr/>
            </w:pPr>
            <w:r>
              <w:rPr/>
              <w:t> </w:t>
            </w:r>
          </w:p>
        </w:tc>
        <w:tc>
          <w:tcPr>
            <w:tcW w:w="2765" w:type="dxa"/>
            <w:tcBorders/>
            <w:shd w:fill="FFFFFF" w:val="clear"/>
            <w:vAlign w:val="center"/>
          </w:tcPr>
          <w:p>
            <w:pPr>
              <w:pStyle w:val="TableContents"/>
              <w:bidi w:val="0"/>
              <w:spacing w:before="0" w:after="283"/>
              <w:jc w:val="left"/>
              <w:rPr>
                <w:sz w:val="20"/>
              </w:rPr>
            </w:pPr>
            <w:r>
              <w:rPr>
                <w:sz w:val="20"/>
              </w:rPr>
              <w:t>RSU</w:t>
            </w:r>
          </w:p>
        </w:tc>
        <w:tc>
          <w:tcPr>
            <w:tcW w:w="245" w:type="dxa"/>
            <w:tcBorders/>
            <w:shd w:fill="FFFFFF" w:val="clear"/>
            <w:vAlign w:val="center"/>
          </w:tcPr>
          <w:p>
            <w:pPr>
              <w:pStyle w:val="TableContents"/>
              <w:bidi w:val="0"/>
              <w:spacing w:before="0" w:after="283"/>
              <w:jc w:val="right"/>
              <w:rPr>
                <w:sz w:val="20"/>
              </w:rPr>
            </w:pPr>
            <w:r>
              <w:rPr>
                <w:sz w:val="20"/>
              </w:rPr>
              <w:t>4</w:t>
            </w:r>
          </w:p>
        </w:tc>
      </w:tr>
      <w:tr>
        <w:trPr/>
        <w:tc>
          <w:tcPr>
            <w:tcW w:w="3185" w:type="dxa"/>
            <w:tcBorders/>
            <w:shd w:fill="CCEEFF" w:val="clear"/>
            <w:vAlign w:val="center"/>
          </w:tcPr>
          <w:p>
            <w:pPr>
              <w:pStyle w:val="TableContents"/>
              <w:bidi w:val="0"/>
              <w:spacing w:before="0" w:after="283"/>
              <w:jc w:val="left"/>
              <w:rPr>
                <w:sz w:val="20"/>
              </w:rPr>
            </w:pPr>
            <w:r>
              <w:rPr>
                <w:sz w:val="20"/>
              </w:rPr>
              <w:t>Capital Increase Resolution Date</w:t>
            </w:r>
          </w:p>
        </w:tc>
        <w:tc>
          <w:tcPr>
            <w:tcW w:w="230" w:type="dxa"/>
            <w:tcBorders/>
            <w:shd w:fill="CCEEFF" w:val="clear"/>
            <w:vAlign w:val="center"/>
          </w:tcPr>
          <w:p>
            <w:pPr>
              <w:pStyle w:val="TableContents"/>
              <w:bidi w:val="0"/>
              <w:spacing w:before="0" w:after="283"/>
              <w:jc w:val="right"/>
              <w:rPr>
                <w:sz w:val="20"/>
              </w:rPr>
            </w:pPr>
            <w:r>
              <w:rPr>
                <w:sz w:val="20"/>
              </w:rPr>
              <w:t>11</w:t>
            </w:r>
          </w:p>
        </w:tc>
        <w:tc>
          <w:tcPr>
            <w:tcW w:w="60" w:type="dxa"/>
            <w:tcBorders/>
            <w:shd w:fill="CCEEFF" w:val="clear"/>
            <w:vAlign w:val="center"/>
          </w:tcPr>
          <w:p>
            <w:pPr>
              <w:pStyle w:val="TableContents"/>
              <w:bidi w:val="0"/>
              <w:spacing w:before="0" w:after="283"/>
              <w:jc w:val="left"/>
              <w:rPr/>
            </w:pPr>
            <w:r>
              <w:rPr/>
              <w:t> </w:t>
            </w:r>
          </w:p>
        </w:tc>
        <w:tc>
          <w:tcPr>
            <w:tcW w:w="2765" w:type="dxa"/>
            <w:tcBorders/>
            <w:shd w:fill="CCEEFF" w:val="clear"/>
            <w:vAlign w:val="center"/>
          </w:tcPr>
          <w:p>
            <w:pPr>
              <w:pStyle w:val="TableContents"/>
              <w:bidi w:val="0"/>
              <w:spacing w:before="0" w:after="283"/>
              <w:jc w:val="left"/>
              <w:rPr>
                <w:sz w:val="20"/>
              </w:rPr>
            </w:pPr>
            <w:r>
              <w:rPr>
                <w:sz w:val="20"/>
              </w:rPr>
              <w:t>RSUP 2022</w:t>
            </w:r>
          </w:p>
        </w:tc>
        <w:tc>
          <w:tcPr>
            <w:tcW w:w="245" w:type="dxa"/>
            <w:tcBorders/>
            <w:shd w:fill="CCEEFF" w:val="clear"/>
            <w:vAlign w:val="center"/>
          </w:tcPr>
          <w:p>
            <w:pPr>
              <w:pStyle w:val="TableContents"/>
              <w:bidi w:val="0"/>
              <w:spacing w:before="0" w:after="283"/>
              <w:jc w:val="right"/>
              <w:rPr>
                <w:sz w:val="20"/>
              </w:rPr>
            </w:pPr>
            <w:r>
              <w:rPr>
                <w:sz w:val="20"/>
              </w:rPr>
              <w:t>4</w:t>
            </w:r>
          </w:p>
        </w:tc>
      </w:tr>
      <w:tr>
        <w:trPr/>
        <w:tc>
          <w:tcPr>
            <w:tcW w:w="3185" w:type="dxa"/>
            <w:tcBorders/>
            <w:shd w:fill="FFFFFF" w:val="clear"/>
            <w:vAlign w:val="center"/>
          </w:tcPr>
          <w:p>
            <w:pPr>
              <w:pStyle w:val="TableContents"/>
              <w:bidi w:val="0"/>
              <w:spacing w:before="0" w:after="283"/>
              <w:jc w:val="left"/>
              <w:rPr>
                <w:sz w:val="20"/>
              </w:rPr>
            </w:pPr>
            <w:r>
              <w:rPr>
                <w:sz w:val="20"/>
              </w:rPr>
              <w:t>Cash Payment Claim</w:t>
            </w:r>
          </w:p>
        </w:tc>
        <w:tc>
          <w:tcPr>
            <w:tcW w:w="230" w:type="dxa"/>
            <w:tcBorders/>
            <w:shd w:fill="FFFFFF" w:val="clear"/>
            <w:vAlign w:val="center"/>
          </w:tcPr>
          <w:p>
            <w:pPr>
              <w:pStyle w:val="TableContents"/>
              <w:bidi w:val="0"/>
              <w:spacing w:before="0" w:after="283"/>
              <w:jc w:val="right"/>
              <w:rPr>
                <w:sz w:val="20"/>
              </w:rPr>
            </w:pPr>
            <w:r>
              <w:rPr>
                <w:sz w:val="20"/>
              </w:rPr>
              <w:t>11</w:t>
            </w:r>
          </w:p>
        </w:tc>
        <w:tc>
          <w:tcPr>
            <w:tcW w:w="60" w:type="dxa"/>
            <w:tcBorders/>
            <w:shd w:fill="FFFFFF" w:val="clear"/>
            <w:vAlign w:val="center"/>
          </w:tcPr>
          <w:p>
            <w:pPr>
              <w:pStyle w:val="TableContents"/>
              <w:bidi w:val="0"/>
              <w:spacing w:before="0" w:after="283"/>
              <w:jc w:val="left"/>
              <w:rPr/>
            </w:pPr>
            <w:r>
              <w:rPr/>
              <w:t> </w:t>
            </w:r>
          </w:p>
        </w:tc>
        <w:tc>
          <w:tcPr>
            <w:tcW w:w="2765" w:type="dxa"/>
            <w:tcBorders/>
            <w:shd w:fill="FFFFFF" w:val="clear"/>
            <w:vAlign w:val="center"/>
          </w:tcPr>
          <w:p>
            <w:pPr>
              <w:pStyle w:val="TableContents"/>
              <w:bidi w:val="0"/>
              <w:spacing w:before="0" w:after="283"/>
              <w:jc w:val="left"/>
              <w:rPr>
                <w:sz w:val="20"/>
              </w:rPr>
            </w:pPr>
            <w:r>
              <w:rPr>
                <w:sz w:val="20"/>
              </w:rPr>
              <w:t>RSUP 2022 Terms &amp; Conditions</w:t>
            </w:r>
          </w:p>
        </w:tc>
        <w:tc>
          <w:tcPr>
            <w:tcW w:w="245" w:type="dxa"/>
            <w:tcBorders/>
            <w:shd w:fill="FFFFFF" w:val="clear"/>
            <w:vAlign w:val="center"/>
          </w:tcPr>
          <w:p>
            <w:pPr>
              <w:pStyle w:val="TableContents"/>
              <w:bidi w:val="0"/>
              <w:spacing w:before="0" w:after="283"/>
              <w:jc w:val="right"/>
              <w:rPr>
                <w:sz w:val="20"/>
              </w:rPr>
            </w:pPr>
            <w:r>
              <w:rPr>
                <w:sz w:val="20"/>
              </w:rPr>
              <w:t>4</w:t>
            </w:r>
          </w:p>
        </w:tc>
      </w:tr>
      <w:tr>
        <w:trPr/>
        <w:tc>
          <w:tcPr>
            <w:tcW w:w="3185" w:type="dxa"/>
            <w:tcBorders/>
            <w:shd w:fill="CCEEFF" w:val="clear"/>
            <w:vAlign w:val="center"/>
          </w:tcPr>
          <w:p>
            <w:pPr>
              <w:pStyle w:val="TableContents"/>
              <w:bidi w:val="0"/>
              <w:spacing w:before="0" w:after="283"/>
              <w:jc w:val="left"/>
              <w:rPr>
                <w:sz w:val="20"/>
              </w:rPr>
            </w:pPr>
            <w:r>
              <w:rPr>
                <w:sz w:val="20"/>
              </w:rPr>
              <w:t>Cash Settlement</w:t>
            </w:r>
          </w:p>
        </w:tc>
        <w:tc>
          <w:tcPr>
            <w:tcW w:w="230" w:type="dxa"/>
            <w:tcBorders/>
            <w:shd w:fill="CCEEFF" w:val="clear"/>
            <w:vAlign w:val="center"/>
          </w:tcPr>
          <w:p>
            <w:pPr>
              <w:pStyle w:val="TableContents"/>
              <w:bidi w:val="0"/>
              <w:spacing w:before="0" w:after="283"/>
              <w:jc w:val="right"/>
              <w:rPr>
                <w:sz w:val="20"/>
              </w:rPr>
            </w:pPr>
            <w:r>
              <w:rPr>
                <w:sz w:val="20"/>
              </w:rPr>
              <w:t>14</w:t>
            </w:r>
          </w:p>
        </w:tc>
        <w:tc>
          <w:tcPr>
            <w:tcW w:w="60" w:type="dxa"/>
            <w:tcBorders/>
            <w:shd w:fill="CCEEFF" w:val="clear"/>
            <w:vAlign w:val="center"/>
          </w:tcPr>
          <w:p>
            <w:pPr>
              <w:pStyle w:val="TableContents"/>
              <w:bidi w:val="0"/>
              <w:spacing w:before="0" w:after="283"/>
              <w:jc w:val="left"/>
              <w:rPr/>
            </w:pPr>
            <w:r>
              <w:rPr/>
              <w:t> </w:t>
            </w:r>
          </w:p>
        </w:tc>
        <w:tc>
          <w:tcPr>
            <w:tcW w:w="2765" w:type="dxa"/>
            <w:tcBorders/>
            <w:shd w:fill="CCEEFF" w:val="clear"/>
            <w:vAlign w:val="center"/>
          </w:tcPr>
          <w:p>
            <w:pPr>
              <w:pStyle w:val="TableContents"/>
              <w:bidi w:val="0"/>
              <w:spacing w:before="0" w:after="283"/>
              <w:jc w:val="left"/>
              <w:rPr>
                <w:sz w:val="20"/>
              </w:rPr>
            </w:pPr>
            <w:r>
              <w:rPr>
                <w:sz w:val="20"/>
              </w:rPr>
              <w:t>RSUs</w:t>
            </w:r>
          </w:p>
        </w:tc>
        <w:tc>
          <w:tcPr>
            <w:tcW w:w="245" w:type="dxa"/>
            <w:tcBorders/>
            <w:shd w:fill="CCEEFF" w:val="clear"/>
            <w:vAlign w:val="center"/>
          </w:tcPr>
          <w:p>
            <w:pPr>
              <w:pStyle w:val="TableContents"/>
              <w:bidi w:val="0"/>
              <w:spacing w:before="0" w:after="283"/>
              <w:jc w:val="right"/>
              <w:rPr>
                <w:sz w:val="20"/>
              </w:rPr>
            </w:pPr>
            <w:r>
              <w:rPr>
                <w:sz w:val="20"/>
              </w:rPr>
              <w:t>4</w:t>
            </w:r>
          </w:p>
        </w:tc>
      </w:tr>
      <w:tr>
        <w:trPr/>
        <w:tc>
          <w:tcPr>
            <w:tcW w:w="3185" w:type="dxa"/>
            <w:tcBorders/>
            <w:shd w:fill="FFFFFF" w:val="clear"/>
            <w:vAlign w:val="center"/>
          </w:tcPr>
          <w:p>
            <w:pPr>
              <w:pStyle w:val="TableContents"/>
              <w:bidi w:val="0"/>
              <w:spacing w:before="0" w:after="283"/>
              <w:jc w:val="left"/>
              <w:rPr>
                <w:sz w:val="20"/>
              </w:rPr>
            </w:pPr>
            <w:r>
              <w:rPr>
                <w:sz w:val="20"/>
              </w:rPr>
              <w:t>Cash Settlement Closing Price</w:t>
            </w:r>
          </w:p>
        </w:tc>
        <w:tc>
          <w:tcPr>
            <w:tcW w:w="230" w:type="dxa"/>
            <w:tcBorders/>
            <w:shd w:fill="FFFFFF" w:val="clear"/>
            <w:vAlign w:val="center"/>
          </w:tcPr>
          <w:p>
            <w:pPr>
              <w:pStyle w:val="TableContents"/>
              <w:bidi w:val="0"/>
              <w:spacing w:before="0" w:after="283"/>
              <w:jc w:val="right"/>
              <w:rPr>
                <w:sz w:val="20"/>
              </w:rPr>
            </w:pPr>
            <w:r>
              <w:rPr>
                <w:sz w:val="20"/>
              </w:rPr>
              <w:t>11</w:t>
            </w:r>
          </w:p>
        </w:tc>
        <w:tc>
          <w:tcPr>
            <w:tcW w:w="60" w:type="dxa"/>
            <w:tcBorders/>
            <w:shd w:fill="FFFFFF" w:val="clear"/>
            <w:vAlign w:val="center"/>
          </w:tcPr>
          <w:p>
            <w:pPr>
              <w:pStyle w:val="TableContents"/>
              <w:bidi w:val="0"/>
              <w:spacing w:before="0" w:after="283"/>
              <w:jc w:val="left"/>
              <w:rPr/>
            </w:pPr>
            <w:r>
              <w:rPr/>
              <w:t> </w:t>
            </w:r>
          </w:p>
        </w:tc>
        <w:tc>
          <w:tcPr>
            <w:tcW w:w="2765" w:type="dxa"/>
            <w:tcBorders/>
            <w:shd w:fill="FFFFFF" w:val="clear"/>
            <w:vAlign w:val="center"/>
          </w:tcPr>
          <w:p>
            <w:pPr>
              <w:pStyle w:val="TableContents"/>
              <w:bidi w:val="0"/>
              <w:spacing w:before="0" w:after="283"/>
              <w:jc w:val="left"/>
              <w:rPr>
                <w:sz w:val="20"/>
              </w:rPr>
            </w:pPr>
            <w:r>
              <w:rPr>
                <w:sz w:val="20"/>
              </w:rPr>
              <w:t>Service Provider</w:t>
            </w:r>
          </w:p>
        </w:tc>
        <w:tc>
          <w:tcPr>
            <w:tcW w:w="245" w:type="dxa"/>
            <w:tcBorders/>
            <w:shd w:fill="FFFFFF" w:val="clear"/>
            <w:vAlign w:val="center"/>
          </w:tcPr>
          <w:p>
            <w:pPr>
              <w:pStyle w:val="TableContents"/>
              <w:bidi w:val="0"/>
              <w:spacing w:before="0" w:after="283"/>
              <w:jc w:val="right"/>
              <w:rPr>
                <w:sz w:val="20"/>
              </w:rPr>
            </w:pPr>
            <w:r>
              <w:rPr>
                <w:sz w:val="20"/>
              </w:rPr>
              <w:t>13</w:t>
            </w:r>
          </w:p>
        </w:tc>
      </w:tr>
      <w:tr>
        <w:trPr/>
        <w:tc>
          <w:tcPr>
            <w:tcW w:w="3185" w:type="dxa"/>
            <w:tcBorders/>
            <w:shd w:fill="CCEEFF" w:val="clear"/>
            <w:vAlign w:val="center"/>
          </w:tcPr>
          <w:p>
            <w:pPr>
              <w:pStyle w:val="TableContents"/>
              <w:bidi w:val="0"/>
              <w:spacing w:before="0" w:after="283"/>
              <w:jc w:val="left"/>
              <w:rPr>
                <w:sz w:val="20"/>
              </w:rPr>
            </w:pPr>
            <w:r>
              <w:rPr>
                <w:sz w:val="20"/>
              </w:rPr>
              <w:t>Cash Settlement Date</w:t>
            </w:r>
          </w:p>
        </w:tc>
        <w:tc>
          <w:tcPr>
            <w:tcW w:w="230" w:type="dxa"/>
            <w:tcBorders/>
            <w:shd w:fill="CCEEFF" w:val="clear"/>
            <w:vAlign w:val="center"/>
          </w:tcPr>
          <w:p>
            <w:pPr>
              <w:pStyle w:val="TableContents"/>
              <w:bidi w:val="0"/>
              <w:spacing w:before="0" w:after="283"/>
              <w:jc w:val="right"/>
              <w:rPr>
                <w:sz w:val="20"/>
              </w:rPr>
            </w:pPr>
            <w:r>
              <w:rPr>
                <w:sz w:val="20"/>
              </w:rPr>
              <w:t>11</w:t>
            </w:r>
          </w:p>
        </w:tc>
        <w:tc>
          <w:tcPr>
            <w:tcW w:w="60" w:type="dxa"/>
            <w:tcBorders/>
            <w:shd w:fill="CCEEFF" w:val="clear"/>
            <w:vAlign w:val="center"/>
          </w:tcPr>
          <w:p>
            <w:pPr>
              <w:pStyle w:val="TableContents"/>
              <w:bidi w:val="0"/>
              <w:spacing w:before="0" w:after="283"/>
              <w:jc w:val="left"/>
              <w:rPr/>
            </w:pPr>
            <w:r>
              <w:rPr/>
              <w:t> </w:t>
            </w:r>
          </w:p>
        </w:tc>
        <w:tc>
          <w:tcPr>
            <w:tcW w:w="2765" w:type="dxa"/>
            <w:tcBorders/>
            <w:shd w:fill="CCEEFF" w:val="clear"/>
            <w:vAlign w:val="center"/>
          </w:tcPr>
          <w:p>
            <w:pPr>
              <w:pStyle w:val="TableContents"/>
              <w:bidi w:val="0"/>
              <w:spacing w:before="0" w:after="283"/>
              <w:jc w:val="left"/>
              <w:rPr>
                <w:sz w:val="20"/>
              </w:rPr>
            </w:pPr>
            <w:r>
              <w:rPr>
                <w:sz w:val="20"/>
              </w:rPr>
              <w:t>Settlement Cap</w:t>
            </w:r>
          </w:p>
        </w:tc>
        <w:tc>
          <w:tcPr>
            <w:tcW w:w="245" w:type="dxa"/>
            <w:tcBorders/>
            <w:shd w:fill="CCEEFF" w:val="clear"/>
            <w:vAlign w:val="center"/>
          </w:tcPr>
          <w:p>
            <w:pPr>
              <w:pStyle w:val="TableContents"/>
              <w:bidi w:val="0"/>
              <w:spacing w:before="0" w:after="283"/>
              <w:jc w:val="right"/>
              <w:rPr>
                <w:sz w:val="20"/>
              </w:rPr>
            </w:pPr>
            <w:r>
              <w:rPr>
                <w:sz w:val="20"/>
              </w:rPr>
              <w:t>7</w:t>
            </w:r>
          </w:p>
        </w:tc>
      </w:tr>
      <w:tr>
        <w:trPr/>
        <w:tc>
          <w:tcPr>
            <w:tcW w:w="3185" w:type="dxa"/>
            <w:tcBorders/>
            <w:shd w:fill="FFFFFF" w:val="clear"/>
            <w:vAlign w:val="center"/>
          </w:tcPr>
          <w:p>
            <w:pPr>
              <w:pStyle w:val="TableContents"/>
              <w:bidi w:val="0"/>
              <w:spacing w:before="0" w:after="283"/>
              <w:jc w:val="left"/>
              <w:rPr>
                <w:sz w:val="20"/>
              </w:rPr>
            </w:pPr>
            <w:r>
              <w:rPr>
                <w:sz w:val="20"/>
              </w:rPr>
              <w:t>Cashless Exercise Option</w:t>
            </w:r>
          </w:p>
        </w:tc>
        <w:tc>
          <w:tcPr>
            <w:tcW w:w="230" w:type="dxa"/>
            <w:tcBorders/>
            <w:shd w:fill="FFFFFF" w:val="clear"/>
            <w:vAlign w:val="center"/>
          </w:tcPr>
          <w:p>
            <w:pPr>
              <w:pStyle w:val="TableContents"/>
              <w:bidi w:val="0"/>
              <w:spacing w:before="0" w:after="283"/>
              <w:jc w:val="right"/>
              <w:rPr>
                <w:sz w:val="20"/>
              </w:rPr>
            </w:pPr>
            <w:r>
              <w:rPr>
                <w:sz w:val="20"/>
              </w:rPr>
              <w:t>13</w:t>
            </w:r>
          </w:p>
        </w:tc>
        <w:tc>
          <w:tcPr>
            <w:tcW w:w="60" w:type="dxa"/>
            <w:tcBorders/>
            <w:shd w:fill="FFFFFF" w:val="clear"/>
            <w:vAlign w:val="center"/>
          </w:tcPr>
          <w:p>
            <w:pPr>
              <w:pStyle w:val="TableContents"/>
              <w:bidi w:val="0"/>
              <w:spacing w:before="0" w:after="283"/>
              <w:jc w:val="left"/>
              <w:rPr/>
            </w:pPr>
            <w:r>
              <w:rPr/>
              <w:t> </w:t>
            </w:r>
          </w:p>
        </w:tc>
        <w:tc>
          <w:tcPr>
            <w:tcW w:w="2765" w:type="dxa"/>
            <w:tcBorders/>
            <w:shd w:fill="FFFFFF" w:val="clear"/>
            <w:vAlign w:val="center"/>
          </w:tcPr>
          <w:p>
            <w:pPr>
              <w:pStyle w:val="TableContents"/>
              <w:bidi w:val="0"/>
              <w:spacing w:before="0" w:after="283"/>
              <w:jc w:val="left"/>
              <w:rPr>
                <w:sz w:val="20"/>
              </w:rPr>
            </w:pPr>
            <w:r>
              <w:rPr>
                <w:sz w:val="20"/>
              </w:rPr>
              <w:t>Share</w:t>
            </w:r>
          </w:p>
        </w:tc>
        <w:tc>
          <w:tcPr>
            <w:tcW w:w="245" w:type="dxa"/>
            <w:tcBorders/>
            <w:shd w:fill="FFFFFF" w:val="clear"/>
            <w:vAlign w:val="center"/>
          </w:tcPr>
          <w:p>
            <w:pPr>
              <w:pStyle w:val="TableContents"/>
              <w:bidi w:val="0"/>
              <w:spacing w:before="0" w:after="283"/>
              <w:jc w:val="right"/>
              <w:rPr>
                <w:sz w:val="20"/>
              </w:rPr>
            </w:pPr>
            <w:r>
              <w:rPr>
                <w:sz w:val="20"/>
              </w:rPr>
              <w:t>4</w:t>
            </w:r>
          </w:p>
        </w:tc>
      </w:tr>
      <w:tr>
        <w:trPr/>
        <w:tc>
          <w:tcPr>
            <w:tcW w:w="3185" w:type="dxa"/>
            <w:tcBorders/>
            <w:shd w:fill="CCEEFF" w:val="clear"/>
            <w:vAlign w:val="center"/>
          </w:tcPr>
          <w:p>
            <w:pPr>
              <w:pStyle w:val="TableContents"/>
              <w:bidi w:val="0"/>
              <w:spacing w:before="0" w:after="283"/>
              <w:jc w:val="left"/>
              <w:rPr>
                <w:sz w:val="20"/>
              </w:rPr>
            </w:pPr>
            <w:r>
              <w:rPr>
                <w:sz w:val="20"/>
              </w:rPr>
              <w:t>Cliff Period</w:t>
            </w:r>
          </w:p>
        </w:tc>
        <w:tc>
          <w:tcPr>
            <w:tcW w:w="230" w:type="dxa"/>
            <w:tcBorders/>
            <w:shd w:fill="CCEEFF" w:val="clear"/>
            <w:vAlign w:val="center"/>
          </w:tcPr>
          <w:p>
            <w:pPr>
              <w:pStyle w:val="TableContents"/>
              <w:bidi w:val="0"/>
              <w:spacing w:before="0" w:after="283"/>
              <w:jc w:val="right"/>
              <w:rPr>
                <w:sz w:val="20"/>
              </w:rPr>
            </w:pPr>
            <w:r>
              <w:rPr>
                <w:sz w:val="20"/>
              </w:rPr>
              <w:t>7</w:t>
            </w:r>
          </w:p>
        </w:tc>
        <w:tc>
          <w:tcPr>
            <w:tcW w:w="60" w:type="dxa"/>
            <w:tcBorders/>
            <w:shd w:fill="CCEEFF" w:val="clear"/>
            <w:vAlign w:val="center"/>
          </w:tcPr>
          <w:p>
            <w:pPr>
              <w:pStyle w:val="TableContents"/>
              <w:bidi w:val="0"/>
              <w:spacing w:before="0" w:after="283"/>
              <w:jc w:val="left"/>
              <w:rPr/>
            </w:pPr>
            <w:r>
              <w:rPr/>
              <w:t> </w:t>
            </w:r>
          </w:p>
        </w:tc>
        <w:tc>
          <w:tcPr>
            <w:tcW w:w="2765" w:type="dxa"/>
            <w:tcBorders/>
            <w:shd w:fill="CCEEFF" w:val="clear"/>
            <w:vAlign w:val="center"/>
          </w:tcPr>
          <w:p>
            <w:pPr>
              <w:pStyle w:val="TableContents"/>
              <w:bidi w:val="0"/>
              <w:spacing w:before="0" w:after="283"/>
              <w:jc w:val="left"/>
              <w:rPr>
                <w:sz w:val="20"/>
              </w:rPr>
            </w:pPr>
            <w:r>
              <w:rPr>
                <w:sz w:val="20"/>
              </w:rPr>
              <w:t>Share Settlement</w:t>
            </w:r>
          </w:p>
        </w:tc>
        <w:tc>
          <w:tcPr>
            <w:tcW w:w="245" w:type="dxa"/>
            <w:tcBorders/>
            <w:shd w:fill="CCEEFF" w:val="clear"/>
            <w:vAlign w:val="center"/>
          </w:tcPr>
          <w:p>
            <w:pPr>
              <w:pStyle w:val="TableContents"/>
              <w:bidi w:val="0"/>
              <w:spacing w:before="0" w:after="283"/>
              <w:jc w:val="right"/>
              <w:rPr>
                <w:sz w:val="20"/>
              </w:rPr>
            </w:pPr>
            <w:r>
              <w:rPr>
                <w:sz w:val="20"/>
              </w:rPr>
              <w:t>11</w:t>
            </w:r>
          </w:p>
        </w:tc>
      </w:tr>
      <w:tr>
        <w:trPr/>
        <w:tc>
          <w:tcPr>
            <w:tcW w:w="3185" w:type="dxa"/>
            <w:tcBorders/>
            <w:shd w:fill="FFFFFF" w:val="clear"/>
            <w:vAlign w:val="center"/>
          </w:tcPr>
          <w:p>
            <w:pPr>
              <w:pStyle w:val="TableContents"/>
              <w:bidi w:val="0"/>
              <w:spacing w:before="0" w:after="283"/>
              <w:jc w:val="left"/>
              <w:rPr>
                <w:sz w:val="20"/>
              </w:rPr>
            </w:pPr>
            <w:r>
              <w:rPr>
                <w:sz w:val="20"/>
              </w:rPr>
              <w:t>Closed Period</w:t>
            </w:r>
          </w:p>
        </w:tc>
        <w:tc>
          <w:tcPr>
            <w:tcW w:w="230" w:type="dxa"/>
            <w:tcBorders/>
            <w:shd w:fill="FFFFFF" w:val="clear"/>
            <w:vAlign w:val="center"/>
          </w:tcPr>
          <w:p>
            <w:pPr>
              <w:pStyle w:val="TableContents"/>
              <w:bidi w:val="0"/>
              <w:spacing w:before="0" w:after="283"/>
              <w:jc w:val="right"/>
              <w:rPr>
                <w:sz w:val="20"/>
              </w:rPr>
            </w:pPr>
            <w:r>
              <w:rPr>
                <w:sz w:val="20"/>
              </w:rPr>
              <w:t>6</w:t>
            </w:r>
          </w:p>
        </w:tc>
        <w:tc>
          <w:tcPr>
            <w:tcW w:w="60" w:type="dxa"/>
            <w:tcBorders/>
            <w:shd w:fill="FFFFFF" w:val="clear"/>
            <w:vAlign w:val="center"/>
          </w:tcPr>
          <w:p>
            <w:pPr>
              <w:pStyle w:val="TableContents"/>
              <w:bidi w:val="0"/>
              <w:spacing w:before="0" w:after="283"/>
              <w:jc w:val="left"/>
              <w:rPr/>
            </w:pPr>
            <w:r>
              <w:rPr/>
              <w:t> </w:t>
            </w:r>
          </w:p>
        </w:tc>
        <w:tc>
          <w:tcPr>
            <w:tcW w:w="2765" w:type="dxa"/>
            <w:tcBorders/>
            <w:shd w:fill="FFFFFF" w:val="clear"/>
            <w:vAlign w:val="center"/>
          </w:tcPr>
          <w:p>
            <w:pPr>
              <w:pStyle w:val="TableContents"/>
              <w:bidi w:val="0"/>
              <w:spacing w:before="0" w:after="283"/>
              <w:jc w:val="left"/>
              <w:rPr>
                <w:sz w:val="20"/>
              </w:rPr>
            </w:pPr>
            <w:r>
              <w:rPr>
                <w:sz w:val="20"/>
              </w:rPr>
              <w:t>Share Settlement Closing Price</w:t>
            </w:r>
          </w:p>
        </w:tc>
        <w:tc>
          <w:tcPr>
            <w:tcW w:w="245" w:type="dxa"/>
            <w:tcBorders/>
            <w:shd w:fill="FFFFFF" w:val="clear"/>
            <w:vAlign w:val="center"/>
          </w:tcPr>
          <w:p>
            <w:pPr>
              <w:pStyle w:val="TableContents"/>
              <w:bidi w:val="0"/>
              <w:spacing w:before="0" w:after="283"/>
              <w:jc w:val="right"/>
              <w:rPr>
                <w:sz w:val="20"/>
              </w:rPr>
            </w:pPr>
            <w:r>
              <w:rPr>
                <w:sz w:val="20"/>
              </w:rPr>
              <w:t>11</w:t>
            </w:r>
          </w:p>
        </w:tc>
      </w:tr>
      <w:tr>
        <w:trPr/>
        <w:tc>
          <w:tcPr>
            <w:tcW w:w="3185" w:type="dxa"/>
            <w:tcBorders/>
            <w:shd w:fill="CCEEFF" w:val="clear"/>
            <w:vAlign w:val="center"/>
          </w:tcPr>
          <w:p>
            <w:pPr>
              <w:pStyle w:val="TableContents"/>
              <w:bidi w:val="0"/>
              <w:spacing w:before="0" w:after="283"/>
              <w:jc w:val="left"/>
              <w:rPr>
                <w:sz w:val="20"/>
              </w:rPr>
            </w:pPr>
            <w:r>
              <w:rPr>
                <w:sz w:val="20"/>
              </w:rPr>
              <w:t>Company</w:t>
            </w:r>
          </w:p>
        </w:tc>
        <w:tc>
          <w:tcPr>
            <w:tcW w:w="230" w:type="dxa"/>
            <w:tcBorders/>
            <w:shd w:fill="CCEEFF" w:val="clear"/>
            <w:vAlign w:val="center"/>
          </w:tcPr>
          <w:p>
            <w:pPr>
              <w:pStyle w:val="TableContents"/>
              <w:bidi w:val="0"/>
              <w:spacing w:before="0" w:after="283"/>
              <w:jc w:val="right"/>
              <w:rPr>
                <w:sz w:val="20"/>
              </w:rPr>
            </w:pPr>
            <w:r>
              <w:rPr>
                <w:sz w:val="20"/>
              </w:rPr>
              <w:t>4</w:t>
            </w:r>
          </w:p>
        </w:tc>
        <w:tc>
          <w:tcPr>
            <w:tcW w:w="60" w:type="dxa"/>
            <w:tcBorders/>
            <w:shd w:fill="CCEEFF" w:val="clear"/>
            <w:vAlign w:val="center"/>
          </w:tcPr>
          <w:p>
            <w:pPr>
              <w:pStyle w:val="TableContents"/>
              <w:bidi w:val="0"/>
              <w:spacing w:before="0" w:after="283"/>
              <w:jc w:val="left"/>
              <w:rPr/>
            </w:pPr>
            <w:r>
              <w:rPr/>
              <w:t> </w:t>
            </w:r>
          </w:p>
        </w:tc>
        <w:tc>
          <w:tcPr>
            <w:tcW w:w="2765" w:type="dxa"/>
            <w:tcBorders/>
            <w:shd w:fill="CCEEFF" w:val="clear"/>
            <w:vAlign w:val="center"/>
          </w:tcPr>
          <w:p>
            <w:pPr>
              <w:pStyle w:val="TableContents"/>
              <w:bidi w:val="0"/>
              <w:spacing w:before="0" w:after="283"/>
              <w:jc w:val="left"/>
              <w:rPr>
                <w:sz w:val="20"/>
              </w:rPr>
            </w:pPr>
            <w:r>
              <w:rPr>
                <w:sz w:val="20"/>
              </w:rPr>
              <w:t>Share Settlement Date</w:t>
            </w:r>
          </w:p>
        </w:tc>
        <w:tc>
          <w:tcPr>
            <w:tcW w:w="245" w:type="dxa"/>
            <w:tcBorders/>
            <w:shd w:fill="CCEEFF" w:val="clear"/>
            <w:vAlign w:val="center"/>
          </w:tcPr>
          <w:p>
            <w:pPr>
              <w:pStyle w:val="TableContents"/>
              <w:bidi w:val="0"/>
              <w:spacing w:before="0" w:after="283"/>
              <w:jc w:val="right"/>
              <w:rPr>
                <w:sz w:val="20"/>
              </w:rPr>
            </w:pPr>
            <w:r>
              <w:rPr>
                <w:sz w:val="20"/>
              </w:rPr>
              <w:t>12</w:t>
            </w:r>
          </w:p>
        </w:tc>
      </w:tr>
      <w:tr>
        <w:trPr/>
        <w:tc>
          <w:tcPr>
            <w:tcW w:w="3185" w:type="dxa"/>
            <w:tcBorders/>
            <w:shd w:fill="FFFFFF" w:val="clear"/>
            <w:vAlign w:val="center"/>
          </w:tcPr>
          <w:p>
            <w:pPr>
              <w:pStyle w:val="TableContents"/>
              <w:bidi w:val="0"/>
              <w:spacing w:before="0" w:after="283"/>
              <w:jc w:val="left"/>
              <w:rPr>
                <w:sz w:val="20"/>
              </w:rPr>
            </w:pPr>
            <w:r>
              <w:rPr>
                <w:sz w:val="20"/>
              </w:rPr>
              <w:t>Employees</w:t>
            </w:r>
          </w:p>
        </w:tc>
        <w:tc>
          <w:tcPr>
            <w:tcW w:w="230" w:type="dxa"/>
            <w:tcBorders/>
            <w:shd w:fill="FFFFFF" w:val="clear"/>
            <w:vAlign w:val="center"/>
          </w:tcPr>
          <w:p>
            <w:pPr>
              <w:pStyle w:val="TableContents"/>
              <w:bidi w:val="0"/>
              <w:spacing w:before="0" w:after="283"/>
              <w:jc w:val="right"/>
              <w:rPr>
                <w:sz w:val="20"/>
              </w:rPr>
            </w:pPr>
            <w:r>
              <w:rPr>
                <w:sz w:val="20"/>
              </w:rPr>
              <w:t>5</w:t>
            </w:r>
          </w:p>
        </w:tc>
        <w:tc>
          <w:tcPr>
            <w:tcW w:w="60" w:type="dxa"/>
            <w:tcBorders/>
            <w:shd w:fill="FFFFFF" w:val="clear"/>
            <w:vAlign w:val="center"/>
          </w:tcPr>
          <w:p>
            <w:pPr>
              <w:pStyle w:val="TableContents"/>
              <w:bidi w:val="0"/>
              <w:spacing w:before="0" w:after="283"/>
              <w:jc w:val="left"/>
              <w:rPr/>
            </w:pPr>
            <w:r>
              <w:rPr/>
              <w:t> </w:t>
            </w:r>
          </w:p>
        </w:tc>
        <w:tc>
          <w:tcPr>
            <w:tcW w:w="2765" w:type="dxa"/>
            <w:tcBorders/>
            <w:shd w:fill="FFFFFF" w:val="clear"/>
            <w:vAlign w:val="center"/>
          </w:tcPr>
          <w:p>
            <w:pPr>
              <w:pStyle w:val="TableContents"/>
              <w:bidi w:val="0"/>
              <w:spacing w:before="0" w:after="283"/>
              <w:jc w:val="left"/>
              <w:rPr>
                <w:sz w:val="20"/>
              </w:rPr>
            </w:pPr>
            <w:r>
              <w:rPr>
                <w:sz w:val="20"/>
              </w:rPr>
              <w:t>Shares</w:t>
            </w:r>
          </w:p>
        </w:tc>
        <w:tc>
          <w:tcPr>
            <w:tcW w:w="245" w:type="dxa"/>
            <w:tcBorders/>
            <w:shd w:fill="FFFFFF" w:val="clear"/>
            <w:vAlign w:val="center"/>
          </w:tcPr>
          <w:p>
            <w:pPr>
              <w:pStyle w:val="TableContents"/>
              <w:bidi w:val="0"/>
              <w:spacing w:before="0" w:after="283"/>
              <w:jc w:val="right"/>
              <w:rPr>
                <w:sz w:val="20"/>
              </w:rPr>
            </w:pPr>
            <w:r>
              <w:rPr>
                <w:sz w:val="20"/>
              </w:rPr>
              <w:t>4</w:t>
            </w:r>
          </w:p>
        </w:tc>
      </w:tr>
      <w:tr>
        <w:trPr/>
        <w:tc>
          <w:tcPr>
            <w:tcW w:w="3185" w:type="dxa"/>
            <w:tcBorders/>
            <w:shd w:fill="CCEEFF" w:val="clear"/>
            <w:vAlign w:val="center"/>
          </w:tcPr>
          <w:p>
            <w:pPr>
              <w:pStyle w:val="TableContents"/>
              <w:bidi w:val="0"/>
              <w:spacing w:before="0" w:after="283"/>
              <w:jc w:val="left"/>
              <w:rPr>
                <w:sz w:val="20"/>
              </w:rPr>
            </w:pPr>
            <w:r>
              <w:rPr>
                <w:sz w:val="20"/>
              </w:rPr>
              <w:t>Extraordinary Events or Developments</w:t>
            </w:r>
          </w:p>
        </w:tc>
        <w:tc>
          <w:tcPr>
            <w:tcW w:w="230" w:type="dxa"/>
            <w:tcBorders/>
            <w:shd w:fill="CCEEFF" w:val="clear"/>
            <w:vAlign w:val="center"/>
          </w:tcPr>
          <w:p>
            <w:pPr>
              <w:pStyle w:val="TableContents"/>
              <w:bidi w:val="0"/>
              <w:spacing w:before="0" w:after="283"/>
              <w:jc w:val="right"/>
              <w:rPr>
                <w:sz w:val="20"/>
              </w:rPr>
            </w:pPr>
            <w:r>
              <w:rPr>
                <w:sz w:val="20"/>
              </w:rPr>
              <w:t>15</w:t>
            </w:r>
          </w:p>
        </w:tc>
        <w:tc>
          <w:tcPr>
            <w:tcW w:w="60" w:type="dxa"/>
            <w:tcBorders/>
            <w:shd w:fill="CCEEFF" w:val="clear"/>
            <w:vAlign w:val="center"/>
          </w:tcPr>
          <w:p>
            <w:pPr>
              <w:pStyle w:val="TableContents"/>
              <w:bidi w:val="0"/>
              <w:spacing w:before="0" w:after="283"/>
              <w:jc w:val="left"/>
              <w:rPr/>
            </w:pPr>
            <w:r>
              <w:rPr/>
              <w:t> </w:t>
            </w:r>
          </w:p>
        </w:tc>
        <w:tc>
          <w:tcPr>
            <w:tcW w:w="2765" w:type="dxa"/>
            <w:tcBorders/>
            <w:shd w:fill="CCEEFF" w:val="clear"/>
            <w:vAlign w:val="center"/>
          </w:tcPr>
          <w:p>
            <w:pPr>
              <w:pStyle w:val="TableContents"/>
              <w:bidi w:val="0"/>
              <w:spacing w:before="0" w:after="283"/>
              <w:jc w:val="left"/>
              <w:rPr>
                <w:sz w:val="20"/>
              </w:rPr>
            </w:pPr>
            <w:r>
              <w:rPr>
                <w:sz w:val="20"/>
              </w:rPr>
              <w:t>Temporary Exemption from Work</w:t>
            </w:r>
          </w:p>
        </w:tc>
        <w:tc>
          <w:tcPr>
            <w:tcW w:w="245" w:type="dxa"/>
            <w:tcBorders/>
            <w:shd w:fill="CCEEFF" w:val="clear"/>
            <w:vAlign w:val="center"/>
          </w:tcPr>
          <w:p>
            <w:pPr>
              <w:pStyle w:val="TableContents"/>
              <w:bidi w:val="0"/>
              <w:spacing w:before="0" w:after="283"/>
              <w:jc w:val="right"/>
              <w:rPr>
                <w:sz w:val="20"/>
              </w:rPr>
            </w:pPr>
            <w:r>
              <w:rPr>
                <w:sz w:val="20"/>
              </w:rPr>
              <w:t>8</w:t>
            </w:r>
          </w:p>
        </w:tc>
      </w:tr>
      <w:tr>
        <w:trPr/>
        <w:tc>
          <w:tcPr>
            <w:tcW w:w="3185" w:type="dxa"/>
            <w:tcBorders/>
            <w:shd w:fill="FFFFFF" w:val="clear"/>
            <w:vAlign w:val="center"/>
          </w:tcPr>
          <w:p>
            <w:pPr>
              <w:pStyle w:val="TableContents"/>
              <w:bidi w:val="0"/>
              <w:spacing w:before="0" w:after="283"/>
              <w:jc w:val="left"/>
              <w:rPr>
                <w:sz w:val="20"/>
              </w:rPr>
            </w:pPr>
            <w:r>
              <w:rPr>
                <w:sz w:val="20"/>
              </w:rPr>
              <w:t>Grant Agreement</w:t>
            </w:r>
          </w:p>
        </w:tc>
        <w:tc>
          <w:tcPr>
            <w:tcW w:w="230" w:type="dxa"/>
            <w:tcBorders/>
            <w:shd w:fill="FFFFFF" w:val="clear"/>
            <w:vAlign w:val="center"/>
          </w:tcPr>
          <w:p>
            <w:pPr>
              <w:pStyle w:val="TableContents"/>
              <w:bidi w:val="0"/>
              <w:spacing w:before="0" w:after="283"/>
              <w:jc w:val="right"/>
              <w:rPr>
                <w:sz w:val="20"/>
              </w:rPr>
            </w:pPr>
            <w:r>
              <w:rPr>
                <w:sz w:val="20"/>
              </w:rPr>
              <w:t>5</w:t>
            </w:r>
          </w:p>
        </w:tc>
        <w:tc>
          <w:tcPr>
            <w:tcW w:w="60" w:type="dxa"/>
            <w:tcBorders/>
            <w:shd w:fill="FFFFFF" w:val="clear"/>
            <w:vAlign w:val="center"/>
          </w:tcPr>
          <w:p>
            <w:pPr>
              <w:pStyle w:val="TableContents"/>
              <w:bidi w:val="0"/>
              <w:spacing w:before="0" w:after="283"/>
              <w:jc w:val="left"/>
              <w:rPr/>
            </w:pPr>
            <w:r>
              <w:rPr/>
              <w:t> </w:t>
            </w:r>
          </w:p>
        </w:tc>
        <w:tc>
          <w:tcPr>
            <w:tcW w:w="2765" w:type="dxa"/>
            <w:tcBorders/>
            <w:shd w:fill="FFFFFF" w:val="clear"/>
            <w:vAlign w:val="center"/>
          </w:tcPr>
          <w:p>
            <w:pPr>
              <w:pStyle w:val="TableContents"/>
              <w:bidi w:val="0"/>
              <w:spacing w:before="0" w:after="283"/>
              <w:jc w:val="left"/>
              <w:rPr>
                <w:sz w:val="20"/>
              </w:rPr>
            </w:pPr>
            <w:r>
              <w:rPr>
                <w:sz w:val="20"/>
              </w:rPr>
              <w:t>Transaction</w:t>
            </w:r>
          </w:p>
        </w:tc>
        <w:tc>
          <w:tcPr>
            <w:tcW w:w="245" w:type="dxa"/>
            <w:tcBorders/>
            <w:shd w:fill="FFFFFF" w:val="clear"/>
            <w:vAlign w:val="center"/>
          </w:tcPr>
          <w:p>
            <w:pPr>
              <w:pStyle w:val="TableContents"/>
              <w:bidi w:val="0"/>
              <w:spacing w:before="0" w:after="283"/>
              <w:jc w:val="right"/>
              <w:rPr>
                <w:sz w:val="20"/>
              </w:rPr>
            </w:pPr>
            <w:r>
              <w:rPr>
                <w:sz w:val="20"/>
              </w:rPr>
              <w:t>16</w:t>
            </w:r>
          </w:p>
        </w:tc>
      </w:tr>
      <w:tr>
        <w:trPr/>
        <w:tc>
          <w:tcPr>
            <w:tcW w:w="3185" w:type="dxa"/>
            <w:tcBorders/>
            <w:shd w:fill="CCEEFF" w:val="clear"/>
            <w:vAlign w:val="center"/>
          </w:tcPr>
          <w:p>
            <w:pPr>
              <w:pStyle w:val="TableContents"/>
              <w:bidi w:val="0"/>
              <w:spacing w:before="0" w:after="283"/>
              <w:jc w:val="left"/>
              <w:rPr>
                <w:sz w:val="20"/>
              </w:rPr>
            </w:pPr>
            <w:r>
              <w:rPr>
                <w:sz w:val="20"/>
              </w:rPr>
              <w:t>Grant Amount</w:t>
            </w:r>
          </w:p>
        </w:tc>
        <w:tc>
          <w:tcPr>
            <w:tcW w:w="230" w:type="dxa"/>
            <w:tcBorders/>
            <w:shd w:fill="CCEEFF" w:val="clear"/>
            <w:vAlign w:val="center"/>
          </w:tcPr>
          <w:p>
            <w:pPr>
              <w:pStyle w:val="TableContents"/>
              <w:bidi w:val="0"/>
              <w:spacing w:before="0" w:after="283"/>
              <w:jc w:val="right"/>
              <w:rPr>
                <w:sz w:val="20"/>
              </w:rPr>
            </w:pPr>
            <w:r>
              <w:rPr>
                <w:sz w:val="20"/>
              </w:rPr>
              <w:t>5</w:t>
            </w:r>
          </w:p>
        </w:tc>
        <w:tc>
          <w:tcPr>
            <w:tcW w:w="60" w:type="dxa"/>
            <w:tcBorders/>
            <w:shd w:fill="CCEEFF" w:val="clear"/>
            <w:vAlign w:val="center"/>
          </w:tcPr>
          <w:p>
            <w:pPr>
              <w:pStyle w:val="TableContents"/>
              <w:bidi w:val="0"/>
              <w:spacing w:before="0" w:after="283"/>
              <w:jc w:val="left"/>
              <w:rPr/>
            </w:pPr>
            <w:r>
              <w:rPr/>
              <w:t> </w:t>
            </w:r>
          </w:p>
        </w:tc>
        <w:tc>
          <w:tcPr>
            <w:tcW w:w="2765" w:type="dxa"/>
            <w:tcBorders/>
            <w:shd w:fill="CCEEFF" w:val="clear"/>
            <w:vAlign w:val="center"/>
          </w:tcPr>
          <w:p>
            <w:pPr>
              <w:pStyle w:val="TableContents"/>
              <w:bidi w:val="0"/>
              <w:spacing w:before="0" w:after="283"/>
              <w:jc w:val="left"/>
              <w:rPr>
                <w:sz w:val="20"/>
              </w:rPr>
            </w:pPr>
            <w:r>
              <w:rPr>
                <w:sz w:val="20"/>
              </w:rPr>
              <w:t>Vested RSUs</w:t>
            </w:r>
          </w:p>
        </w:tc>
        <w:tc>
          <w:tcPr>
            <w:tcW w:w="245" w:type="dxa"/>
            <w:tcBorders/>
            <w:shd w:fill="CCEEFF" w:val="clear"/>
            <w:vAlign w:val="center"/>
          </w:tcPr>
          <w:p>
            <w:pPr>
              <w:pStyle w:val="TableContents"/>
              <w:bidi w:val="0"/>
              <w:spacing w:before="0" w:after="283"/>
              <w:jc w:val="right"/>
              <w:rPr>
                <w:sz w:val="20"/>
              </w:rPr>
            </w:pPr>
            <w:r>
              <w:rPr>
                <w:sz w:val="20"/>
              </w:rPr>
              <w:t>7</w:t>
            </w:r>
          </w:p>
        </w:tc>
      </w:tr>
      <w:tr>
        <w:trPr/>
        <w:tc>
          <w:tcPr>
            <w:tcW w:w="3185" w:type="dxa"/>
            <w:tcBorders/>
            <w:shd w:fill="FFFFFF" w:val="clear"/>
            <w:vAlign w:val="center"/>
          </w:tcPr>
          <w:p>
            <w:pPr>
              <w:pStyle w:val="TableContents"/>
              <w:bidi w:val="0"/>
              <w:spacing w:before="0" w:after="283"/>
              <w:jc w:val="left"/>
              <w:rPr>
                <w:sz w:val="20"/>
              </w:rPr>
            </w:pPr>
            <w:r>
              <w:rPr>
                <w:sz w:val="20"/>
              </w:rPr>
              <w:t>Grant Date</w:t>
            </w:r>
          </w:p>
        </w:tc>
        <w:tc>
          <w:tcPr>
            <w:tcW w:w="230" w:type="dxa"/>
            <w:tcBorders/>
            <w:shd w:fill="FFFFFF" w:val="clear"/>
            <w:vAlign w:val="center"/>
          </w:tcPr>
          <w:p>
            <w:pPr>
              <w:pStyle w:val="TableContents"/>
              <w:bidi w:val="0"/>
              <w:spacing w:before="0" w:after="283"/>
              <w:jc w:val="right"/>
              <w:rPr>
                <w:sz w:val="20"/>
              </w:rPr>
            </w:pPr>
            <w:r>
              <w:rPr>
                <w:sz w:val="20"/>
              </w:rPr>
              <w:t>6</w:t>
            </w:r>
          </w:p>
        </w:tc>
        <w:tc>
          <w:tcPr>
            <w:tcW w:w="60" w:type="dxa"/>
            <w:tcBorders/>
            <w:shd w:fill="FFFFFF" w:val="clear"/>
            <w:vAlign w:val="center"/>
          </w:tcPr>
          <w:p>
            <w:pPr>
              <w:pStyle w:val="TableContents"/>
              <w:bidi w:val="0"/>
              <w:spacing w:before="0" w:after="283"/>
              <w:jc w:val="left"/>
              <w:rPr/>
            </w:pPr>
            <w:r>
              <w:rPr/>
              <w:t> </w:t>
            </w:r>
          </w:p>
        </w:tc>
        <w:tc>
          <w:tcPr>
            <w:tcW w:w="2765" w:type="dxa"/>
            <w:tcBorders/>
            <w:shd w:fill="FFFFFF" w:val="clear"/>
            <w:vAlign w:val="center"/>
          </w:tcPr>
          <w:p>
            <w:pPr>
              <w:pStyle w:val="TableContents"/>
              <w:bidi w:val="0"/>
              <w:spacing w:before="0" w:after="283"/>
              <w:jc w:val="left"/>
              <w:rPr>
                <w:sz w:val="20"/>
              </w:rPr>
            </w:pPr>
            <w:r>
              <w:rPr>
                <w:sz w:val="20"/>
              </w:rPr>
              <w:t>Vesting Period</w:t>
            </w:r>
          </w:p>
        </w:tc>
        <w:tc>
          <w:tcPr>
            <w:tcW w:w="245" w:type="dxa"/>
            <w:tcBorders/>
            <w:shd w:fill="FFFFFF" w:val="clear"/>
            <w:vAlign w:val="center"/>
          </w:tcPr>
          <w:p>
            <w:pPr>
              <w:pStyle w:val="TableContents"/>
              <w:bidi w:val="0"/>
              <w:spacing w:before="0" w:after="283"/>
              <w:jc w:val="right"/>
              <w:rPr>
                <w:sz w:val="20"/>
              </w:rPr>
            </w:pPr>
            <w:r>
              <w:rPr>
                <w:sz w:val="20"/>
              </w:rPr>
              <w:t>7</w:t>
            </w:r>
          </w:p>
        </w:tc>
      </w:tr>
      <w:tr>
        <w:trPr/>
        <w:tc>
          <w:tcPr>
            <w:tcW w:w="3185" w:type="dxa"/>
            <w:tcBorders/>
            <w:shd w:fill="CCEEFF" w:val="clear"/>
            <w:vAlign w:val="center"/>
          </w:tcPr>
          <w:p>
            <w:pPr>
              <w:pStyle w:val="TableContents"/>
              <w:bidi w:val="0"/>
              <w:spacing w:before="0" w:after="283"/>
              <w:jc w:val="left"/>
              <w:rPr>
                <w:sz w:val="20"/>
              </w:rPr>
            </w:pPr>
            <w:r>
              <w:rPr>
                <w:sz w:val="20"/>
              </w:rPr>
              <w:t>Initial Number of RSUs</w:t>
            </w:r>
          </w:p>
        </w:tc>
        <w:tc>
          <w:tcPr>
            <w:tcW w:w="230" w:type="dxa"/>
            <w:tcBorders/>
            <w:shd w:fill="CCEEFF" w:val="clear"/>
            <w:vAlign w:val="center"/>
          </w:tcPr>
          <w:p>
            <w:pPr>
              <w:pStyle w:val="TableContents"/>
              <w:bidi w:val="0"/>
              <w:spacing w:before="0" w:after="283"/>
              <w:jc w:val="right"/>
              <w:rPr>
                <w:sz w:val="20"/>
              </w:rPr>
            </w:pPr>
            <w:r>
              <w:rPr>
                <w:sz w:val="20"/>
              </w:rPr>
              <w:t>5</w:t>
            </w:r>
          </w:p>
        </w:tc>
        <w:tc>
          <w:tcPr>
            <w:tcW w:w="60" w:type="dxa"/>
            <w:tcBorders/>
            <w:shd w:fill="CCEEFF" w:val="clear"/>
            <w:vAlign w:val="center"/>
          </w:tcPr>
          <w:p>
            <w:pPr>
              <w:pStyle w:val="TableContents"/>
              <w:bidi w:val="0"/>
              <w:spacing w:before="0" w:after="283"/>
              <w:jc w:val="left"/>
              <w:rPr/>
            </w:pPr>
            <w:r>
              <w:rPr/>
              <w:t> </w:t>
            </w:r>
          </w:p>
        </w:tc>
        <w:tc>
          <w:tcPr>
            <w:tcW w:w="276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3/21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RECITALS</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343"/>
        <w:gridCol w:w="9862"/>
      </w:tblGrid>
      <w:tr>
        <w:trPr/>
        <w:tc>
          <w:tcPr>
            <w:tcW w:w="343" w:type="dxa"/>
            <w:tcBorders/>
            <w:vAlign w:val="center"/>
          </w:tcPr>
          <w:p>
            <w:pPr>
              <w:pStyle w:val="TableContents"/>
              <w:bidi w:val="0"/>
              <w:spacing w:before="0" w:after="283"/>
              <w:jc w:val="left"/>
              <w:rPr/>
            </w:pPr>
            <w:r>
              <w:rPr/>
              <w:t>(A)</w:t>
            </w:r>
          </w:p>
        </w:tc>
        <w:tc>
          <w:tcPr>
            <w:tcW w:w="9862" w:type="dxa"/>
            <w:tcBorders/>
            <w:vAlign w:val="center"/>
          </w:tcPr>
          <w:p>
            <w:pPr>
              <w:pStyle w:val="TableContents"/>
              <w:bidi w:val="0"/>
              <w:spacing w:before="0" w:after="283"/>
              <w:jc w:val="both"/>
              <w:rPr/>
            </w:pPr>
            <w:r>
              <w:rPr/>
              <w:t>An attractive and competitive remuneration program is essential for the recruitment and long-term commitment of highly qualified employees.</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(B)</w:t>
            </w:r>
          </w:p>
        </w:tc>
        <w:tc>
          <w:tcPr>
            <w:tcW w:w="9921" w:type="dxa"/>
            <w:tcBorders/>
            <w:vAlign w:val="center"/>
          </w:tcPr>
          <w:p>
            <w:pPr>
              <w:pStyle w:val="TableContents"/>
              <w:bidi w:val="0"/>
              <w:spacing w:before="0" w:after="283"/>
              <w:jc w:val="both"/>
              <w:rPr/>
            </w:pPr>
            <w:r>
              <w:rPr/>
              <w:t>For this purpose, Mynaric AG (“</w:t>
            </w:r>
            <w:r>
              <w:rPr>
                <w:b/>
              </w:rPr>
              <w:t>Mynaric</w:t>
            </w:r>
            <w:r>
              <w:rPr/>
              <w:t>” or the “</w:t>
            </w:r>
            <w:r>
              <w:rPr>
                <w:b/>
              </w:rPr>
              <w:t>Company</w:t>
            </w:r>
            <w:r>
              <w:rPr/>
              <w:t>”) hereby implements a Restricted Stock Units Program (“</w:t>
            </w:r>
            <w:r>
              <w:rPr>
                <w:b/>
              </w:rPr>
              <w:t>RSUP 2022</w:t>
            </w:r>
            <w:r>
              <w:rPr/>
              <w:t>”) under which the Company shall be allowed to grant so-called restricted stock units (“</w:t>
            </w:r>
            <w:r>
              <w:rPr>
                <w:b/>
              </w:rPr>
              <w:t>RSUs</w:t>
            </w:r>
            <w:r>
              <w:rPr/>
              <w:t>” and each a “</w:t>
            </w:r>
            <w:r>
              <w:rPr>
                <w:b/>
              </w:rPr>
              <w:t>RSU</w:t>
            </w:r>
            <w:r>
              <w:rPr/>
              <w:t>”) to certain eligible beneficiaries which – if certain conditions are met – entitle the beneficiary to a cash payment claim against the Company, the amount of which depends on the stock exchange price of the shares of the Company (the “</w:t>
            </w:r>
            <w:r>
              <w:rPr>
                <w:b/>
              </w:rPr>
              <w:t>Shares</w:t>
            </w:r>
            <w:r>
              <w:rPr/>
              <w:t>” and each a “</w:t>
            </w:r>
            <w:r>
              <w:rPr>
                <w:b/>
              </w:rPr>
              <w:t>Share</w:t>
            </w:r>
            <w:r>
              <w:rPr/>
              <w:t>”), or the American Deposit Shares representing the Company’s Shares (the “</w:t>
            </w:r>
            <w:r>
              <w:rPr>
                <w:b/>
              </w:rPr>
              <w:t>ADSs</w:t>
            </w:r>
            <w:r>
              <w:rPr/>
              <w:t>” and each an “</w:t>
            </w:r>
            <w:r>
              <w:rPr>
                <w:b/>
              </w:rPr>
              <w:t>ADS</w:t>
            </w:r>
            <w:r>
              <w:rPr/>
              <w:t>”). The settlement of the RSUs will generally be made in Shares which subsequently may be certificated in the form of ADSs.</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(C)</w:t>
            </w:r>
          </w:p>
        </w:tc>
        <w:tc>
          <w:tcPr>
            <w:tcW w:w="9922" w:type="dxa"/>
            <w:tcBorders/>
            <w:vAlign w:val="center"/>
          </w:tcPr>
          <w:p>
            <w:pPr>
              <w:pStyle w:val="TableContents"/>
              <w:bidi w:val="0"/>
              <w:spacing w:before="0" w:after="283"/>
              <w:jc w:val="both"/>
              <w:rPr/>
            </w:pPr>
            <w:r>
              <w:rPr/>
              <w:t>With resolution dated July 14, 2022, the Company’s General Meeting (</w:t>
            </w:r>
            <w:r>
              <w:rPr>
                <w:i/>
              </w:rPr>
              <w:t>Hauptversammlung</w:t>
            </w:r>
            <w:r>
              <w:rPr/>
              <w:t>) has authorized the Management Board (</w:t>
            </w:r>
            <w:r>
              <w:rPr>
                <w:i/>
              </w:rPr>
              <w:t>Vorstand</w:t>
            </w:r>
            <w:r>
              <w:rPr/>
              <w:t>), with the consent of the Supervisory Board (</w:t>
            </w:r>
            <w:r>
              <w:rPr>
                <w:i/>
              </w:rPr>
              <w:t>Aufsichtsrat</w:t>
            </w:r>
            <w:r>
              <w:rPr/>
              <w:t>), until and including July 13, 2027, to increase the Company’s share capital by up to € 262,147.00 against cash contributions and/or contributions in kind once or several times by issuing up to 262,147 new no-par value registered Shares (</w:t>
            </w:r>
            <w:r>
              <w:rPr>
                <w:i/>
              </w:rPr>
              <w:t>auf den Namen lautende Stückaktien</w:t>
            </w:r>
            <w:r>
              <w:rPr/>
              <w:t>) (“</w:t>
            </w:r>
            <w:r>
              <w:rPr>
                <w:b/>
              </w:rPr>
              <w:t>Authorized Capital 2022/II</w:t>
            </w:r>
            <w:r>
              <w:rPr/>
              <w:t>”). The Authorized Capital 2022/II only serves the purpose of delivering Shares of the Company against the contribution of cash payment claims resulting from RSUs, in order to settle RSUs that were granted to Beneficiaries.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present terms and conditions (the “</w:t>
      </w:r>
      <w:r>
        <w:rPr>
          <w:rFonts w:ascii="Times New Roman;Times;Serif" w:hAnsi="Times New Roman;Times;Serif"/>
          <w:b/>
          <w:i w:val="false"/>
          <w:caps w:val="false"/>
          <w:smallCaps w:val="false"/>
          <w:sz w:val="20"/>
        </w:rPr>
        <w:t>RSUP 2022 Terms &amp; Conditions</w:t>
      </w:r>
      <w:r>
        <w:rPr>
          <w:rFonts w:ascii="Times New Roman;Times;Serif" w:hAnsi="Times New Roman;Times;Serif"/>
          <w:b w:val="false"/>
          <w:i w:val="false"/>
          <w:caps w:val="false"/>
          <w:smallCaps w:val="false"/>
          <w:sz w:val="20"/>
        </w:rPr>
        <w:t>”) establish the rules pursuant to which the RSUs under the RSUP 2022 can be granted and settled.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4/21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1</w:t>
        <w:br/>
        <w:t>ELIGIBILITY</w:t>
      </w:r>
    </w:p>
    <w:p>
      <w:pPr>
        <w:pStyle w:val="TextBody"/>
        <w:bidi w:val="0"/>
        <w:spacing w:before="0" w:after="0"/>
        <w:ind w:left="0" w:right="0" w:hanging="0"/>
        <w:jc w:val="center"/>
        <w:rPr>
          <w:caps/>
        </w:rPr>
      </w:pPr>
      <w:r>
        <w:rPr>
          <w:caps/>
        </w:rPr>
        <w:t> </w:t>
      </w:r>
    </w:p>
    <w:tbl>
      <w:tblPr>
        <w:tblW w:w="2680" w:type="dxa"/>
        <w:jc w:val="left"/>
        <w:tblInd w:w="0" w:type="dxa"/>
        <w:tblLayout w:type="fixed"/>
        <w:tblCellMar>
          <w:top w:w="0" w:type="dxa"/>
          <w:left w:w="0" w:type="dxa"/>
          <w:bottom w:w="0" w:type="dxa"/>
          <w:right w:w="0" w:type="dxa"/>
        </w:tblCellMar>
      </w:tblPr>
      <w:tblGrid>
        <w:gridCol w:w="335"/>
        <w:gridCol w:w="2345"/>
      </w:tblGrid>
      <w:tr>
        <w:trPr/>
        <w:tc>
          <w:tcPr>
            <w:tcW w:w="335" w:type="dxa"/>
            <w:tcBorders/>
            <w:vAlign w:val="center"/>
          </w:tcPr>
          <w:p>
            <w:pPr>
              <w:pStyle w:val="TableContents"/>
              <w:bidi w:val="0"/>
              <w:spacing w:before="0" w:after="283"/>
              <w:jc w:val="left"/>
              <w:rPr/>
            </w:pPr>
            <w:r>
              <w:rPr/>
              <w:t>1.1</w:t>
            </w:r>
          </w:p>
        </w:tc>
        <w:tc>
          <w:tcPr>
            <w:tcW w:w="2345" w:type="dxa"/>
            <w:tcBorders/>
            <w:vAlign w:val="center"/>
          </w:tcPr>
          <w:p>
            <w:pPr>
              <w:pStyle w:val="TableContents"/>
              <w:bidi w:val="0"/>
              <w:spacing w:before="0" w:after="283"/>
              <w:jc w:val="both"/>
              <w:rPr/>
            </w:pPr>
            <w:r>
              <w:rPr/>
              <w:t>RSUs can be granted to:</w:t>
            </w:r>
          </w:p>
        </w:tc>
      </w:tr>
    </w:tbl>
    <w:p>
      <w:pPr>
        <w:pStyle w:val="TextBody"/>
        <w:bidi w:val="0"/>
        <w:spacing w:before="0" w:after="0"/>
        <w:ind w:left="1701" w:right="0" w:hanging="850"/>
        <w:jc w:val="both"/>
        <w:rPr>
          <w:caps w:val="false"/>
          <w:smallCaps w:val="false"/>
        </w:rPr>
      </w:pPr>
      <w:r>
        <w:rPr>
          <w:caps w:val="false"/>
          <w:smallCaps w:val="false"/>
        </w:rPr>
        <w:t> </w:t>
      </w:r>
    </w:p>
    <w:tbl>
      <w:tblPr>
        <w:tblW w:w="5553" w:type="dxa"/>
        <w:jc w:val="left"/>
        <w:tblInd w:w="0" w:type="dxa"/>
        <w:tblLayout w:type="fixed"/>
        <w:tblCellMar>
          <w:top w:w="0" w:type="dxa"/>
          <w:left w:w="0" w:type="dxa"/>
          <w:bottom w:w="0" w:type="dxa"/>
          <w:right w:w="0" w:type="dxa"/>
        </w:tblCellMar>
      </w:tblPr>
      <w:tblGrid>
        <w:gridCol w:w="38"/>
        <w:gridCol w:w="500"/>
        <w:gridCol w:w="501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1.1.1</w:t>
            </w:r>
          </w:p>
        </w:tc>
        <w:tc>
          <w:tcPr>
            <w:tcW w:w="5015" w:type="dxa"/>
            <w:tcBorders/>
            <w:vAlign w:val="center"/>
          </w:tcPr>
          <w:p>
            <w:pPr>
              <w:pStyle w:val="TableContents"/>
              <w:bidi w:val="0"/>
              <w:spacing w:before="0" w:after="283"/>
              <w:jc w:val="both"/>
              <w:rPr/>
            </w:pPr>
            <w:r>
              <w:rPr/>
              <w:t>selected employees of the Company (“</w:t>
            </w:r>
            <w:r>
              <w:rPr>
                <w:b/>
              </w:rPr>
              <w:t>Employees</w:t>
            </w:r>
            <w:r>
              <w:rPr/>
              <w:t>”);</w:t>
            </w:r>
          </w:p>
        </w:tc>
      </w:tr>
    </w:tbl>
    <w:p>
      <w:pPr>
        <w:pStyle w:val="TextBody"/>
        <w:bidi w:val="0"/>
        <w:spacing w:before="0" w:after="0"/>
        <w:ind w:left="1701" w:right="0" w:hanging="8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1.1.2</w:t>
            </w:r>
          </w:p>
        </w:tc>
        <w:tc>
          <w:tcPr>
            <w:tcW w:w="9667" w:type="dxa"/>
            <w:tcBorders/>
            <w:vAlign w:val="center"/>
          </w:tcPr>
          <w:p>
            <w:pPr>
              <w:pStyle w:val="TableContents"/>
              <w:bidi w:val="0"/>
              <w:spacing w:before="0" w:after="283"/>
              <w:jc w:val="both"/>
              <w:rPr/>
            </w:pPr>
            <w:r>
              <w:rPr/>
              <w:t>managing directors of companies affiliated with the Company in the meaning of § 15 of the German Stock Corporation Act (</w:t>
            </w:r>
            <w:r>
              <w:rPr>
                <w:i/>
              </w:rPr>
              <w:t>Aktiengesetz</w:t>
            </w:r>
            <w:r>
              <w:rPr/>
              <w:t>) (“</w:t>
            </w:r>
            <w:r>
              <w:rPr>
                <w:b/>
              </w:rPr>
              <w:t>AktG</w:t>
            </w:r>
            <w:r>
              <w:rPr/>
              <w:t>”) (the “</w:t>
            </w:r>
            <w:r>
              <w:rPr>
                <w:b/>
              </w:rPr>
              <w:t>Affiliated Companies</w:t>
            </w:r>
            <w:r>
              <w:rPr/>
              <w:t>” and such managing director a “</w:t>
            </w:r>
            <w:r>
              <w:rPr>
                <w:b/>
              </w:rPr>
              <w:t>Managing Director</w:t>
            </w:r>
            <w:r>
              <w:rPr/>
              <w:t>”); and</w:t>
            </w:r>
          </w:p>
        </w:tc>
      </w:tr>
    </w:tbl>
    <w:p>
      <w:pPr>
        <w:pStyle w:val="TextBody"/>
        <w:bidi w:val="0"/>
        <w:spacing w:before="0" w:after="0"/>
        <w:ind w:left="1701" w:right="0" w:hanging="8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1.1.3</w:t>
            </w:r>
          </w:p>
        </w:tc>
        <w:tc>
          <w:tcPr>
            <w:tcW w:w="9667" w:type="dxa"/>
            <w:tcBorders/>
            <w:vAlign w:val="center"/>
          </w:tcPr>
          <w:p>
            <w:pPr>
              <w:pStyle w:val="TableContents"/>
              <w:bidi w:val="0"/>
              <w:spacing w:before="0" w:after="283"/>
              <w:jc w:val="both"/>
              <w:rPr/>
            </w:pPr>
            <w:r>
              <w:rPr/>
              <w:t>selected employees of Affiliated Companies (“</w:t>
            </w:r>
            <w:r>
              <w:rPr>
                <w:b/>
              </w:rPr>
              <w:t>Affiliated Companies’ Employees</w:t>
            </w:r>
            <w:r>
              <w:rPr/>
              <w:t>” and together with the Managing Directors and the Employees, the “</w:t>
            </w:r>
            <w:r>
              <w:rPr>
                <w:b/>
              </w:rPr>
              <w:t>Beneficiaries</w:t>
            </w:r>
            <w:r>
              <w:rPr/>
              <w:t>” and each a “</w:t>
            </w:r>
            <w:r>
              <w:rPr>
                <w:b/>
              </w:rPr>
              <w:t>Beneficiary</w:t>
            </w:r>
            <w:r>
              <w:rPr/>
              <w:t>”).</w:t>
            </w:r>
          </w:p>
        </w:tc>
      </w:tr>
    </w:tbl>
    <w:p>
      <w:pPr>
        <w:pStyle w:val="TextBody"/>
        <w:bidi w:val="0"/>
        <w:spacing w:before="0" w:after="0"/>
        <w:ind w:left="851" w:right="0" w:hanging="851"/>
        <w:jc w:val="both"/>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335"/>
        <w:gridCol w:w="7655"/>
      </w:tblGrid>
      <w:tr>
        <w:trPr/>
        <w:tc>
          <w:tcPr>
            <w:tcW w:w="335" w:type="dxa"/>
            <w:tcBorders/>
            <w:vAlign w:val="center"/>
          </w:tcPr>
          <w:p>
            <w:pPr>
              <w:pStyle w:val="TableContents"/>
              <w:bidi w:val="0"/>
              <w:spacing w:before="0" w:after="283"/>
              <w:jc w:val="left"/>
              <w:rPr/>
            </w:pPr>
            <w:r>
              <w:rPr/>
              <w:t>1.2</w:t>
            </w:r>
          </w:p>
        </w:tc>
        <w:tc>
          <w:tcPr>
            <w:tcW w:w="7655" w:type="dxa"/>
            <w:tcBorders/>
            <w:vAlign w:val="center"/>
          </w:tcPr>
          <w:p>
            <w:pPr>
              <w:pStyle w:val="TableContents"/>
              <w:bidi w:val="0"/>
              <w:spacing w:before="0" w:after="283"/>
              <w:jc w:val="both"/>
              <w:rPr/>
            </w:pPr>
            <w:r>
              <w:rPr/>
              <w:t>Eligibility as a Beneficiary is determined by the Company’s Management Board.</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2</w:t>
        <w:br/>
        <w:t>PLAN VOLUME AND GRANT OF RSUs</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2.1</w:t>
            </w:r>
          </w:p>
        </w:tc>
        <w:tc>
          <w:tcPr>
            <w:tcW w:w="9870" w:type="dxa"/>
            <w:tcBorders/>
            <w:vAlign w:val="center"/>
          </w:tcPr>
          <w:p>
            <w:pPr>
              <w:pStyle w:val="TableContents"/>
              <w:bidi w:val="0"/>
              <w:spacing w:before="0" w:after="283"/>
              <w:jc w:val="both"/>
              <w:rPr/>
            </w:pPr>
            <w:r>
              <w:rPr/>
              <w:t>Under the RSUP 2022, RSUs with an underline of Shares (or a corresponding number of ADSs) may be granted to the Beneficiaries.</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2.2</w:t>
            </w:r>
          </w:p>
        </w:tc>
        <w:tc>
          <w:tcPr>
            <w:tcW w:w="9870" w:type="dxa"/>
            <w:tcBorders/>
            <w:vAlign w:val="center"/>
          </w:tcPr>
          <w:p>
            <w:pPr>
              <w:pStyle w:val="TableContents"/>
              <w:bidi w:val="0"/>
              <w:spacing w:before="0" w:after="283"/>
              <w:jc w:val="both"/>
              <w:rPr/>
            </w:pPr>
            <w:r>
              <w:rPr/>
              <w:t>The Company’s Management Board will determine an individual Euro grant amount (the “</w:t>
            </w:r>
            <w:r>
              <w:rPr>
                <w:b/>
              </w:rPr>
              <w:t>Grant Amount</w:t>
            </w:r>
            <w:r>
              <w:rPr/>
              <w:t>”) to be granted to a Beneficiary by Mynaric by way of a separate grant agreement (“</w:t>
            </w:r>
            <w:r>
              <w:rPr>
                <w:b/>
              </w:rPr>
              <w:t>Grant Agreement</w:t>
            </w:r>
            <w:r>
              <w:rPr/>
              <w:t>”) and such Grant Amount will be converted into a certain number of RSUs.</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2.3</w:t>
            </w:r>
          </w:p>
        </w:tc>
        <w:tc>
          <w:tcPr>
            <w:tcW w:w="9870" w:type="dxa"/>
            <w:tcBorders/>
            <w:vAlign w:val="center"/>
          </w:tcPr>
          <w:p>
            <w:pPr>
              <w:pStyle w:val="TableContents"/>
              <w:bidi w:val="0"/>
              <w:spacing w:before="0" w:after="283"/>
              <w:jc w:val="both"/>
              <w:rPr/>
            </w:pPr>
            <w:r>
              <w:rPr/>
              <w:t>With respect to the conversion of the Grant Amount into RSUs, i.e., to calculate the exact number of RSUs to be allocated to a Beneficiary, the Grant Amount is divided by the six-months average closing price (</w:t>
            </w:r>
            <w:r>
              <w:rPr>
                <w:i/>
              </w:rPr>
              <w:t>Schlusskurs</w:t>
            </w:r>
            <w:r>
              <w:rPr/>
              <w:t>) prior to the Grant Date (as defined in § 2.5) (exclusive) of the Shares or the ADSs on the Company’s Primary Stock Exchange (as defined below) as determined on the basis of the ten trading days prior to the Grant Date (the “</w:t>
            </w:r>
            <w:r>
              <w:rPr>
                <w:b/>
              </w:rPr>
              <w:t>Relevant Closing Price</w:t>
            </w:r>
            <w:r>
              <w:rPr/>
              <w:t>”), rounded down to the nearest whole number; the number resulting from such calculation equals the number of RSUs to be allocated to a Beneficiary (the “</w:t>
            </w:r>
            <w:r>
              <w:rPr>
                <w:b/>
              </w:rPr>
              <w:t>Initial Number of RSUs</w:t>
            </w:r>
            <w:r>
              <w:rPr/>
              <w:t>”). If a closing auction does not take place on the relevant trading day(s) or a price is not determined in the auction, the applicable price will be the last price quoted in continuous trading, provided there was continuous trading on that trading day. “</w:t>
            </w:r>
            <w:r>
              <w:rPr>
                <w:b/>
              </w:rPr>
              <w:t>Primary Stock Exchange</w:t>
            </w:r>
            <w:r>
              <w:rPr/>
              <w:t>” is the stock exchange or trading system with the highest total trading volume of Shares or ADSs during the time period as further specified in the respective provision of these RSUP 2022 Terms &amp; Conditions. A Relevant Closing Price in a currency other than Euro shall be converted into a Euro amount on the basis of the average exchange rate during the six months prior to the Grant Date as published by the European Central Bank; the resulting Euro amount shall be rounded down to the next two decimals.</w:t>
            </w:r>
          </w:p>
        </w:tc>
      </w:tr>
    </w:tbl>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5/21</w:t>
      </w:r>
    </w:p>
    <w:p>
      <w:pPr>
        <w:pStyle w:val="TextBody"/>
        <w:bidi w:val="0"/>
        <w:spacing w:before="0" w:after="0"/>
        <w:ind w:left="0" w:right="0" w:hanging="0"/>
        <w:jc w:val="left"/>
        <w:rPr/>
      </w:pPr>
      <w:r>
        <w:rPr/>
        <w:t> </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In case Shares of the Company are listed on the Primary Stock Exchange as determined on the basis of the ten trading days prior to the Grant Date (and therefore Shares are the underline of the RSUs), then one RSU represents the value of one (1) Share; in case ADSs are listed on the Primary Stock Exchange as determined on the basis of the ten trading days prior to the Grant Date (and therefore certificates are the underline of the RSUs), then one RSU represents the value of one (1) ADS.</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 example</w:t>
      </w:r>
      <w:r>
        <w:rPr>
          <w:rFonts w:ascii="Times New Roman;Times;Serif" w:hAnsi="Times New Roman;Times;Serif"/>
          <w:b w:val="false"/>
          <w:i w:val="false"/>
          <w:caps w:val="false"/>
          <w:smallCaps w:val="false"/>
          <w:sz w:val="20"/>
        </w:rPr>
        <w:t>: If a Beneficiary is granted a Grant Amount of EUR 10,000.00 and the Relevant Closing Price of one (1) Share (as being listed on the Primary Stock Exchange) amounted to EUR 55.00, then the Initial Number of RSUs to be allocated to the Beneficiary amounts to 181 (EUR 10,000 / EUR 55.00 = 181.81, rounded down to the nearest whole number).</w:t>
      </w:r>
    </w:p>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2.4</w:t>
            </w:r>
          </w:p>
        </w:tc>
        <w:tc>
          <w:tcPr>
            <w:tcW w:w="9870" w:type="dxa"/>
            <w:tcBorders/>
            <w:vAlign w:val="center"/>
          </w:tcPr>
          <w:p>
            <w:pPr>
              <w:pStyle w:val="TableContents"/>
              <w:bidi w:val="0"/>
              <w:spacing w:before="0" w:after="283"/>
              <w:jc w:val="both"/>
              <w:rPr/>
            </w:pPr>
            <w:r>
              <w:rPr/>
              <w:t>Subject to a continuing and unterminated (also by way of a mutual agreement) service or employment relationship of the relevant Beneficiary with the Company or an Affiliated Company at the relevant Grant Date (as defined in § 2.5), RSUs may be granted to the Beneficiaries at any time once or several times except (i) during a period of 30 calendar days before the announcement (i.e., publication) of a quarterly financial report (if the Company publishes such report in the future), half-year financial report or the annual financial statements, irrespective of whether the closed period within the meaning of Article 19 para. 11 of the Regulation (EU) No 596/2014 of the European Parliament and of the Council of 16 April 2014 on market abuse (market abuse regulation) (“</w:t>
            </w:r>
            <w:r>
              <w:rPr>
                <w:b/>
              </w:rPr>
              <w:t>MAR</w:t>
            </w:r>
            <w:r>
              <w:rPr/>
              <w:t>”) applies to the Company or any such report or financial statement, or (ii) during a time when the Company (a) is aware of any inside information as defined in Article 7 para. 1 MAR with respect to the Company or its securities or (b) is relying on a temporary exemption from the ad-hoc disclosure obligation pursuant to Article 17 para. 4 MAR (each a “</w:t>
            </w:r>
            <w:r>
              <w:rPr>
                <w:b/>
              </w:rPr>
              <w:t>Closed Period</w:t>
            </w:r>
            <w:r>
              <w:rPr/>
              <w:t>”).</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2.5</w:t>
            </w:r>
          </w:p>
        </w:tc>
        <w:tc>
          <w:tcPr>
            <w:tcW w:w="9870" w:type="dxa"/>
            <w:tcBorders/>
            <w:vAlign w:val="center"/>
          </w:tcPr>
          <w:p>
            <w:pPr>
              <w:pStyle w:val="TableContents"/>
              <w:bidi w:val="0"/>
              <w:spacing w:before="0" w:after="283"/>
              <w:jc w:val="both"/>
              <w:rPr/>
            </w:pPr>
            <w:r>
              <w:rPr/>
              <w:t>The date on which the Grant Agreement becomes effective (the “</w:t>
            </w:r>
            <w:r>
              <w:rPr>
                <w:b/>
              </w:rPr>
              <w:t>Grant Date</w:t>
            </w:r>
            <w:r>
              <w:rPr/>
              <w:t>”) shall be the date on which the Beneficiary receives the offer to conclude the Grant Agreement (irrespective of the point in time the offer to conclude the Grant Agreement is accepted), unless the Grant Agreement specifies an earlier or a later date as Grant Date.</w:t>
            </w:r>
          </w:p>
        </w:tc>
      </w:tr>
    </w:tbl>
    <w:p>
      <w:pPr>
        <w:pStyle w:val="TextBody"/>
        <w:bidi w:val="0"/>
        <w:spacing w:before="0" w:after="0"/>
        <w:ind w:left="851" w:right="0" w:hanging="851"/>
        <w:jc w:val="both"/>
        <w:rPr>
          <w:caps w:val="false"/>
          <w:smallCaps w:val="false"/>
        </w:rPr>
      </w:pPr>
      <w:r>
        <w:rPr>
          <w:caps w:val="false"/>
          <w:smallCaps w:val="false"/>
        </w:rPr>
        <w:t> </w:t>
      </w:r>
    </w:p>
    <w:p>
      <w:pPr>
        <w:pStyle w:val="TextBody"/>
        <w:bidi w:val="0"/>
        <w:spacing w:before="0" w:after="0"/>
        <w:ind w:left="851" w:right="0" w:hanging="851"/>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6/21</w:t>
      </w:r>
    </w:p>
    <w:p>
      <w:pPr>
        <w:pStyle w:val="TextBody"/>
        <w:bidi w:val="0"/>
        <w:spacing w:before="0" w:after="0"/>
        <w:ind w:left="0" w:right="0" w:hanging="0"/>
        <w:jc w:val="left"/>
        <w:rPr/>
      </w:pPr>
      <w:r>
        <w:rPr/>
        <w:t> </w:t>
      </w:r>
    </w:p>
    <w:p>
      <w:pPr>
        <w:pStyle w:val="TextBody"/>
        <w:bidi w:val="0"/>
        <w:spacing w:before="0" w:after="0"/>
        <w:ind w:left="851" w:right="0" w:hanging="851"/>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3</w:t>
        <w:br/>
        <w:t>VESTING</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3.1</w:t>
            </w:r>
          </w:p>
        </w:tc>
        <w:tc>
          <w:tcPr>
            <w:tcW w:w="9870" w:type="dxa"/>
            <w:tcBorders/>
            <w:vAlign w:val="center"/>
          </w:tcPr>
          <w:p>
            <w:pPr>
              <w:pStyle w:val="TableContents"/>
              <w:bidi w:val="0"/>
              <w:spacing w:before="0" w:after="283"/>
              <w:jc w:val="both"/>
              <w:rPr/>
            </w:pPr>
            <w:r>
              <w:rPr/>
              <w:t>Subject to the forfeitures and adjustments in § 3.3, § 3.4, § 4 and § 7 of these RSUP 2022 Terms &amp; Conditions and subject to § 3.2 of these RSUP 2022 Terms &amp; Conditions, the RSUs granted to a Beneficiary will vest over a four-year vesting period (“</w:t>
            </w:r>
            <w:r>
              <w:rPr>
                <w:b/>
              </w:rPr>
              <w:t>Vesting Period</w:t>
            </w:r>
            <w:r>
              <w:rPr/>
              <w:t>”) as follows (the “</w:t>
            </w:r>
            <w:r>
              <w:rPr>
                <w:b/>
              </w:rPr>
              <w:t>Vested RSUs</w:t>
            </w:r>
            <w:r>
              <w:rPr/>
              <w:t>”): If the Beneficiary’s service or employment relationship with the Company or an Affiliated Company has continued and remains unterminated (also by way of a mutual agreement) after expiry of a period of twelve months following the Grant Date (the “</w:t>
            </w:r>
            <w:r>
              <w:rPr>
                <w:b/>
              </w:rPr>
              <w:t>Cliff Period</w:t>
            </w:r>
            <w:r>
              <w:rPr/>
              <w:t>”) ¼ of the Initial Number of RSUs shall vest; following the expiry of the Cliff Period, the remaining RSUs (the “</w:t>
            </w:r>
            <w:r>
              <w:rPr>
                <w:b/>
              </w:rPr>
              <w:t>Remaining RSUs</w:t>
            </w:r>
            <w:r>
              <w:rPr/>
              <w:t>”) shall vest in instalments of 1/12 over each fully completed quarter of a year.</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3.2</w:t>
            </w:r>
          </w:p>
        </w:tc>
        <w:tc>
          <w:tcPr>
            <w:tcW w:w="9870" w:type="dxa"/>
            <w:tcBorders/>
            <w:vAlign w:val="center"/>
          </w:tcPr>
          <w:p>
            <w:pPr>
              <w:pStyle w:val="TableContents"/>
              <w:bidi w:val="0"/>
              <w:spacing w:before="0" w:after="283"/>
              <w:jc w:val="both"/>
              <w:rPr/>
            </w:pPr>
            <w:r>
              <w:rPr/>
              <w:t>The number of Vested RSUs resulting from calculations under this § 3 shall be rounded up to the nearest whole number. However, such rounding-up may never result in an aggregate number of Vested RSUs of a Beneficiary higher than the Initial Number of RSUs of such Beneficiary. Subject to the forfeitures and adjustments in § 3.3, § 3.4 and § 4, RSUs of a Beneficiary shall thus vest only to the extent the aggregate number of (settled and unsettled) Vested RSUs of such Beneficiary corresponds to the Initial Number of RSUs. RSUs that otherwise would vest during the Vesting Period but would exceed the Initial Number of RSUs will not vest (“</w:t>
            </w:r>
            <w:r>
              <w:rPr>
                <w:b/>
              </w:rPr>
              <w:t>Settlement Cap</w:t>
            </w:r>
            <w:r>
              <w:rPr/>
              <w:t>”). In case of forfeitures and adjustments pursuant to § 3.3 and § 3.4, the Settlement Cap will be adjusted accordingly.</w:t>
            </w:r>
          </w:p>
        </w:tc>
      </w:tr>
    </w:tbl>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Example:</w:t>
      </w:r>
      <w:r>
        <w:rPr>
          <w:rFonts w:ascii="Times New Roman;Times;Serif" w:hAnsi="Times New Roman;Times;Serif"/>
          <w:b w:val="false"/>
          <w:i w:val="false"/>
          <w:caps w:val="false"/>
          <w:smallCaps w:val="false"/>
          <w:sz w:val="20"/>
        </w:rPr>
        <w:t xml:space="preserve"> A Beneficiary has been granted an Initial Number of RSUs of 550. Assuming no adjustments and forfeitures in accordance with these RSUP 2022 Terms &amp; Conditions occur, the Settlement Cap equals the Initial Number of RSUs, i.e., 550.</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7/21</w:t>
      </w:r>
    </w:p>
    <w:p>
      <w:pPr>
        <w:pStyle w:val="TextBody"/>
        <w:bidi w:val="0"/>
        <w:spacing w:before="0" w:after="0"/>
        <w:ind w:left="0" w:right="0" w:hanging="0"/>
        <w:jc w:val="left"/>
        <w:rPr/>
      </w:pPr>
      <w:r>
        <w:rPr/>
        <w:t> </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Cliff Period, the number of Vested RSUs corresponds to ¼ of the Initial Number of RSUs, i.e., 138 RSUs (¼ of 550 = 137,5, rounded up to the nearest whole number).</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Vested RSUs after the second year of the Vesting Period corresponds to 1/12 of the Remaining RSUs per quarter, i.e., 35 RSUs per quarter (1/12 of (550 – 138) = 34,33, rounded up to the nearest whole number) and 140 RSUs in total (35 * 4).</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Vested RSUs after the third year of the Vesting Period also corresponds to 1/12 of the Remaining RSUs per quarter, i.e., 35 RSUS per quarter, and 140 RSUs in total.</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Vested RSUs in the fourth and last year of the Vesting Period generally also corresponds to 1/12 of the Remaining RSUs per quarter, i.e., 35 RSUS per quarter and 140 RSUs in total. The number of Vested RSUs after the fourth year of the Vesting Period, summed up with the number of Vested RSUs of the previous years of the Vesting Period would therefore however amount to 558 (= 138 + 140 + 140 + 140), which exceeds the Settlement Cap of 550 by 8 RSUs. Thus, in the last quarter of the fourth year 8 RSUs of the 35 RSUs that would otherwise vest will not vest and the number of Vested RSUs in the fourth year of the Vesting Period will be reduced to 27 in the last quarter and 132 in total.</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Vested RSUs for the Vesting Period will be 550 RSUs, which corresponds to the Settlement Cap and the (unadjusted) Initial Number of RSUs.</w:t>
      </w:r>
    </w:p>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3.3</w:t>
            </w:r>
          </w:p>
        </w:tc>
        <w:tc>
          <w:tcPr>
            <w:tcW w:w="9870" w:type="dxa"/>
            <w:tcBorders/>
            <w:vAlign w:val="center"/>
          </w:tcPr>
          <w:p>
            <w:pPr>
              <w:pStyle w:val="TableContents"/>
              <w:bidi w:val="0"/>
              <w:spacing w:before="0" w:after="283"/>
              <w:jc w:val="both"/>
              <w:rPr/>
            </w:pPr>
            <w:r>
              <w:rPr/>
              <w:t>RSUs may forfeit, if a Temporary Exemption from Work occurs during the Vesting Period. A “</w:t>
            </w:r>
            <w:r>
              <w:rPr>
                <w:b/>
              </w:rPr>
              <w:t>Temporary Exemption from Work</w:t>
            </w:r>
            <w:r>
              <w:rPr/>
              <w:t>” is any time period during which a Beneficiary is temporarily exempted from her/his service or employment duties due to, for example, illness, parental leave, unpaid leave, exemption due to further education etc. Time periods during which a Beneficiary, in accordance with statutory rules (e.g., the German statutory rules for wage continuation (</w:t>
            </w:r>
            <w:r>
              <w:rPr>
                <w:i/>
              </w:rPr>
              <w:t>Entgeltfortzahlung</w:t>
            </w:r>
            <w:r>
              <w:rPr/>
              <w:t>) or comparable rules under US law) or affiliate company policies, continuously receives his salary are not counted for the Temporary Exemption from Work. For each 30 working days (in a single piece or summed up) which the Temporary Exemption from Work lasts, 1/48 of the Initial Number of RSUs (commercially rounded to the next whole number) granted shall forfeit without entitlement to compensation with the resulting reduced Initial Number of RSUs being the Settlement Cap (subject to further forfeitures and adjustments).</w:t>
            </w:r>
          </w:p>
        </w:tc>
      </w:tr>
    </w:tbl>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8/21</w:t>
      </w:r>
    </w:p>
    <w:p>
      <w:pPr>
        <w:pStyle w:val="TextBody"/>
        <w:bidi w:val="0"/>
        <w:spacing w:before="0" w:after="0"/>
        <w:ind w:left="0" w:right="0" w:hanging="0"/>
        <w:jc w:val="left"/>
        <w:rPr/>
      </w:pPr>
      <w:r>
        <w:rPr/>
        <w:t> </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 example</w:t>
      </w:r>
      <w:r>
        <w:rPr>
          <w:rFonts w:ascii="Times New Roman;Times;Serif" w:hAnsi="Times New Roman;Times;Serif"/>
          <w:b w:val="false"/>
          <w:i w:val="false"/>
          <w:caps w:val="false"/>
          <w:smallCaps w:val="false"/>
          <w:sz w:val="20"/>
        </w:rPr>
        <w:t>: If a Beneficiary was initially granted 100 RSUs and the Beneficiary has a Temporary Exemption from Work of in total 60 working days, the Initial Number of RSUs is reduced by 2/48 to 96 RSUs (100 RSUS * 2/48 = 4,167, commercially round to the next whole number). As a consequence, the Settlement Cap amounts to 96 RSUs (subject to further forfeitures and adjustments).</w:t>
      </w:r>
    </w:p>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3.4</w:t>
            </w:r>
          </w:p>
        </w:tc>
        <w:tc>
          <w:tcPr>
            <w:tcW w:w="9870" w:type="dxa"/>
            <w:tcBorders/>
            <w:vAlign w:val="center"/>
          </w:tcPr>
          <w:p>
            <w:pPr>
              <w:pStyle w:val="TableContents"/>
              <w:bidi w:val="0"/>
              <w:spacing w:before="0" w:after="283"/>
              <w:jc w:val="both"/>
              <w:rPr/>
            </w:pPr>
            <w:r>
              <w:rPr/>
              <w:t>In case a Beneficiary, before the Vesting Period has ended, decreases her/his working time from full-time to part-time, the number of RSUs not yet vested shall be decreased accordingly on a pro-rata temporary basis for the time of the Beneficiary’s decreased working time (“</w:t>
            </w:r>
            <w:r>
              <w:rPr>
                <w:b/>
              </w:rPr>
              <w:t>Adjustment</w:t>
            </w:r>
            <w:r>
              <w:rPr/>
              <w:t>”). The Adjustment will be made for each quarter following the increase or decrease of working time. The Settlement Cap is determined by deducting from the Initial Number of RSUs such number of RSUs by the number of RSUs subject to the Adjustment.</w:t>
            </w:r>
          </w:p>
        </w:tc>
      </w:tr>
    </w:tbl>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 example</w:t>
      </w:r>
      <w:r>
        <w:rPr>
          <w:rFonts w:ascii="Times New Roman;Times;Serif" w:hAnsi="Times New Roman;Times;Serif"/>
          <w:b w:val="false"/>
          <w:i w:val="false"/>
          <w:caps w:val="false"/>
          <w:smallCaps w:val="false"/>
          <w:sz w:val="20"/>
        </w:rPr>
        <w:t>: If a Beneficiary was initially granted 100 RSUs and has worked full-time for the first year of the Vesting Period (starting with the Grant Date), then reduces her/his working time to 50% for the duration of the second year of the Vesting Period and again works full-time for the third and the fourth year of the Vesting Period, the number of RSUs granted shall be adjusted as follows:</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RSUs vested during the first year of the Vesting Period working full-time (100%): 1/4 of 100 RSUs, i.e., 25 RSUs. The Remaining RSUs amount to 75, with 7 RSUs vesting per quarter (75 RSUs * 1/12 = 6,25 RSUs, rounded up to the nearest whole number).</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RSUs vested during the second year of the Vesting Period working part-time (50%): 4 RSUs (= 7 RSUs * 50% (reduction due to reduction of working time) = 3,5, rounded up to the nearest who number) * 4 = 16 RSUs. The number of RSUs subject to the Adjustment amounts to a total of 12, resulting in a Settlement Cap of 88 (= 100 RSUs - 12 RSUs). The number of RSUs subject to the Adjustment per quarter results from the difference between the number of RSUS that would otherwise vest, i.e., 7 RSUs, and the number of RSUs that actually vest, i.e., 4 RSUs.</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RSUs vested during the third year of the Vesting Period working full-time: 7 RSUs * 4 = 28 RSUs.</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RSUs vested during the fourth year of the Vesting Period working full-time (taking into account the Settlement Cap): 7 RSUs + 7 RSUs + 5 RSUs + 0 RSUs = 19 RSUs.</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number of RSUs: 88 RSUs.</w:t>
      </w:r>
    </w:p>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3.5</w:t>
            </w:r>
          </w:p>
        </w:tc>
        <w:tc>
          <w:tcPr>
            <w:tcW w:w="9870" w:type="dxa"/>
            <w:tcBorders/>
            <w:vAlign w:val="center"/>
          </w:tcPr>
          <w:p>
            <w:pPr>
              <w:pStyle w:val="TableContents"/>
              <w:bidi w:val="0"/>
              <w:spacing w:before="0" w:after="283"/>
              <w:jc w:val="both"/>
              <w:rPr/>
            </w:pPr>
            <w:r>
              <w:rPr/>
              <w:t>Any RSUs which have not vested following the four-year Vesting Period shall forfeit without entitlement to compensation.</w:t>
            </w:r>
          </w:p>
        </w:tc>
      </w:tr>
    </w:tbl>
    <w:p>
      <w:pPr>
        <w:pStyle w:val="TextBody"/>
        <w:bidi w:val="0"/>
        <w:spacing w:before="0" w:after="0"/>
        <w:ind w:left="851" w:right="0" w:hanging="851"/>
        <w:jc w:val="both"/>
        <w:rPr>
          <w:caps w:val="false"/>
          <w:smallCaps w:val="false"/>
        </w:rPr>
      </w:pPr>
      <w:r>
        <w:rPr>
          <w:caps w:val="false"/>
          <w:smallCaps w:val="false"/>
        </w:rPr>
        <w:t> </w:t>
      </w:r>
    </w:p>
    <w:p>
      <w:pPr>
        <w:pStyle w:val="TextBody"/>
        <w:bidi w:val="0"/>
        <w:spacing w:before="0" w:after="0"/>
        <w:ind w:left="851" w:right="0" w:hanging="851"/>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9/21</w:t>
      </w:r>
    </w:p>
    <w:p>
      <w:pPr>
        <w:pStyle w:val="TextBody"/>
        <w:bidi w:val="0"/>
        <w:spacing w:before="0" w:after="0"/>
        <w:ind w:left="0" w:right="0" w:hanging="0"/>
        <w:jc w:val="left"/>
        <w:rPr/>
      </w:pPr>
      <w:r>
        <w:rPr/>
        <w:t> </w:t>
      </w:r>
    </w:p>
    <w:p>
      <w:pPr>
        <w:pStyle w:val="TextBody"/>
        <w:bidi w:val="0"/>
        <w:spacing w:before="0" w:after="0"/>
        <w:ind w:left="851" w:right="0" w:hanging="851"/>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4</w:t>
        <w:br/>
        <w:t>CONSEQUENCES OF A TERMINATION OF EMPLOYMENT</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4.1</w:t>
            </w:r>
          </w:p>
        </w:tc>
        <w:tc>
          <w:tcPr>
            <w:tcW w:w="9870" w:type="dxa"/>
            <w:tcBorders/>
            <w:vAlign w:val="center"/>
          </w:tcPr>
          <w:p>
            <w:pPr>
              <w:pStyle w:val="TableContents"/>
              <w:bidi w:val="0"/>
              <w:spacing w:before="0" w:after="283"/>
              <w:jc w:val="both"/>
              <w:rPr/>
            </w:pPr>
            <w:r>
              <w:rPr/>
              <w:t>In the event the Beneficiary’s service or employment relationship with the Company or an Affiliated Company (as the case may be) ends prior to the expiration of the Cliff Period (including a termination of the service or employment relationship with effect as of the end of the last day of the Cliff Period), all RSUs granted to the respective Beneficiary will be forfeited without entitlement to compensation.</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4.2</w:t>
            </w:r>
          </w:p>
        </w:tc>
        <w:tc>
          <w:tcPr>
            <w:tcW w:w="9870" w:type="dxa"/>
            <w:tcBorders/>
            <w:vAlign w:val="center"/>
          </w:tcPr>
          <w:p>
            <w:pPr>
              <w:pStyle w:val="TableContents"/>
              <w:bidi w:val="0"/>
              <w:spacing w:before="0" w:after="283"/>
              <w:jc w:val="both"/>
              <w:rPr/>
            </w:pPr>
            <w:r>
              <w:rPr/>
              <w:t>In the event the Beneficiary’s service or employment relationship with the Company or an Affiliated Company (as the case may be) ends due to the termination of the service or employment relationship with the Company or an Affiliated Company, as the case may be, where there are grounds justifying a termination of the service or employment relationship for good cause within the meaning of § 626 BGB (or the equivalent provision of applicable foreign law) irrespective of the preclusion period pursuant to § 626 para. 2 BGB (or the equivalent provision of applicable foreign law), for such Beneficiary, all Vested RSUs and unvested RSUs will be forfeited without entitlement to compensation.</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4.3</w:t>
            </w:r>
          </w:p>
        </w:tc>
        <w:tc>
          <w:tcPr>
            <w:tcW w:w="9870" w:type="dxa"/>
            <w:tcBorders/>
            <w:vAlign w:val="center"/>
          </w:tcPr>
          <w:p>
            <w:pPr>
              <w:pStyle w:val="TableContents"/>
              <w:bidi w:val="0"/>
              <w:spacing w:before="0" w:after="283"/>
              <w:jc w:val="both"/>
              <w:rPr/>
            </w:pPr>
            <w:r>
              <w:rPr/>
              <w:t>In the event the Beneficiary’s service or employment relationship with the Company or an Affiliated Company (as the case may be) ends for any reason that does not qualify as good cause within the meaning of § 4.2, such Beneficiary will retain all Vested RSUs, and any unvested RSUs will be forfeited without entitlement to compensation.</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10/21</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5</w:t>
        <w:br/>
        <w:t>CASH PAYMENT CLAIM RESULTING FROM RSUs AND SETTLEMENT OF RSUs, CASHLESS EXERCISE OPTION</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5.1</w:t>
            </w:r>
          </w:p>
        </w:tc>
        <w:tc>
          <w:tcPr>
            <w:tcW w:w="9870" w:type="dxa"/>
            <w:tcBorders/>
            <w:vAlign w:val="center"/>
          </w:tcPr>
          <w:p>
            <w:pPr>
              <w:pStyle w:val="TableContents"/>
              <w:bidi w:val="0"/>
              <w:spacing w:before="0" w:after="283"/>
              <w:jc w:val="both"/>
              <w:rPr/>
            </w:pPr>
            <w:r>
              <w:rPr/>
              <w:t>Each Vested RSU shall entitle the Beneficiary to a cash payment claim (the “</w:t>
            </w:r>
            <w:r>
              <w:rPr>
                <w:b/>
              </w:rPr>
              <w:t>Cash Payment Claim</w:t>
            </w:r>
            <w:r>
              <w:rPr/>
              <w:t>”) against the Company in the Euro amount of (i) in case of a Share Settlement (as defined in § 5.3) and subject to § 15.3, the closing price (</w:t>
            </w:r>
            <w:r>
              <w:rPr>
                <w:i/>
              </w:rPr>
              <w:t>Schlusskurs</w:t>
            </w:r>
            <w:r>
              <w:rPr/>
              <w:t>) of the Shares or the ADSs on the last trading day before the day of the resolution of the Company’s Management Board to utilize, with the consent of the Company’s Supervisory Board, the Authorized Capital 2022/II against contribution in kind (such date the “</w:t>
            </w:r>
            <w:r>
              <w:rPr>
                <w:b/>
              </w:rPr>
              <w:t>Capital Increase Resolution Date</w:t>
            </w:r>
            <w:r>
              <w:rPr/>
              <w:t>”) on the Company’s Primary Stock Exchange as determined on the basis of the ten trading days prior to the Capital Increase Resolution Date (the “</w:t>
            </w:r>
            <w:r>
              <w:rPr>
                <w:b/>
              </w:rPr>
              <w:t>Share Settlement Closing Price</w:t>
            </w:r>
            <w:r>
              <w:rPr/>
              <w:t>”) or, (ii) in case of a Cash Settlement (as defined in § 5.4) and subject to § 15.3, the closing price (</w:t>
            </w:r>
            <w:r>
              <w:rPr>
                <w:i/>
              </w:rPr>
              <w:t>Schlusskurs</w:t>
            </w:r>
            <w:r>
              <w:rPr/>
              <w:t>) of the Shares or the ADSs on the last trading day prior to the fulfilment of the Cash Payment Claim (such date the “</w:t>
            </w:r>
            <w:r>
              <w:rPr>
                <w:b/>
              </w:rPr>
              <w:t>Cash Settlement Date</w:t>
            </w:r>
            <w:r>
              <w:rPr/>
              <w:t>”) on the Company’s Primary Stock Exchange as determined on the basis of the ten trading days prior to the day of the fulfilment of the Cash Payment Claim (the “</w:t>
            </w:r>
            <w:r>
              <w:rPr>
                <w:b/>
              </w:rPr>
              <w:t>Cash Settlement Closing Price</w:t>
            </w:r>
            <w:r>
              <w:rPr/>
              <w:t>”). If a closing auction does not take place on the relevant trading day(s) or a price is not determined in the auction, the applicable price will be the last price quoted in continuous trading, provided there was continuous trading on that trading day. A Share Settlement Closing Price or Cash Settlement Closing Price, as the case may be, in a currency other than Euro shall be converted into a Euro amount on the basis of the average exchange rate on the last trading day prior to the Capital Increase Resolution Date respectively the Cash Settlement Date, as published by the European Central Bank; the resulting Euro amount shall be rounded down to the next two decimals.</w:t>
            </w:r>
          </w:p>
        </w:tc>
      </w:tr>
    </w:tbl>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Shares are the underline of the RSUs, but the Share Settlement Closing Price or the Cash Settlement Closing Price, as the case may be, refers to ADSs, the Cash Payment Claim for each Vested RSU equals the Share Settlement Closing Price or the Cash Settlement Closing Price, as the case may be, multiplied by the number of ADSs representing one (1) Share, provided that in case of a Share Settlement the Cash Payment Claim for each Vested RSU must at least equal the relevant Share Settlement Closing Price referring to Shares. If ADSs are the underline of the RSUs, but the Share Settlement Closing Price or the Cash Settlement Closing Price, as the case may be, refers to Shares, the Cash Payment Claim for each Vested RSU equals the Share Settlement Closing Price or the Cash Settlement Closing Price, as the case may be, divided by the number of ADSs representing one (1) Share.</w:t>
      </w:r>
    </w:p>
    <w:p>
      <w:pPr>
        <w:pStyle w:val="TextBody"/>
        <w:bidi w:val="0"/>
        <w:spacing w:before="0" w:after="0"/>
        <w:ind w:left="851" w:right="0" w:hanging="851"/>
        <w:jc w:val="both"/>
        <w:rPr>
          <w:caps w:val="false"/>
          <w:smallCaps w:val="false"/>
        </w:rPr>
      </w:pPr>
      <w:r>
        <w:rPr>
          <w:caps w:val="false"/>
          <w:smallCaps w:val="false"/>
        </w:rPr>
        <w:t> </w:t>
      </w:r>
    </w:p>
    <w:p>
      <w:pPr>
        <w:pStyle w:val="TextBody"/>
        <w:bidi w:val="0"/>
        <w:spacing w:before="0" w:after="0"/>
        <w:ind w:left="851" w:right="0" w:hanging="851"/>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11/21</w:t>
      </w:r>
    </w:p>
    <w:p>
      <w:pPr>
        <w:pStyle w:val="TextBody"/>
        <w:bidi w:val="0"/>
        <w:spacing w:before="0" w:after="0"/>
        <w:ind w:left="0" w:right="0" w:hanging="0"/>
        <w:jc w:val="left"/>
        <w:rPr/>
      </w:pPr>
      <w:r>
        <w:rPr/>
        <w:t> </w:t>
      </w:r>
    </w:p>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5.2</w:t>
            </w:r>
          </w:p>
        </w:tc>
        <w:tc>
          <w:tcPr>
            <w:tcW w:w="9870" w:type="dxa"/>
            <w:tcBorders/>
            <w:vAlign w:val="center"/>
          </w:tcPr>
          <w:p>
            <w:pPr>
              <w:pStyle w:val="TableContents"/>
              <w:bidi w:val="0"/>
              <w:spacing w:before="0" w:after="283"/>
              <w:jc w:val="both"/>
              <w:rPr/>
            </w:pPr>
            <w:r>
              <w:rPr/>
              <w:t>Subject to § 9, generally once per year within a period of forty trading days following the publication by the Company of its annual financial statements (whereby “trading days” within this meaning means trading days on the Company’s Primary Stock Exchange as determined on the basis of one month prior to the publication by the Company of its respective annual financial statements), the Company will settle all Vested RSUs as determined by the Company in its sole discretion either (i) by way of a Share Settlement (as defined in § 5.3) or (ii) by way of a Cash Settlement (as defined in § 5.4), or (iii) by a combination of both. In exceptional cases, in particular in order to comply with German or foreign regulations, the Company may further settle all Vested RSU during another settlement period which will be determined by the Company in its discretion.</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5.3</w:t>
            </w:r>
          </w:p>
        </w:tc>
        <w:tc>
          <w:tcPr>
            <w:tcW w:w="9870" w:type="dxa"/>
            <w:tcBorders/>
            <w:vAlign w:val="center"/>
          </w:tcPr>
          <w:p>
            <w:pPr>
              <w:pStyle w:val="TableContents"/>
              <w:bidi w:val="0"/>
              <w:spacing w:before="0" w:after="283"/>
              <w:jc w:val="both"/>
              <w:rPr/>
            </w:pPr>
            <w:r>
              <w:rPr/>
              <w:t>For a “</w:t>
            </w:r>
            <w:r>
              <w:rPr>
                <w:b/>
              </w:rPr>
              <w:t>Share Settlement</w:t>
            </w:r>
            <w:r>
              <w:rPr/>
              <w:t>” Shares shall be created from a capital increase out of the Authorized Capital 2022/II (</w:t>
            </w:r>
            <w:r>
              <w:rPr>
                <w:i/>
              </w:rPr>
              <w:t>Kapitalerhöhung aus Genehmigtem Kapital 2022/II</w:t>
            </w:r>
            <w:r>
              <w:rPr/>
              <w:t>) against contribution in kind (</w:t>
            </w:r>
            <w:r>
              <w:rPr>
                <w:i/>
              </w:rPr>
              <w:t>Sacheinlage</w:t>
            </w:r>
            <w:r>
              <w:rPr/>
              <w:t>). The respective contribution in kind (</w:t>
            </w:r>
            <w:r>
              <w:rPr>
                <w:i/>
              </w:rPr>
              <w:t>Sacheinlage</w:t>
            </w:r>
            <w:r>
              <w:rPr/>
              <w:t>) for the new Shares shall be the Cash Payment Claim resulting from the Vested RSUs. The Cash Payment Claim will – in the course of the capital increase – be contributed by the Beneficiary to the Company against issuance of one (1) new Share for each one (1) Vested RSU; or in case the underline of RSUs are ADSs, one (1) new Share shall be issued to the Beneficiary for the number of Vested RSUs equalling the number of ADSs representing one (1) Share (i.e., the total number of new Shares to be issued to the Beneficiary shall be calculated by dividing the number of Vested RSUs by the number of ADSs representing one (1) Share and rounding down the result to the nearest whole number; the remaining fraction of a Share shall not be issued and the corresponding Vested RSUs shall forfeit without compensation). In the event of a Share Settlement, the Beneficiary will be required to take all measures necessary to effect the Share Settlement, including, for example, the opening of a securities account to which the Shares may be booked, the conclusion of a contribution agreement with the Company and/or the subscription of the new Shares to be issued to the Beneficiary by way of a subscription certificate. The actual date on which the new Shares, which were created from the capital increase against contribution in kind, are transferred to the securities account of the respective Beneficiary, the “</w:t>
            </w:r>
            <w:r>
              <w:rPr>
                <w:b/>
              </w:rPr>
              <w:t>Share Settlement Date</w:t>
            </w:r>
            <w:r>
              <w:rPr/>
              <w:t>”.</w:t>
            </w:r>
          </w:p>
        </w:tc>
      </w:tr>
    </w:tbl>
    <w:p>
      <w:pPr>
        <w:pStyle w:val="TextBody"/>
        <w:bidi w:val="0"/>
        <w:spacing w:before="0" w:after="283"/>
        <w:jc w:val="left"/>
        <w:rPr/>
      </w:pPr>
      <w:r>
        <w:rPr/>
        <w:t> </w:t>
      </w:r>
    </w:p>
    <w:p>
      <w:pPr>
        <w:pStyle w:val="TextBody"/>
        <w:bidi w:val="0"/>
        <w:spacing w:before="0" w:after="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12/21</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determine – in its sole discretion and at any time prior to, or after, the issuance of the new Shares – if all or parts of the new Shares issued shall be certificated in the form of ADSs. Upon request of the Company, the Beneficiary will be required to take all measures necessary to have the new Shares issued to her/him certificated in the form of ADSs, including, for example, the conclusion of a transfer agreement with the depositary delivering the ADSs in order to transfer the new Shares from the Beneficiary to such depositary in exchange for the corresponding number of ADSs, and of a customary deposit agreement.</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 example</w:t>
      </w:r>
      <w:r>
        <w:rPr>
          <w:rFonts w:ascii="Times New Roman;Times;Serif" w:hAnsi="Times New Roman;Times;Serif"/>
          <w:b w:val="false"/>
          <w:i w:val="false"/>
          <w:caps w:val="false"/>
          <w:smallCaps w:val="false"/>
          <w:sz w:val="20"/>
        </w:rPr>
        <w:t>: If in a certain year 45 RSUs of a Beneficiary vested (Vested RSUs), then the Company may decide, in its sole discretion, whether to settle the 45 Vested RSUs by way of a Cash Settlement or a Share Settlement:</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Example Cash Settlement:</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 Cash Settlement, subject to § 15.3, the Company will identify the Cash Settlement Closing Price. Assuming, the Cash Settlement Closing Price amounted to EUR 65.00, the Beneficiary’s Cash Payment Claim resulting from the 45 Vested RSUs would amount to EUR 2,925.00.</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Example Share Settlement:</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 Share Settlement, the Company will request certain information from the Beneficiary and may request the Beneficiary to execute additional documents (such as a power of attorney), which are necessary to perform the Share Settlement. To issue the number of Shares equivalent to the number of Vested RSUs, the Company will, in a first step, identify the Share Settlement Closing Price. Assuming, the Share Settlement Closing Price amounted to EUR 65.00, the Beneficiary’s Cash Payment Claim resulting from the 45 Vested RSUs would amount to EUR 2,925.00. In a second step, following such determination, the Company’s Management Board, with the consent of the Supervisory Board, will resolve to issue 45 new Shares by way of a capital increase in the context of which the Company’s share capital will be increased by EUR 45.00 against contribution in kind of the Cash Payment Claim of the Beneficiary in the aggregate amount of EUR 2,925.00. Following the registration of the consummation of the capital increase, the 45 new Shares will be transferred to a security deposit of the Beneficiary, unless the Company and Beneficiary opt for a Cashless Exercise Option pursuant to § 5.4. If ADSs are the underline of the Vested RSUs, the number of new Shares to be issued is calculated as follows: 45 Vested RSUs represent 45 ADSs. Assuming four (4) ADSs represent one Share, a total of 11 new Shares are issued (45 Vested RSUs : 4 = 11.25 new Shares, rounded down to the nearest whole number of 11 new Shares). The remaining fraction of 0.25 Shares will not be issued and the corresponding one Vested RSU will forfeit without compensation.</w:t>
      </w:r>
    </w:p>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5.4</w:t>
            </w:r>
          </w:p>
        </w:tc>
        <w:tc>
          <w:tcPr>
            <w:tcW w:w="9870" w:type="dxa"/>
            <w:tcBorders/>
            <w:vAlign w:val="center"/>
          </w:tcPr>
          <w:p>
            <w:pPr>
              <w:pStyle w:val="TableContents"/>
              <w:bidi w:val="0"/>
              <w:spacing w:before="0" w:after="283"/>
              <w:jc w:val="both"/>
              <w:rPr/>
            </w:pPr>
            <w:r>
              <w:rPr/>
              <w:t>In case of a Share Settlement, in order to facilitate the exercise of the RSUs by the Beneficiaries, the Company may – in its sole discretion and subject always to applicable law – arrange for the benefit of the Beneficiary with a service provider (“</w:t>
            </w:r>
            <w:r>
              <w:rPr>
                <w:b/>
              </w:rPr>
              <w:t>Service Provider</w:t>
            </w:r>
            <w:r>
              <w:rPr/>
              <w:t>”) a cashless exercise option (“</w:t>
            </w:r>
            <w:r>
              <w:rPr>
                <w:b/>
              </w:rPr>
              <w:t>Cashless Exercise Option</w:t>
            </w:r>
            <w:r>
              <w:rPr/>
              <w:t>”). Such Cashless Exercise Option may provide that the Service Provider arranges a sale on behalf of the relevant Beneficiary of such a number of Shares resulting from the Share Settlement of the Vested RSUs as is necessary to repay any taxes and/or employee social security contributions or other fees due by the Beneficiary in connection with the settlement of the Vested RSUs. Any Beneficiary who makes use of the Cashless Exercise Option has to bear all costs relating to the Cashless Exercise Option and the sale of the Shares resulting from the Vested RSUs. Such Service Provider may also be engaged for the further administration, processing and execution of the RSUP 2022. The Service Provider may provide, in particular an online platform with an individual account for each Beneficiary through which the communication with the respective Beneficiary as well as transactions in Shares/ADSs relating to the RSUP 2022 are made. Such online platform may also provide for a so-called omnibus account in which the Service Provider (or an affiliated company of the Service Provider) holds the Shares/ADSs granted to the Beneficiaries in the context of a Share Settlement in trust for the respective Beneficiaries. The Beneficiaries agree to such form of securities deposit.</w:t>
            </w:r>
          </w:p>
        </w:tc>
      </w:tr>
    </w:tbl>
    <w:p>
      <w:pPr>
        <w:pStyle w:val="TextBody"/>
        <w:bidi w:val="0"/>
        <w:spacing w:before="0" w:after="0"/>
        <w:ind w:left="851" w:right="0" w:hanging="851"/>
        <w:jc w:val="both"/>
        <w:rPr>
          <w:caps w:val="false"/>
          <w:smallCaps w:val="false"/>
        </w:rPr>
      </w:pPr>
      <w:r>
        <w:rPr>
          <w:caps w:val="false"/>
          <w:smallCaps w:val="false"/>
        </w:rPr>
        <w:t> </w:t>
      </w:r>
    </w:p>
    <w:p>
      <w:pPr>
        <w:pStyle w:val="TextBody"/>
        <w:bidi w:val="0"/>
        <w:spacing w:before="0" w:after="0"/>
        <w:ind w:left="851" w:right="0" w:hanging="851"/>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13/21</w:t>
      </w:r>
    </w:p>
    <w:p>
      <w:pPr>
        <w:pStyle w:val="TextBody"/>
        <w:bidi w:val="0"/>
        <w:spacing w:before="0" w:after="0"/>
        <w:ind w:left="0" w:right="0" w:hanging="0"/>
        <w:jc w:val="left"/>
        <w:rPr/>
      </w:pPr>
      <w:r>
        <w:rPr/>
        <w:t> </w:t>
      </w:r>
    </w:p>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5.5</w:t>
            </w:r>
          </w:p>
        </w:tc>
        <w:tc>
          <w:tcPr>
            <w:tcW w:w="9870" w:type="dxa"/>
            <w:tcBorders/>
            <w:vAlign w:val="center"/>
          </w:tcPr>
          <w:p>
            <w:pPr>
              <w:pStyle w:val="TableContents"/>
              <w:bidi w:val="0"/>
              <w:spacing w:before="0" w:after="283"/>
              <w:jc w:val="both"/>
              <w:rPr/>
            </w:pPr>
            <w:r>
              <w:rPr/>
              <w:t>For a “</w:t>
            </w:r>
            <w:r>
              <w:rPr>
                <w:b/>
              </w:rPr>
              <w:t>Cash Settlement</w:t>
            </w:r>
            <w:r>
              <w:rPr/>
              <w:t>” a cash payment in the amount of the Cash Payment Claim is made by the Company to a bank account designated by the respective Beneficiary to the Company in advance.</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5.6</w:t>
            </w:r>
          </w:p>
        </w:tc>
        <w:tc>
          <w:tcPr>
            <w:tcW w:w="9870" w:type="dxa"/>
            <w:tcBorders/>
            <w:vAlign w:val="center"/>
          </w:tcPr>
          <w:p>
            <w:pPr>
              <w:pStyle w:val="TableContents"/>
              <w:bidi w:val="0"/>
              <w:spacing w:before="0" w:after="283"/>
              <w:jc w:val="both"/>
              <w:rPr/>
            </w:pPr>
            <w:r>
              <w:rPr/>
              <w:t>The Company will inform the Beneficiary whether it will make use of the Cash Settlement (as defined in § 5.4) or the Share Settlement (as defined in § 5.3) or a combination of both in advance of the settlement.</w:t>
            </w:r>
          </w:p>
        </w:tc>
      </w:tr>
    </w:tbl>
    <w:p>
      <w:pPr>
        <w:pStyle w:val="TextBody"/>
        <w:bidi w:val="0"/>
        <w:spacing w:before="0" w:after="0"/>
        <w:ind w:left="851" w:right="0" w:hanging="851"/>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6</w:t>
        <w:br/>
        <w:t>TRANSFERABILlTY</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6.1</w:t>
            </w:r>
          </w:p>
        </w:tc>
        <w:tc>
          <w:tcPr>
            <w:tcW w:w="9870" w:type="dxa"/>
            <w:tcBorders/>
            <w:vAlign w:val="center"/>
          </w:tcPr>
          <w:p>
            <w:pPr>
              <w:pStyle w:val="TableContents"/>
              <w:bidi w:val="0"/>
              <w:spacing w:before="0" w:after="283"/>
              <w:jc w:val="both"/>
              <w:rPr/>
            </w:pPr>
            <w:r>
              <w:rPr/>
              <w:t>Neither the RSUs, nor the rights of any Beneficiary under any RSU or under the RSUP 2022 are assignable or otherwise transferable except as provided in this § 6 and in case it is required to implement a Cashless Exercise Option under § 5.4.</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6.2</w:t>
            </w:r>
          </w:p>
        </w:tc>
        <w:tc>
          <w:tcPr>
            <w:tcW w:w="9870" w:type="dxa"/>
            <w:tcBorders/>
            <w:vAlign w:val="center"/>
          </w:tcPr>
          <w:p>
            <w:pPr>
              <w:pStyle w:val="TableContents"/>
              <w:bidi w:val="0"/>
              <w:spacing w:before="0" w:after="283"/>
              <w:jc w:val="both"/>
              <w:rPr/>
            </w:pPr>
            <w:r>
              <w:rPr/>
              <w:t>Vested RSUs are transferable only by will or applicable laws of descent upon the death of the relevant Beneficiary.</w:t>
            </w:r>
          </w:p>
        </w:tc>
      </w:tr>
    </w:tbl>
    <w:p>
      <w:pPr>
        <w:pStyle w:val="TextBody"/>
        <w:bidi w:val="0"/>
        <w:spacing w:before="0" w:after="0"/>
        <w:ind w:left="851" w:right="0" w:hanging="851"/>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7</w:t>
        <w:br/>
        <w:t>ADJUSTMENT IN CASE OF SPECIFIC CAPITAL AND OTHER</w:t>
        <w:br/>
        <w:t>STRUCTURAL MEASURES</w:t>
      </w:r>
    </w:p>
    <w:p>
      <w:pPr>
        <w:pStyle w:val="TextBody"/>
        <w:bidi w:val="0"/>
        <w:spacing w:before="0" w:after="0"/>
        <w:ind w:left="0" w:right="0" w:hanging="0"/>
        <w:jc w:val="center"/>
        <w:rPr>
          <w:caps/>
        </w:rPr>
      </w:pPr>
      <w:r>
        <w:rPr>
          <w:caps/>
        </w:rPr>
        <w:t> </w:t>
      </w:r>
    </w:p>
    <w:tbl>
      <w:tblPr>
        <w:tblW w:w="1795" w:type="dxa"/>
        <w:jc w:val="left"/>
        <w:tblInd w:w="0" w:type="dxa"/>
        <w:tblLayout w:type="fixed"/>
        <w:tblCellMar>
          <w:top w:w="0" w:type="dxa"/>
          <w:left w:w="0" w:type="dxa"/>
          <w:bottom w:w="0" w:type="dxa"/>
          <w:right w:w="0" w:type="dxa"/>
        </w:tblCellMar>
      </w:tblPr>
      <w:tblGrid>
        <w:gridCol w:w="335"/>
        <w:gridCol w:w="1460"/>
      </w:tblGrid>
      <w:tr>
        <w:trPr/>
        <w:tc>
          <w:tcPr>
            <w:tcW w:w="335" w:type="dxa"/>
            <w:tcBorders/>
            <w:vAlign w:val="center"/>
          </w:tcPr>
          <w:p>
            <w:pPr>
              <w:pStyle w:val="TableContents"/>
              <w:bidi w:val="0"/>
              <w:spacing w:before="0" w:after="283"/>
              <w:jc w:val="left"/>
              <w:rPr/>
            </w:pPr>
            <w:r>
              <w:rPr/>
              <w:t>7.1</w:t>
            </w:r>
          </w:p>
        </w:tc>
        <w:tc>
          <w:tcPr>
            <w:tcW w:w="1460" w:type="dxa"/>
            <w:tcBorders/>
            <w:vAlign w:val="center"/>
          </w:tcPr>
          <w:p>
            <w:pPr>
              <w:pStyle w:val="TableContents"/>
              <w:bidi w:val="0"/>
              <w:spacing w:before="0" w:after="283"/>
              <w:jc w:val="both"/>
              <w:rPr/>
            </w:pPr>
            <w:r>
              <w:rPr/>
              <w:t>In the event of:</w:t>
            </w:r>
          </w:p>
        </w:tc>
      </w:tr>
    </w:tbl>
    <w:p>
      <w:pPr>
        <w:pStyle w:val="TextBody"/>
        <w:bidi w:val="0"/>
        <w:spacing w:before="0" w:after="0"/>
        <w:ind w:left="1701" w:right="0" w:hanging="8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7.1.1</w:t>
            </w:r>
          </w:p>
        </w:tc>
        <w:tc>
          <w:tcPr>
            <w:tcW w:w="9667" w:type="dxa"/>
            <w:tcBorders/>
            <w:vAlign w:val="center"/>
          </w:tcPr>
          <w:p>
            <w:pPr>
              <w:pStyle w:val="TableContents"/>
              <w:bidi w:val="0"/>
              <w:spacing w:before="0" w:after="283"/>
              <w:jc w:val="both"/>
              <w:rPr/>
            </w:pPr>
            <w:r>
              <w:rPr/>
              <w:t>a capital increase from Company funds by the issue of new shares (</w:t>
            </w:r>
            <w:r>
              <w:rPr>
                <w:i/>
              </w:rPr>
              <w:t>Kapitalerhöhung aus Gesellschaftsmitteln</w:t>
            </w:r>
            <w:r>
              <w:rPr/>
              <w:t>);</w:t>
            </w:r>
          </w:p>
        </w:tc>
      </w:tr>
    </w:tbl>
    <w:p>
      <w:pPr>
        <w:pStyle w:val="TextBody"/>
        <w:bidi w:val="0"/>
        <w:spacing w:before="0" w:after="0"/>
        <w:ind w:left="1701" w:right="0" w:hanging="8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7.1.2</w:t>
            </w:r>
          </w:p>
        </w:tc>
        <w:tc>
          <w:tcPr>
            <w:tcW w:w="9667" w:type="dxa"/>
            <w:tcBorders/>
            <w:vAlign w:val="center"/>
          </w:tcPr>
          <w:p>
            <w:pPr>
              <w:pStyle w:val="TableContents"/>
              <w:bidi w:val="0"/>
              <w:spacing w:before="0" w:after="283"/>
              <w:jc w:val="both"/>
              <w:rPr/>
            </w:pPr>
            <w:r>
              <w:rPr/>
              <w:t>a reduction in the number of Shares by merging Shares without capital reduction (reverse share split) or an increase in the number of Shares without capital increase (share split);</w:t>
            </w:r>
          </w:p>
        </w:tc>
      </w:tr>
    </w:tbl>
    <w:p>
      <w:pPr>
        <w:pStyle w:val="TextBody"/>
        <w:bidi w:val="0"/>
        <w:spacing w:before="0" w:after="0"/>
        <w:ind w:left="1701" w:right="0" w:hanging="8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7.1.3</w:t>
            </w:r>
          </w:p>
        </w:tc>
        <w:tc>
          <w:tcPr>
            <w:tcW w:w="9667" w:type="dxa"/>
            <w:tcBorders/>
            <w:vAlign w:val="center"/>
          </w:tcPr>
          <w:p>
            <w:pPr>
              <w:pStyle w:val="TableContents"/>
              <w:bidi w:val="0"/>
              <w:spacing w:before="0" w:after="283"/>
              <w:jc w:val="both"/>
              <w:rPr/>
            </w:pPr>
            <w:r>
              <w:rPr/>
              <w:t>a capital reduction (</w:t>
            </w:r>
            <w:r>
              <w:rPr>
                <w:i/>
              </w:rPr>
              <w:t>Kapitalherabsetzung</w:t>
            </w:r>
            <w:r>
              <w:rPr/>
              <w:t>) with a change in the total number of Shares issued by the Company; or</w:t>
            </w:r>
          </w:p>
        </w:tc>
      </w:tr>
    </w:tbl>
    <w:p>
      <w:pPr>
        <w:pStyle w:val="TextBody"/>
        <w:bidi w:val="0"/>
        <w:spacing w:before="0" w:after="0"/>
        <w:ind w:left="1701" w:right="0" w:hanging="850"/>
        <w:jc w:val="both"/>
        <w:rPr>
          <w:caps w:val="false"/>
          <w:smallCaps w:val="false"/>
        </w:rPr>
      </w:pPr>
      <w:r>
        <w:rPr>
          <w:caps w:val="false"/>
          <w:smallCaps w:val="false"/>
        </w:rPr>
        <w:t> </w:t>
      </w:r>
    </w:p>
    <w:tbl>
      <w:tblPr>
        <w:tblW w:w="10128" w:type="dxa"/>
        <w:jc w:val="left"/>
        <w:tblInd w:w="0" w:type="dxa"/>
        <w:tblLayout w:type="fixed"/>
        <w:tblCellMar>
          <w:top w:w="0" w:type="dxa"/>
          <w:left w:w="0" w:type="dxa"/>
          <w:bottom w:w="0" w:type="dxa"/>
          <w:right w:w="0" w:type="dxa"/>
        </w:tblCellMar>
      </w:tblPr>
      <w:tblGrid>
        <w:gridCol w:w="38"/>
        <w:gridCol w:w="500"/>
        <w:gridCol w:w="9590"/>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7.1.4</w:t>
            </w:r>
          </w:p>
        </w:tc>
        <w:tc>
          <w:tcPr>
            <w:tcW w:w="9590" w:type="dxa"/>
            <w:tcBorders/>
            <w:vAlign w:val="center"/>
          </w:tcPr>
          <w:p>
            <w:pPr>
              <w:pStyle w:val="TableContents"/>
              <w:bidi w:val="0"/>
              <w:spacing w:before="0" w:after="283"/>
              <w:jc w:val="both"/>
              <w:rPr/>
            </w:pPr>
            <w:r>
              <w:rPr/>
              <w:t>any other such event having an effect similar to any of the foregoing (each an “</w:t>
            </w:r>
            <w:r>
              <w:rPr>
                <w:b/>
              </w:rPr>
              <w:t>Adjustment Event</w:t>
            </w:r>
            <w:r>
              <w:rPr/>
              <w:t>”),</w:t>
            </w:r>
          </w:p>
        </w:tc>
      </w:tr>
    </w:tbl>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Board may – subject to mandatory law – establish financial equality for the Beneficiaries to the extent necessary to prevent that such Adjustment Event results in a dilution or enlargement of the benefits or potential benefits resulting from the granted RSUs. In such an Adjustment Event the financial equality shall preferably be established by adjusting the number of RSUs.</w:t>
      </w:r>
    </w:p>
    <w:p>
      <w:pPr>
        <w:pStyle w:val="TextBody"/>
        <w:bidi w:val="0"/>
        <w:spacing w:before="0" w:after="0"/>
        <w:ind w:left="851" w:right="0" w:hanging="851"/>
        <w:jc w:val="both"/>
        <w:rPr>
          <w:caps w:val="false"/>
          <w:smallCaps w:val="false"/>
        </w:rPr>
      </w:pPr>
      <w:r>
        <w:rPr>
          <w:caps w:val="false"/>
          <w:smallCaps w:val="false"/>
        </w:rPr>
        <w:t> </w:t>
      </w:r>
    </w:p>
    <w:p>
      <w:pPr>
        <w:pStyle w:val="TextBody"/>
        <w:bidi w:val="0"/>
        <w:spacing w:before="0" w:after="0"/>
        <w:ind w:left="851" w:right="0" w:hanging="851"/>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14/21</w:t>
      </w:r>
    </w:p>
    <w:p>
      <w:pPr>
        <w:pStyle w:val="TextBody"/>
        <w:bidi w:val="0"/>
        <w:spacing w:before="0" w:after="0"/>
        <w:ind w:left="0" w:right="0" w:hanging="0"/>
        <w:jc w:val="left"/>
        <w:rPr/>
      </w:pPr>
      <w:r>
        <w:rPr/>
        <w:t> </w:t>
      </w:r>
    </w:p>
    <w:p>
      <w:pPr>
        <w:pStyle w:val="TextBody"/>
        <w:bidi w:val="0"/>
        <w:spacing w:before="0" w:after="0"/>
        <w:ind w:left="851" w:right="0" w:hanging="851"/>
        <w:jc w:val="both"/>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335"/>
        <w:gridCol w:w="8285"/>
      </w:tblGrid>
      <w:tr>
        <w:trPr/>
        <w:tc>
          <w:tcPr>
            <w:tcW w:w="335" w:type="dxa"/>
            <w:tcBorders/>
            <w:vAlign w:val="center"/>
          </w:tcPr>
          <w:p>
            <w:pPr>
              <w:pStyle w:val="TableContents"/>
              <w:bidi w:val="0"/>
              <w:spacing w:before="0" w:after="283"/>
              <w:jc w:val="left"/>
              <w:rPr/>
            </w:pPr>
            <w:r>
              <w:rPr/>
              <w:t>7.2</w:t>
            </w:r>
          </w:p>
        </w:tc>
        <w:tc>
          <w:tcPr>
            <w:tcW w:w="8285" w:type="dxa"/>
            <w:tcBorders/>
            <w:vAlign w:val="center"/>
          </w:tcPr>
          <w:p>
            <w:pPr>
              <w:pStyle w:val="TableContents"/>
              <w:bidi w:val="0"/>
              <w:spacing w:before="0" w:after="283"/>
              <w:jc w:val="both"/>
              <w:rPr/>
            </w:pPr>
            <w:r>
              <w:rPr>
                <w:u w:val="single"/>
              </w:rPr>
              <w:t>For the avoidance of doubt</w:t>
            </w:r>
            <w:r>
              <w:rPr/>
              <w:t>: No adjustment pursuant to § 7.1 shall occur in the event of:</w:t>
            </w:r>
          </w:p>
        </w:tc>
      </w:tr>
    </w:tbl>
    <w:p>
      <w:pPr>
        <w:pStyle w:val="TextBody"/>
        <w:bidi w:val="0"/>
        <w:spacing w:before="0" w:after="0"/>
        <w:ind w:left="1701" w:right="0" w:hanging="8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7.2.1</w:t>
            </w:r>
          </w:p>
        </w:tc>
        <w:tc>
          <w:tcPr>
            <w:tcW w:w="9667" w:type="dxa"/>
            <w:tcBorders/>
            <w:vAlign w:val="center"/>
          </w:tcPr>
          <w:p>
            <w:pPr>
              <w:pStyle w:val="TableContents"/>
              <w:bidi w:val="0"/>
              <w:spacing w:before="0" w:after="283"/>
              <w:jc w:val="both"/>
              <w:rPr/>
            </w:pPr>
            <w:r>
              <w:rPr/>
              <w:t>a capital increase from Company funds without the issue of new Shares (</w:t>
            </w:r>
            <w:r>
              <w:rPr>
                <w:i/>
              </w:rPr>
              <w:t>Kapitalerhöhung aus Gesellschaftsmitteln ohne Ausgabe neuer Aktien</w:t>
            </w:r>
            <w:r>
              <w:rPr/>
              <w:t>); or</w:t>
            </w:r>
          </w:p>
        </w:tc>
      </w:tr>
    </w:tbl>
    <w:p>
      <w:pPr>
        <w:pStyle w:val="TextBody"/>
        <w:bidi w:val="0"/>
        <w:spacing w:before="0" w:after="0"/>
        <w:ind w:left="1701" w:right="0" w:hanging="850"/>
        <w:jc w:val="both"/>
        <w:rPr>
          <w:caps w:val="false"/>
          <w:smallCaps w:val="false"/>
        </w:rPr>
      </w:pPr>
      <w:r>
        <w:rPr>
          <w:caps w:val="false"/>
          <w:smallCaps w:val="false"/>
        </w:rPr>
        <w:t> </w:t>
      </w:r>
    </w:p>
    <w:tbl>
      <w:tblPr>
        <w:tblW w:w="9093" w:type="dxa"/>
        <w:jc w:val="left"/>
        <w:tblInd w:w="0" w:type="dxa"/>
        <w:tblLayout w:type="fixed"/>
        <w:tblCellMar>
          <w:top w:w="0" w:type="dxa"/>
          <w:left w:w="0" w:type="dxa"/>
          <w:bottom w:w="0" w:type="dxa"/>
          <w:right w:w="0" w:type="dxa"/>
        </w:tblCellMar>
      </w:tblPr>
      <w:tblGrid>
        <w:gridCol w:w="38"/>
        <w:gridCol w:w="50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7.2.2</w:t>
            </w:r>
          </w:p>
        </w:tc>
        <w:tc>
          <w:tcPr>
            <w:tcW w:w="8555" w:type="dxa"/>
            <w:tcBorders/>
            <w:vAlign w:val="center"/>
          </w:tcPr>
          <w:p>
            <w:pPr>
              <w:pStyle w:val="TableContents"/>
              <w:bidi w:val="0"/>
              <w:spacing w:before="0" w:after="283"/>
              <w:jc w:val="both"/>
              <w:rPr/>
            </w:pPr>
            <w:r>
              <w:rPr/>
              <w:t>a capital reduction without a change in the total number of Shares issued by the Company.</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7.3</w:t>
            </w:r>
          </w:p>
        </w:tc>
        <w:tc>
          <w:tcPr>
            <w:tcW w:w="9870" w:type="dxa"/>
            <w:tcBorders/>
            <w:vAlign w:val="center"/>
          </w:tcPr>
          <w:p>
            <w:pPr>
              <w:pStyle w:val="TableContents"/>
              <w:bidi w:val="0"/>
              <w:spacing w:before="0" w:after="283"/>
              <w:jc w:val="both"/>
              <w:rPr/>
            </w:pPr>
            <w:r>
              <w:rPr/>
              <w:t>If an adjustment occurs in accordance with this § 7, fractions of shares will not be granted upon the settlement of RSUs nor will they be compensated by a payment in cash.</w:t>
            </w:r>
          </w:p>
        </w:tc>
      </w:tr>
    </w:tbl>
    <w:p>
      <w:pPr>
        <w:pStyle w:val="TextBody"/>
        <w:bidi w:val="0"/>
        <w:spacing w:before="0" w:after="0"/>
        <w:ind w:left="851" w:right="0" w:hanging="851"/>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 8</w:t>
        <w:br/>
        <w:t>EXTRAORDINARY DEVELOPMENTS</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8.1</w:t>
            </w:r>
          </w:p>
        </w:tc>
        <w:tc>
          <w:tcPr>
            <w:tcW w:w="9870" w:type="dxa"/>
            <w:tcBorders/>
            <w:vAlign w:val="center"/>
          </w:tcPr>
          <w:p>
            <w:pPr>
              <w:pStyle w:val="TableContents"/>
              <w:bidi w:val="0"/>
              <w:spacing w:before="0" w:after="283"/>
              <w:jc w:val="both"/>
              <w:rPr/>
            </w:pPr>
            <w:r>
              <w:rPr/>
              <w:t>For purposes of this § 8, “</w:t>
            </w:r>
            <w:r>
              <w:rPr>
                <w:b/>
              </w:rPr>
              <w:t>Extraordinary Events or Developments</w:t>
            </w:r>
            <w:r>
              <w:rPr/>
              <w:t>” means – subject always to mandatory law – situations where the potential gain realized by the Beneficiary upon the settlement of the Vested RSUs (i) is caused by unusual external events and developments; and (ii) cannot be reasonably justified under any circumstances by the development or business perspective of the Company, also taking into account international remuneration and incentive standards. However, the settlement of Vested RSUs of a Beneficiary as such, that results in an economic benefit for the Beneficiary, does not constitute an Extraordinary Event or Development.</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8.2</w:t>
            </w:r>
          </w:p>
        </w:tc>
        <w:tc>
          <w:tcPr>
            <w:tcW w:w="9870" w:type="dxa"/>
            <w:tcBorders/>
            <w:vAlign w:val="center"/>
          </w:tcPr>
          <w:p>
            <w:pPr>
              <w:pStyle w:val="TableContents"/>
              <w:bidi w:val="0"/>
              <w:spacing w:before="0" w:after="283"/>
              <w:jc w:val="both"/>
              <w:rPr/>
            </w:pPr>
            <w:r>
              <w:rPr/>
              <w:t>In case of Extraordinary Events or Developments, the Company’s Management Board is entitled to adjust in its discretion (</w:t>
            </w:r>
            <w:r>
              <w:rPr>
                <w:i/>
              </w:rPr>
              <w:t>pflichtgemäßes Ermessen</w:t>
            </w:r>
            <w:r>
              <w:rPr/>
              <w:t>) the payout in the form of a Cash Settlement or Share Settlement, to the extent required to eliminate such extraordinary effects.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 9</w:t>
        <w:br/>
        <w:t>INSIDER TRADING AND NON-TRADING PERIODS</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9.1</w:t>
            </w:r>
          </w:p>
        </w:tc>
        <w:tc>
          <w:tcPr>
            <w:tcW w:w="9870" w:type="dxa"/>
            <w:tcBorders/>
            <w:vAlign w:val="center"/>
          </w:tcPr>
          <w:p>
            <w:pPr>
              <w:pStyle w:val="TableContents"/>
              <w:bidi w:val="0"/>
              <w:spacing w:before="0" w:after="283"/>
              <w:jc w:val="both"/>
              <w:rPr/>
            </w:pPr>
            <w:r>
              <w:rPr/>
              <w:t>Any transaction in the Shares granted in case of a Share Settlement (each a “</w:t>
            </w:r>
            <w:r>
              <w:rPr>
                <w:b/>
              </w:rPr>
              <w:t>Transaction</w:t>
            </w:r>
            <w:r>
              <w:rPr/>
              <w:t>”) must be conducted in compliance with (i) all applicable insider trading laws and regulations, namely Art. 14, 7 et seqq. MAR, and (ii) all provisions of any insider trading rules established by the Company ((i) and (ii) together the “</w:t>
            </w:r>
            <w:r>
              <w:rPr>
                <w:b/>
              </w:rPr>
              <w:t>Insider Trading Rules</w:t>
            </w:r>
            <w:r>
              <w:rPr/>
              <w:t>”). Each Beneficiary is personally responsible for informing herself/himself about, and acting in full compliance with, all applicable Insider Trading Rules. Any individual non-compliance with applicable Insider Trading Rules may lead to the imposition of civil and criminal penalties (as the case may be).</w:t>
            </w:r>
          </w:p>
        </w:tc>
      </w:tr>
    </w:tbl>
    <w:p>
      <w:pPr>
        <w:pStyle w:val="TextBody"/>
        <w:bidi w:val="0"/>
        <w:spacing w:before="0" w:after="0"/>
        <w:ind w:left="851" w:right="0" w:hanging="851"/>
        <w:jc w:val="both"/>
        <w:rPr>
          <w:caps w:val="false"/>
          <w:smallCaps w:val="false"/>
        </w:rPr>
      </w:pPr>
      <w:r>
        <w:rPr>
          <w:caps w:val="false"/>
          <w:smallCaps w:val="false"/>
        </w:rPr>
        <w:t> </w:t>
      </w:r>
    </w:p>
    <w:p>
      <w:pPr>
        <w:pStyle w:val="TextBody"/>
        <w:bidi w:val="0"/>
        <w:spacing w:before="0" w:after="0"/>
        <w:ind w:left="851" w:right="0" w:hanging="851"/>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15/21</w:t>
      </w:r>
    </w:p>
    <w:p>
      <w:pPr>
        <w:pStyle w:val="TextBody"/>
        <w:bidi w:val="0"/>
        <w:spacing w:before="0" w:after="0"/>
        <w:ind w:left="0" w:right="0" w:hanging="0"/>
        <w:jc w:val="left"/>
        <w:rPr/>
      </w:pPr>
      <w:r>
        <w:rPr/>
        <w:t> </w:t>
      </w:r>
    </w:p>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9.2</w:t>
            </w:r>
          </w:p>
        </w:tc>
        <w:tc>
          <w:tcPr>
            <w:tcW w:w="9870" w:type="dxa"/>
            <w:tcBorders/>
            <w:vAlign w:val="center"/>
          </w:tcPr>
          <w:p>
            <w:pPr>
              <w:pStyle w:val="TableContents"/>
              <w:bidi w:val="0"/>
              <w:spacing w:before="0" w:after="283"/>
              <w:jc w:val="both"/>
              <w:rPr/>
            </w:pPr>
            <w:r>
              <w:rPr/>
              <w:t>The Company may postpone or delay the settlement of any Vested RSUs by way of a Cash Settlement or Share Settlement or a combination of both to a later point in time due to restrictions under applicable laws and regulations or rejections from competent authorities, including during a time when the Company (a) is aware of any inside information as defined in Article 7 para. 1 MAR with respect to the Company or its securities or (b) is relying on a temporary exemption from the ad-hoc disclosure obligation pursuant to Article 17 para. 4 MAR.</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9.3</w:t>
            </w:r>
          </w:p>
        </w:tc>
        <w:tc>
          <w:tcPr>
            <w:tcW w:w="9870" w:type="dxa"/>
            <w:tcBorders/>
            <w:vAlign w:val="center"/>
          </w:tcPr>
          <w:p>
            <w:pPr>
              <w:pStyle w:val="TableContents"/>
              <w:bidi w:val="0"/>
              <w:spacing w:before="0" w:after="283"/>
              <w:jc w:val="both"/>
              <w:rPr/>
            </w:pPr>
            <w:r>
              <w:rPr/>
              <w:t>In order to minimize the potential for prohibited insider trading, the Management Board of the Company may establish in its sole discretion periods from time to time during which all or some of the Beneficiaries may not engage in transactions involving Shares granted in case of a Share Settlement (the “</w:t>
            </w:r>
            <w:r>
              <w:rPr>
                <w:b/>
              </w:rPr>
              <w:t>Non-Trading Periods</w:t>
            </w:r>
            <w:r>
              <w:rPr/>
              <w:t>”). As a matter of precaution, and notwithstanding any other provisions in these RSUP 2022 Terms &amp; Conditions, the Beneficiaries may not subscribe any new Shares during an applicable Non-Trading Period.</w:t>
            </w:r>
          </w:p>
        </w:tc>
      </w:tr>
    </w:tbl>
    <w:p>
      <w:pPr>
        <w:pStyle w:val="TextBody"/>
        <w:bidi w:val="0"/>
        <w:spacing w:before="0" w:after="0"/>
        <w:ind w:left="851" w:right="0" w:hanging="851"/>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 10</w:t>
        <w:br/>
        <w:t>LIMITATION OF LIABILITY</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10.1</w:t>
            </w:r>
          </w:p>
        </w:tc>
        <w:tc>
          <w:tcPr>
            <w:tcW w:w="9750" w:type="dxa"/>
            <w:tcBorders/>
            <w:vAlign w:val="center"/>
          </w:tcPr>
          <w:p>
            <w:pPr>
              <w:pStyle w:val="TableContents"/>
              <w:bidi w:val="0"/>
              <w:spacing w:before="0" w:after="283"/>
              <w:jc w:val="both"/>
              <w:rPr/>
            </w:pPr>
            <w:r>
              <w:rPr/>
              <w:t>The Company (nor any of its management board members, supervisory board members or employees) does not:</w:t>
            </w:r>
          </w:p>
        </w:tc>
      </w:tr>
    </w:tbl>
    <w:p>
      <w:pPr>
        <w:pStyle w:val="TextBody"/>
        <w:bidi w:val="0"/>
        <w:spacing w:before="0" w:after="0"/>
        <w:ind w:left="1701" w:right="0" w:hanging="8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10.1.1</w:t>
            </w:r>
          </w:p>
        </w:tc>
        <w:tc>
          <w:tcPr>
            <w:tcW w:w="9547" w:type="dxa"/>
            <w:tcBorders/>
            <w:vAlign w:val="center"/>
          </w:tcPr>
          <w:p>
            <w:pPr>
              <w:pStyle w:val="TableContents"/>
              <w:bidi w:val="0"/>
              <w:spacing w:before="0" w:after="283"/>
              <w:jc w:val="both"/>
              <w:rPr/>
            </w:pPr>
            <w:r>
              <w:rPr/>
              <w:t>assume any responsibility or liability for the development of the value of any RSU granted under the RSUP 2022;</w:t>
            </w:r>
          </w:p>
        </w:tc>
      </w:tr>
    </w:tbl>
    <w:p>
      <w:pPr>
        <w:pStyle w:val="TextBody"/>
        <w:bidi w:val="0"/>
        <w:spacing w:before="0" w:after="0"/>
        <w:ind w:left="1701" w:right="0" w:hanging="8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10.1.2</w:t>
            </w:r>
          </w:p>
        </w:tc>
        <w:tc>
          <w:tcPr>
            <w:tcW w:w="9547" w:type="dxa"/>
            <w:tcBorders/>
            <w:vAlign w:val="center"/>
          </w:tcPr>
          <w:p>
            <w:pPr>
              <w:pStyle w:val="TableContents"/>
              <w:bidi w:val="0"/>
              <w:spacing w:before="0" w:after="283"/>
              <w:jc w:val="both"/>
              <w:rPr/>
            </w:pPr>
            <w:r>
              <w:rPr/>
              <w:t>assume any responsibility or liability for the development of the value or market price of the Company’s Shares, including during the Vesting Period and any periods between the point in time the RSUs have vested and the respective Cash Settlement Date, the Capital Increase Resolution Date, or the Share Settlement Date for such Vested RSUs;</w:t>
            </w:r>
          </w:p>
        </w:tc>
      </w:tr>
    </w:tbl>
    <w:p>
      <w:pPr>
        <w:pStyle w:val="TextBody"/>
        <w:bidi w:val="0"/>
        <w:spacing w:before="0" w:after="0"/>
        <w:ind w:left="1701" w:right="0" w:hanging="8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10.1.3</w:t>
            </w:r>
          </w:p>
        </w:tc>
        <w:tc>
          <w:tcPr>
            <w:tcW w:w="9547" w:type="dxa"/>
            <w:tcBorders/>
            <w:vAlign w:val="center"/>
          </w:tcPr>
          <w:p>
            <w:pPr>
              <w:pStyle w:val="TableContents"/>
              <w:bidi w:val="0"/>
              <w:spacing w:before="0" w:after="283"/>
              <w:jc w:val="both"/>
              <w:rPr/>
            </w:pPr>
            <w:r>
              <w:rPr/>
              <w:t>warrant, assure or guarantee a profit of a Beneficiary from the RSUP 2022 or any RSU granted thereunder; or</w:t>
            </w:r>
          </w:p>
        </w:tc>
      </w:tr>
    </w:tbl>
    <w:p>
      <w:pPr>
        <w:pStyle w:val="TextBody"/>
        <w:bidi w:val="0"/>
        <w:spacing w:before="0" w:after="0"/>
        <w:ind w:left="1701" w:right="0" w:hanging="8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10.1.4</w:t>
            </w:r>
          </w:p>
        </w:tc>
        <w:tc>
          <w:tcPr>
            <w:tcW w:w="9547" w:type="dxa"/>
            <w:tcBorders/>
            <w:vAlign w:val="center"/>
          </w:tcPr>
          <w:p>
            <w:pPr>
              <w:pStyle w:val="TableContents"/>
              <w:bidi w:val="0"/>
              <w:spacing w:before="0" w:after="283"/>
              <w:jc w:val="both"/>
              <w:rPr/>
            </w:pPr>
            <w:r>
              <w:rPr/>
              <w:t>warrant, assure or guarantee any increase in value of the RSUs or, following a Share Settlement, the value or market price of the Company’s Shares; in particular it is neither warranted, assured or guaranteed that a Beneficiary will be able to sell her/his participation in the Company with a profit in the future, nor that no loss will be incurred.</w:t>
            </w:r>
          </w:p>
        </w:tc>
      </w:tr>
    </w:tbl>
    <w:p>
      <w:pPr>
        <w:pStyle w:val="TextBody"/>
        <w:bidi w:val="0"/>
        <w:spacing w:before="0" w:after="0"/>
        <w:ind w:left="851" w:right="0" w:hanging="851"/>
        <w:jc w:val="both"/>
        <w:rPr>
          <w:caps w:val="false"/>
          <w:smallCaps w:val="false"/>
        </w:rPr>
      </w:pPr>
      <w:r>
        <w:rPr>
          <w:caps w:val="false"/>
          <w:smallCaps w:val="false"/>
        </w:rPr>
        <w:t> </w:t>
      </w:r>
    </w:p>
    <w:p>
      <w:pPr>
        <w:pStyle w:val="TextBody"/>
        <w:bidi w:val="0"/>
        <w:spacing w:before="0" w:after="0"/>
        <w:ind w:left="851" w:right="0" w:hanging="851"/>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16/21</w:t>
      </w:r>
    </w:p>
    <w:p>
      <w:pPr>
        <w:pStyle w:val="TextBody"/>
        <w:bidi w:val="0"/>
        <w:spacing w:before="0" w:after="0"/>
        <w:ind w:left="0" w:right="0" w:hanging="0"/>
        <w:jc w:val="left"/>
        <w:rPr/>
      </w:pPr>
      <w:r>
        <w:rPr/>
        <w:t> </w:t>
      </w:r>
    </w:p>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10.2</w:t>
            </w:r>
          </w:p>
        </w:tc>
        <w:tc>
          <w:tcPr>
            <w:tcW w:w="9750" w:type="dxa"/>
            <w:tcBorders/>
            <w:vAlign w:val="center"/>
          </w:tcPr>
          <w:p>
            <w:pPr>
              <w:pStyle w:val="TableContents"/>
              <w:bidi w:val="0"/>
              <w:spacing w:before="0" w:after="283"/>
              <w:jc w:val="both"/>
              <w:rPr/>
            </w:pPr>
            <w:r>
              <w:rPr/>
              <w:t>Each Beneficiary declares with her/his participation in the RSUP 2022 that the participation is voluntary. Each Beneficiary is aware of the fact that he/she alone bears the risk of a decrease in or total loss of value of the RSUs or, following a Share Settlement, the Company’s Shares. Each Beneficiary accepts the offer to participate in the RSUP 2022 at her/his own risk and assumes any liability relating thereto.</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10.3</w:t>
            </w:r>
          </w:p>
        </w:tc>
        <w:tc>
          <w:tcPr>
            <w:tcW w:w="9750" w:type="dxa"/>
            <w:tcBorders/>
            <w:vAlign w:val="center"/>
          </w:tcPr>
          <w:p>
            <w:pPr>
              <w:pStyle w:val="TableContents"/>
              <w:bidi w:val="0"/>
              <w:spacing w:before="0" w:after="283"/>
              <w:jc w:val="both"/>
              <w:rPr/>
            </w:pPr>
            <w:r>
              <w:rPr/>
              <w:t>Each Beneficiary accepts, that her/his claim stemming from Vested RSUs may be delayed or even forfeited, if he/she does not provide the information requested and required by the Company to perform the Cash Settlement and/or the Share Settlement, in particular, the information in § 5.3.</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10.4</w:t>
            </w:r>
          </w:p>
        </w:tc>
        <w:tc>
          <w:tcPr>
            <w:tcW w:w="9750" w:type="dxa"/>
            <w:tcBorders/>
            <w:vAlign w:val="center"/>
          </w:tcPr>
          <w:p>
            <w:pPr>
              <w:pStyle w:val="TableContents"/>
              <w:bidi w:val="0"/>
              <w:spacing w:before="0" w:after="283"/>
              <w:jc w:val="both"/>
              <w:rPr/>
            </w:pPr>
            <w:r>
              <w:rPr/>
              <w:t>Each Beneficiary is responsible for obtaining legal, tax and any other necessary advice before participating in the RSUP 2022 and for evaluating the tax effects connected with the RSUP 2022. Each Beneficiary accepts and declares that he has not been advised by or on behalf of the Company with respect to her/his participation in the RSUP 2022 (in particular, regarding legal and tax issues of such participation).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 11</w:t>
        <w:br/>
        <w:t>TAXES, SOCIAL SECURITY AND COSTS</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11.1</w:t>
            </w:r>
          </w:p>
        </w:tc>
        <w:tc>
          <w:tcPr>
            <w:tcW w:w="9750" w:type="dxa"/>
            <w:tcBorders/>
            <w:vAlign w:val="center"/>
          </w:tcPr>
          <w:p>
            <w:pPr>
              <w:pStyle w:val="TableContents"/>
              <w:bidi w:val="0"/>
              <w:spacing w:before="0" w:after="283"/>
              <w:jc w:val="both"/>
              <w:rPr/>
            </w:pPr>
            <w:r>
              <w:rPr/>
              <w:t>All taxes (including payroll taxes), social security contributions, further duties and costs accrued by the Beneficiary in connection with her/his participation in the RSUP 2022 shall be borne by each Beneficiary. Each Beneficiary is obliged to pay taxes relating to the respective RSUs granted/settled under the RSUP 2022, or relating to a transfer (if permitted under these RSUP 2022 Terms &amp; Conditions) of such RSUs by the Beneficiary to a third party, to the competent tax authorities. Each Beneficiary shall fully indemnify the Company in respect of all such liabilities and obligations against tax authorities.</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11.2</w:t>
            </w:r>
          </w:p>
        </w:tc>
        <w:tc>
          <w:tcPr>
            <w:tcW w:w="9750" w:type="dxa"/>
            <w:tcBorders/>
            <w:vAlign w:val="center"/>
          </w:tcPr>
          <w:p>
            <w:pPr>
              <w:pStyle w:val="TableContents"/>
              <w:bidi w:val="0"/>
              <w:spacing w:before="0" w:after="283"/>
              <w:jc w:val="both"/>
              <w:rPr/>
            </w:pPr>
            <w:r>
              <w:rPr/>
              <w:t>Mynaric or any of its Affiliated Companies is entitled, if required by statutory law, to withhold payroll tax or any other taxes or duties or social security contributions to be paid by (or on behalf and account of) the Beneficiary. This applies even after termination of the service relationship or employment relationship of a Beneficiary with the Company. The Company is entitled to demand the full cooperation of the Beneficiary even after her/his leave with respect to the withholding of taxes, social security contributions, other duties and costs in connection with the RSUP 2022. The Beneficiary undertakes to fully cooperate with the Company.</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11.3</w:t>
            </w:r>
          </w:p>
        </w:tc>
        <w:tc>
          <w:tcPr>
            <w:tcW w:w="9750" w:type="dxa"/>
            <w:tcBorders/>
            <w:vAlign w:val="center"/>
          </w:tcPr>
          <w:p>
            <w:pPr>
              <w:pStyle w:val="TableContents"/>
              <w:bidi w:val="0"/>
              <w:spacing w:before="0" w:after="283"/>
              <w:jc w:val="both"/>
              <w:rPr/>
            </w:pPr>
            <w:r>
              <w:rPr/>
              <w:t>Withholdings mentioned above do not release the Beneficiary from her/his responsibility and obligation to pay all taxes, social contributions, further duties and costs being due and accruing in connection with her/his participation in the RSUP 2022 or the allocation/grant, settlement or transfer of any RSUs.</w:t>
            </w:r>
          </w:p>
        </w:tc>
      </w:tr>
    </w:tbl>
    <w:p>
      <w:pPr>
        <w:pStyle w:val="TextBody"/>
        <w:bidi w:val="0"/>
        <w:spacing w:before="0" w:after="0"/>
        <w:ind w:left="851" w:right="0" w:hanging="851"/>
        <w:jc w:val="both"/>
        <w:rPr>
          <w:caps w:val="false"/>
          <w:smallCaps w:val="false"/>
        </w:rPr>
      </w:pPr>
      <w:r>
        <w:rPr>
          <w:caps w:val="false"/>
          <w:smallCaps w:val="false"/>
        </w:rPr>
        <w:t> </w:t>
      </w:r>
    </w:p>
    <w:p>
      <w:pPr>
        <w:pStyle w:val="TextBody"/>
        <w:bidi w:val="0"/>
        <w:spacing w:before="0" w:after="0"/>
        <w:ind w:left="851" w:right="0" w:hanging="851"/>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17/21</w:t>
      </w:r>
    </w:p>
    <w:p>
      <w:pPr>
        <w:pStyle w:val="TextBody"/>
        <w:bidi w:val="0"/>
        <w:spacing w:before="0" w:after="0"/>
        <w:ind w:left="0" w:right="0" w:hanging="0"/>
        <w:jc w:val="left"/>
        <w:rPr/>
      </w:pPr>
      <w:r>
        <w:rPr/>
        <w:t> </w:t>
      </w:r>
    </w:p>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11.4</w:t>
            </w:r>
          </w:p>
        </w:tc>
        <w:tc>
          <w:tcPr>
            <w:tcW w:w="9750" w:type="dxa"/>
            <w:tcBorders/>
            <w:vAlign w:val="center"/>
          </w:tcPr>
          <w:p>
            <w:pPr>
              <w:pStyle w:val="TableContents"/>
              <w:bidi w:val="0"/>
              <w:spacing w:before="0" w:after="283"/>
              <w:jc w:val="both"/>
              <w:rPr/>
            </w:pPr>
            <w:r>
              <w:rPr/>
              <w:t>The compensation and benefits under these RSUP 2022 Terms &amp; Conditions are intended to comply with or be exempt from the requirements of Section 409A of the U.S. Internal Revenue Code (“</w:t>
            </w:r>
            <w:r>
              <w:rPr>
                <w:b/>
              </w:rPr>
              <w:t>the Code</w:t>
            </w:r>
            <w:r>
              <w:rPr/>
              <w:t>”), and these RSUP 2022 Terms &amp; Conditions will be interpreted and administered in a manner consistent with that intent. The preceding provision, however, shall not be construed as a guarantee by the Company of any particular tax effect to any Beneficiary under these RSUP 2022 Terms &amp; Conditions and shall not constitute an indemnity from the Company to any Beneficiary. References to “termination of employment” and similar terms used in these RSUP 2022 Terms &amp; Conditions mean, to the extent necessary to comply with Section 409A of the Code, the date that the Beneficiary first incurs a “separation from service” within the meaning of Section 409A of the Code. Each payment under these RSUP 2022 Terms &amp; Conditions shall be designated as a “separate payment” within the meaning of Section 409A of the Code.</w:t>
            </w:r>
          </w:p>
        </w:tc>
      </w:tr>
    </w:tbl>
    <w:p>
      <w:pPr>
        <w:pStyle w:val="TextBody"/>
        <w:bidi w:val="0"/>
        <w:spacing w:before="0" w:after="0"/>
        <w:ind w:left="851" w:right="0" w:hanging="851"/>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 12</w:t>
        <w:br/>
        <w:t>FORM REQUIREMENTS</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12.1</w:t>
            </w:r>
          </w:p>
        </w:tc>
        <w:tc>
          <w:tcPr>
            <w:tcW w:w="9750" w:type="dxa"/>
            <w:tcBorders/>
            <w:vAlign w:val="center"/>
          </w:tcPr>
          <w:p>
            <w:pPr>
              <w:pStyle w:val="TableContents"/>
              <w:bidi w:val="0"/>
              <w:spacing w:before="0" w:after="283"/>
              <w:jc w:val="both"/>
              <w:rPr/>
            </w:pPr>
            <w:r>
              <w:rPr/>
              <w:t>Any legal statements and other notices in connection with the RSUP 2022 (collectively the “</w:t>
            </w:r>
            <w:r>
              <w:rPr>
                <w:b/>
              </w:rPr>
              <w:t>Notices</w:t>
            </w:r>
            <w:r>
              <w:rPr/>
              <w:t>”) or any amendment of these RSUP 2022 Terms &amp; Conditions (including an amendment of this § 12.1) shall be made in text form or electronic form (e.g. email) unless any other specific form is required by mandatory law or these RSUP 2022 Terms &amp; Conditions.</w:t>
            </w:r>
          </w:p>
        </w:tc>
      </w:tr>
    </w:tbl>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to be delivered to the Company shall be addressed by email to the HR Department of Mynaric AG (e-mail: hr@mynaric.com). The Company shall communicate changes in the address set forth in the previous sentence as soon as possible to the Beneficiaries. In the absence of such communication, the address stated above shall remain in place.</w:t>
      </w:r>
    </w:p>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12.2</w:t>
            </w:r>
          </w:p>
        </w:tc>
        <w:tc>
          <w:tcPr>
            <w:tcW w:w="9750" w:type="dxa"/>
            <w:tcBorders/>
            <w:vAlign w:val="center"/>
          </w:tcPr>
          <w:p>
            <w:pPr>
              <w:pStyle w:val="TableContents"/>
              <w:bidi w:val="0"/>
              <w:spacing w:before="0" w:after="283"/>
              <w:jc w:val="both"/>
              <w:rPr/>
            </w:pPr>
            <w:r>
              <w:rPr/>
              <w:t>Any Notice to be given to a Beneficiary may be served by being sent to her/him by email or to her/his home or business address. Each Beneficiary shall communicate changes of address as soon as possible to the Company.</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 13</w:t>
        <w:br/>
        <w:t>PROCESSING OF PERSONAL DATA</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13.1</w:t>
            </w:r>
          </w:p>
        </w:tc>
        <w:tc>
          <w:tcPr>
            <w:tcW w:w="9750" w:type="dxa"/>
            <w:tcBorders/>
            <w:vAlign w:val="center"/>
          </w:tcPr>
          <w:p>
            <w:pPr>
              <w:pStyle w:val="TableContents"/>
              <w:bidi w:val="0"/>
              <w:spacing w:before="0" w:after="283"/>
              <w:jc w:val="both"/>
              <w:rPr/>
            </w:pPr>
            <w:r>
              <w:rPr/>
              <w:t xml:space="preserve">The Company processes personal data of the Beneficiaries in connection with the administration, implementation and settlement of the RSUP 2022. Additional information regarding the processing of personal data in connection with the RSUP 2022 with respect to EU resident Beneficiaries is included in </w:t>
            </w:r>
            <w:r>
              <w:rPr>
                <w:b/>
                <w:u w:val="single"/>
              </w:rPr>
              <w:t>Exhibit</w:t>
            </w:r>
            <w:r>
              <w:rPr/>
              <w:t xml:space="preserve"> (Information on the Processing of Personal Data), and personal data of non-EU resident Beneficiaries is handled by Shareworks in compliance with applicable U.S. or other jurisdictional laws.</w:t>
            </w:r>
          </w:p>
        </w:tc>
      </w:tr>
    </w:tbl>
    <w:p>
      <w:pPr>
        <w:pStyle w:val="TextBody"/>
        <w:bidi w:val="0"/>
        <w:spacing w:before="0" w:after="0"/>
        <w:ind w:left="851" w:right="0" w:hanging="851"/>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18/21</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 14</w:t>
        <w:br/>
        <w:t>GOVERNING LAW AND JURISDICTION</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14.1</w:t>
            </w:r>
          </w:p>
        </w:tc>
        <w:tc>
          <w:tcPr>
            <w:tcW w:w="9750" w:type="dxa"/>
            <w:tcBorders/>
            <w:vAlign w:val="center"/>
          </w:tcPr>
          <w:p>
            <w:pPr>
              <w:pStyle w:val="TableContents"/>
              <w:bidi w:val="0"/>
              <w:spacing w:before="0" w:after="283"/>
              <w:jc w:val="both"/>
              <w:rPr/>
            </w:pPr>
            <w:r>
              <w:rPr/>
              <w:t>The RSUP 2022, any RSUs granted thereunder and these RSUP 2022 Terms &amp; Conditions shall be exclusively governed by, and be construed in accordance with, the laws of the Federal Republic of Germany, without regard to principles of conflicts of laws.</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14.2</w:t>
            </w:r>
          </w:p>
        </w:tc>
        <w:tc>
          <w:tcPr>
            <w:tcW w:w="9750" w:type="dxa"/>
            <w:tcBorders/>
            <w:vAlign w:val="center"/>
          </w:tcPr>
          <w:p>
            <w:pPr>
              <w:pStyle w:val="TableContents"/>
              <w:bidi w:val="0"/>
              <w:spacing w:before="0" w:after="283"/>
              <w:jc w:val="both"/>
              <w:rPr/>
            </w:pPr>
            <w:r>
              <w:rPr/>
              <w:t>Any dispute, controversy or claim arising from or in connection with the RSUP 2022, any RSUs granted thereunder, Vested RSUs or these RSUP 2022 Terms &amp; Conditions or their validity shall be decided upon by the competent courts in Munich, Germany.</w:t>
            </w:r>
          </w:p>
        </w:tc>
      </w:tr>
    </w:tbl>
    <w:p>
      <w:pPr>
        <w:pStyle w:val="TextBody"/>
        <w:bidi w:val="0"/>
        <w:spacing w:before="0" w:after="0"/>
        <w:ind w:left="851" w:right="0" w:hanging="851"/>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 15</w:t>
        <w:br/>
        <w:t>FINAL PROVISIONS</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15.1</w:t>
            </w:r>
          </w:p>
        </w:tc>
        <w:tc>
          <w:tcPr>
            <w:tcW w:w="9750" w:type="dxa"/>
            <w:tcBorders/>
            <w:vAlign w:val="center"/>
          </w:tcPr>
          <w:p>
            <w:pPr>
              <w:pStyle w:val="TableContents"/>
              <w:bidi w:val="0"/>
              <w:spacing w:before="0" w:after="283"/>
              <w:jc w:val="both"/>
              <w:rPr/>
            </w:pPr>
            <w:r>
              <w:rPr/>
              <w:t>In these RSUP 2022 Terms &amp; Conditions, the headings are inserted for convenience only and shall not affect the interpretation of these RSUP 2022 Terms &amp; Conditions; where a German term has been inserted in italics, it alone (and not the English term to which it relates) shall be authoritative for the purpose of the interpretation of the relevant English term in these RSUP 2022 Terms &amp; Conditions. The terms “including” and “in particular” shall always mean “including, without limitation” and “in particular, without limitation”, respectively. Any reference made in these RSUP 2022 Terms &amp; Conditions to any clauses without further indication of a law, an agreement or another document shall mean clauses of these RSUP 2022 Terms &amp; Conditions.</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15.2</w:t>
            </w:r>
          </w:p>
        </w:tc>
        <w:tc>
          <w:tcPr>
            <w:tcW w:w="9750" w:type="dxa"/>
            <w:tcBorders/>
            <w:vAlign w:val="center"/>
          </w:tcPr>
          <w:p>
            <w:pPr>
              <w:pStyle w:val="TableContents"/>
              <w:bidi w:val="0"/>
              <w:spacing w:before="0" w:after="283"/>
              <w:jc w:val="both"/>
              <w:rPr/>
            </w:pPr>
            <w:r>
              <w:rPr/>
              <w:t>In the event that one or more provisions of these RSUP 2022 Terms &amp; Conditions shall, or shall be deemed to be invalid or unenforceable, the validity and enforceability of the other provisions of these RSUP 2022 Terms &amp; Conditions shall not be affected thereby. In such case, the Company and each Beneficiary agree to recognize and give effect to such valid and enforceable provision or provisions, which correspond as closely as possible with the commercial intent of the Parties. The same shall apply in the event that these RSUP 2022 Terms &amp; Conditions contain any unintended gaps (</w:t>
            </w:r>
            <w:r>
              <w:rPr>
                <w:i/>
              </w:rPr>
              <w:t>unbeabsichtigte Lücken</w:t>
            </w:r>
            <w:r>
              <w:rPr/>
              <w:t>).</w:t>
            </w:r>
          </w:p>
        </w:tc>
      </w:tr>
    </w:tbl>
    <w:p>
      <w:pPr>
        <w:pStyle w:val="TextBody"/>
        <w:bidi w:val="0"/>
        <w:spacing w:before="0" w:after="0"/>
        <w:ind w:left="851" w:right="0" w:hanging="8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15.3</w:t>
            </w:r>
          </w:p>
        </w:tc>
        <w:tc>
          <w:tcPr>
            <w:tcW w:w="9750" w:type="dxa"/>
            <w:tcBorders/>
            <w:vAlign w:val="center"/>
          </w:tcPr>
          <w:p>
            <w:pPr>
              <w:pStyle w:val="TableContents"/>
              <w:bidi w:val="0"/>
              <w:spacing w:before="0" w:after="283"/>
              <w:jc w:val="both"/>
              <w:rPr/>
            </w:pPr>
            <w:r>
              <w:rPr/>
              <w:t>In case of a delisting of the Shares from the Frankfurt Stock Exchange (</w:t>
            </w:r>
            <w:r>
              <w:rPr>
                <w:i/>
              </w:rPr>
              <w:t>Frankfurter Wertpapierbörse</w:t>
            </w:r>
            <w:r>
              <w:rPr/>
              <w:t>) or a new listing of the Shares or the ADSs on a different stock exchange, the Company may amend any provisions of these RSUP 2022 Terms &amp; Conditions to reflect the listing on such new stock exchange and the trading in such new trading system, whilst the economic terms of the RSUs shall remain unaffected. In addition, in case the MAR, and in particular any provisions regarding inside information and/or closed periods, is at any point in the future no longer applicable to the Shares of the Company or the ADSs and instead a new capital markets legal regime is applicable to the Company and its Shares or the ADSs, the Company may amend any provisions of these RSUP 2022 Terms &amp; Conditions to reflect the stipulations under such new capital markets regime.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Munich, November 2022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Mynaric AG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19/21</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699"/>
        <w:gridCol w:w="2239"/>
        <w:gridCol w:w="3700"/>
      </w:tblGrid>
      <w:tr>
        <w:trPr/>
        <w:tc>
          <w:tcPr>
            <w:tcW w:w="3699"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37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on the Processing of Personal Data</w:t>
        <w:br/>
        <w:t>in connection with the Restricted Stock Unit Program</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(hereinafter referred to as “</w:t>
      </w:r>
      <w:r>
        <w:rPr>
          <w:rFonts w:ascii="Times New Roman;Times;Serif" w:hAnsi="Times New Roman;Times;Serif"/>
          <w:b/>
          <w:i w:val="false"/>
          <w:caps w:val="false"/>
          <w:smallCaps w:val="false"/>
          <w:sz w:val="20"/>
        </w:rPr>
        <w:t>RSUP 2022</w:t>
      </w:r>
      <w:r>
        <w:rPr>
          <w:rFonts w:ascii="Times New Roman;Times;Serif" w:hAnsi="Times New Roman;Times;Serif"/>
          <w:b w:val="false"/>
          <w:i w:val="false"/>
          <w:caps w:val="false"/>
          <w:smallCaps w:val="false"/>
          <w:sz w:val="20"/>
        </w:rPr>
        <w:t>”)</w:t>
        <w:br/>
      </w:r>
      <w:r>
        <w:rPr>
          <w:rFonts w:ascii="Times New Roman;Times;Serif" w:hAnsi="Times New Roman;Times;Serif"/>
          <w:b/>
          <w:i w:val="false"/>
          <w:caps w:val="false"/>
          <w:smallCaps w:val="false"/>
          <w:sz w:val="20"/>
        </w:rPr>
        <w:t xml:space="preserve">of Mynaric AG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(hereinafter referred to as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administration, processing and execution of the RSUP 2022, the Company processes personal data of the beneficiaries (hereinafter also referred to as “</w:t>
      </w:r>
      <w:r>
        <w:rPr>
          <w:rFonts w:ascii="Times New Roman;Times;Serif" w:hAnsi="Times New Roman;Times;Serif"/>
          <w:b/>
          <w:i w:val="false"/>
          <w:caps w:val="false"/>
          <w:smallCaps w:val="false"/>
          <w:sz w:val="20"/>
        </w:rPr>
        <w:t>Data Subjects</w:t>
      </w:r>
      <w:r>
        <w:rPr>
          <w:rFonts w:ascii="Times New Roman;Times;Serif" w:hAnsi="Times New Roman;Times;Serif"/>
          <w:b w:val="false"/>
          <w:i w:val="false"/>
          <w:caps w:val="false"/>
          <w:smallCaps w:val="false"/>
          <w:sz w:val="20"/>
        </w:rPr>
        <w:t>”) in accordance with the EU General Data Protection Regulation (“</w:t>
      </w:r>
      <w:r>
        <w:rPr>
          <w:rFonts w:ascii="Times New Roman;Times;Serif" w:hAnsi="Times New Roman;Times;Serif"/>
          <w:b/>
          <w:i w:val="false"/>
          <w:caps w:val="false"/>
          <w:smallCaps w:val="false"/>
          <w:sz w:val="20"/>
        </w:rPr>
        <w:t>GDPR</w:t>
      </w:r>
      <w:r>
        <w:rPr>
          <w:rFonts w:ascii="Times New Roman;Times;Serif" w:hAnsi="Times New Roman;Times;Serif"/>
          <w:b w:val="false"/>
          <w:i w:val="false"/>
          <w:caps w:val="false"/>
          <w:smallCaps w:val="false"/>
          <w:sz w:val="20"/>
        </w:rPr>
        <w:t>”). Pursuant to the GDPR, the Company is obliged to provide the following information on the processing of personal data. All defined terms used in this information have the meaning assigned to them in the option conditions.</w:t>
      </w:r>
    </w:p>
    <w:p>
      <w:pPr>
        <w:pStyle w:val="TextBody"/>
        <w:bidi w:val="0"/>
        <w:spacing w:before="0" w:after="0"/>
        <w:ind w:left="0" w:right="0" w:hanging="0"/>
        <w:jc w:val="both"/>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185"/>
        <w:gridCol w:w="4205"/>
      </w:tblGrid>
      <w:tr>
        <w:trPr/>
        <w:tc>
          <w:tcPr>
            <w:tcW w:w="185" w:type="dxa"/>
            <w:tcBorders/>
            <w:vAlign w:val="center"/>
          </w:tcPr>
          <w:p>
            <w:pPr>
              <w:pStyle w:val="TableContents"/>
              <w:bidi w:val="0"/>
              <w:spacing w:before="0" w:after="283"/>
              <w:jc w:val="left"/>
              <w:rPr>
                <w:b/>
              </w:rPr>
            </w:pPr>
            <w:r>
              <w:rPr>
                <w:b/>
              </w:rPr>
              <w:t>I.</w:t>
            </w:r>
          </w:p>
        </w:tc>
        <w:tc>
          <w:tcPr>
            <w:tcW w:w="4205" w:type="dxa"/>
            <w:tcBorders/>
            <w:vAlign w:val="center"/>
          </w:tcPr>
          <w:p>
            <w:pPr>
              <w:pStyle w:val="TableContents"/>
              <w:bidi w:val="0"/>
              <w:spacing w:before="0" w:after="283"/>
              <w:jc w:val="both"/>
              <w:rPr>
                <w:b/>
              </w:rPr>
            </w:pPr>
            <w:r>
              <w:rPr>
                <w:b/>
              </w:rPr>
              <w:t>Responsibilities and Contact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controller of the personal data pursuant to Art. 4 para. 7 is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Mynaric AG</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Dornierstr. 19, 82205 Gilching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+49 (0)8105 7999 0</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info@mynaric.com</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Website: www.mynaric.com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Protection Officer of the Company can be contacted through:</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Mynaric AG</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Protection Officer</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Dornierstr. 19, 82205 Gilching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dataprotection@mynaric.com</w:t>
      </w:r>
    </w:p>
    <w:p>
      <w:pPr>
        <w:pStyle w:val="TextBody"/>
        <w:bidi w:val="0"/>
        <w:spacing w:before="0" w:after="0"/>
        <w:ind w:left="0" w:right="0" w:hanging="0"/>
        <w:jc w:val="both"/>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275"/>
        <w:gridCol w:w="3920"/>
      </w:tblGrid>
      <w:tr>
        <w:trPr/>
        <w:tc>
          <w:tcPr>
            <w:tcW w:w="275" w:type="dxa"/>
            <w:tcBorders/>
            <w:vAlign w:val="center"/>
          </w:tcPr>
          <w:p>
            <w:pPr>
              <w:pStyle w:val="TableContents"/>
              <w:bidi w:val="0"/>
              <w:spacing w:before="0" w:after="283"/>
              <w:jc w:val="left"/>
              <w:rPr>
                <w:b/>
              </w:rPr>
            </w:pPr>
            <w:r>
              <w:rPr>
                <w:b/>
              </w:rPr>
              <w:t>II.</w:t>
            </w:r>
          </w:p>
        </w:tc>
        <w:tc>
          <w:tcPr>
            <w:tcW w:w="3920" w:type="dxa"/>
            <w:tcBorders/>
            <w:vAlign w:val="center"/>
          </w:tcPr>
          <w:p>
            <w:pPr>
              <w:pStyle w:val="TableContents"/>
              <w:bidi w:val="0"/>
              <w:spacing w:before="0" w:after="283"/>
              <w:jc w:val="both"/>
              <w:rPr>
                <w:b/>
              </w:rPr>
            </w:pPr>
            <w:r>
              <w:rPr>
                <w:b/>
              </w:rPr>
              <w:t>Use of Personal Data by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processes personal data of the Data Subjects such as names, contact data, tax numbers and all other information necessary for the participation of a Data Subject in the RSUP 2022 as well as for the administration, processing and execution of the RSUP 2022 (processing purpose). The legal basis for data processing is Art. 6 Para. 1 (b) GDPR.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processes personal data of the Data Subjects if and to the extent required by the law applicable to the Company (e.g., tax law). The legal basis for data processing in this respect is Art. 6 para. 1 (c) GDPR.</w:t>
      </w:r>
    </w:p>
    <w:p>
      <w:pPr>
        <w:pStyle w:val="TextBody"/>
        <w:bidi w:val="0"/>
        <w:spacing w:before="0" w:after="0"/>
        <w:ind w:left="0" w:right="0" w:hanging="0"/>
        <w:jc w:val="both"/>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365"/>
        <w:gridCol w:w="2690"/>
      </w:tblGrid>
      <w:tr>
        <w:trPr/>
        <w:tc>
          <w:tcPr>
            <w:tcW w:w="365" w:type="dxa"/>
            <w:tcBorders/>
            <w:vAlign w:val="center"/>
          </w:tcPr>
          <w:p>
            <w:pPr>
              <w:pStyle w:val="TableContents"/>
              <w:bidi w:val="0"/>
              <w:spacing w:before="0" w:after="283"/>
              <w:jc w:val="left"/>
              <w:rPr>
                <w:b/>
              </w:rPr>
            </w:pPr>
            <w:r>
              <w:rPr>
                <w:b/>
              </w:rPr>
              <w:t>III.</w:t>
            </w:r>
          </w:p>
        </w:tc>
        <w:tc>
          <w:tcPr>
            <w:tcW w:w="2690" w:type="dxa"/>
            <w:tcBorders/>
            <w:vAlign w:val="center"/>
          </w:tcPr>
          <w:p>
            <w:pPr>
              <w:pStyle w:val="TableContents"/>
              <w:bidi w:val="0"/>
              <w:spacing w:before="0" w:after="283"/>
              <w:jc w:val="both"/>
              <w:rPr>
                <w:b/>
              </w:rPr>
            </w:pPr>
            <w:r>
              <w:rPr>
                <w:b/>
              </w:rPr>
              <w:t>Transfer of Personal Data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disclose personal data to an external service provider (“</w:t>
      </w:r>
      <w:r>
        <w:rPr>
          <w:rFonts w:ascii="Times New Roman;Times;Serif" w:hAnsi="Times New Roman;Times;Serif"/>
          <w:b/>
          <w:i w:val="false"/>
          <w:caps w:val="false"/>
          <w:smallCaps w:val="false"/>
          <w:sz w:val="20"/>
        </w:rPr>
        <w:t>External Service Provider</w:t>
      </w:r>
      <w:r>
        <w:rPr>
          <w:rFonts w:ascii="Times New Roman;Times;Serif" w:hAnsi="Times New Roman;Times;Serif"/>
          <w:b w:val="false"/>
          <w:i w:val="false"/>
          <w:caps w:val="false"/>
          <w:smallCaps w:val="false"/>
          <w:sz w:val="20"/>
        </w:rPr>
        <w:t>”), in particular to Solium Capital UK LTD. (“</w:t>
      </w:r>
      <w:r>
        <w:rPr>
          <w:rFonts w:ascii="Times New Roman;Times;Serif" w:hAnsi="Times New Roman;Times;Serif"/>
          <w:b/>
          <w:i w:val="false"/>
          <w:caps w:val="false"/>
          <w:smallCaps w:val="false"/>
          <w:sz w:val="20"/>
        </w:rPr>
        <w:t>Shareworks</w:t>
      </w:r>
      <w:r>
        <w:rPr>
          <w:rFonts w:ascii="Times New Roman;Times;Serif" w:hAnsi="Times New Roman;Times;Serif"/>
          <w:b w:val="false"/>
          <w:i w:val="false"/>
          <w:caps w:val="false"/>
          <w:smallCaps w:val="false"/>
          <w:sz w:val="20"/>
        </w:rPr>
        <w:t>”), commissioned or involved for the purposes of the administration, processing and/or execution of the RSUP 2022 in order to support the processing of personal data for the processing purpose set out in Section II above. If and to the extent permitted by law, the Company may also commission other third parties to provide certain services, such as IT-services and legal services, for the processing purpose set out in Section II above and may disclose personal data to such third parties. These recipients provide their assistance or services to the Company under its control and direction and may have access to personal data to the extent necessary to provide their assistance or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20/21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may, to the extent required and permitted by law, transfer personal data to domestic and foreign authorities or courts in order to fulfil legal obligations.</w:t>
      </w:r>
    </w:p>
    <w:p>
      <w:pPr>
        <w:pStyle w:val="TextBody"/>
        <w:bidi w:val="0"/>
        <w:spacing w:before="0" w:after="0"/>
        <w:ind w:left="0" w:right="0" w:hanging="0"/>
        <w:jc w:val="both"/>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65"/>
        <w:gridCol w:w="3920"/>
      </w:tblGrid>
      <w:tr>
        <w:trPr/>
        <w:tc>
          <w:tcPr>
            <w:tcW w:w="365" w:type="dxa"/>
            <w:tcBorders/>
            <w:vAlign w:val="center"/>
          </w:tcPr>
          <w:p>
            <w:pPr>
              <w:pStyle w:val="TableContents"/>
              <w:bidi w:val="0"/>
              <w:spacing w:before="0" w:after="283"/>
              <w:jc w:val="left"/>
              <w:rPr>
                <w:b/>
              </w:rPr>
            </w:pPr>
            <w:r>
              <w:rPr>
                <w:b/>
              </w:rPr>
              <w:t>IV.</w:t>
            </w:r>
          </w:p>
        </w:tc>
        <w:tc>
          <w:tcPr>
            <w:tcW w:w="3920" w:type="dxa"/>
            <w:tcBorders/>
            <w:vAlign w:val="center"/>
          </w:tcPr>
          <w:p>
            <w:pPr>
              <w:pStyle w:val="TableContents"/>
              <w:bidi w:val="0"/>
              <w:spacing w:before="0" w:after="283"/>
              <w:jc w:val="both"/>
              <w:rPr>
                <w:b/>
              </w:rPr>
            </w:pPr>
            <w:r>
              <w:rPr>
                <w:b/>
              </w:rPr>
              <w:t>Storage and Deletion of Personal Data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processes the personal data within the framework of the participation of the Data Subjects in the RSUP 2022. The Company deletes the personal data if it no longer needs it for the fulfilment of its contractual obligations under the RSUP 2022 and if there are no legal storage obligations. In the event of a legal obligation to retain personal data, the Company shall restrict the processing of such personal data.</w:t>
      </w:r>
    </w:p>
    <w:p>
      <w:pPr>
        <w:pStyle w:val="TextBody"/>
        <w:bidi w:val="0"/>
        <w:spacing w:before="0" w:after="0"/>
        <w:ind w:left="0" w:right="0" w:hanging="0"/>
        <w:jc w:val="both"/>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275"/>
        <w:gridCol w:w="2795"/>
      </w:tblGrid>
      <w:tr>
        <w:trPr/>
        <w:tc>
          <w:tcPr>
            <w:tcW w:w="275" w:type="dxa"/>
            <w:tcBorders/>
            <w:vAlign w:val="center"/>
          </w:tcPr>
          <w:p>
            <w:pPr>
              <w:pStyle w:val="TableContents"/>
              <w:bidi w:val="0"/>
              <w:spacing w:before="0" w:after="283"/>
              <w:jc w:val="left"/>
              <w:rPr>
                <w:b/>
              </w:rPr>
            </w:pPr>
            <w:r>
              <w:rPr>
                <w:b/>
              </w:rPr>
              <w:t>V.</w:t>
            </w:r>
          </w:p>
        </w:tc>
        <w:tc>
          <w:tcPr>
            <w:tcW w:w="2795" w:type="dxa"/>
            <w:tcBorders/>
            <w:vAlign w:val="center"/>
          </w:tcPr>
          <w:p>
            <w:pPr>
              <w:pStyle w:val="TableContents"/>
              <w:bidi w:val="0"/>
              <w:spacing w:before="0" w:after="283"/>
              <w:jc w:val="both"/>
              <w:rPr>
                <w:b/>
              </w:rPr>
            </w:pPr>
            <w:r>
              <w:rPr>
                <w:b/>
              </w:rPr>
              <w:t>Rights of the Data Subjects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Subjects may, at any time and free of charge, contact the Company or its Data Protection Officer directly with an informal notification in order to exercise their rights under the GDPR. The Data Subjects have the right, subject to the legal requirements, the fulfilment of which is to be examined on a case-by-case basis, to request information on their personal data, any rectification or deletion of their personal data, information regarding restrictions on the processing of their personal data and they have the right to receive their personal data in a structured, generally used and machine-readable format.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Subjects also have the right to object to the processing of their personal data, subject to the legal requirements, the fulfilment of which must be examined on a case-by-case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Data Subjects have the right to lodge a complaint with a supervisory authority.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21/21</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9" w:name="ff32023ex23-1_mynaricag.htm"/>
      <w:bookmarkStart w:id="30" w:name="ksff32023ex231_mynaricag"/>
      <w:bookmarkEnd w:id="29"/>
      <w:bookmarkEnd w:id="30"/>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of our report dated May 1, 2023, with respect to the consolidated financial statements of Mynaric AG, incorporated herein by reference, and to the reference to our firm under the heading “</w:t>
      </w:r>
      <w:r>
        <w:rPr>
          <w:rFonts w:ascii="Times New Roman;Times;Serif" w:hAnsi="Times New Roman;Times;Serif"/>
          <w:b w:val="false"/>
          <w:i/>
          <w:caps w:val="false"/>
          <w:smallCaps w:val="false"/>
          <w:sz w:val="20"/>
        </w:rPr>
        <w:t>Experts</w:t>
      </w:r>
      <w:r>
        <w:rPr>
          <w:rFonts w:ascii="Times New Roman;Times;Serif" w:hAnsi="Times New Roman;Times;Serif"/>
          <w:b w:val="false"/>
          <w:i w:val="false"/>
          <w:caps w:val="false"/>
          <w:smallCaps w:val="false"/>
          <w:sz w:val="20"/>
        </w:rPr>
        <w:t>” in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KPMG AG Wirtschaftsprüfungsgesellschaft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Munich, Germany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29,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b/>
        </w:rPr>
      </w:pPr>
      <w:bookmarkStart w:id="31" w:name="ff32023ex-fee_mynaricag.htm"/>
      <w:bookmarkStart w:id="32" w:name="ksff32023exfee_mynaricag"/>
      <w:bookmarkEnd w:id="31"/>
      <w:bookmarkEnd w:id="32"/>
      <w:r>
        <w:rPr>
          <w:b/>
        </w:rPr>
        <w:t>Exhibit 107</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F-3</w:t>
      </w:r>
    </w:p>
    <w:p>
      <w:pPr>
        <w:pStyle w:val="TextBody"/>
        <w:bidi w:val="0"/>
        <w:spacing w:before="0" w:after="0"/>
        <w:ind w:left="0" w:right="0" w:hanging="1"/>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Mynaric AG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1: Newly Registered Securities and Carry Forward Securities</w:t>
      </w:r>
    </w:p>
    <w:p>
      <w:pPr>
        <w:pStyle w:val="TextBody"/>
        <w:bidi w:val="0"/>
        <w:spacing w:before="0" w:after="0"/>
        <w:ind w:left="0" w:right="0" w:hanging="0"/>
        <w:jc w:val="center"/>
        <w:rPr>
          <w:caps w:val="false"/>
          <w:smallCaps w:val="false"/>
        </w:rPr>
      </w:pPr>
      <w:r>
        <w:rPr>
          <w:caps w:val="false"/>
          <w:smallCaps w:val="false"/>
        </w:rPr>
        <w:t> </w:t>
      </w:r>
    </w:p>
    <w:tbl>
      <w:tblPr>
        <w:tblW w:w="10660" w:type="dxa"/>
        <w:jc w:val="left"/>
        <w:tblInd w:w="0" w:type="dxa"/>
        <w:tblLayout w:type="fixed"/>
        <w:tblCellMar>
          <w:top w:w="0" w:type="dxa"/>
          <w:left w:w="0" w:type="dxa"/>
          <w:bottom w:w="0" w:type="dxa"/>
          <w:right w:w="0" w:type="dxa"/>
        </w:tblCellMar>
      </w:tblPr>
      <w:tblGrid>
        <w:gridCol w:w="335"/>
        <w:gridCol w:w="60"/>
        <w:gridCol w:w="590"/>
        <w:gridCol w:w="60"/>
        <w:gridCol w:w="890"/>
        <w:gridCol w:w="60"/>
        <w:gridCol w:w="102"/>
        <w:gridCol w:w="698"/>
        <w:gridCol w:w="60"/>
        <w:gridCol w:w="60"/>
        <w:gridCol w:w="60"/>
        <w:gridCol w:w="740"/>
        <w:gridCol w:w="60"/>
        <w:gridCol w:w="60"/>
        <w:gridCol w:w="182"/>
        <w:gridCol w:w="558"/>
        <w:gridCol w:w="140"/>
        <w:gridCol w:w="60"/>
        <w:gridCol w:w="110"/>
        <w:gridCol w:w="830"/>
        <w:gridCol w:w="140"/>
        <w:gridCol w:w="60"/>
        <w:gridCol w:w="605"/>
        <w:gridCol w:w="60"/>
        <w:gridCol w:w="110"/>
        <w:gridCol w:w="740"/>
        <w:gridCol w:w="60"/>
        <w:gridCol w:w="60"/>
        <w:gridCol w:w="121"/>
        <w:gridCol w:w="484"/>
        <w:gridCol w:w="60"/>
        <w:gridCol w:w="60"/>
        <w:gridCol w:w="121"/>
        <w:gridCol w:w="484"/>
        <w:gridCol w:w="60"/>
        <w:gridCol w:w="60"/>
        <w:gridCol w:w="108"/>
        <w:gridCol w:w="542"/>
        <w:gridCol w:w="60"/>
        <w:gridCol w:w="60"/>
        <w:gridCol w:w="135"/>
        <w:gridCol w:w="680"/>
        <w:gridCol w:w="75"/>
      </w:tblGrid>
      <w:tr>
        <w:trPr/>
        <w:tc>
          <w:tcPr>
            <w:tcW w:w="33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9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Security Type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Security Class Title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Fee Calculation or Carry Forward Rule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 Registered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Proposed Maximum Offering Price Per Unit</w:t>
            </w:r>
          </w:p>
        </w:tc>
        <w:tc>
          <w:tcPr>
            <w:tcW w:w="1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Maximum Aggregate Offer Price</w:t>
            </w:r>
          </w:p>
        </w:tc>
        <w:tc>
          <w:tcPr>
            <w:tcW w:w="1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Fee Rate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 of Registration Fee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Carry Forward Form Type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Carry Forward 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Carry Forward Initial Effective 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Filing Fee Previously Paid in Connection with Unsold Securities to be Carried Forward</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0585" w:type="dxa"/>
            <w:gridSpan w:val="42"/>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Newly Registered Securities</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Fees to be Paid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Ordinary shares, no par value</w:t>
            </w:r>
            <w:r>
              <w:rPr>
                <w:rFonts w:ascii="Times New Roman;Times;Serif" w:hAnsi="Times New Roman;Times;Serif"/>
                <w:b w:val="false"/>
                <w:i w:val="false"/>
                <w:caps w:val="false"/>
                <w:smallCaps w:val="false"/>
                <w:position w:val="5"/>
                <w:sz w:val="13"/>
                <w:sz w:val="16"/>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4.58</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position w:val="5"/>
                <w:sz w:val="13"/>
                <w:sz w:val="16"/>
              </w:rPr>
            </w:pPr>
            <w:r>
              <w:rPr>
                <w:rFonts w:ascii="Times New Roman;Times;Serif" w:hAnsi="Times New Roman;Times;Serif"/>
                <w:b w:val="false"/>
                <w:i w:val="false"/>
                <w:caps w:val="false"/>
                <w:smallCaps w:val="false"/>
                <w:position w:val="5"/>
                <w:sz w:val="13"/>
                <w:sz w:val="16"/>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91,600,000</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position w:val="5"/>
                <w:sz w:val="13"/>
                <w:sz w:val="16"/>
              </w:rPr>
            </w:pPr>
            <w:r>
              <w:rPr>
                <w:rFonts w:ascii="Times New Roman;Times;Serif" w:hAnsi="Times New Roman;Times;Serif"/>
                <w:b w:val="false"/>
                <w:i w:val="false"/>
                <w:caps w:val="false"/>
                <w:smallCaps w:val="false"/>
                <w:position w:val="5"/>
                <w:sz w:val="13"/>
                <w:sz w:val="16"/>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$110.20 per million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10,094.32</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Fees to be Paid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Subscription rights for ordinary shares or ADSs</w:t>
            </w:r>
            <w:r>
              <w:rPr>
                <w:rFonts w:ascii="Times New Roman;Times;Serif" w:hAnsi="Times New Roman;Times;Serif"/>
                <w:b w:val="false"/>
                <w:i w:val="false"/>
                <w:caps w:val="false"/>
                <w:smallCaps w:val="false"/>
                <w:position w:val="5"/>
                <w:sz w:val="13"/>
                <w:sz w:val="16"/>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457(g)</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$110.20 per million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0" w:type="dxa"/>
            <w:gridSpan w:val="1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Offering Amounts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10,094.32</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0" w:type="dxa"/>
            <w:gridSpan w:val="1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Fees Previously Paid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0" w:type="dxa"/>
            <w:gridSpan w:val="1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Fee Offsets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10,094.32</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0" w:type="dxa"/>
            <w:gridSpan w:val="1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Fee Due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10,094.32</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283"/>
              <w:jc w:val="both"/>
              <w:rPr/>
            </w:pPr>
            <w:r>
              <w:rPr/>
              <w:t>American Depositary Shares (“ADS”) evidenced by American Depositary Receipts (“ADRs”) issuable upon deposit of ordinary shares have been registered pursuant to a separate registration statement on Form F-6 (File No. 333-260613). Pursuant to Rule 416 under the Securities Act of 1933, as amended, the ordinary shares being registered hereunder include such indeterminate number of additional ordinary shares as may be issuable as a result of stock splits, stock dividends or similar transactions with respect to the shares being registered hereunder.</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283"/>
              <w:jc w:val="both"/>
              <w:rPr/>
            </w:pPr>
            <w:r>
              <w:rPr/>
              <w:t>Estimated solely for the purpose of calculating the registration fee pursuant to Rule 457(c) under the Securities Act of 1933. The proposed maximum offering price per unit and maximum aggregate offering price are calculated on the basis of $4.58, the average of the high and low sale price of ADSs of the registrant on Nasdaq on September 26, 2023, which is within five business days prior to the filing of this registration statement, multiplied by four (based on an ADS to share ratio of four to one).</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(3)</w:t>
            </w:r>
          </w:p>
        </w:tc>
        <w:tc>
          <w:tcPr>
            <w:tcW w:w="9940" w:type="dxa"/>
            <w:tcBorders/>
            <w:vAlign w:val="center"/>
          </w:tcPr>
          <w:p>
            <w:pPr>
              <w:pStyle w:val="TableContents"/>
              <w:bidi w:val="0"/>
              <w:spacing w:before="0" w:after="283"/>
              <w:jc w:val="both"/>
              <w:rPr/>
            </w:pPr>
            <w:r>
              <w:rPr/>
              <w:t>The subscription rights are being issued without consideration. Pursuant to Rule 457(g) under the Securities Act, no separate registration fee is payable with respect to the subscription rights offered hereby.</w:t>
            </w:r>
          </w:p>
        </w:tc>
      </w:tr>
    </w:tbl>
    <w:p>
      <w:pPr>
        <w:pStyle w:val="TextBody"/>
        <w:bidi w:val="0"/>
        <w:spacing w:before="0" w:after="283"/>
        <w:jc w:val="left"/>
        <w:rPr/>
      </w:pPr>
      <w:r>
        <w:rPr/>
      </w:r>
      <w:r>
        <w:br w:type="page"/>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50453/000119312523130192/d497326d20f.htm" TargetMode="External"/><Relationship Id="rId4" Type="http://schemas.openxmlformats.org/officeDocument/2006/relationships/hyperlink" Target="http://www.sec.gov/Archives/edgar/data/1850453/000119312523219041/d537196d20fa.htm" TargetMode="External"/><Relationship Id="rId5" Type="http://schemas.openxmlformats.org/officeDocument/2006/relationships/hyperlink" Target="http://www.sec.gov/Archives/edgar/data/1850453/000165495423005591/myna_6k.htm" TargetMode="External"/><Relationship Id="rId6" Type="http://schemas.openxmlformats.org/officeDocument/2006/relationships/hyperlink" Target="http://www.sec.gov/Archives/edgar/data/1850453/000165495423005591/myna_ex991.htm" TargetMode="External"/><Relationship Id="rId7" Type="http://schemas.openxmlformats.org/officeDocument/2006/relationships/hyperlink" Target="http://www.sec.gov/Archives/edgar/data/1850453/000165495423006217/myna_6k.htm" TargetMode="External"/><Relationship Id="rId8" Type="http://schemas.openxmlformats.org/officeDocument/2006/relationships/hyperlink" Target="http://www.sec.gov/Archives/edgar/data/1850453/000165495423008234/myna_6k.htm" TargetMode="External"/><Relationship Id="rId9" Type="http://schemas.openxmlformats.org/officeDocument/2006/relationships/hyperlink" Target="http://www.sec.gov/Archives/edgar/data/1850453/000165495423008234/myna_ex991.htm" TargetMode="External"/><Relationship Id="rId10" Type="http://schemas.openxmlformats.org/officeDocument/2006/relationships/hyperlink" Target="http://www.sec.gov/Archives/edgar/data/1850453/000165495423008532/myna_6k.htm" TargetMode="External"/><Relationship Id="rId11" Type="http://schemas.openxmlformats.org/officeDocument/2006/relationships/hyperlink" Target="http://www.sec.gov/Archives/edgar/data/1850453/000165495423010264/myna_6k.htm" TargetMode="External"/><Relationship Id="rId12" Type="http://schemas.openxmlformats.org/officeDocument/2006/relationships/hyperlink" Target="http://www.sec.gov/Archives/edgar/data/1850453/000165495423011121/myna_6k.htm" TargetMode="External"/><Relationship Id="rId13" Type="http://schemas.openxmlformats.org/officeDocument/2006/relationships/hyperlink" Target="http://www.sec.gov/Archives/edgar/data/1850453/000165495423011121/myna_ex991.htm" TargetMode="External"/><Relationship Id="rId14" Type="http://schemas.openxmlformats.org/officeDocument/2006/relationships/hyperlink" Target="http://www.sec.gov/Archives/edgar/data/1850453/000165495423012348/myna_6k.htm" TargetMode="External"/><Relationship Id="rId15" Type="http://schemas.openxmlformats.org/officeDocument/2006/relationships/hyperlink" Target="http://www.sec.gov/Archives/edgar/data/1850453/000165495423012348/myna_ex991.htm" TargetMode="External"/><Relationship Id="rId16" Type="http://schemas.openxmlformats.org/officeDocument/2006/relationships/image" Target="media/image1.jpeg"/><Relationship Id="rId17" Type="http://schemas.openxmlformats.org/officeDocument/2006/relationships/hyperlink" Target="https://www.sec.gov/Archives/edgar/data/1850453/000119312521313560/d165359dex32.htm" TargetMode="External"/><Relationship Id="rId18" Type="http://schemas.openxmlformats.org/officeDocument/2006/relationships/hyperlink" Target="http://www.sec.gov/Archives/edgar/data/1850453/000119312521313560/d165359dex33.htm" TargetMode="External"/><Relationship Id="rId19" Type="http://schemas.openxmlformats.org/officeDocument/2006/relationships/hyperlink" Target="http://www.sec.gov/Archives/edgar/data/1850453/000119312521317388/d165359dex41.htm" TargetMode="External"/><Relationship Id="rId20" Type="http://schemas.openxmlformats.org/officeDocument/2006/relationships/hyperlink" Target="http://www.sec.gov/Archives/edgar/data/1850453/000119312521317388/d165359dex41.htm" TargetMode="External"/><Relationship Id="rId21" Type="http://schemas.openxmlformats.org/officeDocument/2006/relationships/hyperlink" Target="http://www.sec.gov/Archives/edgar/data/1850453/000119312523130192/d497326dex23.htm" TargetMode="External"/><Relationship Id="rId22" Type="http://schemas.openxmlformats.org/officeDocument/2006/relationships/hyperlink" Target="http://www.sec.gov/Archives/edgar/data/1850453/000119312521301967/d165359dex101.htm" TargetMode="External"/><Relationship Id="rId23" Type="http://schemas.openxmlformats.org/officeDocument/2006/relationships/hyperlink" Target="http://www.sec.gov/Archives/edgar/data/1850453/000119312521301967/d165359dex102.htm" TargetMode="External"/><Relationship Id="rId24" Type="http://schemas.openxmlformats.org/officeDocument/2006/relationships/hyperlink" Target="http://www.sec.gov/Archives/edgar/data/1850453/000119312521301967/d165359dex103.htm" TargetMode="External"/><Relationship Id="rId25" Type="http://schemas.openxmlformats.org/officeDocument/2006/relationships/hyperlink" Target="http://www.sec.gov/Archives/edgar/data/1850453/000119312521301967/d165359dex104.htm" TargetMode="External"/><Relationship Id="rId26" Type="http://schemas.openxmlformats.org/officeDocument/2006/relationships/hyperlink" Target="http://www.sec.gov/Archives/edgar/data/1850453/000119312523130192/d497326dex45.htm" TargetMode="External"/><Relationship Id="rId27" Type="http://schemas.openxmlformats.org/officeDocument/2006/relationships/hyperlink" Target="http://www.sec.gov/Archives/edgar/data/1850453/000119312521317388/d165359dex105.htm" TargetMode="External"/><Relationship Id="rId28" Type="http://schemas.openxmlformats.org/officeDocument/2006/relationships/hyperlink" Target="http://www.sec.gov/Archives/edgar/data/1850453/000119312523130192/d497326dex47.htm" TargetMode="External"/><Relationship Id="rId29" Type="http://schemas.openxmlformats.org/officeDocument/2006/relationships/hyperlink" Target="http://www.sec.gov/Archives/edgar/data/1850453/000119312522143674/d310942dex81.htm" TargetMode="External"/><Relationship Id="rId30" Type="http://schemas.openxmlformats.org/officeDocument/2006/relationships/image" Target="media/image2.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74</Pages>
  <Words>51480</Words>
  <Characters>269152</Characters>
  <CharactersWithSpaces>320924</CharactersWithSpaces>
  <Paragraphs>2461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