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220345</wp:posOffset>
            </wp:positionH>
            <wp:positionV relativeFrom="page">
              <wp:posOffset>186055</wp:posOffset>
            </wp:positionV>
            <wp:extent cx="710819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8190" cy="40640"/>
                    </a:xfrm>
                    <a:prstGeom prst="rect">
                      <a:avLst/>
                    </a:prstGeom>
                    <a:noFill/>
                  </pic:spPr>
                </pic:pic>
              </a:graphicData>
            </a:graphic>
          </wp:anchor>
        </w:drawing>
        <w:drawing>
          <wp:anchor simplePos="0" relativeHeight="251657728" behindDoc="1" locked="0" layoutInCell="0" allowOverlap="1">
            <wp:simplePos x="0" y="0"/>
            <wp:positionH relativeFrom="page">
              <wp:posOffset>220345</wp:posOffset>
            </wp:positionH>
            <wp:positionV relativeFrom="page">
              <wp:posOffset>258445</wp:posOffset>
            </wp:positionV>
            <wp:extent cx="710819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8190" cy="1587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6-K</w:t>
      </w:r>
    </w:p>
    <w:p>
      <w:pPr>
        <w:spacing w:after="0" w:line="213"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b w:val="1"/>
          <w:bCs w:val="1"/>
          <w:color w:val="auto"/>
        </w:rPr>
        <w:t>REPORT OF FOREIGN PRIVATE ISSUER PURSUANT TO RULE 13a</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16 OR 15d</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16</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 xml:space="preserve">FOR THE MONTH OF </w:t>
      </w:r>
      <w:r>
        <w:rPr>
          <w:rFonts w:ascii="Arial" w:cs="Arial" w:eastAsia="Arial" w:hAnsi="Arial"/>
          <w:sz w:val="17"/>
          <w:szCs w:val="17"/>
          <w:b w:val="1"/>
          <w:bCs w:val="1"/>
          <w:u w:val="single" w:color="auto"/>
          <w:color w:val="auto"/>
        </w:rPr>
        <w:t>September 2023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b w:val="1"/>
          <w:bCs w:val="1"/>
          <w:u w:val="single" w:color="auto"/>
          <w:color w:val="auto"/>
        </w:rPr>
        <w:t>001-41045</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1430655</wp:posOffset>
            </wp:positionH>
            <wp:positionV relativeFrom="paragraph">
              <wp:posOffset>16510</wp:posOffset>
            </wp:positionV>
            <wp:extent cx="4281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Registrant’s name</w:t>
      </w:r>
      <w:r>
        <w:rPr>
          <w:rFonts w:ascii="Arial" w:cs="Arial" w:eastAsia="Arial" w:hAnsi="Arial"/>
          <w:sz w:val="17"/>
          <w:szCs w:val="17"/>
          <w:color w:val="auto"/>
        </w:rPr>
        <w:t>)</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Dornierstraße 19</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82205 Gilching</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Germany</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+49 (0) 8105 79990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Address of principal executive offices</w:t>
      </w:r>
      <w:r>
        <w:rPr>
          <w:rFonts w:ascii="Arial" w:cs="Arial" w:eastAsia="Arial" w:hAnsi="Arial"/>
          <w:sz w:val="17"/>
          <w:szCs w:val="17"/>
          <w:color w:val="auto"/>
        </w:rPr>
        <w:t>)</w:t>
      </w:r>
    </w:p>
    <w:p>
      <w:pPr>
        <w:spacing w:after="0" w:line="15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Indicate by check mark whether the registrant files or will file annual reports under cover Form 20</w:t>
      </w:r>
      <w:r>
        <w:rPr>
          <w:rFonts w:ascii="MS PGothic" w:cs="MS PGothic" w:eastAsia="MS PGothic" w:hAnsi="MS PGothic"/>
          <w:sz w:val="17"/>
          <w:szCs w:val="17"/>
          <w:color w:val="auto"/>
        </w:rPr>
        <w:t>‑</w:t>
      </w:r>
      <w:r>
        <w:rPr>
          <w:rFonts w:ascii="Arial" w:cs="Arial" w:eastAsia="Arial" w:hAnsi="Arial"/>
          <w:sz w:val="17"/>
          <w:szCs w:val="17"/>
          <w:color w:val="auto"/>
        </w:rPr>
        <w:t>F or Form 40</w:t>
      </w:r>
      <w:r>
        <w:rPr>
          <w:rFonts w:ascii="MS PGothic" w:cs="MS PGothic" w:eastAsia="MS PGothic" w:hAnsi="MS PGothic"/>
          <w:sz w:val="17"/>
          <w:szCs w:val="17"/>
          <w:color w:val="auto"/>
        </w:rPr>
        <w:t>‑</w:t>
      </w:r>
      <w:r>
        <w:rPr>
          <w:rFonts w:ascii="Arial" w:cs="Arial" w:eastAsia="Arial" w:hAnsi="Arial"/>
          <w:sz w:val="17"/>
          <w:szCs w:val="17"/>
          <w:color w:val="auto"/>
        </w:rPr>
        <w:t>F: Form 20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Indicate by check mark if the registrant is submitting the Form 6</w:t>
      </w:r>
      <w:r>
        <w:rPr>
          <w:rFonts w:ascii="MS PGothic" w:cs="MS PGothic" w:eastAsia="MS PGothic" w:hAnsi="MS PGothic"/>
          <w:sz w:val="17"/>
          <w:szCs w:val="17"/>
          <w:color w:val="auto"/>
        </w:rPr>
        <w:t>‑</w:t>
      </w:r>
      <w:r>
        <w:rPr>
          <w:rFonts w:ascii="Arial" w:cs="Arial" w:eastAsia="Arial" w:hAnsi="Arial"/>
          <w:sz w:val="17"/>
          <w:szCs w:val="17"/>
          <w:color w:val="auto"/>
        </w:rPr>
        <w:t>K in paper as permitted by Regulation S</w:t>
      </w:r>
      <w:r>
        <w:rPr>
          <w:rFonts w:ascii="MS PGothic" w:cs="MS PGothic" w:eastAsia="MS PGothic" w:hAnsi="MS PGothic"/>
          <w:sz w:val="17"/>
          <w:szCs w:val="17"/>
          <w:color w:val="auto"/>
        </w:rPr>
        <w:t>‑</w:t>
      </w:r>
      <w:r>
        <w:rPr>
          <w:rFonts w:ascii="Arial" w:cs="Arial" w:eastAsia="Arial" w:hAnsi="Arial"/>
          <w:sz w:val="17"/>
          <w:szCs w:val="17"/>
          <w:color w:val="auto"/>
        </w:rPr>
        <w:t xml:space="preserve">T Rule 101(b)(1):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Indicate by check mark if the registrant is submitting the Form 6</w:t>
      </w:r>
      <w:r>
        <w:rPr>
          <w:rFonts w:ascii="MS PGothic" w:cs="MS PGothic" w:eastAsia="MS PGothic" w:hAnsi="MS PGothic"/>
          <w:sz w:val="17"/>
          <w:szCs w:val="17"/>
          <w:color w:val="auto"/>
        </w:rPr>
        <w:t>‑</w:t>
      </w:r>
      <w:r>
        <w:rPr>
          <w:rFonts w:ascii="Arial" w:cs="Arial" w:eastAsia="Arial" w:hAnsi="Arial"/>
          <w:sz w:val="17"/>
          <w:szCs w:val="17"/>
          <w:color w:val="auto"/>
        </w:rPr>
        <w:t>K in paper as permitted by Regulation S</w:t>
      </w:r>
      <w:r>
        <w:rPr>
          <w:rFonts w:ascii="MS PGothic" w:cs="MS PGothic" w:eastAsia="MS PGothic" w:hAnsi="MS PGothic"/>
          <w:sz w:val="17"/>
          <w:szCs w:val="17"/>
          <w:color w:val="auto"/>
        </w:rPr>
        <w:t>‑</w:t>
      </w:r>
      <w:r>
        <w:rPr>
          <w:rFonts w:ascii="Arial" w:cs="Arial" w:eastAsia="Arial" w:hAnsi="Arial"/>
          <w:sz w:val="17"/>
          <w:szCs w:val="17"/>
          <w:color w:val="auto"/>
        </w:rPr>
        <w:t xml:space="preserve">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201295</wp:posOffset>
            </wp:positionV>
            <wp:extent cx="710819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8190" cy="1587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249555</wp:posOffset>
            </wp:positionV>
            <wp:extent cx="710819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819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INCLUDED AS PART OF THIS FORM 6-K</w:t>
      </w: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Explanatory Note</w:t>
      </w:r>
    </w:p>
    <w:p>
      <w:pPr>
        <w:spacing w:after="0" w:line="216" w:lineRule="exact"/>
        <w:rPr>
          <w:sz w:val="24"/>
          <w:szCs w:val="24"/>
          <w:color w:val="auto"/>
        </w:rPr>
      </w:pPr>
    </w:p>
    <w:p>
      <w:pPr>
        <w:ind w:right="120"/>
        <w:spacing w:after="0" w:line="273" w:lineRule="auto"/>
        <w:rPr>
          <w:sz w:val="20"/>
          <w:szCs w:val="20"/>
          <w:color w:val="auto"/>
        </w:rPr>
      </w:pPr>
      <w:r>
        <w:rPr>
          <w:rFonts w:ascii="Arial" w:cs="Arial" w:eastAsia="Arial" w:hAnsi="Arial"/>
          <w:sz w:val="17"/>
          <w:szCs w:val="17"/>
          <w:color w:val="auto"/>
        </w:rPr>
        <w:t>On September 14, 2023, Mynaric AG issued a press release and its financial results for the six months ended June 30, 2023. A copy of the press release is furnished as Exhibit 99.1 and a copy of the financial results for the six months ended June 30, 2023 is attached as 99.2 hereto.</w:t>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40" w:type="dxa"/>
            <w:vAlign w:val="bottom"/>
            <w:gridSpan w:val="3"/>
          </w:tcPr>
          <w:p>
            <w:pPr>
              <w:jc w:val="center"/>
              <w:ind w:right="900"/>
              <w:spacing w:after="0"/>
              <w:rPr>
                <w:sz w:val="20"/>
                <w:szCs w:val="20"/>
                <w:color w:val="auto"/>
              </w:rPr>
            </w:pPr>
            <w:r>
              <w:rPr>
                <w:rFonts w:ascii="Arial" w:cs="Arial" w:eastAsia="Arial" w:hAnsi="Arial"/>
                <w:sz w:val="17"/>
                <w:szCs w:val="17"/>
                <w:b w:val="1"/>
                <w:bCs w:val="1"/>
                <w:color w:val="auto"/>
                <w:w w:val="99"/>
              </w:rPr>
              <w:t>DOCUMENTS INCLUDED AS PART OF THIS FORM 6-K</w:t>
            </w:r>
          </w:p>
        </w:tc>
      </w:tr>
      <w:tr>
        <w:trPr>
          <w:trHeight w:val="407"/>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Exhibit</w:t>
            </w:r>
          </w:p>
        </w:tc>
        <w:tc>
          <w:tcPr>
            <w:tcW w:w="220" w:type="dxa"/>
            <w:vAlign w:val="bottom"/>
          </w:tcPr>
          <w:p>
            <w:pPr>
              <w:spacing w:after="0"/>
              <w:rPr>
                <w:sz w:val="24"/>
                <w:szCs w:val="24"/>
                <w:color w:val="auto"/>
              </w:rPr>
            </w:pPr>
          </w:p>
        </w:tc>
        <w:tc>
          <w:tcPr>
            <w:tcW w:w="1034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Description of Exhibit</w:t>
            </w:r>
          </w:p>
        </w:tc>
      </w:tr>
      <w:tr>
        <w:trPr>
          <w:trHeight w:val="177"/>
        </w:trPr>
        <w:tc>
          <w:tcPr>
            <w:tcW w:w="300" w:type="dxa"/>
            <w:vAlign w:val="bottom"/>
            <w:tcBorders>
              <w:bottom w:val="single" w:sz="8" w:color="0000EE"/>
            </w:tcBorders>
            <w:shd w:val="clear" w:color="auto" w:fill="CCEEFF"/>
          </w:tcPr>
          <w:p>
            <w:pPr>
              <w:spacing w:after="0" w:line="159" w:lineRule="exact"/>
              <w:rPr>
                <w:sz w:val="20"/>
                <w:szCs w:val="20"/>
                <w:color w:val="auto"/>
              </w:rPr>
            </w:pPr>
            <w:r>
              <w:rPr>
                <w:rFonts w:ascii="Arial" w:cs="Arial" w:eastAsia="Arial" w:hAnsi="Arial"/>
                <w:sz w:val="17"/>
                <w:szCs w:val="17"/>
                <w:color w:val="0000EE"/>
                <w:w w:val="84"/>
              </w:rPr>
              <w:t>99.</w:t>
            </w:r>
            <w:r>
              <w:rPr>
                <w:rFonts w:ascii="Arial" w:cs="Arial" w:eastAsia="Arial" w:hAnsi="Arial"/>
                <w:sz w:val="17"/>
                <w:szCs w:val="17"/>
                <w:u w:val="single" w:color="auto"/>
                <w:color w:val="0000EE"/>
                <w:w w:val="84"/>
              </w:rPr>
              <w:t>1</w:t>
            </w:r>
          </w:p>
        </w:tc>
        <w:tc>
          <w:tcPr>
            <w:tcW w:w="3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0000EE"/>
            </w:tcBorders>
            <w:shd w:val="clear" w:color="auto" w:fill="CCEEFF"/>
          </w:tcPr>
          <w:p>
            <w:pPr>
              <w:spacing w:after="0" w:line="159" w:lineRule="exact"/>
              <w:rPr>
                <w:sz w:val="20"/>
                <w:szCs w:val="20"/>
                <w:color w:val="auto"/>
              </w:rPr>
            </w:pPr>
            <w:r>
              <w:rPr>
                <w:rFonts w:ascii="Arial" w:cs="Arial" w:eastAsia="Arial" w:hAnsi="Arial"/>
                <w:sz w:val="17"/>
                <w:szCs w:val="17"/>
                <w:color w:val="0000EE"/>
                <w:w w:val="90"/>
              </w:rPr>
              <w:t>Mynaric Announces Half-Year 2023 Results</w:t>
            </w:r>
          </w:p>
        </w:tc>
        <w:tc>
          <w:tcPr>
            <w:tcW w:w="7320" w:type="dxa"/>
            <w:vAlign w:val="bottom"/>
            <w:tcBorders>
              <w:bottom w:val="single" w:sz="8" w:color="CCEEFF"/>
            </w:tcBorders>
            <w:gridSpan w:val="2"/>
            <w:shd w:val="clear" w:color="auto" w:fill="CCEEFF"/>
          </w:tcPr>
          <w:p>
            <w:pPr>
              <w:spacing w:after="0"/>
              <w:rPr>
                <w:sz w:val="15"/>
                <w:szCs w:val="15"/>
                <w:color w:val="auto"/>
              </w:rPr>
            </w:pPr>
          </w:p>
        </w:tc>
      </w:tr>
      <w:tr>
        <w:trPr>
          <w:trHeight w:val="165"/>
        </w:trPr>
        <w:tc>
          <w:tcPr>
            <w:tcW w:w="300" w:type="dxa"/>
            <w:vAlign w:val="bottom"/>
            <w:tcBorders>
              <w:bottom w:val="single" w:sz="8" w:color="0000EE"/>
            </w:tcBorders>
          </w:tcPr>
          <w:p>
            <w:pPr>
              <w:spacing w:after="0" w:line="166" w:lineRule="exact"/>
              <w:rPr>
                <w:sz w:val="20"/>
                <w:szCs w:val="20"/>
                <w:color w:val="auto"/>
              </w:rPr>
            </w:pPr>
            <w:r>
              <w:rPr>
                <w:rFonts w:ascii="Arial" w:cs="Arial" w:eastAsia="Arial" w:hAnsi="Arial"/>
                <w:sz w:val="17"/>
                <w:szCs w:val="17"/>
                <w:color w:val="0000EE"/>
                <w:w w:val="84"/>
              </w:rPr>
              <w:t>99.</w:t>
            </w:r>
            <w:r>
              <w:rPr>
                <w:rFonts w:ascii="Arial" w:cs="Arial" w:eastAsia="Arial" w:hAnsi="Arial"/>
                <w:sz w:val="17"/>
                <w:szCs w:val="17"/>
                <w:u w:val="single" w:color="auto"/>
                <w:color w:val="0000EE"/>
                <w:w w:val="84"/>
              </w:rPr>
              <w:t>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Borders>
              <w:bottom w:val="single" w:sz="8" w:color="0000EE"/>
            </w:tcBorders>
            <w:gridSpan w:val="2"/>
          </w:tcPr>
          <w:p>
            <w:pPr>
              <w:spacing w:after="0" w:line="166" w:lineRule="exact"/>
              <w:rPr>
                <w:sz w:val="20"/>
                <w:szCs w:val="20"/>
                <w:color w:val="auto"/>
              </w:rPr>
            </w:pPr>
            <w:r>
              <w:rPr>
                <w:rFonts w:ascii="Arial" w:cs="Arial" w:eastAsia="Arial" w:hAnsi="Arial"/>
                <w:sz w:val="17"/>
                <w:szCs w:val="17"/>
                <w:color w:val="0000EE"/>
                <w:w w:val="89"/>
              </w:rPr>
              <w:t>Financial results for the six months ended June 30, 2023</w:t>
            </w:r>
          </w:p>
        </w:tc>
        <w:tc>
          <w:tcPr>
            <w:tcW w:w="6520" w:type="dxa"/>
            <w:vAlign w:val="bottom"/>
          </w:tcPr>
          <w:p>
            <w:pPr>
              <w:spacing w:after="0"/>
              <w:rPr>
                <w:sz w:val="14"/>
                <w:szCs w:val="14"/>
                <w:color w:val="auto"/>
              </w:rPr>
            </w:pPr>
          </w:p>
        </w:tc>
      </w:tr>
      <w:tr>
        <w:trPr>
          <w:trHeight w:val="628"/>
        </w:trPr>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gridSpan w:val="4"/>
          </w:tcPr>
          <w:p>
            <w:pPr>
              <w:jc w:val="right"/>
              <w:ind w:right="5580"/>
              <w:spacing w:after="0"/>
              <w:rPr>
                <w:sz w:val="20"/>
                <w:szCs w:val="20"/>
                <w:color w:val="auto"/>
              </w:rPr>
            </w:pPr>
            <w:r>
              <w:rPr>
                <w:rFonts w:ascii="Arial" w:cs="Arial" w:eastAsia="Arial" w:hAnsi="Arial"/>
                <w:sz w:val="17"/>
                <w:szCs w:val="17"/>
                <w:color w:val="auto"/>
              </w:rPr>
              <w:t>3</w:t>
            </w:r>
          </w:p>
        </w:tc>
      </w:tr>
    </w:tbl>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216" w:lineRule="exact"/>
        <w:rPr>
          <w:sz w:val="24"/>
          <w:szCs w:val="24"/>
          <w:color w:val="auto"/>
        </w:rPr>
      </w:pPr>
    </w:p>
    <w:p>
      <w:pPr>
        <w:jc w:val="both"/>
        <w:ind w:firstLine="611"/>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2" w:lineRule="exact"/>
        <w:rPr>
          <w:sz w:val="24"/>
          <w:szCs w:val="24"/>
          <w:color w:val="auto"/>
        </w:rPr>
      </w:pPr>
    </w:p>
    <w:p>
      <w:pPr>
        <w:ind w:left="5640"/>
        <w:spacing w:after="0"/>
        <w:rPr>
          <w:sz w:val="20"/>
          <w:szCs w:val="20"/>
          <w:color w:val="auto"/>
        </w:rPr>
      </w:pPr>
      <w:r>
        <w:rPr>
          <w:rFonts w:ascii="Arial" w:cs="Arial" w:eastAsia="Arial" w:hAnsi="Arial"/>
          <w:sz w:val="17"/>
          <w:szCs w:val="17"/>
          <w:b w:val="1"/>
          <w:bCs w:val="1"/>
          <w:color w:val="auto"/>
        </w:rPr>
        <w:t>Mynaric AG</w:t>
      </w:r>
    </w:p>
    <w:p>
      <w:pPr>
        <w:spacing w:after="0" w:line="216" w:lineRule="exact"/>
        <w:rPr>
          <w:sz w:val="24"/>
          <w:szCs w:val="24"/>
          <w:color w:val="auto"/>
        </w:rPr>
      </w:pPr>
    </w:p>
    <w:p>
      <w:pPr>
        <w:ind w:left="5640"/>
        <w:spacing w:after="0"/>
        <w:rPr>
          <w:sz w:val="20"/>
          <w:szCs w:val="20"/>
          <w:color w:val="auto"/>
        </w:rPr>
      </w:pPr>
      <w:r>
        <w:rPr>
          <w:rFonts w:ascii="Arial" w:cs="Arial" w:eastAsia="Arial" w:hAnsi="Arial"/>
          <w:sz w:val="17"/>
          <w:szCs w:val="17"/>
          <w:color w:val="auto"/>
        </w:rPr>
        <w:t>By: /s/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3789045</wp:posOffset>
            </wp:positionH>
            <wp:positionV relativeFrom="paragraph">
              <wp:posOffset>12700</wp:posOffset>
            </wp:positionV>
            <wp:extent cx="2495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Name: Stefan Berndt-von Bülow</w:t>
      </w:r>
    </w:p>
    <w:p>
      <w:pPr>
        <w:spacing w:after="0" w:line="20"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Title: Chief Financial Officer</w:t>
      </w:r>
    </w:p>
    <w:p>
      <w:pPr>
        <w:spacing w:after="0" w:line="200" w:lineRule="exact"/>
        <w:rPr>
          <w:sz w:val="24"/>
          <w:szCs w:val="24"/>
          <w:color w:val="auto"/>
        </w:rPr>
      </w:pPr>
    </w:p>
    <w:p>
      <w:pPr>
        <w:ind w:left="5640"/>
        <w:spacing w:after="0"/>
        <w:rPr>
          <w:sz w:val="20"/>
          <w:szCs w:val="20"/>
          <w:color w:val="auto"/>
        </w:rPr>
      </w:pPr>
      <w:r>
        <w:rPr>
          <w:rFonts w:ascii="Arial" w:cs="Arial" w:eastAsia="Arial" w:hAnsi="Arial"/>
          <w:sz w:val="17"/>
          <w:szCs w:val="17"/>
          <w:color w:val="auto"/>
        </w:rPr>
        <w:t>By: /s/ Sven Meyer-Brunswick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3789045</wp:posOffset>
            </wp:positionH>
            <wp:positionV relativeFrom="paragraph">
              <wp:posOffset>12700</wp:posOffset>
            </wp:positionV>
            <wp:extent cx="2495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Name: Sven Meyer-Brunswick</w:t>
      </w:r>
    </w:p>
    <w:p>
      <w:pPr>
        <w:spacing w:after="0" w:line="20" w:lineRule="exact"/>
        <w:rPr>
          <w:sz w:val="24"/>
          <w:szCs w:val="24"/>
          <w:color w:val="auto"/>
        </w:rPr>
      </w:pPr>
    </w:p>
    <w:p>
      <w:pPr>
        <w:ind w:left="5960"/>
        <w:spacing w:after="0"/>
        <w:rPr>
          <w:sz w:val="20"/>
          <w:szCs w:val="20"/>
          <w:color w:val="auto"/>
        </w:rPr>
      </w:pPr>
      <w:r>
        <w:rPr>
          <w:rFonts w:ascii="Arial" w:cs="Arial" w:eastAsia="Arial" w:hAnsi="Arial"/>
          <w:sz w:val="17"/>
          <w:szCs w:val="17"/>
          <w:color w:val="auto"/>
        </w:rPr>
        <w:t>Title: Authorized Representative</w:t>
      </w:r>
    </w:p>
    <w:p>
      <w:pPr>
        <w:spacing w:after="0" w:line="200" w:lineRule="exact"/>
        <w:rPr>
          <w:sz w:val="24"/>
          <w:szCs w:val="24"/>
          <w:color w:val="auto"/>
        </w:rPr>
      </w:pPr>
    </w:p>
    <w:p>
      <w:pPr>
        <w:spacing w:after="0"/>
        <w:rPr>
          <w:sz w:val="20"/>
          <w:szCs w:val="20"/>
          <w:color w:val="auto"/>
        </w:rPr>
      </w:pPr>
      <w:r>
        <w:rPr>
          <w:rFonts w:ascii="Arial" w:cs="Arial" w:eastAsia="Arial" w:hAnsi="Arial"/>
          <w:sz w:val="17"/>
          <w:szCs w:val="17"/>
          <w:color w:val="auto"/>
        </w:rPr>
        <w:t>Date: September 14, 2023</w:t>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645" w:right="339" w:bottom="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Arial" w:cs="Arial" w:eastAsia="Arial" w:hAnsi="Arial"/>
          <w:sz w:val="17"/>
          <w:szCs w:val="17"/>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Mynaric Announces Half-Year 2023 Results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14.09.2023 / 17:32 CET/CEST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The issuer is solely responsible for the content of this announcement.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Continued traction on key performance indicators as company prepares for serial production and shipments to key customers in 2H23</w:t>
      </w:r>
    </w:p>
    <w:p>
      <w:pPr>
        <w:spacing w:after="0" w:line="208" w:lineRule="exact"/>
        <w:rPr>
          <w:sz w:val="20"/>
          <w:szCs w:val="20"/>
          <w:color w:val="auto"/>
        </w:rPr>
      </w:pPr>
    </w:p>
    <w:p>
      <w:pPr>
        <w:ind w:right="1000"/>
        <w:spacing w:after="0" w:line="278" w:lineRule="auto"/>
        <w:rPr>
          <w:sz w:val="20"/>
          <w:szCs w:val="20"/>
          <w:color w:val="auto"/>
        </w:rPr>
      </w:pPr>
      <w:r>
        <w:rPr>
          <w:rFonts w:ascii="Arial" w:cs="Arial" w:eastAsia="Arial" w:hAnsi="Arial"/>
          <w:sz w:val="17"/>
          <w:szCs w:val="17"/>
          <w:b w:val="1"/>
          <w:bCs w:val="1"/>
          <w:color w:val="auto"/>
        </w:rPr>
        <w:t xml:space="preserve">MUNICH, September 14, 2023 – </w:t>
      </w:r>
      <w:r>
        <w:rPr>
          <w:rFonts w:ascii="Arial" w:cs="Arial" w:eastAsia="Arial" w:hAnsi="Arial"/>
          <w:sz w:val="17"/>
          <w:szCs w:val="17"/>
          <w:color w:val="auto"/>
        </w:rPr>
        <w:t>Mynaric (NASDAQ: MYNA) (FRA: M0YN), a leading provider of industrialized, cost-effective and scalable laser</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products, today announces results for the half year ending June 30, 2023.</w:t>
      </w:r>
    </w:p>
    <w:p>
      <w:pPr>
        <w:spacing w:after="0" w:line="162"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“In the first half of 2023 we showed continued success as we capitalize on the significant opportunity ahead of us and the adoption of laser communications across multiple domains accelerates,” said Mustafa Veziroglu, CEO of Mynaric. “We see the strongest pipeline of opportunities in our history and look forward to working with our customers as they look to build next generation communications networks.”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First Half 2023 Highlights</w:t>
      </w:r>
    </w:p>
    <w:p>
      <w:pPr>
        <w:spacing w:after="0" w:line="216" w:lineRule="exact"/>
        <w:rPr>
          <w:sz w:val="20"/>
          <w:szCs w:val="20"/>
          <w:color w:val="auto"/>
        </w:rPr>
      </w:pPr>
    </w:p>
    <w:p>
      <w:pPr>
        <w:ind w:left="900" w:hanging="453"/>
        <w:spacing w:after="0"/>
        <w:tabs>
          <w:tab w:leader="none" w:pos="900" w:val="left"/>
        </w:tabs>
        <w:numPr>
          <w:ilvl w:val="0"/>
          <w:numId w:val="1"/>
        </w:numPr>
        <w:rPr>
          <w:rFonts w:ascii="Arial" w:cs="Arial" w:eastAsia="Arial" w:hAnsi="Arial"/>
          <w:sz w:val="15"/>
          <w:szCs w:val="15"/>
          <w:color w:val="auto"/>
        </w:rPr>
      </w:pPr>
      <w:r>
        <w:rPr>
          <w:rFonts w:ascii="Arial" w:cs="Arial" w:eastAsia="Arial" w:hAnsi="Arial"/>
          <w:sz w:val="15"/>
          <w:szCs w:val="15"/>
          <w:color w:val="auto"/>
        </w:rPr>
        <w:t>Optical Communications Terminal Backlog at June 30, 2023 of 370 units compared to December 31, 2022 of 256 units and 348 as of April 27, 2023</w:t>
      </w:r>
    </w:p>
    <w:p>
      <w:pPr>
        <w:spacing w:after="0" w:line="234" w:lineRule="exact"/>
        <w:rPr>
          <w:rFonts w:ascii="Arial" w:cs="Arial" w:eastAsia="Arial" w:hAnsi="Arial"/>
          <w:sz w:val="15"/>
          <w:szCs w:val="15"/>
          <w:color w:val="auto"/>
        </w:rPr>
      </w:pPr>
    </w:p>
    <w:p>
      <w:pPr>
        <w:ind w:left="900" w:hanging="453"/>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Cash in from Customer Contracts of EUR 23.0 million through June 30, 2023 compared to EUR 18.3 million in full-year 2022</w:t>
      </w:r>
    </w:p>
    <w:p>
      <w:pPr>
        <w:spacing w:after="0" w:line="211" w:lineRule="exact"/>
        <w:rPr>
          <w:rFonts w:ascii="Arial" w:cs="Arial" w:eastAsia="Arial" w:hAnsi="Arial"/>
          <w:sz w:val="17"/>
          <w:szCs w:val="17"/>
          <w:color w:val="auto"/>
        </w:rPr>
      </w:pPr>
    </w:p>
    <w:p>
      <w:pPr>
        <w:ind w:left="900" w:right="320" w:hanging="453"/>
        <w:spacing w:after="0" w:line="273"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Multiple wins with key customers including Raytheon Technologies, Loft Federal, WARPSPACE and unnamed U.S.-based customer for CONDOR Mk3 Terminals</w:t>
      </w:r>
    </w:p>
    <w:p>
      <w:pPr>
        <w:spacing w:after="0" w:line="165" w:lineRule="exact"/>
        <w:rPr>
          <w:rFonts w:ascii="Arial" w:cs="Arial" w:eastAsia="Arial" w:hAnsi="Arial"/>
          <w:sz w:val="17"/>
          <w:szCs w:val="17"/>
          <w:color w:val="auto"/>
        </w:rPr>
      </w:pPr>
    </w:p>
    <w:p>
      <w:pPr>
        <w:ind w:left="900" w:hanging="453"/>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Selected by German government for multiple projects to develop quantum communication capabilities</w:t>
      </w:r>
    </w:p>
    <w:p>
      <w:pPr>
        <w:spacing w:after="0" w:line="211" w:lineRule="exact"/>
        <w:rPr>
          <w:rFonts w:ascii="Arial" w:cs="Arial" w:eastAsia="Arial" w:hAnsi="Arial"/>
          <w:sz w:val="17"/>
          <w:szCs w:val="17"/>
          <w:color w:val="auto"/>
        </w:rPr>
      </w:pPr>
    </w:p>
    <w:p>
      <w:pPr>
        <w:ind w:left="900" w:hanging="453"/>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Subsequently selected by the United States Space Development Agency to contribute to an optical ground terminal demonstration</w:t>
      </w:r>
    </w:p>
    <w:p>
      <w:pPr>
        <w:spacing w:after="0" w:line="211" w:lineRule="exact"/>
        <w:rPr>
          <w:rFonts w:ascii="Arial" w:cs="Arial" w:eastAsia="Arial" w:hAnsi="Arial"/>
          <w:sz w:val="17"/>
          <w:szCs w:val="17"/>
          <w:color w:val="auto"/>
        </w:rPr>
      </w:pPr>
    </w:p>
    <w:p>
      <w:pPr>
        <w:ind w:left="900" w:right="380" w:hanging="453"/>
        <w:spacing w:after="0" w:line="273"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Raised EUR 80.6 million growth capital in April 2023 via a $75 million 5-year term loan debt and equity issuance to U.S.-based global investment management firm</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well ahead of this point last year in terms of cash-in from customer contracts and optical terminal backlog as we continue to execute for our customers,” said Stefan Berndt von-Bülow, CFO of Mynaric.</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Mynaric is providing the following key performance indicators outlook for 2023:</w:t>
      </w:r>
    </w:p>
    <w:p>
      <w:pPr>
        <w:spacing w:after="0" w:line="212" w:lineRule="exact"/>
        <w:rPr>
          <w:sz w:val="20"/>
          <w:szCs w:val="20"/>
          <w:color w:val="auto"/>
        </w:rPr>
      </w:pPr>
    </w:p>
    <w:p>
      <w:pPr>
        <w:ind w:left="900" w:hanging="453"/>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significant increase in Optical Communications Terminal Backlog compared to 2022 year-end level</w:t>
      </w:r>
    </w:p>
    <w:p>
      <w:pPr>
        <w:spacing w:after="0" w:line="211" w:lineRule="exact"/>
        <w:rPr>
          <w:rFonts w:ascii="Arial" w:cs="Arial" w:eastAsia="Arial" w:hAnsi="Arial"/>
          <w:sz w:val="17"/>
          <w:szCs w:val="17"/>
          <w:color w:val="auto"/>
        </w:rPr>
      </w:pPr>
    </w:p>
    <w:p>
      <w:pPr>
        <w:ind w:left="900" w:hanging="453"/>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significant increase in Cash-in from Customer Contracts compared to 2022 results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&amp; webcast details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half-year 2023 financial results are available from the </w:t>
      </w:r>
      <w:r>
        <w:rPr>
          <w:rFonts w:ascii="Arial" w:cs="Arial" w:eastAsia="Arial" w:hAnsi="Arial"/>
          <w:sz w:val="17"/>
          <w:szCs w:val="17"/>
          <w:u w:val="single" w:color="auto"/>
          <w:color w:val="auto"/>
        </w:rPr>
        <w:t>Investor Relations section on mynaric.com</w:t>
      </w:r>
      <w:r>
        <w:rPr>
          <w:rFonts w:ascii="Arial" w:cs="Arial" w:eastAsia="Arial" w:hAnsi="Arial"/>
          <w:sz w:val="17"/>
          <w:szCs w:val="17"/>
          <w:color w:val="auto"/>
        </w:rPr>
        <w:t>.</w:t>
      </w:r>
    </w:p>
    <w:p>
      <w:pPr>
        <w:spacing w:after="0" w:line="2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Mynaric has scheduled a webcast to discuss its half-year 2023 financial results to be held today, Thursday, September 14, 2023, at 12:00 p.m. Eastern Daylight Time (6:00 p.m. Central European Summer Time).</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conference call and webcast will include a presentation of these results along with a Q&amp;A session with Mynaric executives including CEO, Mustafa Veziroglu, and CFO, Stefan Berndt-von Bülow.</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Interested parties may listen to the webcast on the Investor Relations section of mynaric.com by pre-registering at the following registration link: </w:t>
      </w:r>
      <w:r>
        <w:rPr>
          <w:rFonts w:ascii="Arial" w:cs="Arial" w:eastAsia="Arial" w:hAnsi="Arial"/>
          <w:sz w:val="17"/>
          <w:szCs w:val="17"/>
          <w:u w:val="single" w:color="auto"/>
          <w:color w:val="auto"/>
        </w:rPr>
        <w:t>Mynaric Half-Year</w:t>
      </w:r>
      <w:r>
        <w:rPr>
          <w:rFonts w:ascii="Arial" w:cs="Arial" w:eastAsia="Arial" w:hAnsi="Arial"/>
          <w:sz w:val="17"/>
          <w:szCs w:val="17"/>
          <w:color w:val="auto"/>
        </w:rPr>
        <w:t xml:space="preserve"> </w:t>
      </w:r>
      <w:r>
        <w:rPr>
          <w:rFonts w:ascii="Arial" w:cs="Arial" w:eastAsia="Arial" w:hAnsi="Arial"/>
          <w:sz w:val="17"/>
          <w:szCs w:val="17"/>
          <w:u w:val="single" w:color="auto"/>
          <w:color w:val="auto"/>
        </w:rPr>
        <w:t>2023 Earnings Webcast Registration</w:t>
      </w:r>
      <w:r>
        <w:rPr>
          <w:rFonts w:ascii="Arial" w:cs="Arial" w:eastAsia="Arial" w:hAnsi="Arial"/>
          <w:sz w:val="17"/>
          <w:szCs w:val="17"/>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An archived version of the webcast along with corresponding slides will be available on the Investor Relations section of mynaric.com.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Mynaric</w:t>
      </w:r>
    </w:p>
    <w:p>
      <w:pPr>
        <w:spacing w:after="0" w:line="21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visit </w:t>
      </w:r>
      <w:r>
        <w:rPr>
          <w:rFonts w:ascii="Arial" w:cs="Arial" w:eastAsia="Arial" w:hAnsi="Arial"/>
          <w:sz w:val="17"/>
          <w:szCs w:val="17"/>
          <w:u w:val="single" w:color="auto"/>
          <w:color w:val="auto"/>
        </w:rPr>
        <w:t>mynaric.com</w:t>
      </w:r>
      <w:r>
        <w:rPr>
          <w:rFonts w:ascii="Arial" w:cs="Arial" w:eastAsia="Arial" w:hAnsi="Arial"/>
          <w:sz w:val="17"/>
          <w:szCs w:val="17"/>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w:t>
      </w:r>
    </w:p>
    <w:p>
      <w:pPr>
        <w:spacing w:after="0" w:line="21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ectPr>
          <w:pgSz w:w="11900" w:h="16838" w:orient="portrait"/>
          <w:cols w:equalWidth="0" w:num="1">
            <w:col w:w="11240"/>
          </w:cols>
          <w:pgMar w:left="320" w:top="123" w:right="339" w:bottom="48"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34925</wp:posOffset>
            </wp:positionV>
            <wp:extent cx="7139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w:t>
      </w:r>
    </w:p>
    <w:p>
      <w:pPr>
        <w:spacing w:after="0" w:line="1" w:lineRule="exact"/>
        <w:rPr>
          <w:sz w:val="20"/>
          <w:szCs w:val="20"/>
          <w:color w:val="auto"/>
        </w:rPr>
      </w:pPr>
    </w:p>
    <w:p>
      <w:pPr>
        <w:jc w:val="both"/>
        <w:ind w:right="200" w:firstLine="2"/>
        <w:spacing w:after="0" w:line="283" w:lineRule="auto"/>
        <w:tabs>
          <w:tab w:leader="none" w:pos="202"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w:t>
      </w:r>
    </w:p>
    <w:p>
      <w:pPr>
        <w:ind w:right="20" w:firstLine="2"/>
        <w:spacing w:after="0" w:line="268" w:lineRule="auto"/>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39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4" w:name="page5"/>
    <w:bookmarkEnd w:id="4"/>
    <w:p>
      <w:pPr>
        <w:ind w:left="9060"/>
        <w:spacing w:after="0"/>
        <w:rPr>
          <w:sz w:val="20"/>
          <w:szCs w:val="20"/>
          <w:color w:val="auto"/>
        </w:rPr>
      </w:pPr>
      <w:r>
        <w:rPr>
          <w:rFonts w:ascii="Arial" w:cs="Arial" w:eastAsia="Arial" w:hAnsi="Arial"/>
          <w:sz w:val="17"/>
          <w:szCs w:val="17"/>
          <w:b w:val="1"/>
          <w:bCs w:val="1"/>
          <w:color w:val="auto"/>
        </w:rPr>
        <w:t>EXHIBIT 99.2</w:t>
      </w:r>
    </w:p>
    <w:p>
      <w:pPr>
        <w:sectPr>
          <w:pgSz w:w="11900" w:h="16838" w:orient="portrait"/>
          <w:cols w:equalWidth="0" w:num="1">
            <w:col w:w="10120"/>
          </w:cols>
          <w:pgMar w:left="1440" w:top="123" w:right="3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217805</wp:posOffset>
            </wp:positionV>
            <wp:extent cx="71399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1020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199630" cy="10201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218440</wp:posOffset>
            </wp:positionV>
            <wp:extent cx="71399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2023-09-14T13:05:14Z</dcterms:created>
  <dcterms:modified xsi:type="dcterms:W3CDTF">2023-09-14T13:05:14Z</dcterms:modified>
</cp:coreProperties>
</file>