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31, 2022, Mynaric AG issued a press release and its first half 2022 report. A copy of the press release is furnished as Exhibit 99.1 and a copy of the first half 2022 report is attached as 99.2 hereto.</w:t>
      </w:r>
    </w:p>
    <w:p>
      <w:pPr>
        <w:sectPr>
          <w:pgSz w:w="11900" w:h="16838" w:orient="portrait"/>
          <w:cols w:equalWidth="0" w:num="1">
            <w:col w:w="10640"/>
          </w:cols>
          <w:pgMar w:left="440" w:top="266" w:right="819" w:bottom="1440" w:gutter="0" w:footer="0" w:header="0"/>
        </w:sectPr>
      </w:pPr>
    </w:p>
    <w:bookmarkStart w:id="2" w:name="page3"/>
    <w:bookmarkEnd w:id="2"/>
    <w:p>
      <w:pPr>
        <w:jc w:val="right"/>
        <w:ind w:right="2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Mynaric releases first half 2022 financial results</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Mynaric first half 2022 report</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2022</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releases first half 2022 financial results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MUNICH, Germany, 31 October 2022 – Mynaric (NASDAQ: MYNA)(FRA: M0YN) today reported financial results for the first half of 2022 for the period ending June 30, 2022. The first half 2022 report can be downloaded from the </w:t>
      </w:r>
      <w:r>
        <w:rPr>
          <w:rFonts w:ascii="Times New Roman" w:cs="Times New Roman" w:eastAsia="Times New Roman" w:hAnsi="Times New Roman"/>
          <w:sz w:val="18"/>
          <w:szCs w:val="18"/>
          <w:u w:val="single" w:color="auto"/>
          <w:color w:val="auto"/>
        </w:rPr>
        <w:t>Investor Relations</w:t>
      </w:r>
      <w:r>
        <w:rPr>
          <w:rFonts w:ascii="Times New Roman" w:cs="Times New Roman" w:eastAsia="Times New Roman" w:hAnsi="Times New Roman"/>
          <w:sz w:val="18"/>
          <w:szCs w:val="18"/>
          <w:color w:val="auto"/>
        </w:rPr>
        <w:t xml:space="preserve"> section of Mynaric.com at https://mynaric.com/investor-relations/overview/.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conference call and webcast to discuss these first half 2022 results for the period ending June 30, 2022, is scheduled for Monday, October 31, 2022, at 1:00 p.m. Eastern Daylight Time (6:00 p.m. Central European Time).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conference call and webcast will include a presentation of these results along with a Q&amp;A session with Mynaric executives including CEO, Bulent Altan, and CFO, Stefan Berndt-von Bülow.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Interested parties may listen via webcast on the Investor Relations section of Mynaric.com by pre-registering at the following registration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https://edge.media-server.com/mmc/p/db9gnjrg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archived version of the webcast along with corresponding slides will be available on the Investor Relations section of Mynaric.com.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Dinges,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tom.dinges@mynaric.com</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037705" cy="4989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98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FF644B"/>
        </w:rPr>
        <w:t>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802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3"/>
          <w:szCs w:val="23"/>
          <w:b w:val="1"/>
          <w:bCs w:val="1"/>
          <w:color w:val="FF644B"/>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00" w:type="dxa"/>
            <w:vAlign w:val="bottom"/>
          </w:tcPr>
          <w:p>
            <w:pPr>
              <w:spacing w:after="0"/>
              <w:rPr>
                <w:sz w:val="20"/>
                <w:szCs w:val="20"/>
                <w:color w:val="auto"/>
              </w:rPr>
            </w:pPr>
            <w:r>
              <w:rPr>
                <w:rFonts w:ascii="Arial" w:cs="Arial" w:eastAsia="Arial" w:hAnsi="Arial"/>
                <w:sz w:val="17"/>
                <w:szCs w:val="17"/>
                <w:b w:val="1"/>
                <w:bCs w:val="1"/>
                <w:color w:val="auto"/>
              </w:rPr>
              <w:t>1.   Economic Environment</w:t>
            </w:r>
          </w:p>
        </w:tc>
        <w:tc>
          <w:tcPr>
            <w:tcW w:w="416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287"/>
        </w:trPr>
        <w:tc>
          <w:tcPr>
            <w:tcW w:w="6800" w:type="dxa"/>
            <w:vAlign w:val="bottom"/>
          </w:tcPr>
          <w:p>
            <w:pPr>
              <w:ind w:left="80"/>
              <w:spacing w:after="0"/>
              <w:rPr>
                <w:sz w:val="20"/>
                <w:szCs w:val="20"/>
                <w:color w:val="auto"/>
              </w:rPr>
            </w:pPr>
            <w:r>
              <w:rPr>
                <w:rFonts w:ascii="Arial" w:cs="Arial" w:eastAsia="Arial" w:hAnsi="Arial"/>
                <w:sz w:val="17"/>
                <w:szCs w:val="17"/>
                <w:color w:val="auto"/>
              </w:rPr>
              <w:t>1.1.  Economic development</w:t>
            </w:r>
          </w:p>
        </w:tc>
        <w:tc>
          <w:tcPr>
            <w:tcW w:w="41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97"/>
        </w:trPr>
        <w:tc>
          <w:tcPr>
            <w:tcW w:w="6800" w:type="dxa"/>
            <w:vAlign w:val="bottom"/>
          </w:tcPr>
          <w:p>
            <w:pPr>
              <w:ind w:left="80"/>
              <w:spacing w:after="0"/>
              <w:rPr>
                <w:sz w:val="20"/>
                <w:szCs w:val="20"/>
                <w:color w:val="auto"/>
              </w:rPr>
            </w:pPr>
            <w:r>
              <w:rPr>
                <w:rFonts w:ascii="Arial" w:cs="Arial" w:eastAsia="Arial" w:hAnsi="Arial"/>
                <w:sz w:val="17"/>
                <w:szCs w:val="17"/>
                <w:color w:val="auto"/>
              </w:rPr>
              <w:t>1.2.  Industry development</w:t>
            </w:r>
          </w:p>
        </w:tc>
        <w:tc>
          <w:tcPr>
            <w:tcW w:w="41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07"/>
        </w:trPr>
        <w:tc>
          <w:tcPr>
            <w:tcW w:w="6800" w:type="dxa"/>
            <w:vAlign w:val="bottom"/>
          </w:tcPr>
          <w:p>
            <w:pPr>
              <w:spacing w:after="0"/>
              <w:rPr>
                <w:sz w:val="20"/>
                <w:szCs w:val="20"/>
                <w:color w:val="auto"/>
              </w:rPr>
            </w:pPr>
            <w:r>
              <w:rPr>
                <w:rFonts w:ascii="Arial" w:cs="Arial" w:eastAsia="Arial" w:hAnsi="Arial"/>
                <w:sz w:val="17"/>
                <w:szCs w:val="17"/>
                <w:b w:val="1"/>
                <w:bCs w:val="1"/>
                <w:color w:val="auto"/>
              </w:rPr>
              <w:t>2.   Business Performance</w:t>
            </w:r>
          </w:p>
        </w:tc>
        <w:tc>
          <w:tcPr>
            <w:tcW w:w="416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297"/>
        </w:trPr>
        <w:tc>
          <w:tcPr>
            <w:tcW w:w="6800" w:type="dxa"/>
            <w:vAlign w:val="bottom"/>
          </w:tcPr>
          <w:p>
            <w:pPr>
              <w:spacing w:after="0"/>
              <w:rPr>
                <w:sz w:val="20"/>
                <w:szCs w:val="20"/>
                <w:color w:val="auto"/>
              </w:rPr>
            </w:pPr>
            <w:r>
              <w:rPr>
                <w:rFonts w:ascii="Arial" w:cs="Arial" w:eastAsia="Arial" w:hAnsi="Arial"/>
                <w:sz w:val="17"/>
                <w:szCs w:val="17"/>
                <w:b w:val="1"/>
                <w:bCs w:val="1"/>
                <w:color w:val="auto"/>
              </w:rPr>
              <w:t>3.   Group Financials</w:t>
            </w:r>
          </w:p>
        </w:tc>
        <w:tc>
          <w:tcPr>
            <w:tcW w:w="416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287"/>
        </w:trPr>
        <w:tc>
          <w:tcPr>
            <w:tcW w:w="6800" w:type="dxa"/>
            <w:vAlign w:val="bottom"/>
          </w:tcPr>
          <w:p>
            <w:pPr>
              <w:ind w:left="80"/>
              <w:spacing w:after="0"/>
              <w:rPr>
                <w:sz w:val="20"/>
                <w:szCs w:val="20"/>
                <w:color w:val="auto"/>
              </w:rPr>
            </w:pPr>
            <w:r>
              <w:rPr>
                <w:rFonts w:ascii="Arial" w:cs="Arial" w:eastAsia="Arial" w:hAnsi="Arial"/>
                <w:sz w:val="17"/>
                <w:szCs w:val="17"/>
                <w:color w:val="auto"/>
              </w:rPr>
              <w:t>3.1.  Net assets</w:t>
            </w:r>
          </w:p>
        </w:tc>
        <w:tc>
          <w:tcPr>
            <w:tcW w:w="41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97"/>
        </w:trPr>
        <w:tc>
          <w:tcPr>
            <w:tcW w:w="6800" w:type="dxa"/>
            <w:vAlign w:val="bottom"/>
          </w:tcPr>
          <w:p>
            <w:pPr>
              <w:ind w:left="80"/>
              <w:spacing w:after="0"/>
              <w:rPr>
                <w:sz w:val="20"/>
                <w:szCs w:val="20"/>
                <w:color w:val="auto"/>
              </w:rPr>
            </w:pPr>
            <w:r>
              <w:rPr>
                <w:rFonts w:ascii="Arial" w:cs="Arial" w:eastAsia="Arial" w:hAnsi="Arial"/>
                <w:sz w:val="17"/>
                <w:szCs w:val="17"/>
                <w:color w:val="auto"/>
              </w:rPr>
              <w:t>3.2.  Equity and liabilities</w:t>
            </w:r>
          </w:p>
        </w:tc>
        <w:tc>
          <w:tcPr>
            <w:tcW w:w="41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97"/>
        </w:trPr>
        <w:tc>
          <w:tcPr>
            <w:tcW w:w="6800" w:type="dxa"/>
            <w:vAlign w:val="bottom"/>
          </w:tcPr>
          <w:p>
            <w:pPr>
              <w:ind w:left="80"/>
              <w:spacing w:after="0"/>
              <w:rPr>
                <w:sz w:val="20"/>
                <w:szCs w:val="20"/>
                <w:color w:val="auto"/>
              </w:rPr>
            </w:pPr>
            <w:r>
              <w:rPr>
                <w:rFonts w:ascii="Arial" w:cs="Arial" w:eastAsia="Arial" w:hAnsi="Arial"/>
                <w:sz w:val="17"/>
                <w:szCs w:val="17"/>
                <w:color w:val="auto"/>
              </w:rPr>
              <w:t>3.3.  Cash flows</w:t>
            </w:r>
          </w:p>
        </w:tc>
        <w:tc>
          <w:tcPr>
            <w:tcW w:w="41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97"/>
        </w:trPr>
        <w:tc>
          <w:tcPr>
            <w:tcW w:w="6800" w:type="dxa"/>
            <w:vAlign w:val="bottom"/>
          </w:tcPr>
          <w:p>
            <w:pPr>
              <w:ind w:left="80"/>
              <w:spacing w:after="0"/>
              <w:rPr>
                <w:sz w:val="20"/>
                <w:szCs w:val="20"/>
                <w:color w:val="auto"/>
              </w:rPr>
            </w:pPr>
            <w:r>
              <w:rPr>
                <w:rFonts w:ascii="Arial" w:cs="Arial" w:eastAsia="Arial" w:hAnsi="Arial"/>
                <w:sz w:val="17"/>
                <w:szCs w:val="17"/>
                <w:color w:val="auto"/>
              </w:rPr>
              <w:t>3.4.  Earnings</w:t>
            </w:r>
          </w:p>
        </w:tc>
        <w:tc>
          <w:tcPr>
            <w:tcW w:w="41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07"/>
        </w:trPr>
        <w:tc>
          <w:tcPr>
            <w:tcW w:w="6800" w:type="dxa"/>
            <w:vAlign w:val="bottom"/>
          </w:tcPr>
          <w:p>
            <w:pPr>
              <w:spacing w:after="0"/>
              <w:rPr>
                <w:sz w:val="20"/>
                <w:szCs w:val="20"/>
                <w:color w:val="auto"/>
              </w:rPr>
            </w:pPr>
            <w:r>
              <w:rPr>
                <w:rFonts w:ascii="Arial" w:cs="Arial" w:eastAsia="Arial" w:hAnsi="Arial"/>
                <w:sz w:val="17"/>
                <w:szCs w:val="17"/>
                <w:b w:val="1"/>
                <w:bCs w:val="1"/>
                <w:color w:val="auto"/>
              </w:rPr>
              <w:t>4.   Risks, Opportunities &amp; Forecast</w:t>
            </w:r>
          </w:p>
        </w:tc>
        <w:tc>
          <w:tcPr>
            <w:tcW w:w="416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287"/>
        </w:trPr>
        <w:tc>
          <w:tcPr>
            <w:tcW w:w="6800" w:type="dxa"/>
            <w:vAlign w:val="bottom"/>
          </w:tcPr>
          <w:p>
            <w:pPr>
              <w:ind w:left="80"/>
              <w:spacing w:after="0"/>
              <w:rPr>
                <w:sz w:val="20"/>
                <w:szCs w:val="20"/>
                <w:color w:val="auto"/>
              </w:rPr>
            </w:pPr>
            <w:r>
              <w:rPr>
                <w:rFonts w:ascii="Arial" w:cs="Arial" w:eastAsia="Arial" w:hAnsi="Arial"/>
                <w:sz w:val="17"/>
                <w:szCs w:val="17"/>
                <w:color w:val="auto"/>
              </w:rPr>
              <w:t>4.1.  Risks</w:t>
            </w:r>
          </w:p>
        </w:tc>
        <w:tc>
          <w:tcPr>
            <w:tcW w:w="41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97"/>
        </w:trPr>
        <w:tc>
          <w:tcPr>
            <w:tcW w:w="6800" w:type="dxa"/>
            <w:vAlign w:val="bottom"/>
          </w:tcPr>
          <w:p>
            <w:pPr>
              <w:ind w:left="80"/>
              <w:spacing w:after="0"/>
              <w:rPr>
                <w:sz w:val="20"/>
                <w:szCs w:val="20"/>
                <w:color w:val="auto"/>
              </w:rPr>
            </w:pPr>
            <w:r>
              <w:rPr>
                <w:rFonts w:ascii="Arial" w:cs="Arial" w:eastAsia="Arial" w:hAnsi="Arial"/>
                <w:sz w:val="17"/>
                <w:szCs w:val="17"/>
                <w:color w:val="auto"/>
              </w:rPr>
              <w:t>4.2.  Opportunities</w:t>
            </w:r>
          </w:p>
        </w:tc>
        <w:tc>
          <w:tcPr>
            <w:tcW w:w="41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97"/>
        </w:trPr>
        <w:tc>
          <w:tcPr>
            <w:tcW w:w="6800" w:type="dxa"/>
            <w:vAlign w:val="bottom"/>
          </w:tcPr>
          <w:p>
            <w:pPr>
              <w:ind w:left="80"/>
              <w:spacing w:after="0"/>
              <w:rPr>
                <w:sz w:val="20"/>
                <w:szCs w:val="20"/>
                <w:color w:val="auto"/>
              </w:rPr>
            </w:pPr>
            <w:r>
              <w:rPr>
                <w:rFonts w:ascii="Arial" w:cs="Arial" w:eastAsia="Arial" w:hAnsi="Arial"/>
                <w:sz w:val="17"/>
                <w:szCs w:val="17"/>
                <w:color w:val="auto"/>
              </w:rPr>
              <w:t>4.3.  Forecast</w:t>
            </w:r>
          </w:p>
        </w:tc>
        <w:tc>
          <w:tcPr>
            <w:tcW w:w="4160" w:type="dxa"/>
            <w:vAlign w:val="bottom"/>
          </w:tcPr>
          <w:p>
            <w:pPr>
              <w:jc w:val="right"/>
              <w:spacing w:after="0"/>
              <w:rPr>
                <w:sz w:val="20"/>
                <w:szCs w:val="20"/>
                <w:color w:val="auto"/>
              </w:rPr>
            </w:pPr>
            <w:r>
              <w:rPr>
                <w:rFonts w:ascii="Arial" w:cs="Arial" w:eastAsia="Arial" w:hAnsi="Arial"/>
                <w:sz w:val="17"/>
                <w:szCs w:val="17"/>
                <w:color w:val="auto"/>
              </w:rPr>
              <w:t>14</w:t>
            </w:r>
          </w:p>
        </w:tc>
      </w:tr>
    </w:tbl>
    <w:p>
      <w:pPr>
        <w:spacing w:after="0" w:line="200" w:lineRule="exact"/>
        <w:rPr>
          <w:sz w:val="20"/>
          <w:szCs w:val="20"/>
          <w:color w:val="auto"/>
        </w:rPr>
      </w:pPr>
    </w:p>
    <w:p>
      <w:pPr>
        <w:sectPr>
          <w:pgSz w:w="11900" w:h="16838" w:orient="portrait"/>
          <w:cols w:equalWidth="0" w:num="1">
            <w:col w:w="11020"/>
          </w:cols>
          <w:pgMar w:left="440" w:top="121" w:right="4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tabs>
          <w:tab w:leader="none" w:pos="10340" w:val="left"/>
        </w:tabs>
        <w:rPr>
          <w:sz w:val="20"/>
          <w:szCs w:val="20"/>
          <w:color w:val="auto"/>
        </w:rPr>
      </w:pPr>
      <w:r>
        <w:rPr>
          <w:rFonts w:ascii="Arial" w:cs="Arial" w:eastAsia="Arial" w:hAnsi="Arial"/>
          <w:sz w:val="14"/>
          <w:szCs w:val="14"/>
          <w:color w:val="868A9C"/>
        </w:rPr>
        <w:t>www.mynaric.com</w:t>
      </w:r>
      <w:r>
        <w:rPr>
          <w:sz w:val="20"/>
          <w:szCs w:val="20"/>
          <w:color w:val="auto"/>
        </w:rPr>
        <w:tab/>
      </w:r>
      <w:r>
        <w:rPr>
          <w:rFonts w:ascii="Arial" w:cs="Arial" w:eastAsia="Arial" w:hAnsi="Arial"/>
          <w:sz w:val="14"/>
          <w:szCs w:val="14"/>
          <w:color w:val="868A9C"/>
        </w:rPr>
        <w:t>Page 1/33</w:t>
      </w:r>
    </w:p>
    <w:p>
      <w:pPr>
        <w:sectPr>
          <w:pgSz w:w="11900" w:h="16838" w:orient="portrait"/>
          <w:cols w:equalWidth="0" w:num="1">
            <w:col w:w="11020"/>
          </w:cols>
          <w:pgMar w:left="440" w:top="121" w:right="4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5"/>
        </w:trPr>
        <w:tc>
          <w:tcPr>
            <w:tcW w:w="7140" w:type="dxa"/>
            <w:vAlign w:val="bottom"/>
          </w:tcPr>
          <w:p>
            <w:pPr>
              <w:spacing w:after="0"/>
              <w:rPr>
                <w:sz w:val="20"/>
                <w:szCs w:val="20"/>
                <w:color w:val="auto"/>
              </w:rPr>
            </w:pPr>
            <w:r>
              <w:rPr>
                <w:rFonts w:ascii="Arial" w:cs="Arial" w:eastAsia="Arial" w:hAnsi="Arial"/>
                <w:sz w:val="17"/>
                <w:szCs w:val="17"/>
                <w:b w:val="1"/>
                <w:bCs w:val="1"/>
                <w:color w:val="auto"/>
              </w:rPr>
              <w:t>5.   Condensed Interim Financial Statements</w:t>
            </w:r>
          </w:p>
        </w:tc>
        <w:tc>
          <w:tcPr>
            <w:tcW w:w="3880" w:type="dxa"/>
            <w:vAlign w:val="bottom"/>
          </w:tcPr>
          <w:p>
            <w:pPr>
              <w:jc w:val="right"/>
              <w:spacing w:after="0"/>
              <w:rPr>
                <w:sz w:val="20"/>
                <w:szCs w:val="20"/>
                <w:color w:val="auto"/>
              </w:rPr>
            </w:pPr>
            <w:r>
              <w:rPr>
                <w:rFonts w:ascii="Arial" w:cs="Arial" w:eastAsia="Arial" w:hAnsi="Arial"/>
                <w:sz w:val="17"/>
                <w:szCs w:val="17"/>
                <w:b w:val="1"/>
                <w:bCs w:val="1"/>
                <w:color w:val="auto"/>
              </w:rPr>
              <w:t>15</w:t>
            </w:r>
          </w:p>
        </w:tc>
      </w:tr>
      <w:tr>
        <w:trPr>
          <w:trHeight w:val="287"/>
        </w:trPr>
        <w:tc>
          <w:tcPr>
            <w:tcW w:w="7140" w:type="dxa"/>
            <w:vAlign w:val="bottom"/>
          </w:tcPr>
          <w:p>
            <w:pPr>
              <w:ind w:left="80"/>
              <w:spacing w:after="0"/>
              <w:rPr>
                <w:sz w:val="20"/>
                <w:szCs w:val="20"/>
                <w:color w:val="auto"/>
              </w:rPr>
            </w:pPr>
            <w:r>
              <w:rPr>
                <w:rFonts w:ascii="Arial" w:cs="Arial" w:eastAsia="Arial" w:hAnsi="Arial"/>
                <w:sz w:val="17"/>
                <w:szCs w:val="17"/>
                <w:color w:val="auto"/>
              </w:rPr>
              <w:t>5.1.  Financial Position</w:t>
            </w:r>
          </w:p>
        </w:tc>
        <w:tc>
          <w:tcPr>
            <w:tcW w:w="38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97"/>
        </w:trPr>
        <w:tc>
          <w:tcPr>
            <w:tcW w:w="7140" w:type="dxa"/>
            <w:vAlign w:val="bottom"/>
          </w:tcPr>
          <w:p>
            <w:pPr>
              <w:ind w:left="80"/>
              <w:spacing w:after="0"/>
              <w:rPr>
                <w:sz w:val="20"/>
                <w:szCs w:val="20"/>
                <w:color w:val="auto"/>
              </w:rPr>
            </w:pPr>
            <w:r>
              <w:rPr>
                <w:rFonts w:ascii="Arial" w:cs="Arial" w:eastAsia="Arial" w:hAnsi="Arial"/>
                <w:sz w:val="17"/>
                <w:szCs w:val="17"/>
                <w:color w:val="auto"/>
              </w:rPr>
              <w:t>5.2.  Cash flows</w:t>
            </w:r>
          </w:p>
        </w:tc>
        <w:tc>
          <w:tcPr>
            <w:tcW w:w="3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97"/>
        </w:trPr>
        <w:tc>
          <w:tcPr>
            <w:tcW w:w="7140" w:type="dxa"/>
            <w:vAlign w:val="bottom"/>
          </w:tcPr>
          <w:p>
            <w:pPr>
              <w:ind w:left="80"/>
              <w:spacing w:after="0"/>
              <w:rPr>
                <w:sz w:val="20"/>
                <w:szCs w:val="20"/>
                <w:color w:val="auto"/>
              </w:rPr>
            </w:pPr>
            <w:r>
              <w:rPr>
                <w:rFonts w:ascii="Arial" w:cs="Arial" w:eastAsia="Arial" w:hAnsi="Arial"/>
                <w:sz w:val="17"/>
                <w:szCs w:val="17"/>
                <w:color w:val="auto"/>
              </w:rPr>
              <w:t>5.3.  Profit or loss and other comprehensive income</w:t>
            </w:r>
          </w:p>
        </w:tc>
        <w:tc>
          <w:tcPr>
            <w:tcW w:w="38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97"/>
        </w:trPr>
        <w:tc>
          <w:tcPr>
            <w:tcW w:w="7140" w:type="dxa"/>
            <w:vAlign w:val="bottom"/>
          </w:tcPr>
          <w:p>
            <w:pPr>
              <w:ind w:left="80"/>
              <w:spacing w:after="0"/>
              <w:rPr>
                <w:sz w:val="20"/>
                <w:szCs w:val="20"/>
                <w:color w:val="auto"/>
              </w:rPr>
            </w:pPr>
            <w:r>
              <w:rPr>
                <w:rFonts w:ascii="Arial" w:cs="Arial" w:eastAsia="Arial" w:hAnsi="Arial"/>
                <w:sz w:val="17"/>
                <w:szCs w:val="17"/>
                <w:color w:val="auto"/>
              </w:rPr>
              <w:t>5.4.  Changes in equity</w:t>
            </w:r>
          </w:p>
        </w:tc>
        <w:tc>
          <w:tcPr>
            <w:tcW w:w="38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97"/>
        </w:trPr>
        <w:tc>
          <w:tcPr>
            <w:tcW w:w="7140" w:type="dxa"/>
            <w:vAlign w:val="bottom"/>
          </w:tcPr>
          <w:p>
            <w:pPr>
              <w:ind w:left="80"/>
              <w:spacing w:after="0"/>
              <w:rPr>
                <w:sz w:val="20"/>
                <w:szCs w:val="20"/>
                <w:color w:val="auto"/>
              </w:rPr>
            </w:pPr>
            <w:r>
              <w:rPr>
                <w:rFonts w:ascii="Arial" w:cs="Arial" w:eastAsia="Arial" w:hAnsi="Arial"/>
                <w:sz w:val="17"/>
                <w:szCs w:val="17"/>
                <w:color w:val="auto"/>
              </w:rPr>
              <w:t>5.5.  Notes</w:t>
            </w:r>
          </w:p>
        </w:tc>
        <w:tc>
          <w:tcPr>
            <w:tcW w:w="38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07"/>
        </w:trPr>
        <w:tc>
          <w:tcPr>
            <w:tcW w:w="7140" w:type="dxa"/>
            <w:vAlign w:val="bottom"/>
          </w:tcPr>
          <w:p>
            <w:pPr>
              <w:spacing w:after="0"/>
              <w:rPr>
                <w:sz w:val="20"/>
                <w:szCs w:val="20"/>
                <w:color w:val="auto"/>
              </w:rPr>
            </w:pPr>
            <w:r>
              <w:rPr>
                <w:rFonts w:ascii="Arial" w:cs="Arial" w:eastAsia="Arial" w:hAnsi="Arial"/>
                <w:sz w:val="17"/>
                <w:szCs w:val="17"/>
                <w:b w:val="1"/>
                <w:bCs w:val="1"/>
                <w:color w:val="auto"/>
              </w:rPr>
              <w:t>6.   Responsibility Statement</w:t>
            </w:r>
          </w:p>
        </w:tc>
        <w:tc>
          <w:tcPr>
            <w:tcW w:w="3880" w:type="dxa"/>
            <w:vAlign w:val="bottom"/>
          </w:tcPr>
          <w:p>
            <w:pPr>
              <w:jc w:val="right"/>
              <w:spacing w:after="0"/>
              <w:rPr>
                <w:sz w:val="20"/>
                <w:szCs w:val="20"/>
                <w:color w:val="auto"/>
              </w:rPr>
            </w:pPr>
            <w:r>
              <w:rPr>
                <w:rFonts w:ascii="Arial" w:cs="Arial" w:eastAsia="Arial" w:hAnsi="Arial"/>
                <w:sz w:val="17"/>
                <w:szCs w:val="17"/>
                <w:b w:val="1"/>
                <w:bCs w:val="1"/>
                <w:color w:val="auto"/>
              </w:rPr>
              <w:t>33</w:t>
            </w:r>
          </w:p>
        </w:tc>
      </w:tr>
      <w:tr>
        <w:trPr>
          <w:trHeight w:val="278"/>
        </w:trPr>
        <w:tc>
          <w:tcPr>
            <w:tcW w:w="7140" w:type="dxa"/>
            <w:vAlign w:val="bottom"/>
          </w:tcPr>
          <w:p>
            <w:pPr>
              <w:spacing w:after="0"/>
              <w:rPr>
                <w:sz w:val="20"/>
                <w:szCs w:val="20"/>
                <w:color w:val="auto"/>
              </w:rPr>
            </w:pPr>
            <w:r>
              <w:rPr>
                <w:rFonts w:ascii="Arial" w:cs="Arial" w:eastAsia="Arial" w:hAnsi="Arial"/>
                <w:sz w:val="14"/>
                <w:szCs w:val="14"/>
                <w:color w:val="868A9C"/>
              </w:rPr>
              <w:t>H1 2022 Half Year Report</w:t>
            </w:r>
          </w:p>
        </w:tc>
        <w:tc>
          <w:tcPr>
            <w:tcW w:w="3880" w:type="dxa"/>
            <w:vAlign w:val="bottom"/>
          </w:tcPr>
          <w:p>
            <w:pPr>
              <w:spacing w:after="0"/>
              <w:rPr>
                <w:sz w:val="24"/>
                <w:szCs w:val="24"/>
                <w:color w:val="auto"/>
              </w:rPr>
            </w:pPr>
          </w:p>
        </w:tc>
      </w:tr>
      <w:tr>
        <w:trPr>
          <w:trHeight w:val="162"/>
        </w:trPr>
        <w:tc>
          <w:tcPr>
            <w:tcW w:w="7140" w:type="dxa"/>
            <w:vAlign w:val="bottom"/>
          </w:tcPr>
          <w:p>
            <w:pPr>
              <w:spacing w:after="0"/>
              <w:rPr>
                <w:sz w:val="20"/>
                <w:szCs w:val="20"/>
                <w:color w:val="auto"/>
              </w:rPr>
            </w:pPr>
            <w:r>
              <w:rPr>
                <w:rFonts w:ascii="Arial" w:cs="Arial" w:eastAsia="Arial" w:hAnsi="Arial"/>
                <w:sz w:val="14"/>
                <w:szCs w:val="14"/>
                <w:color w:val="868A9C"/>
              </w:rPr>
              <w:t>Mynaric (NASDAQ: MYNA)(FRA: M0YN)</w:t>
            </w:r>
          </w:p>
        </w:tc>
        <w:tc>
          <w:tcPr>
            <w:tcW w:w="3880" w:type="dxa"/>
            <w:vAlign w:val="bottom"/>
          </w:tcPr>
          <w:p>
            <w:pPr>
              <w:spacing w:after="0"/>
              <w:rPr>
                <w:sz w:val="14"/>
                <w:szCs w:val="14"/>
                <w:color w:val="auto"/>
              </w:rPr>
            </w:pPr>
          </w:p>
        </w:tc>
      </w:tr>
      <w:tr>
        <w:trPr>
          <w:trHeight w:val="190"/>
        </w:trPr>
        <w:tc>
          <w:tcPr>
            <w:tcW w:w="7140" w:type="dxa"/>
            <w:vAlign w:val="bottom"/>
          </w:tcPr>
          <w:p>
            <w:pPr>
              <w:spacing w:after="0"/>
              <w:rPr>
                <w:sz w:val="20"/>
                <w:szCs w:val="20"/>
                <w:color w:val="auto"/>
              </w:rPr>
            </w:pPr>
            <w:r>
              <w:rPr>
                <w:rFonts w:ascii="Arial" w:cs="Arial" w:eastAsia="Arial" w:hAnsi="Arial"/>
                <w:sz w:val="14"/>
                <w:szCs w:val="14"/>
                <w:color w:val="868A9C"/>
              </w:rPr>
              <w:t>www.mynaric.com</w:t>
            </w:r>
          </w:p>
        </w:tc>
        <w:tc>
          <w:tcPr>
            <w:tcW w:w="3880" w:type="dxa"/>
            <w:vAlign w:val="bottom"/>
          </w:tcPr>
          <w:p>
            <w:pPr>
              <w:jc w:val="right"/>
              <w:spacing w:after="0"/>
              <w:rPr>
                <w:sz w:val="20"/>
                <w:szCs w:val="20"/>
                <w:color w:val="auto"/>
              </w:rPr>
            </w:pPr>
            <w:r>
              <w:rPr>
                <w:rFonts w:ascii="Arial" w:cs="Arial" w:eastAsia="Arial" w:hAnsi="Arial"/>
                <w:sz w:val="14"/>
                <w:szCs w:val="14"/>
                <w:color w:val="868A9C"/>
              </w:rPr>
              <w:t>Page 2/33</w:t>
            </w:r>
          </w:p>
        </w:tc>
      </w:tr>
    </w:tbl>
    <w:p>
      <w:pPr>
        <w:jc w:val="right"/>
        <w:spacing w:after="0"/>
        <w:rPr>
          <w:sz w:val="20"/>
          <w:szCs w:val="20"/>
          <w:color w:val="auto"/>
        </w:rPr>
        <w:sectPr>
          <w:pgSz w:w="11900" w:h="16838" w:orient="portrait"/>
          <w:cols w:equalWidth="0" w:num="1">
            <w:col w:w="11020"/>
          </w:cols>
          <w:pgMar w:left="440" w:top="135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bookmarkStart w:id="7" w:name="page8"/>
    <w:bookmarkEnd w:id="7"/>
    <w:p>
      <w:pPr>
        <w:ind w:left="4"/>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Interim Management Report</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auto"/>
        </w:rPr>
        <w:t>1. Economic Environment</w:t>
      </w:r>
    </w:p>
    <w:p>
      <w:pPr>
        <w:spacing w:after="0" w:line="383" w:lineRule="exact"/>
        <w:rPr>
          <w:sz w:val="20"/>
          <w:szCs w:val="20"/>
          <w:color w:val="auto"/>
        </w:rPr>
      </w:pPr>
    </w:p>
    <w:p>
      <w:pPr>
        <w:ind w:left="984"/>
        <w:spacing w:after="0"/>
        <w:tabs>
          <w:tab w:leader="none" w:pos="1844" w:val="left"/>
        </w:tabs>
        <w:rPr>
          <w:sz w:val="20"/>
          <w:szCs w:val="20"/>
          <w:color w:val="auto"/>
        </w:rPr>
      </w:pPr>
      <w:r>
        <w:rPr>
          <w:rFonts w:ascii="Arial" w:cs="Arial" w:eastAsia="Arial" w:hAnsi="Arial"/>
          <w:sz w:val="23"/>
          <w:szCs w:val="23"/>
          <w:b w:val="1"/>
          <w:bCs w:val="1"/>
          <w:color w:val="auto"/>
        </w:rPr>
        <w:t>1.1.</w:t>
      </w:r>
      <w:r>
        <w:rPr>
          <w:sz w:val="20"/>
          <w:szCs w:val="20"/>
          <w:color w:val="auto"/>
        </w:rPr>
        <w:tab/>
      </w:r>
      <w:r>
        <w:rPr>
          <w:rFonts w:ascii="Arial" w:cs="Arial" w:eastAsia="Arial" w:hAnsi="Arial"/>
          <w:sz w:val="23"/>
          <w:szCs w:val="23"/>
          <w:b w:val="1"/>
          <w:bCs w:val="1"/>
          <w:color w:val="auto"/>
        </w:rPr>
        <w:t>Economic development</w:t>
      </w:r>
    </w:p>
    <w:p>
      <w:pPr>
        <w:spacing w:after="0" w:line="125" w:lineRule="exact"/>
        <w:rPr>
          <w:sz w:val="20"/>
          <w:szCs w:val="20"/>
          <w:color w:val="auto"/>
        </w:rPr>
      </w:pPr>
    </w:p>
    <w:p>
      <w:pPr>
        <w:jc w:val="both"/>
        <w:ind w:left="4"/>
        <w:spacing w:after="0" w:line="241" w:lineRule="auto"/>
        <w:rPr>
          <w:sz w:val="20"/>
          <w:szCs w:val="20"/>
          <w:color w:val="auto"/>
        </w:rPr>
      </w:pPr>
      <w:r>
        <w:rPr>
          <w:rFonts w:ascii="Arial" w:cs="Arial" w:eastAsia="Arial" w:hAnsi="Arial"/>
          <w:sz w:val="17"/>
          <w:szCs w:val="17"/>
          <w:color w:val="auto"/>
        </w:rPr>
        <w:t>In the first half of 2022, a tentative recovery from pandemic-related recession in 2020 has been followed by increasingly gloomy developments as risks began to materialize and several shocks hit the world economy according to the World Economic Outlook Update of July 2022 by the International Monetary Fund (IMF)</w:t>
      </w:r>
      <w:r>
        <w:rPr>
          <w:rFonts w:ascii="Arial" w:cs="Arial" w:eastAsia="Arial" w:hAnsi="Arial"/>
          <w:sz w:val="12"/>
          <w:szCs w:val="12"/>
          <w:color w:val="auto"/>
        </w:rPr>
        <w:t>1</w:t>
      </w:r>
      <w:r>
        <w:rPr>
          <w:rFonts w:ascii="Arial" w:cs="Arial" w:eastAsia="Arial" w:hAnsi="Arial"/>
          <w:sz w:val="17"/>
          <w:szCs w:val="17"/>
          <w:color w:val="auto"/>
        </w:rPr>
        <w:t>. Especially the United States and major European countries saw higher-than-expected inflation triggering tighter financial conditions, China’s slowdown mostly related to COVID-19 outbreaks and lockdowns was worse than anticipated and spillover effects from the war in Ukraine had negative effects particularly on food and energy prices according to the IMF.</w:t>
      </w:r>
    </w:p>
    <w:p>
      <w:pPr>
        <w:spacing w:after="0" w:line="72" w:lineRule="exact"/>
        <w:rPr>
          <w:sz w:val="20"/>
          <w:szCs w:val="20"/>
          <w:color w:val="auto"/>
        </w:rPr>
      </w:pPr>
    </w:p>
    <w:p>
      <w:pPr>
        <w:jc w:val="both"/>
        <w:ind w:left="4"/>
        <w:spacing w:after="0" w:line="244" w:lineRule="auto"/>
        <w:rPr>
          <w:sz w:val="20"/>
          <w:szCs w:val="20"/>
          <w:color w:val="auto"/>
        </w:rPr>
      </w:pPr>
      <w:r>
        <w:rPr>
          <w:rFonts w:ascii="Arial" w:cs="Arial" w:eastAsia="Arial" w:hAnsi="Arial"/>
          <w:sz w:val="17"/>
          <w:szCs w:val="17"/>
          <w:color w:val="auto"/>
        </w:rPr>
        <w:t>The IMF lowered their baseline forecast of total global GDP growth to slow from 6.1% in 2021 to 3.2% in 2022. Expected global inflation has been revised up by the IMF due to rising food and energy prices as well as lingering supply-demand imbalances and is anticipated to reach 6.6% in advanced economies. In 2023, disinflationary monetary policy is expected to bite, according to the IMF, with global output expected to grow by just 2.9%.</w:t>
      </w:r>
    </w:p>
    <w:p>
      <w:pPr>
        <w:spacing w:after="0" w:line="69"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In Germany, the IMF expects the rate of GDP growth to decrease from 2.9% in 2021 to 1.2% in 2022 and 0.8% in 2023. In the United States, the IMF expects the rate of GDP growth to decrease from 5.7% in 2021 to 2.3% in 2022 and 1.0% in 2023.</w:t>
      </w:r>
    </w:p>
    <w:p>
      <w:pPr>
        <w:spacing w:after="0" w:line="310" w:lineRule="exact"/>
        <w:rPr>
          <w:sz w:val="20"/>
          <w:szCs w:val="20"/>
          <w:color w:val="auto"/>
        </w:rPr>
      </w:pPr>
    </w:p>
    <w:p>
      <w:pPr>
        <w:ind w:left="984"/>
        <w:spacing w:after="0"/>
        <w:tabs>
          <w:tab w:leader="none" w:pos="1844" w:val="left"/>
        </w:tabs>
        <w:rPr>
          <w:sz w:val="20"/>
          <w:szCs w:val="20"/>
          <w:color w:val="auto"/>
        </w:rPr>
      </w:pPr>
      <w:r>
        <w:rPr>
          <w:rFonts w:ascii="Arial" w:cs="Arial" w:eastAsia="Arial" w:hAnsi="Arial"/>
          <w:sz w:val="23"/>
          <w:szCs w:val="23"/>
          <w:b w:val="1"/>
          <w:bCs w:val="1"/>
          <w:color w:val="auto"/>
        </w:rPr>
        <w:t>1.2.</w:t>
      </w:r>
      <w:r>
        <w:rPr>
          <w:sz w:val="20"/>
          <w:szCs w:val="20"/>
          <w:color w:val="auto"/>
        </w:rPr>
        <w:tab/>
      </w:r>
      <w:r>
        <w:rPr>
          <w:rFonts w:ascii="Arial" w:cs="Arial" w:eastAsia="Arial" w:hAnsi="Arial"/>
          <w:sz w:val="23"/>
          <w:szCs w:val="23"/>
          <w:b w:val="1"/>
          <w:bCs w:val="1"/>
          <w:color w:val="auto"/>
        </w:rPr>
        <w:t>Industry development</w:t>
      </w:r>
    </w:p>
    <w:p>
      <w:pPr>
        <w:spacing w:after="0" w:line="125" w:lineRule="exact"/>
        <w:rPr>
          <w:sz w:val="20"/>
          <w:szCs w:val="20"/>
          <w:color w:val="auto"/>
        </w:rPr>
      </w:pPr>
    </w:p>
    <w:p>
      <w:pPr>
        <w:jc w:val="both"/>
        <w:ind w:left="4"/>
        <w:spacing w:after="0" w:line="236" w:lineRule="auto"/>
        <w:rPr>
          <w:sz w:val="20"/>
          <w:szCs w:val="20"/>
          <w:color w:val="auto"/>
        </w:rPr>
      </w:pPr>
      <w:r>
        <w:rPr>
          <w:rFonts w:ascii="Arial" w:cs="Arial" w:eastAsia="Arial" w:hAnsi="Arial"/>
          <w:sz w:val="17"/>
          <w:szCs w:val="17"/>
          <w:color w:val="auto"/>
        </w:rPr>
        <w:t>Globally, the need for fast, secure and ubiquitous network connectivity continues to grow – a trend that has been reinforced by the ongoing COVID-19 pandemic and geopolitical conflicts such as the war in Ukraine.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radio frequency-based network connectivity provided by satellites in geostationary orbit, are expensive and characterized by relatively low bandwidth and high latency connectivity, as well as limited security from hacking and spoofing. Even where broadband connectivity is available, many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79" w:lineRule="exact"/>
        <w:rPr>
          <w:sz w:val="20"/>
          <w:szCs w:val="20"/>
          <w:color w:val="auto"/>
        </w:rPr>
      </w:pPr>
    </w:p>
    <w:p>
      <w:pPr>
        <w:jc w:val="both"/>
        <w:ind w:left="4"/>
        <w:spacing w:after="0" w:line="239" w:lineRule="auto"/>
        <w:rPr>
          <w:sz w:val="20"/>
          <w:szCs w:val="20"/>
          <w:color w:val="auto"/>
        </w:rPr>
      </w:pPr>
      <w:r>
        <w:rPr>
          <w:rFonts w:ascii="Arial" w:cs="Arial" w:eastAsia="Arial" w:hAnsi="Arial"/>
          <w:sz w:val="17"/>
          <w:szCs w:val="17"/>
          <w:color w:val="auto"/>
        </w:rPr>
        <w:t>The increased market demand for internet connectivity across the globe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74" w:lineRule="exact"/>
        <w:rPr>
          <w:sz w:val="20"/>
          <w:szCs w:val="20"/>
          <w:color w:val="auto"/>
        </w:rPr>
      </w:pPr>
    </w:p>
    <w:p>
      <w:pPr>
        <w:jc w:val="both"/>
        <w:ind w:left="4" w:right="20"/>
        <w:spacing w:after="0" w:line="238" w:lineRule="auto"/>
        <w:rPr>
          <w:sz w:val="20"/>
          <w:szCs w:val="20"/>
          <w:color w:val="auto"/>
        </w:rPr>
      </w:pPr>
      <w:r>
        <w:rPr>
          <w:rFonts w:ascii="Arial" w:cs="Arial" w:eastAsia="Arial" w:hAnsi="Arial"/>
          <w:sz w:val="17"/>
          <w:szCs w:val="17"/>
          <w:color w:val="auto"/>
        </w:rPr>
        <w:t>Over the past decade, the laser communication market has started to take shape, driven by rapid technological developments in the space industry. While government remains a critical driver for further expansion of global space activities, well-funded technology companies have developed formidable commercial space-based communication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r>
        <w:rPr>
          <w:rFonts w:ascii="Arial" w:cs="Arial" w:eastAsia="Arial" w:hAnsi="Arial"/>
          <w:sz w:val="12"/>
          <w:szCs w:val="12"/>
          <w:color w:val="auto"/>
        </w:rPr>
        <w:t>2</w:t>
      </w:r>
      <w:r>
        <w:rPr>
          <w:rFonts w:ascii="Arial" w:cs="Arial" w:eastAsia="Arial" w:hAnsi="Arial"/>
          <w:sz w:val="17"/>
          <w:szCs w:val="17"/>
          <w:color w:val="auto"/>
        </w:rPr>
        <w:t>. We believe that the global space industry is at an inflection point today, transitioning from a phase of discovery to phases of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1817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14" w:lineRule="exact"/>
        <w:rPr>
          <w:sz w:val="20"/>
          <w:szCs w:val="20"/>
          <w:color w:val="auto"/>
        </w:rPr>
      </w:pPr>
    </w:p>
    <w:p>
      <w:pPr>
        <w:ind w:left="104" w:hanging="104"/>
        <w:spacing w:after="0"/>
        <w:tabs>
          <w:tab w:leader="none" w:pos="104"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 xml:space="preserve">Source: </w:t>
      </w:r>
      <w:r>
        <w:rPr>
          <w:rFonts w:ascii="Arial" w:cs="Arial" w:eastAsia="Arial" w:hAnsi="Arial"/>
          <w:sz w:val="14"/>
          <w:szCs w:val="14"/>
          <w:u w:val="single" w:color="auto"/>
          <w:color w:val="FF644B"/>
        </w:rPr>
        <w:t>https://www.imf.org/en/Publications/WEO/Issues/2022/07/26/world-economic-outlook-update-july-2022,</w:t>
      </w:r>
      <w:r>
        <w:rPr>
          <w:rFonts w:ascii="Arial" w:cs="Arial" w:eastAsia="Arial" w:hAnsi="Arial"/>
          <w:sz w:val="14"/>
          <w:szCs w:val="14"/>
          <w:color w:val="auto"/>
        </w:rPr>
        <w:t xml:space="preserve"> accessed 23 September 2022</w:t>
      </w:r>
    </w:p>
    <w:p>
      <w:pPr>
        <w:ind w:left="4"/>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2</w:t>
      </w:r>
      <w:r>
        <w:rPr>
          <w:rFonts w:ascii="Arial" w:cs="Arial" w:eastAsia="Arial" w:hAnsi="Arial"/>
          <w:sz w:val="14"/>
          <w:szCs w:val="14"/>
          <w:color w:val="auto"/>
        </w:rPr>
        <w:t xml:space="preserve"> Source: </w:t>
      </w:r>
      <w:r>
        <w:rPr>
          <w:rFonts w:ascii="Arial" w:cs="Arial" w:eastAsia="Arial" w:hAnsi="Arial"/>
          <w:sz w:val="14"/>
          <w:szCs w:val="14"/>
          <w:u w:val="single" w:color="auto"/>
          <w:color w:val="FF644B"/>
        </w:rPr>
        <w:t>https://www.morganstanley.com/ideas/space-economy-investment-themes</w:t>
      </w:r>
      <w:r>
        <w:rPr>
          <w:rFonts w:ascii="Arial" w:cs="Arial" w:eastAsia="Arial" w:hAnsi="Arial"/>
          <w:sz w:val="14"/>
          <w:szCs w:val="14"/>
          <w:color w:val="auto"/>
        </w:rPr>
        <w:t>, accessed 23 September 2022</w:t>
      </w:r>
    </w:p>
    <w:p>
      <w:pPr>
        <w:sectPr>
          <w:pgSz w:w="11900" w:h="16838" w:orient="portrait"/>
          <w:cols w:equalWidth="0" w:num="1">
            <w:col w:w="11024"/>
          </w:cols>
          <w:pgMar w:left="436" w:top="1344" w:right="439" w:bottom="1440" w:gutter="0" w:footer="0" w:header="0"/>
        </w:sectPr>
      </w:pPr>
    </w:p>
    <w:p>
      <w:pPr>
        <w:spacing w:after="0" w:line="5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868A9C"/>
        </w:rPr>
        <w:t>Page 3/33</w:t>
      </w:r>
    </w:p>
    <w:p>
      <w:pPr>
        <w:sectPr>
          <w:pgSz w:w="11900" w:h="16838" w:orient="portrait"/>
          <w:cols w:equalWidth="0" w:num="2">
            <w:col w:w="9644" w:space="720"/>
            <w:col w:w="660"/>
          </w:cols>
          <w:pgMar w:left="436" w:top="1344" w:right="439" w:bottom="1440" w:gutter="0" w:footer="0" w:header="0"/>
          <w:type w:val="continuous"/>
        </w:sectPr>
      </w:pPr>
    </w:p>
    <w:bookmarkStart w:id="8" w:name="page9"/>
    <w:bookmarkEnd w:id="8"/>
    <w:p>
      <w:pPr>
        <w:jc w:val="both"/>
        <w:ind w:left="4"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and commercialization. We consider these developments in the broader space economy as crucial for the market for our industrialized laser communication equipment to take shape and fully materialize.</w:t>
      </w:r>
    </w:p>
    <w:p>
      <w:pPr>
        <w:spacing w:after="0" w:line="51" w:lineRule="exact"/>
        <w:rPr>
          <w:sz w:val="20"/>
          <w:szCs w:val="20"/>
          <w:color w:val="auto"/>
        </w:rPr>
      </w:pPr>
    </w:p>
    <w:p>
      <w:pPr>
        <w:jc w:val="both"/>
        <w:ind w:left="4"/>
        <w:spacing w:after="0" w:line="236" w:lineRule="auto"/>
        <w:rPr>
          <w:sz w:val="20"/>
          <w:szCs w:val="20"/>
          <w:color w:val="auto"/>
        </w:rPr>
      </w:pPr>
      <w:r>
        <w:rPr>
          <w:rFonts w:ascii="Arial" w:cs="Arial" w:eastAsia="Arial" w:hAnsi="Arial"/>
          <w:sz w:val="17"/>
          <w:szCs w:val="17"/>
          <w:color w:val="auto"/>
        </w:rPr>
        <w:t>Current demand for laser communication is predominantly driven by both government organizations and commercial players seeking to establish low-earth orbit (“LEO”) satellite-based space communication networks. The U.S. government has been the strongest proponent to date of aerospace network capabilities and has made the development of government space architectures using large-scale LEO constellations a priority3. As such, the U.S. Department of Defense’s budget request for the fiscal year 2023 includes $24.5 billion for the U.S. Space Force and the SDA, including $1 billion for SDA’s tracking layer “Tranche 1” program4. In response to current geopolitical tensions, the U.S. Senate in July 2022 proposed a further budget increase for military space programs to support missile warning satellite development, responsive launch capabilities and improved testing and training infrastructure5.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(i.e., large constellations of small satellites), particularly those based in LEO.</w:t>
      </w:r>
    </w:p>
    <w:p>
      <w:pPr>
        <w:spacing w:after="0" w:line="73"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7"/>
          <w:szCs w:val="17"/>
          <w:color w:val="auto"/>
        </w:rPr>
        <w:t>Over the past years the number of active satellites in orbit increased significantly from around 950 in late 2010 to 2,000 satellites in late 2019 to around 5,500 satellites as of April 30, 20226. The number of communication constellation satellites increased by a factor of ten between late 2019 and late 2021 driven significantly by the start of satellite deployments as part of commercial mega-constellations. Given these growth dynamics, we expect a continued rapid increase in active satellites in orbit. Going forward, Beyond Earth Institute estimates that by 2030 there could be as many as 100,000 satellites in orbit7. We believe the vast majority of these satellites will be part of communication constellations with each satellite in the constellation potentially requiring at least two and often four optical communications terminals.</w:t>
      </w:r>
    </w:p>
    <w:p>
      <w:pPr>
        <w:spacing w:after="0" w:line="74" w:lineRule="exact"/>
        <w:rPr>
          <w:sz w:val="20"/>
          <w:szCs w:val="20"/>
          <w:color w:val="auto"/>
        </w:rPr>
      </w:pPr>
    </w:p>
    <w:p>
      <w:pPr>
        <w:jc w:val="both"/>
        <w:ind w:left="4"/>
        <w:spacing w:after="0" w:line="238" w:lineRule="auto"/>
        <w:rPr>
          <w:sz w:val="20"/>
          <w:szCs w:val="20"/>
          <w:color w:val="auto"/>
        </w:rPr>
      </w:pPr>
      <w:r>
        <w:rPr>
          <w:rFonts w:ascii="Arial" w:cs="Arial" w:eastAsia="Arial" w:hAnsi="Arial"/>
          <w:sz w:val="17"/>
          <w:szCs w:val="17"/>
          <w:color w:val="auto"/>
        </w:rPr>
        <w:t>Just as the internet was initially developed as a defense communication network before evolving into diversified, commercial applications, we believe aerospace communication networks will serve not only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386"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auto"/>
        </w:rPr>
        <w:t>2. Business Performance</w:t>
      </w:r>
    </w:p>
    <w:p>
      <w:pPr>
        <w:spacing w:after="0" w:line="124"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7"/>
          <w:szCs w:val="17"/>
          <w:color w:val="auto"/>
        </w:rPr>
        <w:t>Mynaric achieved important milestones in the first half of 2022, including winning a $36 million order from Northrop Grumman for optical communications terminals in the government market, as well as being selected by the European Space Agency (ESA) and the U.S. Defense Advanced Research Projects Agency (DARPA) for trailblazing technology development programs. In addition to these operational milestones, in early July 2022, Mynaric secured a strategic investment of EUR 11.2 million by L3Harris.</w:t>
      </w:r>
    </w:p>
    <w:p>
      <w:pPr>
        <w:spacing w:after="0" w:line="69"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7"/>
          <w:szCs w:val="17"/>
          <w:color w:val="auto"/>
        </w:rPr>
        <w:t>In February, Mynaric announced that is has been awarded a contract by the European Space Agency (ESA) to analyze, design, build and test on a laboratory model an end-to-end optical communication system that can achieve data transmission speeds of 1 Terabit per second (Tbps). The project, named Pegasus, is allocated within ESA’s ScyLight program which supports the research, development, and evolution of optical communication technologies, and provides flight opportunities for in-orbit verification.</w:t>
      </w:r>
    </w:p>
    <w:p>
      <w:pPr>
        <w:spacing w:after="0" w:line="69" w:lineRule="exact"/>
        <w:rPr>
          <w:sz w:val="20"/>
          <w:szCs w:val="20"/>
          <w:color w:val="auto"/>
        </w:rPr>
      </w:pPr>
    </w:p>
    <w:p>
      <w:pPr>
        <w:jc w:val="both"/>
        <w:ind w:left="4" w:right="20"/>
        <w:spacing w:after="0" w:line="249" w:lineRule="auto"/>
        <w:rPr>
          <w:sz w:val="20"/>
          <w:szCs w:val="20"/>
          <w:color w:val="auto"/>
        </w:rPr>
      </w:pPr>
      <w:r>
        <w:rPr>
          <w:rFonts w:ascii="Arial" w:cs="Arial" w:eastAsia="Arial" w:hAnsi="Arial"/>
          <w:sz w:val="17"/>
          <w:szCs w:val="17"/>
          <w:color w:val="auto"/>
        </w:rPr>
        <w:t>In March, Mynaric has been selected by Northrop Grumman for delivery of CONDOR Mk3 optical communication terminals in the framework of a milestone U.S. government program. Northrop Grumman was selected by the Space Development Agency (SDA) to provide 42 satellites for the Tranche 1 Transport Layer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1817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64" w:lineRule="exact"/>
        <w:rPr>
          <w:sz w:val="20"/>
          <w:szCs w:val="20"/>
          <w:color w:val="auto"/>
        </w:rPr>
      </w:pPr>
    </w:p>
    <w:p>
      <w:pPr>
        <w:ind w:left="104" w:hanging="104"/>
        <w:spacing w:after="0"/>
        <w:tabs>
          <w:tab w:leader="none" w:pos="104"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 xml:space="preserve">Source: </w:t>
      </w:r>
      <w:r>
        <w:rPr>
          <w:rFonts w:ascii="Arial" w:cs="Arial" w:eastAsia="Arial" w:hAnsi="Arial"/>
          <w:sz w:val="14"/>
          <w:szCs w:val="14"/>
          <w:u w:val="single" w:color="auto"/>
          <w:color w:val="FF644B"/>
        </w:rPr>
        <w:t>https://interactive.satellitetoday.com/via/april-2022/government-and-new-space-pursuing-faster-teamwork-for-a-robust-future/</w:t>
      </w:r>
      <w:r>
        <w:rPr>
          <w:rFonts w:ascii="Arial" w:cs="Arial" w:eastAsia="Arial" w:hAnsi="Arial"/>
          <w:sz w:val="14"/>
          <w:szCs w:val="14"/>
          <w:color w:val="auto"/>
        </w:rPr>
        <w:t xml:space="preserve"> , accessed 23 September 2022</w:t>
      </w:r>
    </w:p>
    <w:p>
      <w:pPr>
        <w:ind w:left="4"/>
        <w:spacing w:after="0" w:line="187" w:lineRule="auto"/>
        <w:rPr>
          <w:rFonts w:ascii="Arial" w:cs="Arial" w:eastAsia="Arial" w:hAnsi="Arial"/>
          <w:sz w:val="22"/>
          <w:szCs w:val="22"/>
          <w:color w:val="auto"/>
          <w:vertAlign w:val="superscript"/>
        </w:rPr>
      </w:pPr>
      <w:r>
        <w:rPr>
          <w:rFonts w:ascii="Arial" w:cs="Arial" w:eastAsia="Arial" w:hAnsi="Arial"/>
          <w:sz w:val="18"/>
          <w:szCs w:val="18"/>
          <w:color w:val="auto"/>
          <w:vertAlign w:val="superscript"/>
        </w:rPr>
        <w:t>4</w:t>
      </w:r>
      <w:r>
        <w:rPr>
          <w:rFonts w:ascii="Arial" w:cs="Arial" w:eastAsia="Arial" w:hAnsi="Arial"/>
          <w:sz w:val="13"/>
          <w:szCs w:val="13"/>
          <w:color w:val="auto"/>
        </w:rPr>
        <w:t xml:space="preserve"> Source: </w:t>
      </w:r>
      <w:r>
        <w:rPr>
          <w:rFonts w:ascii="Arial" w:cs="Arial" w:eastAsia="Arial" w:hAnsi="Arial"/>
          <w:sz w:val="13"/>
          <w:szCs w:val="13"/>
          <w:u w:val="single" w:color="auto"/>
          <w:color w:val="FF644B"/>
        </w:rPr>
        <w:t>https://spacenews.com/bidens-2023-defense-budget-adds-billions-for-u-s-space-force/</w:t>
      </w:r>
      <w:r>
        <w:rPr>
          <w:rFonts w:ascii="Arial" w:cs="Arial" w:eastAsia="Arial" w:hAnsi="Arial"/>
          <w:sz w:val="13"/>
          <w:szCs w:val="13"/>
          <w:color w:val="auto"/>
        </w:rPr>
        <w:t xml:space="preserve"> , accessed 23 September 2022</w:t>
      </w:r>
    </w:p>
    <w:p>
      <w:pPr>
        <w:ind w:left="4"/>
        <w:spacing w:after="0" w:line="187" w:lineRule="auto"/>
        <w:rPr>
          <w:rFonts w:ascii="Arial" w:cs="Arial" w:eastAsia="Arial" w:hAnsi="Arial"/>
          <w:sz w:val="22"/>
          <w:szCs w:val="22"/>
          <w:color w:val="auto"/>
          <w:vertAlign w:val="superscript"/>
        </w:rPr>
      </w:pPr>
      <w:r>
        <w:rPr>
          <w:rFonts w:ascii="Arial" w:cs="Arial" w:eastAsia="Arial" w:hAnsi="Arial"/>
          <w:sz w:val="18"/>
          <w:szCs w:val="18"/>
          <w:color w:val="auto"/>
          <w:vertAlign w:val="superscript"/>
        </w:rPr>
        <w:t>5</w:t>
      </w:r>
      <w:r>
        <w:rPr>
          <w:rFonts w:ascii="Arial" w:cs="Arial" w:eastAsia="Arial" w:hAnsi="Arial"/>
          <w:sz w:val="13"/>
          <w:szCs w:val="13"/>
          <w:color w:val="auto"/>
        </w:rPr>
        <w:t xml:space="preserve"> Source: </w:t>
      </w:r>
      <w:r>
        <w:rPr>
          <w:rFonts w:ascii="Arial" w:cs="Arial" w:eastAsia="Arial" w:hAnsi="Arial"/>
          <w:sz w:val="13"/>
          <w:szCs w:val="13"/>
          <w:u w:val="single" w:color="auto"/>
          <w:color w:val="FF644B"/>
        </w:rPr>
        <w:t>https://spacenews.com/senate-appropriators-boost-military-space-programs-in-proposed-2023-spending-bill/</w:t>
      </w:r>
      <w:r>
        <w:rPr>
          <w:rFonts w:ascii="Arial" w:cs="Arial" w:eastAsia="Arial" w:hAnsi="Arial"/>
          <w:sz w:val="13"/>
          <w:szCs w:val="13"/>
          <w:color w:val="auto"/>
        </w:rPr>
        <w:t>, accessed 23 September 2022</w:t>
      </w:r>
    </w:p>
    <w:p>
      <w:pPr>
        <w:ind w:left="4"/>
        <w:spacing w:after="0" w:line="187" w:lineRule="auto"/>
        <w:rPr>
          <w:rFonts w:ascii="Arial" w:cs="Arial" w:eastAsia="Arial" w:hAnsi="Arial"/>
          <w:sz w:val="22"/>
          <w:szCs w:val="22"/>
          <w:color w:val="auto"/>
          <w:vertAlign w:val="superscript"/>
        </w:rPr>
      </w:pPr>
      <w:r>
        <w:rPr>
          <w:rFonts w:ascii="Arial" w:cs="Arial" w:eastAsia="Arial" w:hAnsi="Arial"/>
          <w:sz w:val="18"/>
          <w:szCs w:val="18"/>
          <w:color w:val="auto"/>
          <w:vertAlign w:val="superscript"/>
        </w:rPr>
        <w:t>6</w:t>
      </w:r>
      <w:r>
        <w:rPr>
          <w:rFonts w:ascii="Arial" w:cs="Arial" w:eastAsia="Arial" w:hAnsi="Arial"/>
          <w:sz w:val="13"/>
          <w:szCs w:val="13"/>
          <w:color w:val="auto"/>
        </w:rPr>
        <w:t xml:space="preserve"> Source: </w:t>
      </w:r>
      <w:r>
        <w:rPr>
          <w:rFonts w:ascii="Arial" w:cs="Arial" w:eastAsia="Arial" w:hAnsi="Arial"/>
          <w:sz w:val="13"/>
          <w:szCs w:val="13"/>
          <w:u w:val="single" w:color="auto"/>
          <w:color w:val="FF644B"/>
        </w:rPr>
        <w:t>https://www.ucsusa.org/resources/satellite-database</w:t>
      </w:r>
      <w:r>
        <w:rPr>
          <w:rFonts w:ascii="Arial" w:cs="Arial" w:eastAsia="Arial" w:hAnsi="Arial"/>
          <w:sz w:val="13"/>
          <w:szCs w:val="13"/>
          <w:color w:val="auto"/>
        </w:rPr>
        <w:t>, accessed 23 September 2022</w:t>
      </w:r>
    </w:p>
    <w:p>
      <w:pPr>
        <w:ind w:left="4"/>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7</w:t>
      </w:r>
      <w:r>
        <w:rPr>
          <w:rFonts w:ascii="Arial" w:cs="Arial" w:eastAsia="Arial" w:hAnsi="Arial"/>
          <w:sz w:val="14"/>
          <w:szCs w:val="14"/>
          <w:color w:val="auto"/>
        </w:rPr>
        <w:t xml:space="preserve"> Source: </w:t>
      </w:r>
      <w:r>
        <w:rPr>
          <w:rFonts w:ascii="Arial" w:cs="Arial" w:eastAsia="Arial" w:hAnsi="Arial"/>
          <w:sz w:val="14"/>
          <w:szCs w:val="14"/>
          <w:u w:val="single" w:color="auto"/>
          <w:color w:val="FF644B"/>
        </w:rPr>
        <w:t>https://aviationweek.com/aerospace/program-management/burgeoning-satellite-industry-paving-way-1-trillion-space-economy</w:t>
      </w:r>
      <w:r>
        <w:rPr>
          <w:rFonts w:ascii="Arial" w:cs="Arial" w:eastAsia="Arial" w:hAnsi="Arial"/>
          <w:sz w:val="14"/>
          <w:szCs w:val="14"/>
          <w:color w:val="auto"/>
        </w:rPr>
        <w:t>, accessed 23 September 2022</w:t>
      </w:r>
    </w:p>
    <w:p>
      <w:pPr>
        <w:sectPr>
          <w:pgSz w:w="11900" w:h="16838" w:orient="portrait"/>
          <w:cols w:equalWidth="0" w:num="1">
            <w:col w:w="11024"/>
          </w:cols>
          <w:pgMar w:left="436" w:top="1359" w:right="439" w:bottom="1440" w:gutter="0" w:footer="0" w:header="0"/>
        </w:sectPr>
      </w:pPr>
    </w:p>
    <w:p>
      <w:pPr>
        <w:spacing w:after="0" w:line="5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868A9C"/>
        </w:rPr>
        <w:t>Page 4/33</w:t>
      </w:r>
    </w:p>
    <w:p>
      <w:pPr>
        <w:sectPr>
          <w:pgSz w:w="11900" w:h="16838" w:orient="portrait"/>
          <w:cols w:equalWidth="0" w:num="2">
            <w:col w:w="9644" w:space="720"/>
            <w:col w:w="660"/>
          </w:cols>
          <w:pgMar w:left="436" w:top="1359" w:right="439" w:bottom="1440" w:gutter="0" w:footer="0" w:header="0"/>
          <w:type w:val="continuous"/>
        </w:sectPr>
      </w:pPr>
    </w:p>
    <w:bookmarkStart w:id="9" w:name="page10"/>
    <w:bookmarkEnd w:id="9"/>
    <w:p>
      <w:pPr>
        <w:jc w:val="both"/>
        <w:spacing w:after="0" w:line="23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program that will serve critical needs of the U.S. National Defense Space Architecture (NDSA). The agreement has an initial value of $36 million and provides for performance-based payment milestones throughout 2022, 2023 and 2024 and product deliveries mostly in 2023 and 2024. Any milestone payments under the SDA order will count towards the $35 million revenue opportunity under Mynaric’s strategic agreement with Northrop Grumman, subject to such milestone payments actually being made. The agreement marks the largest order for optical communications terminals placed with Mynaric specifically and announced in the government market generally to date confirming the trajectory of the industry to procure and deploy industrialized laser communications systems at rapidly increasing scale.</w:t>
      </w:r>
    </w:p>
    <w:p>
      <w:pPr>
        <w:spacing w:after="0" w:line="74"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Following the six months ended June 30, 2022, in July, Mynaric and L3Harris signed agreements related to an EUR 11.2 million investment in Mynaric by L3Harris and to future collaboration. Under the framework of the investment, Mynaric will serve as preferred provider of laser communication solutions to L3Harris and L3Harris will be granted certain collaboration privileges. With the strategic framework, the companies seek to build on their existing collaboration in the airborne domain and widen the scope to cover all domains to include space, maritime and ground along with airborne.</w:t>
      </w:r>
    </w:p>
    <w:p>
      <w:pPr>
        <w:spacing w:after="0" w:line="72"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Furthermore, in August, Mynaric announced that it was selected as a key development partner to create a benchtop model of a next-generation optical communications terminal as part of Phase 1 of the Space-based adaptive communications node (Space-BACN) program of the Defense Advanced Research Projects Agency (DARPA). DARPA’s Space-BACN program envisions a low-cost, scalable optical communications terminal that could be reconfigured to work with various optical intersatellite link standards allowing seamless communication among government and private-sector proprietary satellites. The announcement follows the selection of Mynaric to participate in the Space-BACN program’s Phase 0 at the end of 2021 and represents Mynaric’s continued success with U.S. government customers that are a driving force for the deployment of space-based, optical communication capabilities.</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Driven by these initial customer wins, our optical communications terminal backlog increased significantly year-over-year from 36 terminal deliverables as of October 31, 2021, to 243 terminal deliverables as of October 31, 2022. Optical communications terminal backlog represents the quantity of all open optical communications terminal deliverables in the context of signed customer programs at the end of a reporting period. Optical communications terminals are defined as the individual devices responsible for pointing the laser beam and capable of establishing a singular optical link each. The optical communications terminal backlog includes (i) optical communications terminal deliverables related to customer purchase orders; and (ii) optical communications terminal deliverables in the context of other signed agreements. Backlog is calculated as the order backlog at the beginning of a reporting period plus the order intake within the reporting period minus terminal deliveries recognized as revenue within the reporting period and as adjusted for canceled orders, changes in scope and adjustments. If there are multiple options for deliveries under a particular purchase order or binding agreement, backlog only takes into account the most likely contract option based on management assessment and customer discussions.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light of the increase in optical communications terminal backlog cash-in from customer contracts amounted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8.3 million for the six months ended June 30, 2022 compared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1.9 million for the six months ended June 30, 2021. Cash-in from customer contracts includes payments from customers under purchase orders and other signed agreements, including payments received based on payment milestones under customer and government programs. We often achieve meaningful payment milestones during the integration phase that precede customer deliveries.</w:t>
      </w:r>
    </w:p>
    <w:p>
      <w:pPr>
        <w:sectPr>
          <w:pgSz w:w="11900" w:h="16838" w:orient="portrait"/>
          <w:cols w:equalWidth="0" w:num="1">
            <w:col w:w="11020"/>
          </w:cols>
          <w:pgMar w:left="440" w:top="1359" w:right="43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868A9C"/>
        </w:rPr>
        <w:t>Page 5/33</w:t>
      </w:r>
    </w:p>
    <w:p>
      <w:pPr>
        <w:sectPr>
          <w:pgSz w:w="11900" w:h="16838" w:orient="portrait"/>
          <w:cols w:equalWidth="0" w:num="2">
            <w:col w:w="9640" w:space="720"/>
            <w:col w:w="660"/>
          </w:cols>
          <w:pgMar w:left="440" w:top="1359"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3. Group Financials</w:t>
      </w:r>
    </w:p>
    <w:p>
      <w:pPr>
        <w:spacing w:after="0" w:line="383"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23"/>
          <w:szCs w:val="23"/>
          <w:b w:val="1"/>
          <w:bCs w:val="1"/>
          <w:color w:val="auto"/>
        </w:rPr>
        <w:t>3.1.</w:t>
      </w:r>
      <w:r>
        <w:rPr>
          <w:sz w:val="20"/>
          <w:szCs w:val="20"/>
          <w:color w:val="auto"/>
        </w:rPr>
        <w:tab/>
      </w:r>
      <w:r>
        <w:rPr>
          <w:rFonts w:ascii="Arial" w:cs="Arial" w:eastAsia="Arial" w:hAnsi="Arial"/>
          <w:sz w:val="23"/>
          <w:szCs w:val="23"/>
          <w:b w:val="1"/>
          <w:bCs w:val="1"/>
          <w:color w:val="auto"/>
        </w:rPr>
        <w:t>Net assets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Total assets as of June 30, 2022 decreased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10,463 thousand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97,567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108,029 thousand).</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Non-current assets as of June 30, 2022 increased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49,984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45,975 thousand) in part due to ongoing investment in property, plant and equipment to further expand our production capacity. Other investments were made in IT infrastructure and office equipment. Total additions to property, plant and equipment for the six months ended June 30, 2022 amounted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5,605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3,478 thousand). As of June 30, 2022, non-current assets increased to 51.2% of the balance sheet total (December 31, 2021: 42.6%).</w:t>
      </w:r>
    </w:p>
    <w:p>
      <w:pPr>
        <w:spacing w:after="0" w:line="65"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 xml:space="preserve">Current assets as of June 30, 2022 decreased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14,472 thousand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47,583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62,054 thousand). This mainly reflects a decrease in cash and cash equivalents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22,635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48,143 thousand), which was only partly offset by an increase in inventories and other financial and non-financial assets. Cash and cash equivalents were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25,508 thousand as of June 30, 2022 and decreased compared to the year ended December 31, 2021 as a result of the ongoing investments to further the development of our products, the expansion of our production capacity as well as our IT infrastructure and the continued preparations for serial production. The later led to an increase in inventories by 59.5%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13,395 thousand as of June 30, 2022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8,399 thousand). The increase in other financial and non-financial assets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8,680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5,512 thousand) was partially due to accrued fees and an embedded derivate related to the loan. Furthermore, the increase relates to advanced payments for directors’ and officers’ insurance for the initial public offering and listing in the United States as well as advanced payments for inventories.</w:t>
      </w:r>
    </w:p>
    <w:p>
      <w:pPr>
        <w:spacing w:after="0" w:line="328"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23"/>
          <w:szCs w:val="23"/>
          <w:b w:val="1"/>
          <w:bCs w:val="1"/>
          <w:color w:val="auto"/>
        </w:rPr>
        <w:t>3.2.</w:t>
      </w:r>
      <w:r>
        <w:rPr>
          <w:sz w:val="20"/>
          <w:szCs w:val="20"/>
          <w:color w:val="auto"/>
        </w:rPr>
        <w:tab/>
      </w:r>
      <w:r>
        <w:rPr>
          <w:rFonts w:ascii="Arial" w:cs="Arial" w:eastAsia="Arial" w:hAnsi="Arial"/>
          <w:sz w:val="23"/>
          <w:szCs w:val="23"/>
          <w:b w:val="1"/>
          <w:bCs w:val="1"/>
          <w:color w:val="auto"/>
        </w:rPr>
        <w:t>Equity and liabilities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Total equity as of June 30, 2022 decreased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53,996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84,914 thousand) mainly reflecting the net loss of </w:t>
      </w:r>
      <w:r>
        <w:rPr>
          <w:rFonts w:ascii="Times New Roman" w:cs="Times New Roman" w:eastAsia="Times New Roman" w:hAnsi="Times New Roman"/>
          <w:sz w:val="17"/>
          <w:szCs w:val="17"/>
          <w:color w:val="auto"/>
        </w:rPr>
        <w:t>€</w:t>
      </w:r>
      <w:r>
        <w:rPr>
          <w:rFonts w:ascii="Arial" w:cs="Arial" w:eastAsia="Arial" w:hAnsi="Arial"/>
          <w:sz w:val="17"/>
          <w:szCs w:val="17"/>
          <w:color w:val="auto"/>
        </w:rPr>
        <w:t>32,912 thousand for the six months ended June 30, 2022. The equity ratio thus declined to 55.3% (December 31, 2021: 78.6%), reflecting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 xml:space="preserve">incurred loss of </w:t>
      </w:r>
      <w:r>
        <w:rPr>
          <w:rFonts w:ascii="Times New Roman" w:cs="Times New Roman" w:eastAsia="Times New Roman" w:hAnsi="Times New Roman"/>
          <w:sz w:val="17"/>
          <w:szCs w:val="17"/>
          <w:color w:val="auto"/>
        </w:rPr>
        <w:t>€</w:t>
      </w:r>
      <w:r>
        <w:rPr>
          <w:rFonts w:ascii="Arial" w:cs="Arial" w:eastAsia="Arial" w:hAnsi="Arial"/>
          <w:sz w:val="17"/>
          <w:szCs w:val="17"/>
          <w:color w:val="auto"/>
        </w:rPr>
        <w:t>32,912 thousand for the six months ended June 30, 2022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16,077 thousand for the six months ended June 30, 2021). This resulted in an increased accumulated deficit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125,679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92,767 thousand).</w:t>
      </w:r>
    </w:p>
    <w:p>
      <w:pPr>
        <w:spacing w:after="0" w:line="71"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 xml:space="preserve">Non-current liabilities as of June 30, 2022, decreased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8,888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9,391 thousand), mainly reflecting the </w:t>
      </w:r>
      <w:r>
        <w:rPr>
          <w:rFonts w:ascii="Times New Roman" w:cs="Times New Roman" w:eastAsia="Times New Roman" w:hAnsi="Times New Roman"/>
          <w:sz w:val="17"/>
          <w:szCs w:val="17"/>
          <w:color w:val="auto"/>
        </w:rPr>
        <w:t>€</w:t>
      </w:r>
      <w:r>
        <w:rPr>
          <w:rFonts w:ascii="Arial" w:cs="Arial" w:eastAsia="Arial" w:hAnsi="Arial"/>
          <w:sz w:val="17"/>
          <w:szCs w:val="17"/>
          <w:color w:val="auto"/>
        </w:rPr>
        <w:t>508 thousand decrease in non-current lease liabilities, down to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6,881 thousand (December 31, 2021:</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7,389 thousand) due to the use of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existing leased buildings and the resulting shorter remaining lease term.</w:t>
      </w:r>
    </w:p>
    <w:p>
      <w:pPr>
        <w:spacing w:after="0" w:line="53"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 xml:space="preserve">Current liabilities as of June 30, 2022, increased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34,684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13,724 thousand), primarily due to increased financial and non-financial liabilities. The increase in the first six months of this year in financial liabilities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10,279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10,279 thousand is mainly the result of the agreed credit line with the drawdown therefrom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10 million. The non-financial liabilities as of June 30, 2022, increased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8,719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11,079 thousand. The increase resulted mainly from milestone payments from commercial customers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7,400 thousand for medium-term projects in which the first milestones have been successfully achieved which is reported under other liabilities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due to the contractual structure. These milestone payments from commercial customers reflect Mynaric’s success in winning new customer orders. As of June 30, 2022, current liabilities increased to 35.5% (December 31, 2021: 12.7%) of the total assets.</w:t>
      </w:r>
    </w:p>
    <w:p>
      <w:pPr>
        <w:spacing w:after="0" w:line="323"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23"/>
          <w:szCs w:val="23"/>
          <w:b w:val="1"/>
          <w:bCs w:val="1"/>
          <w:color w:val="auto"/>
        </w:rPr>
        <w:t>3.3.</w:t>
      </w:r>
      <w:r>
        <w:rPr>
          <w:sz w:val="20"/>
          <w:szCs w:val="20"/>
          <w:color w:val="auto"/>
        </w:rPr>
        <w:tab/>
      </w:r>
      <w:r>
        <w:rPr>
          <w:rFonts w:ascii="Arial" w:cs="Arial" w:eastAsia="Arial" w:hAnsi="Arial"/>
          <w:sz w:val="23"/>
          <w:szCs w:val="23"/>
          <w:b w:val="1"/>
          <w:bCs w:val="1"/>
          <w:color w:val="auto"/>
        </w:rPr>
        <w:t>Cash flows</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In the first six months of 2022 the Mynaric Group had a total cash outflow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24,429 thousand (six months ended June 30,2021: </w:t>
      </w:r>
      <w:r>
        <w:rPr>
          <w:rFonts w:ascii="Times New Roman" w:cs="Times New Roman" w:eastAsia="Times New Roman" w:hAnsi="Times New Roman"/>
          <w:sz w:val="17"/>
          <w:szCs w:val="17"/>
          <w:color w:val="auto"/>
        </w:rPr>
        <w:t>€</w:t>
      </w:r>
      <w:r>
        <w:rPr>
          <w:rFonts w:ascii="Arial" w:cs="Arial" w:eastAsia="Arial" w:hAnsi="Arial"/>
          <w:sz w:val="17"/>
          <w:szCs w:val="17"/>
          <w:color w:val="auto"/>
        </w:rPr>
        <w:t>24,780 thousand)</w:t>
      </w:r>
    </w:p>
    <w:p>
      <w:pPr>
        <w:spacing w:after="0" w:line="3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 xml:space="preserve">Cash flow from operating activities for the first six months of 2022 was a usage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-25,781 thousand (six months ended June 30,2021: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-18,220 thousand). This was primarily due to the increased net loss recorded for the first months of 2022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-32,912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-16,077 thousand). Cash outflows for inventories also increased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-5,005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-3,839 thousand) in connection with preparations for serial production. Cash outflows for other assets were</w:t>
      </w:r>
    </w:p>
    <w:p>
      <w:pPr>
        <w:sectPr>
          <w:pgSz w:w="11900" w:h="16838" w:orient="portrait"/>
          <w:cols w:equalWidth="0" w:num="1">
            <w:col w:w="11020"/>
          </w:cols>
          <w:pgMar w:left="440" w:top="1347" w:right="4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868A9C"/>
        </w:rPr>
        <w:t>Page 6/33</w:t>
      </w:r>
    </w:p>
    <w:p>
      <w:pPr>
        <w:sectPr>
          <w:pgSz w:w="11900" w:h="16838" w:orient="portrait"/>
          <w:cols w:equalWidth="0" w:num="2">
            <w:col w:w="9640" w:space="720"/>
            <w:col w:w="660"/>
          </w:cols>
          <w:pgMar w:left="440" w:top="1347" w:right="439" w:bottom="1440" w:gutter="0" w:footer="0" w:header="0"/>
          <w:type w:val="continuous"/>
        </w:sectPr>
      </w:pPr>
    </w:p>
    <w:bookmarkStart w:id="11" w:name="page12"/>
    <w:bookmarkEnd w:id="11"/>
    <w:p>
      <w:pPr>
        <w:jc w:val="both"/>
        <w:ind w:right="20"/>
        <w:spacing w:after="0" w:line="28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 xml:space="preserve">decreased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-1,922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-2,448 thousand), reflecting deferred items especially for the insurance for the initial public offering and listing in the United States.</w:t>
      </w:r>
    </w:p>
    <w:p>
      <w:pPr>
        <w:spacing w:after="0" w:line="3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These outflows were partially offset by a significant increase in other liabilities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7,340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79 thousand) due to cash-in from customer contracts on medium-term contracts and fulfillment of the first milestones. In addition, the depreciation and amortization increased significantly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3,055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1,920 thousand), primarily due to the inclusion of amortization for our AIR technology in June 2020 and our SPACE technology in March 2021 following the completion of the development process. Other non-cash expenses and income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2,972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278 thousand) resulted from share-based compensation of the executive board and employees.</w:t>
      </w:r>
    </w:p>
    <w:p>
      <w:pPr>
        <w:spacing w:after="0" w:line="68"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 xml:space="preserve">Cash flow from investing activities for the first six months of 2022, increased to an outflow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7,355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5,972 thousand). Due to ongoing expansion of development and production capacity the cash outflows for investments in property, plant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 xml:space="preserve">equipment increased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2,919 thousand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6,386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3,467 thousand). Due to the completion of the development of our previously capitalized AIR technology in June 2020 and of the SPACE technology in March 2021, the cash outflows for intangible assets decreased significantly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1,536 thousand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969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2,505 thousand).</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Cash flow from financing activities for the first six months of 2022 increased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8,707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-588 thousand). The increase in cash inflow in the first six months 2022 is mainly due to the inflow from the proceeds of the first tranche of </w:t>
      </w:r>
      <w:r>
        <w:rPr>
          <w:rFonts w:ascii="Times New Roman" w:cs="Times New Roman" w:eastAsia="Times New Roman" w:hAnsi="Times New Roman"/>
          <w:sz w:val="17"/>
          <w:szCs w:val="17"/>
          <w:color w:val="auto"/>
        </w:rPr>
        <w:t>€</w:t>
      </w:r>
      <w:r>
        <w:rPr>
          <w:rFonts w:ascii="Arial" w:cs="Arial" w:eastAsia="Arial" w:hAnsi="Arial"/>
          <w:sz w:val="17"/>
          <w:szCs w:val="17"/>
          <w:color w:val="auto"/>
        </w:rPr>
        <w:t>10.000 thousand from the credit facility. Cash outflows to lease liabilities increased to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730 thousand (six months ended June 30, 2021:</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504</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 due to the newly concluded real estate leases.</w:t>
      </w:r>
    </w:p>
    <w:p>
      <w:pPr>
        <w:spacing w:after="0" w:line="6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Considering effects of movements in exchange rates on cash and cash equivalents decreased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-24,429 thousand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25,508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48,144 thousand) in the first six months 2022.</w:t>
      </w:r>
    </w:p>
    <w:p>
      <w:pPr>
        <w:spacing w:after="0" w:line="52"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In view of the Group’s continuing robust growth and further expansion of production, Mynaric AG is evaluating the options of further stock and bond offerings as well as further subsidy possibilities.</w:t>
      </w:r>
    </w:p>
    <w:p>
      <w:pPr>
        <w:spacing w:after="0" w:line="310"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23"/>
          <w:szCs w:val="23"/>
          <w:b w:val="1"/>
          <w:bCs w:val="1"/>
          <w:color w:val="auto"/>
        </w:rPr>
        <w:t>3.4.</w:t>
      </w:r>
      <w:r>
        <w:rPr>
          <w:sz w:val="20"/>
          <w:szCs w:val="20"/>
          <w:color w:val="auto"/>
        </w:rPr>
        <w:tab/>
      </w:r>
      <w:r>
        <w:rPr>
          <w:rFonts w:ascii="Arial" w:cs="Arial" w:eastAsia="Arial" w:hAnsi="Arial"/>
          <w:sz w:val="23"/>
          <w:szCs w:val="23"/>
          <w:b w:val="1"/>
          <w:bCs w:val="1"/>
          <w:color w:val="auto"/>
        </w:rPr>
        <w:t>Earnings</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For the six months ended June 30, 2022, Mynaric recorded revenue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25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1,349 thousand). The revenue decreased as contractually committed optical communications terminal backlog mostly consisting of CONDOR Mk3 products mostly foresees scheduled shipments in 2023 and 2024. Accordingly, revenue in the six months ended June 30, 2022 exclusively consisted of leasing income generated in our Space segment due to the temporary leasing of a number of CONDOR terminals under customer contracts.</w:t>
      </w:r>
    </w:p>
    <w:p>
      <w:pPr>
        <w:spacing w:after="0" w:line="6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The change in inventories of finished goods and work in progress increased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2.068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988 thousand), reflecting the progress of the continuing preparations for serial production.</w:t>
      </w:r>
    </w:p>
    <w:p>
      <w:pPr>
        <w:spacing w:after="0" w:line="38"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 xml:space="preserve">Other own work capitalized for the six months ended June 30, 2022, consisting for the most part of capitalized development costs for a variant of the CONDOR product amounts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1,493 thousand.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2,471 thousand for the six months ended June 30, 2021 mainly resulted from the capitalization of the general Space Technology.</w:t>
      </w:r>
    </w:p>
    <w:p>
      <w:pPr>
        <w:spacing w:after="0" w:line="6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Cost of materials increased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3,873 thousand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8,304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4,431 thousand) due to preparations for pre-serial production and the further development and improvement of our products. The increase also reflects higher costs for services purchased, which included costs for development services through external research institutes and costs for external processing of certain components used in the production process and the partial write-off of inventories for previous product versions which are no longer intended for use.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employees increased to 309 as of June 30, 2022 (June 30, 2021: 214) reflecting additional hiring across all departments. This</w:t>
      </w:r>
    </w:p>
    <w:p>
      <w:pPr>
        <w:spacing w:after="0" w:line="10"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 xml:space="preserve">increased headcount led to an increase in personnel expenses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17,456 thousand (six months ended June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10,812 thousand). Included in personnel costs are equity compensation share-based payments amounting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2,972 thousand in the six months ended June 30, 2022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278 thousand), the majority of which related to the grants made under the restricted stock units program (the “RSU Program”) implemented in 2021.</w:t>
      </w:r>
    </w:p>
    <w:p>
      <w:pPr>
        <w:sectPr>
          <w:pgSz w:w="11900" w:h="16838" w:orient="portrait"/>
          <w:cols w:equalWidth="0" w:num="1">
            <w:col w:w="11020"/>
          </w:cols>
          <w:pgMar w:left="440" w:top="1359" w:right="43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868A9C"/>
        </w:rPr>
        <w:t>Page 7/33</w:t>
      </w:r>
    </w:p>
    <w:p>
      <w:pPr>
        <w:sectPr>
          <w:pgSz w:w="11900" w:h="16838" w:orient="portrait"/>
          <w:cols w:equalWidth="0" w:num="2">
            <w:col w:w="9640" w:space="720"/>
            <w:col w:w="660"/>
          </w:cols>
          <w:pgMar w:left="440" w:top="1359" w:right="439" w:bottom="1440" w:gutter="0" w:footer="0" w:header="0"/>
          <w:type w:val="continuous"/>
        </w:sectPr>
      </w:pPr>
    </w:p>
    <w:bookmarkStart w:id="12" w:name="page13"/>
    <w:bookmarkEnd w:id="12"/>
    <w:p>
      <w:pPr>
        <w:jc w:val="both"/>
        <w:ind w:left="4"/>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 xml:space="preserve">Depreciation and amortization increased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1,139 thousand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3,055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1,916 thousand) due to the investments in testing and production capabilities over the last two years and the addition of amortization from the completed AIR technology and SPACE technology.</w:t>
      </w:r>
    </w:p>
    <w:p>
      <w:pPr>
        <w:spacing w:after="0" w:line="60" w:lineRule="exact"/>
        <w:rPr>
          <w:sz w:val="20"/>
          <w:szCs w:val="20"/>
          <w:color w:val="auto"/>
        </w:rPr>
      </w:pPr>
    </w:p>
    <w:p>
      <w:pPr>
        <w:jc w:val="both"/>
        <w:ind w:left="4" w:right="20"/>
        <w:spacing w:after="0" w:line="283" w:lineRule="auto"/>
        <w:rPr>
          <w:sz w:val="20"/>
          <w:szCs w:val="20"/>
          <w:color w:val="auto"/>
        </w:rPr>
      </w:pPr>
      <w:r>
        <w:rPr>
          <w:rFonts w:ascii="Arial" w:cs="Arial" w:eastAsia="Arial" w:hAnsi="Arial"/>
          <w:sz w:val="17"/>
          <w:szCs w:val="17"/>
          <w:color w:val="auto"/>
        </w:rPr>
        <w:t xml:space="preserve">Other operating costs increased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10,602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4,160 thousand), primarily due to increased IT investments as well as higher insurance and consulting costs associated with the dual listing.</w:t>
      </w:r>
    </w:p>
    <w:p>
      <w:pPr>
        <w:spacing w:after="0" w:line="38" w:lineRule="exact"/>
        <w:rPr>
          <w:sz w:val="20"/>
          <w:szCs w:val="20"/>
          <w:color w:val="auto"/>
        </w:rPr>
      </w:pPr>
    </w:p>
    <w:p>
      <w:pPr>
        <w:jc w:val="both"/>
        <w:ind w:left="4" w:right="20"/>
        <w:spacing w:after="0" w:line="283" w:lineRule="auto"/>
        <w:rPr>
          <w:sz w:val="20"/>
          <w:szCs w:val="20"/>
          <w:color w:val="auto"/>
        </w:rPr>
      </w:pPr>
      <w:r>
        <w:rPr>
          <w:rFonts w:ascii="Arial" w:cs="Arial" w:eastAsia="Arial" w:hAnsi="Arial"/>
          <w:sz w:val="17"/>
          <w:szCs w:val="17"/>
          <w:color w:val="auto"/>
        </w:rPr>
        <w:t xml:space="preserve">The operating loss increased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34,947 thousand (six months ended June 30, 2021: loss </w:t>
      </w:r>
      <w:r>
        <w:rPr>
          <w:rFonts w:ascii="Times New Roman" w:cs="Times New Roman" w:eastAsia="Times New Roman" w:hAnsi="Times New Roman"/>
          <w:sz w:val="17"/>
          <w:szCs w:val="17"/>
          <w:color w:val="auto"/>
        </w:rPr>
        <w:t>€</w:t>
      </w:r>
      <w:r>
        <w:rPr>
          <w:rFonts w:ascii="Arial" w:cs="Arial" w:eastAsia="Arial" w:hAnsi="Arial"/>
          <w:sz w:val="17"/>
          <w:szCs w:val="17"/>
          <w:color w:val="auto"/>
        </w:rPr>
        <w:t>16,240 thousand) due to the expansion of development-, production- and IT-capacity and the hiring of additional staff in the first six months of 2022.</w:t>
      </w:r>
    </w:p>
    <w:p>
      <w:pPr>
        <w:spacing w:after="0" w:line="38"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7"/>
          <w:szCs w:val="17"/>
          <w:color w:val="auto"/>
        </w:rPr>
        <w:t xml:space="preserve">Net finance income increased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2,035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163 thousand), mainly caused by US$ denominated cash proceeds and related positive foreign exchange effects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2.460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170 thousand income) related to the initial public offering in the United States. This was essentially offset by Interest and similar expenses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425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7 thousand loss)</w:t>
      </w:r>
    </w:p>
    <w:p>
      <w:pPr>
        <w:spacing w:after="0" w:line="7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For the first six months of 2022, net loss amounted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32,912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16,077 thousand).</w:t>
      </w:r>
    </w:p>
    <w:p>
      <w:pPr>
        <w:spacing w:after="0" w:line="330" w:lineRule="exact"/>
        <w:rPr>
          <w:sz w:val="20"/>
          <w:szCs w:val="20"/>
          <w:color w:val="auto"/>
        </w:rPr>
      </w:pPr>
    </w:p>
    <w:p>
      <w:pPr>
        <w:jc w:val="both"/>
        <w:ind w:left="4"/>
        <w:spacing w:after="0" w:line="283" w:lineRule="auto"/>
        <w:rPr>
          <w:sz w:val="20"/>
          <w:szCs w:val="20"/>
          <w:color w:val="auto"/>
        </w:rPr>
      </w:pPr>
      <w:r>
        <w:rPr>
          <w:rFonts w:ascii="Arial" w:cs="Arial" w:eastAsia="Arial" w:hAnsi="Arial"/>
          <w:sz w:val="17"/>
          <w:szCs w:val="17"/>
          <w:color w:val="auto"/>
        </w:rPr>
        <w:t xml:space="preserve">For the first six months of 2022, the other comprehensive loss amounted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978 thousand (six month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138 thousand). The increase relates to the volatile exchange rates in 2022.</w:t>
      </w:r>
    </w:p>
    <w:p>
      <w:pPr>
        <w:spacing w:after="0" w:line="350"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auto"/>
        </w:rPr>
        <w:t>4. Risks, Opportunities &amp; Forecast</w:t>
      </w:r>
    </w:p>
    <w:p>
      <w:pPr>
        <w:spacing w:after="0" w:line="383" w:lineRule="exact"/>
        <w:rPr>
          <w:sz w:val="20"/>
          <w:szCs w:val="20"/>
          <w:color w:val="auto"/>
        </w:rPr>
      </w:pPr>
    </w:p>
    <w:p>
      <w:pPr>
        <w:ind w:left="984"/>
        <w:spacing w:after="0"/>
        <w:tabs>
          <w:tab w:leader="none" w:pos="1844" w:val="left"/>
        </w:tabs>
        <w:rPr>
          <w:sz w:val="20"/>
          <w:szCs w:val="20"/>
          <w:color w:val="auto"/>
        </w:rPr>
      </w:pPr>
      <w:r>
        <w:rPr>
          <w:rFonts w:ascii="Arial" w:cs="Arial" w:eastAsia="Arial" w:hAnsi="Arial"/>
          <w:sz w:val="23"/>
          <w:szCs w:val="23"/>
          <w:b w:val="1"/>
          <w:bCs w:val="1"/>
          <w:color w:val="auto"/>
        </w:rPr>
        <w:t>4.1.</w:t>
      </w:r>
      <w:r>
        <w:rPr>
          <w:sz w:val="20"/>
          <w:szCs w:val="20"/>
          <w:color w:val="auto"/>
        </w:rPr>
        <w:tab/>
      </w:r>
      <w:r>
        <w:rPr>
          <w:rFonts w:ascii="Arial" w:cs="Arial" w:eastAsia="Arial" w:hAnsi="Arial"/>
          <w:sz w:val="23"/>
          <w:szCs w:val="23"/>
          <w:b w:val="1"/>
          <w:bCs w:val="1"/>
          <w:color w:val="auto"/>
        </w:rPr>
        <w:t>Risks</w:t>
      </w:r>
    </w:p>
    <w:p>
      <w:pPr>
        <w:spacing w:after="0" w:line="125"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Mynaric has implemented a comprehensive risk management system. A detailed description of the system and the individual risks is contained in the Annual Report FY21. All statements made there are still largely valid.</w:t>
      </w:r>
    </w:p>
    <w:p>
      <w:pPr>
        <w:spacing w:after="0" w:line="51"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Risks related to the economic development, competition, the war against Ukraine, procurement and liquidity have developed dynamically in the first half of 2022 and are therefore highlighted as follows:</w:t>
      </w:r>
    </w:p>
    <w:p>
      <w:pPr>
        <w:spacing w:after="0" w:line="5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Economic risks</w:t>
      </w:r>
    </w:p>
    <w:p>
      <w:pPr>
        <w:spacing w:after="0" w:line="102" w:lineRule="exact"/>
        <w:rPr>
          <w:sz w:val="20"/>
          <w:szCs w:val="20"/>
          <w:color w:val="auto"/>
        </w:rPr>
      </w:pPr>
    </w:p>
    <w:p>
      <w:pPr>
        <w:jc w:val="both"/>
        <w:ind w:left="4"/>
        <w:spacing w:after="0" w:line="236" w:lineRule="auto"/>
        <w:rPr>
          <w:sz w:val="20"/>
          <w:szCs w:val="20"/>
          <w:color w:val="auto"/>
        </w:rPr>
      </w:pPr>
      <w:r>
        <w:rPr>
          <w:rFonts w:ascii="Arial" w:cs="Arial" w:eastAsia="Arial" w:hAnsi="Arial"/>
          <w:sz w:val="17"/>
          <w:szCs w:val="17"/>
          <w:color w:val="auto"/>
        </w:rPr>
        <w:t>Current demand for laser communication is predominantly driven by government needs, with the United States government spearheading the adoption of laser communication technology. U.S. allies and other governments are also evaluating new technologies as part of their national objectives to modernize their space capabilities. Accordingly, governments around the world have invested significantly in research and development as well as deployment of laser communication and other technologies. In fact, defense-related spending in the U.S. and Europe increased following geopolitical tensions. For example, the U.S. government recently increased the missile tracking budget of the U.S. Space Development Agency (“SDA”) by $550 million, which will allow the SDA to accelerate its originally planned launch schedule (starting in early 2025 rather than 2026)</w:t>
      </w:r>
      <w:r>
        <w:rPr>
          <w:rFonts w:ascii="Arial" w:cs="Arial" w:eastAsia="Arial" w:hAnsi="Arial"/>
          <w:sz w:val="12"/>
          <w:szCs w:val="12"/>
          <w:color w:val="auto"/>
        </w:rPr>
        <w:t>8</w:t>
      </w:r>
      <w:r>
        <w:rPr>
          <w:rFonts w:ascii="Arial" w:cs="Arial" w:eastAsia="Arial" w:hAnsi="Arial"/>
          <w:sz w:val="17"/>
          <w:szCs w:val="17"/>
          <w:color w:val="auto"/>
        </w:rPr>
        <w:t>. However, spending authorizations for defense-related and other programs by the U.S. and other governments have fluctuated in the past, and future levels of expenditures and authorizations for these programs may decrease, remain constant or shift to programs in areas where we do not provide services. To the extent the U.S. government and its agencies or other governments reduce spending on such services, as a result of the need to reduce overall spending during periods of fiscal restraint, to reduce budget deficits or otherwise, demand for our services could decrease which could adversely affect our anticipated revenue and business prospects.</w:t>
      </w:r>
    </w:p>
    <w:p>
      <w:pPr>
        <w:spacing w:after="0" w:line="73" w:lineRule="exact"/>
        <w:rPr>
          <w:sz w:val="20"/>
          <w:szCs w:val="20"/>
          <w:color w:val="auto"/>
        </w:rPr>
      </w:pPr>
    </w:p>
    <w:p>
      <w:pPr>
        <w:jc w:val="both"/>
        <w:ind w:left="4" w:right="20"/>
        <w:spacing w:after="0" w:line="241" w:lineRule="auto"/>
        <w:rPr>
          <w:sz w:val="20"/>
          <w:szCs w:val="20"/>
          <w:color w:val="auto"/>
        </w:rPr>
      </w:pPr>
      <w:r>
        <w:rPr>
          <w:rFonts w:ascii="Arial" w:cs="Arial" w:eastAsia="Arial" w:hAnsi="Arial"/>
          <w:sz w:val="17"/>
          <w:szCs w:val="17"/>
          <w:color w:val="auto"/>
        </w:rPr>
        <w:t>While government funding is currently driving laser communication demand, we expect additional demand for commercial applications to drive growth in the overall market in the future. Although commercial market demand may be negatively affected in the short to medium term by prevailing economic conditions, with high inflation, rising interest rates and fears of recession relative to demand from government-funded programs. The global economy has in the past, and will in the future, experience recessionary periods and periods of economic instability. During such periods, our commercial and, to a lesser extent, our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18173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83" w:lineRule="exact"/>
        <w:rPr>
          <w:sz w:val="20"/>
          <w:szCs w:val="20"/>
          <w:color w:val="auto"/>
        </w:rPr>
      </w:pPr>
    </w:p>
    <w:p>
      <w:pPr>
        <w:ind w:left="104" w:hanging="104"/>
        <w:spacing w:after="0"/>
        <w:tabs>
          <w:tab w:leader="none" w:pos="104"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 xml:space="preserve">Source: </w:t>
      </w:r>
      <w:r>
        <w:rPr>
          <w:rFonts w:ascii="Arial" w:cs="Arial" w:eastAsia="Arial" w:hAnsi="Arial"/>
          <w:sz w:val="14"/>
          <w:szCs w:val="14"/>
          <w:u w:val="single" w:color="auto"/>
          <w:color w:val="FF644B"/>
        </w:rPr>
        <w:t>https://spacenews.com/dod-estimates-2-5-billion-price-tag-for-global-constellation-to-track-hypersonic-missiles/</w:t>
      </w:r>
      <w:r>
        <w:rPr>
          <w:rFonts w:ascii="Arial" w:cs="Arial" w:eastAsia="Arial" w:hAnsi="Arial"/>
          <w:sz w:val="14"/>
          <w:szCs w:val="14"/>
          <w:color w:val="auto"/>
        </w:rPr>
        <w:t xml:space="preserve"> , accessed 14 Sep 2022</w:t>
      </w:r>
    </w:p>
    <w:p>
      <w:pPr>
        <w:sectPr>
          <w:pgSz w:w="11900" w:h="16838" w:orient="portrait"/>
          <w:cols w:equalWidth="0" w:num="1">
            <w:col w:w="11024"/>
          </w:cols>
          <w:pgMar w:left="436" w:top="1359" w:right="439" w:bottom="1440" w:gutter="0" w:footer="0" w:header="0"/>
        </w:sectPr>
      </w:pPr>
    </w:p>
    <w:p>
      <w:pPr>
        <w:spacing w:after="0" w:line="120"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868A9C"/>
        </w:rPr>
        <w:t>Page 8/33</w:t>
      </w:r>
    </w:p>
    <w:p>
      <w:pPr>
        <w:sectPr>
          <w:pgSz w:w="11900" w:h="16838" w:orient="portrait"/>
          <w:cols w:equalWidth="0" w:num="2">
            <w:col w:w="9644" w:space="720"/>
            <w:col w:w="660"/>
          </w:cols>
          <w:pgMar w:left="436" w:top="1359" w:right="439" w:bottom="1440" w:gutter="0" w:footer="0" w:header="0"/>
          <w:type w:val="continuous"/>
        </w:sectPr>
      </w:pPr>
    </w:p>
    <w:bookmarkStart w:id="13" w:name="page14"/>
    <w:bookmarkEnd w:id="13"/>
    <w:p>
      <w:pPr>
        <w:jc w:val="both"/>
        <w:ind w:left="4"/>
        <w:spacing w:after="0" w:line="24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customers may choose not to pursue high-risk, capital-intensive infrastructure projects such as satellite constellations or other systems including laser communication capabilities. Broadly negative economic development and implications on our business is considered as a low likelihood, high severity and overall tolerable risk that could have a material adverse impact on our optical communications terminal backlog, anticipated cash-in received from customer contracts, revenue or operating profit/loss.</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Competitive risks</w:t>
      </w:r>
    </w:p>
    <w:p>
      <w:pPr>
        <w:spacing w:after="0" w:line="102" w:lineRule="exact"/>
        <w:rPr>
          <w:sz w:val="20"/>
          <w:szCs w:val="20"/>
          <w:color w:val="auto"/>
        </w:rPr>
      </w:pPr>
    </w:p>
    <w:p>
      <w:pPr>
        <w:jc w:val="both"/>
        <w:ind w:left="4"/>
        <w:spacing w:after="0" w:line="235" w:lineRule="auto"/>
        <w:rPr>
          <w:sz w:val="20"/>
          <w:szCs w:val="20"/>
          <w:color w:val="auto"/>
        </w:rPr>
      </w:pPr>
      <w:r>
        <w:rPr>
          <w:rFonts w:ascii="Arial" w:cs="Arial" w:eastAsia="Arial" w:hAnsi="Arial"/>
          <w:sz w:val="17"/>
          <w:szCs w:val="17"/>
          <w:color w:val="auto"/>
        </w:rPr>
        <w:t>Some of our customers, suppliers or competitors have made or may make acquisitions or partnerships or other strategic relationships in order to offer more comprehensive services or achieve greater economies of scale. For example, most recently, in July Eutelsat and OneWeb entered into an agreement to combine</w:t>
      </w:r>
      <w:r>
        <w:rPr>
          <w:rFonts w:ascii="Arial" w:cs="Arial" w:eastAsia="Arial" w:hAnsi="Arial"/>
          <w:sz w:val="12"/>
          <w:szCs w:val="12"/>
          <w:color w:val="auto"/>
        </w:rPr>
        <w:t>9</w:t>
      </w:r>
      <w:r>
        <w:rPr>
          <w:rFonts w:ascii="Arial" w:cs="Arial" w:eastAsia="Arial" w:hAnsi="Arial"/>
          <w:sz w:val="17"/>
          <w:szCs w:val="17"/>
          <w:color w:val="auto"/>
        </w:rPr>
        <w:t>. In November 2021, Viasat and Inmarsat entered into an agreement for Viasat</w:t>
      </w:r>
      <w:r>
        <w:rPr>
          <w:rFonts w:ascii="Arial" w:cs="Arial" w:eastAsia="Arial" w:hAnsi="Arial"/>
          <w:sz w:val="12"/>
          <w:szCs w:val="12"/>
          <w:color w:val="auto"/>
        </w:rPr>
        <w:t>10</w:t>
      </w:r>
      <w:r>
        <w:rPr>
          <w:rFonts w:ascii="Arial" w:cs="Arial" w:eastAsia="Arial" w:hAnsi="Arial"/>
          <w:sz w:val="17"/>
          <w:szCs w:val="17"/>
          <w:color w:val="auto"/>
        </w:rPr>
        <w:t>. Our competitor SA Photonics was acquired by CACI International Inc in December 2021</w:t>
      </w:r>
      <w:r>
        <w:rPr>
          <w:rFonts w:ascii="Arial" w:cs="Arial" w:eastAsia="Arial" w:hAnsi="Arial"/>
          <w:sz w:val="12"/>
          <w:szCs w:val="12"/>
          <w:color w:val="auto"/>
        </w:rPr>
        <w:t>11</w:t>
      </w:r>
      <w:r>
        <w:rPr>
          <w:rFonts w:ascii="Arial" w:cs="Arial" w:eastAsia="Arial" w:hAnsi="Arial"/>
          <w:sz w:val="17"/>
          <w:szCs w:val="17"/>
          <w:color w:val="auto"/>
        </w:rPr>
        <w:t>. OneWeb and Eutelsat and Viasat and Inmarsat mergers are still pending regulatory approval. The effects of these recent finalized or pending consolidations on us and our industry in general are still to be seen, but they may create unforeseeable dynamics, giving advantages to our competitors. In addition, new entrants not currently considered competitors may enter our market through acquisitions, partnerships or strategic relationships. Potential entrants may have competitive advantages over us, such as greater name recognition, longer operating histories, more varied services and larger marketing budgets as well as greater financial, technical and other resources. Industry consolidation may result in practices that make it more difficult for us to compete effectively, including on the basis of price, sales and marketing programs, technology or services functionality. Continuing industry consolidation may give our competitors advantages over us which may result in decreased demand for our products or increased pressure to lower the prices for our products. Such heightened competition in the laser communication market is considered as a low likelihood, high severity and overall tolerable risk that could have a material adverse impact on our optical communications terminal backlog, anticipated cash-in received from customer contracts, revenue or operating profit/loss.</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Ukraine-war-risks</w:t>
      </w:r>
    </w:p>
    <w:p>
      <w:pPr>
        <w:spacing w:after="0" w:line="102" w:lineRule="exact"/>
        <w:rPr>
          <w:sz w:val="20"/>
          <w:szCs w:val="20"/>
          <w:color w:val="auto"/>
        </w:rPr>
      </w:pPr>
    </w:p>
    <w:p>
      <w:pPr>
        <w:jc w:val="both"/>
        <w:ind w:left="4"/>
        <w:spacing w:after="0" w:line="235" w:lineRule="auto"/>
        <w:rPr>
          <w:sz w:val="20"/>
          <w:szCs w:val="20"/>
          <w:color w:val="auto"/>
        </w:rPr>
      </w:pPr>
      <w:r>
        <w:rPr>
          <w:rFonts w:ascii="Arial" w:cs="Arial" w:eastAsia="Arial" w:hAnsi="Arial"/>
          <w:sz w:val="17"/>
          <w:szCs w:val="17"/>
          <w:color w:val="auto"/>
        </w:rPr>
        <w:t>The United States and global markets are experiencing volatility and disruption following the escalation of geopolitical tensions such as the invasion of Ukraine by Russia in February 2022. In response to this invasion, the North Atlantic Treaty Organization (NATO) deployed additional military forces to Eastern Europe, and the United States, the United Kingdom, the European Union and other countries have announced and implemented sanctions and restrictive actions against Russia and related individuals and entities. The invasion of Ukraine by Russia and the resulting measures that have been taken, and could be taken in the future, have created global security concerns that could have a lasting impact on regional and global economies. Although the length and impact of the ongoing military conflict in Ukraine is highly unpredictable, the conflict could lead to market disruptions, including significant volatility in commodity prices, credit and capital markets, and could further drive supply chain interruptions. Additionally, Russian military actions and the resulting sanctions could adversely affect the global economy and financial markets and lead to instability and lack of liquidity in capital markets, which, in the end, may make it more difficult for us to obtain equity or debt financing and negatively impact demand for our products. In March 2022, an imminent launch by satellite constellation builder OneWeb with a Russian rocket was halted by Russia as reaction to broad economic sanctions imposed on Russia due to the invasion of Ukraine. All scheduled flights were subsequently cancelled, adding delays to OneWeb’s current and next generation constellation roll-out</w:t>
      </w:r>
      <w:r>
        <w:rPr>
          <w:rFonts w:ascii="Arial" w:cs="Arial" w:eastAsia="Arial" w:hAnsi="Arial"/>
          <w:sz w:val="12"/>
          <w:szCs w:val="12"/>
          <w:color w:val="auto"/>
        </w:rPr>
        <w:t>12</w:t>
      </w:r>
      <w:r>
        <w:rPr>
          <w:rFonts w:ascii="Arial" w:cs="Arial" w:eastAsia="Arial" w:hAnsi="Arial"/>
          <w:sz w:val="17"/>
          <w:szCs w:val="17"/>
          <w:color w:val="auto"/>
        </w:rPr>
        <w:t>. Implication of the war in Ukraine are considered as a high likelihood, medium severity and overall material risk that could have a material adverse impact on our optical communications terminal backlog, anticipated cash-in received from customer contracts, revenue or operating profit.</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Procurement risks</w:t>
      </w:r>
    </w:p>
    <w:p>
      <w:pPr>
        <w:spacing w:after="0" w:line="102" w:lineRule="exact"/>
        <w:rPr>
          <w:sz w:val="20"/>
          <w:szCs w:val="20"/>
          <w:color w:val="auto"/>
        </w:rPr>
      </w:pPr>
    </w:p>
    <w:p>
      <w:pPr>
        <w:jc w:val="both"/>
        <w:ind w:left="4"/>
        <w:spacing w:after="0" w:line="241" w:lineRule="auto"/>
        <w:rPr>
          <w:sz w:val="20"/>
          <w:szCs w:val="20"/>
          <w:color w:val="auto"/>
        </w:rPr>
      </w:pPr>
      <w:r>
        <w:rPr>
          <w:rFonts w:ascii="Arial" w:cs="Arial" w:eastAsia="Arial" w:hAnsi="Arial"/>
          <w:sz w:val="17"/>
          <w:szCs w:val="17"/>
          <w:color w:val="auto"/>
        </w:rPr>
        <w:t>Any disruptions to our supply chain, a significant increase in component costs, or shortages of critical components could adversely affect our business and result in increased costs. Such a disruption could occur as a result of any number of events, including, but not limited to, an extended closure of or any slowdown at any of our suppliers’ plants or shipping delays due to efforts to limit the spread of COVID-19 or implementation of post-COVID-19 policies or practices, war and economic sanctions against third parties, including those arising from the ongoing war between Russia and Ukraine, the implementation of tariffs, export controls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18173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45" w:lineRule="exact"/>
        <w:rPr>
          <w:sz w:val="20"/>
          <w:szCs w:val="20"/>
          <w:color w:val="auto"/>
        </w:rPr>
      </w:pPr>
    </w:p>
    <w:p>
      <w:pPr>
        <w:ind w:left="4" w:right="60" w:hanging="4"/>
        <w:spacing w:after="0" w:line="195" w:lineRule="auto"/>
        <w:tabs>
          <w:tab w:leader="none" w:pos="104"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 xml:space="preserve">Source: </w:t>
      </w:r>
      <w:r>
        <w:rPr>
          <w:rFonts w:ascii="Arial" w:cs="Arial" w:eastAsia="Arial" w:hAnsi="Arial"/>
          <w:sz w:val="14"/>
          <w:szCs w:val="14"/>
          <w:u w:val="single" w:color="auto"/>
          <w:color w:val="FF644B"/>
        </w:rPr>
        <w:t>https://www.eutelsat.com/en/news/press.html#/pressreleases/eutelsat-and-oneweb-to-combine-a-leap-forward-in-satellite-connectivity-3195697</w:t>
      </w:r>
      <w:r>
        <w:rPr>
          <w:rFonts w:ascii="Arial" w:cs="Arial" w:eastAsia="Arial" w:hAnsi="Arial"/>
          <w:sz w:val="14"/>
          <w:szCs w:val="14"/>
          <w:color w:val="auto"/>
        </w:rPr>
        <w:t xml:space="preserve"> , accessed 14 Sep 2022</w:t>
      </w:r>
    </w:p>
    <w:p>
      <w:pPr>
        <w:spacing w:after="0" w:line="1" w:lineRule="exact"/>
        <w:rPr>
          <w:rFonts w:ascii="Arial" w:cs="Arial" w:eastAsia="Arial" w:hAnsi="Arial"/>
          <w:sz w:val="22"/>
          <w:szCs w:val="22"/>
          <w:color w:val="auto"/>
          <w:vertAlign w:val="superscript"/>
        </w:rPr>
      </w:pPr>
    </w:p>
    <w:p>
      <w:pPr>
        <w:ind w:left="4"/>
        <w:spacing w:after="0" w:line="187" w:lineRule="auto"/>
        <w:rPr>
          <w:rFonts w:ascii="Arial" w:cs="Arial" w:eastAsia="Arial" w:hAnsi="Arial"/>
          <w:sz w:val="22"/>
          <w:szCs w:val="22"/>
          <w:color w:val="auto"/>
          <w:vertAlign w:val="superscript"/>
        </w:rPr>
      </w:pPr>
      <w:r>
        <w:rPr>
          <w:rFonts w:ascii="Arial" w:cs="Arial" w:eastAsia="Arial" w:hAnsi="Arial"/>
          <w:sz w:val="18"/>
          <w:szCs w:val="18"/>
          <w:color w:val="auto"/>
          <w:vertAlign w:val="superscript"/>
        </w:rPr>
        <w:t>10</w:t>
      </w:r>
      <w:r>
        <w:rPr>
          <w:rFonts w:ascii="Arial" w:cs="Arial" w:eastAsia="Arial" w:hAnsi="Arial"/>
          <w:sz w:val="13"/>
          <w:szCs w:val="13"/>
          <w:color w:val="auto"/>
        </w:rPr>
        <w:t xml:space="preserve"> Source: </w:t>
      </w:r>
      <w:r>
        <w:rPr>
          <w:rFonts w:ascii="Arial" w:cs="Arial" w:eastAsia="Arial" w:hAnsi="Arial"/>
          <w:sz w:val="13"/>
          <w:szCs w:val="13"/>
          <w:u w:val="single" w:color="auto"/>
          <w:color w:val="FF644B"/>
        </w:rPr>
        <w:t>https://www.inmarsat.com/en/news/latest-news/corporate/2021/viasat-inmarsat-to-combine.html</w:t>
      </w:r>
      <w:r>
        <w:rPr>
          <w:rFonts w:ascii="Arial" w:cs="Arial" w:eastAsia="Arial" w:hAnsi="Arial"/>
          <w:sz w:val="13"/>
          <w:szCs w:val="13"/>
          <w:color w:val="auto"/>
        </w:rPr>
        <w:t>, accessed 14 Sep 2022</w:t>
      </w:r>
    </w:p>
    <w:p>
      <w:pPr>
        <w:ind w:left="4"/>
        <w:spacing w:after="0" w:line="187" w:lineRule="auto"/>
        <w:rPr>
          <w:rFonts w:ascii="Arial" w:cs="Arial" w:eastAsia="Arial" w:hAnsi="Arial"/>
          <w:sz w:val="22"/>
          <w:szCs w:val="22"/>
          <w:color w:val="auto"/>
          <w:vertAlign w:val="superscript"/>
        </w:rPr>
      </w:pPr>
      <w:r>
        <w:rPr>
          <w:rFonts w:ascii="Arial" w:cs="Arial" w:eastAsia="Arial" w:hAnsi="Arial"/>
          <w:sz w:val="18"/>
          <w:szCs w:val="18"/>
          <w:color w:val="auto"/>
          <w:vertAlign w:val="superscript"/>
        </w:rPr>
        <w:t>11</w:t>
      </w:r>
      <w:r>
        <w:rPr>
          <w:rFonts w:ascii="Arial" w:cs="Arial" w:eastAsia="Arial" w:hAnsi="Arial"/>
          <w:sz w:val="13"/>
          <w:szCs w:val="13"/>
          <w:color w:val="auto"/>
        </w:rPr>
        <w:t xml:space="preserve"> Source: </w:t>
      </w:r>
      <w:r>
        <w:rPr>
          <w:rFonts w:ascii="Arial" w:cs="Arial" w:eastAsia="Arial" w:hAnsi="Arial"/>
          <w:sz w:val="13"/>
          <w:szCs w:val="13"/>
          <w:u w:val="single" w:color="auto"/>
          <w:color w:val="FF644B"/>
        </w:rPr>
        <w:t>https://investor.caci.com/news/news-details/2021/CACI-Completes-Acquisition-of-SA-Photonics/default.aspx</w:t>
      </w:r>
      <w:r>
        <w:rPr>
          <w:rFonts w:ascii="Arial" w:cs="Arial" w:eastAsia="Arial" w:hAnsi="Arial"/>
          <w:sz w:val="13"/>
          <w:szCs w:val="13"/>
          <w:color w:val="auto"/>
        </w:rPr>
        <w:t xml:space="preserve"> , accessed 14 Sep 2022</w:t>
      </w:r>
    </w:p>
    <w:p>
      <w:pPr>
        <w:ind w:left="4"/>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12</w:t>
      </w:r>
      <w:r>
        <w:rPr>
          <w:rFonts w:ascii="Arial" w:cs="Arial" w:eastAsia="Arial" w:hAnsi="Arial"/>
          <w:sz w:val="14"/>
          <w:szCs w:val="14"/>
          <w:color w:val="auto"/>
        </w:rPr>
        <w:t xml:space="preserve"> Source: </w:t>
      </w:r>
      <w:r>
        <w:rPr>
          <w:rFonts w:ascii="Arial" w:cs="Arial" w:eastAsia="Arial" w:hAnsi="Arial"/>
          <w:sz w:val="14"/>
          <w:szCs w:val="14"/>
          <w:u w:val="single" w:color="auto"/>
          <w:color w:val="FF644B"/>
        </w:rPr>
        <w:t>https://spacenews.com/with-soyuz-off-the-table-oneweb-back-in-the-mix/</w:t>
      </w:r>
      <w:r>
        <w:rPr>
          <w:rFonts w:ascii="Arial" w:cs="Arial" w:eastAsia="Arial" w:hAnsi="Arial"/>
          <w:sz w:val="14"/>
          <w:szCs w:val="14"/>
          <w:color w:val="auto"/>
        </w:rPr>
        <w:t>, accessed 14 Sep 2022</w:t>
      </w:r>
    </w:p>
    <w:p>
      <w:pPr>
        <w:sectPr>
          <w:pgSz w:w="11900" w:h="16838" w:orient="portrait"/>
          <w:cols w:equalWidth="0" w:num="1">
            <w:col w:w="11024"/>
          </w:cols>
          <w:pgMar w:left="436" w:top="1359" w:right="439" w:bottom="1440" w:gutter="0" w:footer="0" w:header="0"/>
        </w:sectPr>
      </w:pPr>
    </w:p>
    <w:p>
      <w:pPr>
        <w:spacing w:after="0" w:line="5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868A9C"/>
        </w:rPr>
        <w:t>Page 9/33</w:t>
      </w:r>
    </w:p>
    <w:p>
      <w:pPr>
        <w:sectPr>
          <w:pgSz w:w="11900" w:h="16838" w:orient="portrait"/>
          <w:cols w:equalWidth="0" w:num="2">
            <w:col w:w="9644" w:space="720"/>
            <w:col w:w="660"/>
          </w:cols>
          <w:pgMar w:left="436" w:top="1359" w:right="439" w:bottom="1440" w:gutter="0" w:footer="0" w:header="0"/>
          <w:type w:val="continuous"/>
        </w:sectPr>
      </w:pPr>
    </w:p>
    <w:bookmarkStart w:id="14" w:name="page15"/>
    <w:bookmarkEnd w:id="14"/>
    <w:p>
      <w:pPr>
        <w:jc w:val="both"/>
        <w:ind w:right="20"/>
        <w:spacing w:after="0" w:line="23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other actions by or against foreign nations (including China) and general market shortages due to surge in demand for any particular part or component. Any such disruption or shortage may be further driven by increases in prices or impact of inflation, labor stoppages, transportation delays or failures affecting the supply chain and shipment of materials and finished goods, the unavailability of raw materials, geopolitical developments, terrorism and disruptions in utilities, trade embargos and other services. For example, recently implemented COVID-19 related lockdowns in Asia further exacerbated the global (semiconductor) chip shortage, and significant recent increases in energy prices, especially for natural gas, may further negatively impact worldwide supply chains and general economic conditions. In addition, certain countries have imposed or may impose in the future export restrictions with respect to certain electronic components, which may include components that we use in our manufacturing process.</w:t>
      </w:r>
    </w:p>
    <w:p>
      <w:pPr>
        <w:spacing w:after="0" w:line="7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are currently faced with global supply chain disruptions that result in lower production volumes for the current product version of our HAWK terminal than initially planned in 2022. We have redesigned our HAWK product following these supply chain difficulties to avoid further supply chain constraints. Nevertheless, supply chain constraints may reemerge delaying production or the development of upcoming HAWK and CONDOR product versions The high inflation environment could put pressure on our unit costs in the future and increased upfront payments to our suppliers and earlier phasing of those payments may put pressure on our non-recurring costs in future periods. In addition, any future updates or modifications to the anticipated design of our products may increase the number of parts and components we would be required to source and increase the complexity of our supply chain management. Failure to effectively manage the supply of parts and components could materially and adversely affect our production capacities and thus delay the shipment of our products as well as adversely affect market acceptance for our products. Issues related to procurement are considered as a low likelihood, high severity and overall tolerable risk that could have a material adverse impact on our optical communications terminal backlog, anticipated cash-in received from customer contracts, revenue or operating profit/loss.</w:t>
      </w:r>
    </w:p>
    <w:p>
      <w:pPr>
        <w:sectPr>
          <w:pgSz w:w="11900" w:h="16838" w:orient="portrait"/>
          <w:cols w:equalWidth="0" w:num="1">
            <w:col w:w="11020"/>
          </w:cols>
          <w:pgMar w:left="440" w:top="1359" w:right="4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868A9C"/>
        </w:rPr>
        <w:t>Page 10/33</w:t>
      </w:r>
    </w:p>
    <w:p>
      <w:pPr>
        <w:sectPr>
          <w:pgSz w:w="11900" w:h="16838" w:orient="portrait"/>
          <w:cols w:equalWidth="0" w:num="2">
            <w:col w:w="9560" w:space="720"/>
            <w:col w:w="740"/>
          </w:cols>
          <w:pgMar w:left="440" w:top="1359" w:right="4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Liquidity risks</w:t>
      </w:r>
    </w:p>
    <w:p>
      <w:pPr>
        <w:spacing w:after="0" w:line="102"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 xml:space="preserve">For the six months ended June 30, 2022, the Group recognized a net loss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32.9 million. The Group’s net current assets as of June 30, 2022, were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12.9 million. As of October 27, 2022, the Group has </w:t>
      </w:r>
      <w:r>
        <w:rPr>
          <w:rFonts w:ascii="Times New Roman" w:cs="Times New Roman" w:eastAsia="Times New Roman" w:hAnsi="Times New Roman"/>
          <w:sz w:val="17"/>
          <w:szCs w:val="17"/>
          <w:color w:val="auto"/>
        </w:rPr>
        <w:t>€</w:t>
      </w:r>
      <w:r>
        <w:rPr>
          <w:rFonts w:ascii="Arial" w:cs="Arial" w:eastAsia="Arial" w:hAnsi="Arial"/>
          <w:sz w:val="17"/>
          <w:szCs w:val="17"/>
          <w:color w:val="auto"/>
        </w:rPr>
        <w:t>15.6 million in available liquidity consisting of cash and cash equivalents and undrawn credit line whereas the amount of the undrawn credit line is evaluated based on the current market capitalization.</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The implementation of our business strategy requires significant capital outlays. The nature of our business also requires us to make capital expenditure decisions in anticipation of customer demand. To date, we have primarily raised capital and funded our operations with proceeds from the sale of our ordinary shares as well as debt financing. For example, in July 2022, L3Harris invested approximately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11.2 million by means of a capital increase from authorized capital in exchange for 409,294 new ordinary shares, which corresponds to 7.2% of our share capital. In terms of debt financing, we entered into a credit agreement with three lenders for a credit line of </w:t>
      </w:r>
      <w:r>
        <w:rPr>
          <w:rFonts w:ascii="Times New Roman" w:cs="Times New Roman" w:eastAsia="Times New Roman" w:hAnsi="Times New Roman"/>
          <w:sz w:val="17"/>
          <w:szCs w:val="17"/>
          <w:color w:val="auto"/>
        </w:rPr>
        <w:t>€</w:t>
      </w:r>
      <w:r>
        <w:rPr>
          <w:rFonts w:ascii="Arial" w:cs="Arial" w:eastAsia="Arial" w:hAnsi="Arial"/>
          <w:sz w:val="17"/>
          <w:szCs w:val="17"/>
          <w:color w:val="auto"/>
        </w:rPr>
        <w:t>25 million on May 2, 2022. We anticipate that our future cash requirements will continue to be significant and that we will need to obtain additional financing to implement our business plan.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75"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Our ability to raise equity financing depends on our ability to convince investors to fund our operations and growth, especially considering that we have not generated meaningful revenue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 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 and the latter of which is currently bearish.</w:t>
      </w:r>
    </w:p>
    <w:p>
      <w:pPr>
        <w:spacing w:after="0" w:line="76"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ability to raise further debt financing, should we need or choose to do so, will largely depend on past financial results. Given that we and the industry in which we operate are still at a very early maturity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25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There can be no assurance that financing in the amounts needed to meet the Group’s current operational planning can be obtained in the first quarter 2023. If the Group is unable to obtain financing by or within Q1 2023 or take other actions in response to these circumstances within that time, such as significantly curtailing its current operational budget in 2022 and early 2023, it may be unable to continue as a going concern. While management believes it will be successful in obtaining additional financing in a timely manner to fund its operational and financial obligations,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74"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The severity of potential liquidity issues is, therefore, assessed to be very high. Management assesses the likelihood, however, as medium because processes have been established and repeatedly proven to be successful mitigating liquidity risks by means of securing additional financing in a timely manner to fund the company’s operational and financial obligations as recently demonstrated by our signed agreement with L3Harris in July, 2022 and the secured credit agreement from May 2022 as well as due to continuous discussions with potential financial and strategic investors and various providers of debt capital.</w:t>
      </w:r>
    </w:p>
    <w:p>
      <w:pPr>
        <w:sectPr>
          <w:pgSz w:w="11900" w:h="16838" w:orient="portrait"/>
          <w:cols w:equalWidth="0" w:num="1">
            <w:col w:w="11020"/>
          </w:cols>
          <w:pgMar w:left="440" w:top="1359" w:right="4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868A9C"/>
        </w:rPr>
        <w:t>Page 11/33</w:t>
      </w:r>
    </w:p>
    <w:p>
      <w:pPr>
        <w:sectPr>
          <w:pgSz w:w="11900" w:h="16838" w:orient="portrait"/>
          <w:cols w:equalWidth="0" w:num="2">
            <w:col w:w="9560" w:space="720"/>
            <w:col w:w="740"/>
          </w:cols>
          <w:pgMar w:left="440" w:top="1359" w:right="439" w:bottom="1440" w:gutter="0" w:footer="0" w:header="0"/>
          <w:type w:val="continuous"/>
        </w:sectPr>
      </w:pPr>
    </w:p>
    <w:bookmarkStart w:id="16" w:name="page17"/>
    <w:bookmarkEnd w:id="16"/>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Overall, liquidity issues are considered as a critical risk that could have a material adverse impact on our optical communications terminal backlog, anticipated cash-in received from customer contracts, revenue or operating profit.</w:t>
      </w:r>
    </w:p>
    <w:p>
      <w:pPr>
        <w:sectPr>
          <w:pgSz w:w="11900" w:h="16838" w:orient="portrait"/>
          <w:cols w:equalWidth="0" w:num="1">
            <w:col w:w="11020"/>
          </w:cols>
          <w:pgMar w:left="440" w:top="1359" w:right="43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868A9C"/>
        </w:rPr>
        <w:t>Page 12/33</w:t>
      </w:r>
    </w:p>
    <w:p>
      <w:pPr>
        <w:sectPr>
          <w:pgSz w:w="11900" w:h="16838" w:orient="portrait"/>
          <w:cols w:equalWidth="0" w:num="2">
            <w:col w:w="9560" w:space="720"/>
            <w:col w:w="740"/>
          </w:cols>
          <w:pgMar w:left="440" w:top="1359" w:right="439" w:bottom="1440" w:gutter="0" w:footer="0" w:header="0"/>
          <w:type w:val="continuous"/>
        </w:sectPr>
      </w:pPr>
    </w:p>
    <w:bookmarkStart w:id="17" w:name="page18"/>
    <w:bookmarkEnd w:id="17"/>
    <w:p>
      <w:pPr>
        <w:ind w:left="984"/>
        <w:spacing w:after="0"/>
        <w:tabs>
          <w:tab w:leader="none" w:pos="1844" w:val="left"/>
        </w:tabs>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4.2.</w:t>
      </w:r>
      <w:r>
        <w:rPr>
          <w:sz w:val="20"/>
          <w:szCs w:val="20"/>
          <w:color w:val="auto"/>
        </w:rPr>
        <w:tab/>
      </w:r>
      <w:r>
        <w:rPr>
          <w:rFonts w:ascii="Arial" w:cs="Arial" w:eastAsia="Arial" w:hAnsi="Arial"/>
          <w:sz w:val="23"/>
          <w:szCs w:val="23"/>
          <w:b w:val="1"/>
          <w:bCs w:val="1"/>
          <w:color w:val="auto"/>
        </w:rPr>
        <w:t>Opportunities</w:t>
      </w:r>
    </w:p>
    <w:p>
      <w:pPr>
        <w:spacing w:after="0" w:line="125" w:lineRule="exact"/>
        <w:rPr>
          <w:sz w:val="20"/>
          <w:szCs w:val="20"/>
          <w:color w:val="auto"/>
        </w:rPr>
      </w:pPr>
    </w:p>
    <w:p>
      <w:pPr>
        <w:jc w:val="both"/>
        <w:ind w:left="4"/>
        <w:spacing w:after="0" w:line="267" w:lineRule="auto"/>
        <w:rPr>
          <w:sz w:val="20"/>
          <w:szCs w:val="20"/>
          <w:color w:val="auto"/>
        </w:rPr>
      </w:pPr>
      <w:r>
        <w:rPr>
          <w:rFonts w:ascii="Arial" w:cs="Arial" w:eastAsia="Arial" w:hAnsi="Arial"/>
          <w:sz w:val="17"/>
          <w:szCs w:val="17"/>
          <w:color w:val="auto"/>
        </w:rPr>
        <w:t>Mynaric also identifies opportunities that present a positive upside on the business if realized. A detailed description of the individual opportunities is contained in the Annual Report FY21.</w:t>
      </w:r>
    </w:p>
    <w:p>
      <w:pPr>
        <w:spacing w:after="0" w:line="51"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Opportunities related to lighthouse government programs trailblazing technology adoption and geopolitical realities accelerating the roll-out of strategic capabilities developed most dynamically within the first half of 2022 and are therefore highlighted in the following.</w:t>
      </w:r>
    </w:p>
    <w:p>
      <w:pPr>
        <w:spacing w:after="0" w:line="5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Lighthouse government programs trailblaze technology adoption</w:t>
      </w:r>
    </w:p>
    <w:p>
      <w:pPr>
        <w:spacing w:after="0" w:line="102"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7"/>
          <w:szCs w:val="17"/>
          <w:color w:val="auto"/>
        </w:rPr>
        <w:t>The government sector has historically been a first mover in deploying next generation technologies and has been an early adopter of laser communication in the space market. In the United States, recent government efforts to develop and deploy laser communication are driven by the U.S. government’s vision of Combined Joint All-Domain Command &amp; Control (CJADC2), with the ultimate goal to digitally connect all elements of the U.S. military across all five warfighting domains: air, land, sea, space and cyberspace.</w:t>
      </w:r>
    </w:p>
    <w:p>
      <w:pPr>
        <w:spacing w:after="0" w:line="69" w:lineRule="exact"/>
        <w:rPr>
          <w:sz w:val="20"/>
          <w:szCs w:val="20"/>
          <w:color w:val="auto"/>
        </w:rPr>
      </w:pPr>
    </w:p>
    <w:p>
      <w:pPr>
        <w:jc w:val="both"/>
        <w:ind w:left="4"/>
        <w:spacing w:after="0" w:line="233" w:lineRule="auto"/>
        <w:rPr>
          <w:sz w:val="20"/>
          <w:szCs w:val="20"/>
          <w:color w:val="auto"/>
        </w:rPr>
      </w:pPr>
      <w:r>
        <w:rPr>
          <w:rFonts w:ascii="Arial" w:cs="Arial" w:eastAsia="Arial" w:hAnsi="Arial"/>
          <w:sz w:val="17"/>
          <w:szCs w:val="17"/>
          <w:color w:val="auto"/>
        </w:rPr>
        <w:t>The most prominent government projects currently deploying laser communication are the Space Development Agency’s (SDA) National Defense Space Architecture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 program. DARPA’s Space-BACN is another important program that aims to develop an optical communications terminal that could be reconfigured to work with most optical intersatellite link standards allowing seamless communication among government and private-sector proprietary satellites. There are numerous additional government programs in the airborne market focusing on the development of connected systems and shared networks based on different communication technologies, including laser communication. New programs are regularly introduced as the importance of information supremacy in the defense context and the reliance on data for civil purposes continues to grow. We believe that these government programs are only the start of the widespread deployment of aerospace communication networks in general, and laser communication systems by government agencies specifically as the latter are key components for the deployment of the former. Mynaric is already contributing to multiple trailblazing government programs (see Business Performance in section</w:t>
      </w:r>
    </w:p>
    <w:p>
      <w:pPr>
        <w:spacing w:after="0" w:line="8" w:lineRule="exact"/>
        <w:rPr>
          <w:sz w:val="20"/>
          <w:szCs w:val="20"/>
          <w:color w:val="auto"/>
        </w:rPr>
      </w:pPr>
    </w:p>
    <w:p>
      <w:pPr>
        <w:ind w:left="204" w:hanging="204"/>
        <w:spacing w:after="0"/>
        <w:tabs>
          <w:tab w:leader="none" w:pos="204" w:val="left"/>
        </w:tabs>
        <w:numPr>
          <w:ilvl w:val="0"/>
          <w:numId w:val="5"/>
        </w:numPr>
        <w:rPr>
          <w:rFonts w:ascii="Arial" w:cs="Arial" w:eastAsia="Arial" w:hAnsi="Arial"/>
          <w:sz w:val="17"/>
          <w:szCs w:val="17"/>
          <w:color w:val="auto"/>
        </w:rPr>
      </w:pPr>
      <w:r>
        <w:rPr>
          <w:rFonts w:ascii="Arial" w:cs="Arial" w:eastAsia="Arial" w:hAnsi="Arial"/>
          <w:sz w:val="17"/>
          <w:szCs w:val="17"/>
          <w:color w:val="auto"/>
        </w:rPr>
        <w:t>and believes its early involvement creates the opportunity for continued business wins with future government programs in its target markets.</w:t>
      </w:r>
    </w:p>
    <w:p>
      <w:pPr>
        <w:spacing w:after="0" w:line="85"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7"/>
          <w:szCs w:val="17"/>
          <w:b w:val="1"/>
          <w:bCs w:val="1"/>
          <w:color w:val="auto"/>
        </w:rPr>
        <w:t>Geopolitical realities accelerate roll-out of strategic capabilities</w:t>
      </w:r>
    </w:p>
    <w:p>
      <w:pPr>
        <w:spacing w:after="0" w:line="102"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Recently, the escalation of geopolitical tensions (such as the invasion of Ukraine by Russia) has further fueled the need for advanced capabilities to withstand and react to new threat scenarios, driving the recent increase in defense-related spending in the U.S. and Europe.</w:t>
      </w:r>
    </w:p>
    <w:p>
      <w:pPr>
        <w:spacing w:after="0" w:line="51" w:lineRule="exact"/>
        <w:rPr>
          <w:sz w:val="20"/>
          <w:szCs w:val="20"/>
          <w:color w:val="auto"/>
        </w:rPr>
      </w:pPr>
    </w:p>
    <w:p>
      <w:pPr>
        <w:jc w:val="both"/>
        <w:ind w:left="4"/>
        <w:spacing w:after="0" w:line="238" w:lineRule="auto"/>
        <w:rPr>
          <w:sz w:val="20"/>
          <w:szCs w:val="20"/>
          <w:color w:val="auto"/>
        </w:rPr>
      </w:pPr>
      <w:r>
        <w:rPr>
          <w:rFonts w:ascii="Arial" w:cs="Arial" w:eastAsia="Arial" w:hAnsi="Arial"/>
          <w:sz w:val="17"/>
          <w:szCs w:val="17"/>
          <w:color w:val="auto"/>
        </w:rPr>
        <w:t>For example, the European Union has put forward an ambitious plan for a EUR 6 billion investment in a space-based secure communication system. The system is intended to ensure the long-term availability of worldwide uninterrupted access to secure and cost-effective satellite communication services and will support the protection of critical infrastructures, surveillance, external actions, crisis management and applications that are critical for EU Member States’ economy, and defense</w:t>
      </w:r>
      <w:r>
        <w:rPr>
          <w:rFonts w:ascii="Arial" w:cs="Arial" w:eastAsia="Arial" w:hAnsi="Arial"/>
          <w:sz w:val="12"/>
          <w:szCs w:val="12"/>
          <w:color w:val="auto"/>
        </w:rPr>
        <w:t>13</w:t>
      </w:r>
      <w:r>
        <w:rPr>
          <w:rFonts w:ascii="Arial" w:cs="Arial" w:eastAsia="Arial" w:hAnsi="Arial"/>
          <w:sz w:val="17"/>
          <w:szCs w:val="17"/>
          <w:color w:val="auto"/>
        </w:rPr>
        <w:t>. This follows a cyberattack by the Russian government against a commercial satellite operator on the eve of its invasion of Ukraine. The targeted ground station attack resulted in tens of thousands of modems shutting down in the besieged country, severing satellite broadband service to users, including parts of Ukraine’s defense staff many other European nations, including power generation in Germany</w:t>
      </w:r>
      <w:r>
        <w:rPr>
          <w:rFonts w:ascii="Arial" w:cs="Arial" w:eastAsia="Arial" w:hAnsi="Arial"/>
          <w:sz w:val="12"/>
          <w:szCs w:val="12"/>
          <w:color w:val="auto"/>
        </w:rPr>
        <w:t>14</w:t>
      </w:r>
      <w:r>
        <w:rPr>
          <w:rFonts w:ascii="Arial" w:cs="Arial" w:eastAsia="Arial" w:hAnsi="Arial"/>
          <w:sz w:val="17"/>
          <w:szCs w:val="17"/>
          <w:color w:val="auto"/>
        </w:rPr>
        <w:t>.</w:t>
      </w:r>
    </w:p>
    <w:p>
      <w:pPr>
        <w:spacing w:after="0" w:line="74" w:lineRule="exact"/>
        <w:rPr>
          <w:sz w:val="20"/>
          <w:szCs w:val="20"/>
          <w:color w:val="auto"/>
        </w:rPr>
      </w:pPr>
    </w:p>
    <w:p>
      <w:pPr>
        <w:jc w:val="both"/>
        <w:ind w:left="4"/>
        <w:spacing w:after="0" w:line="244" w:lineRule="auto"/>
        <w:rPr>
          <w:sz w:val="20"/>
          <w:szCs w:val="20"/>
          <w:color w:val="auto"/>
        </w:rPr>
      </w:pPr>
      <w:r>
        <w:rPr>
          <w:rFonts w:ascii="Arial" w:cs="Arial" w:eastAsia="Arial" w:hAnsi="Arial"/>
          <w:sz w:val="17"/>
          <w:szCs w:val="17"/>
          <w:color w:val="auto"/>
        </w:rPr>
        <w:t>Additionally, the U.S. government recently increased the missile tracking budget of the U.S. Space Development Agency (“SDA”) by US$550 million, which will allow the SDA to accelerate its originally planned launch schedule (starting in early 2025 rather than 2026)</w:t>
      </w:r>
      <w:r>
        <w:rPr>
          <w:rFonts w:ascii="Arial" w:cs="Arial" w:eastAsia="Arial" w:hAnsi="Arial"/>
          <w:sz w:val="12"/>
          <w:szCs w:val="12"/>
          <w:color w:val="auto"/>
        </w:rPr>
        <w:t>15</w:t>
      </w:r>
      <w:r>
        <w:rPr>
          <w:rFonts w:ascii="Arial" w:cs="Arial" w:eastAsia="Arial" w:hAnsi="Arial"/>
          <w:sz w:val="17"/>
          <w:szCs w:val="17"/>
          <w:color w:val="auto"/>
        </w:rPr>
        <w:t>. The budget increase for the defense against hypersonic missiles followed reported utilization of hypersonic missiles by Russia against Ukraine in the first half of 2022</w:t>
      </w:r>
      <w:r>
        <w:rPr>
          <w:rFonts w:ascii="Arial" w:cs="Arial" w:eastAsia="Arial" w:hAnsi="Arial"/>
          <w:sz w:val="12"/>
          <w:szCs w:val="12"/>
          <w:color w:val="auto"/>
        </w:rPr>
        <w:t>16</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1817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66" w:lineRule="exact"/>
        <w:rPr>
          <w:sz w:val="20"/>
          <w:szCs w:val="20"/>
          <w:color w:val="auto"/>
        </w:rPr>
      </w:pPr>
    </w:p>
    <w:p>
      <w:pPr>
        <w:ind w:left="164" w:hanging="164"/>
        <w:spacing w:after="0"/>
        <w:tabs>
          <w:tab w:leader="none" w:pos="164"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 xml:space="preserve">Source: </w:t>
      </w:r>
      <w:r>
        <w:rPr>
          <w:rFonts w:ascii="Arial" w:cs="Arial" w:eastAsia="Arial" w:hAnsi="Arial"/>
          <w:sz w:val="14"/>
          <w:szCs w:val="14"/>
          <w:u w:val="single" w:color="auto"/>
          <w:color w:val="FF644B"/>
        </w:rPr>
        <w:t>https://ec.europa.eu/commission/presscorner/detail/en/ip_22_921</w:t>
      </w:r>
      <w:r>
        <w:rPr>
          <w:rFonts w:ascii="Arial" w:cs="Arial" w:eastAsia="Arial" w:hAnsi="Arial"/>
          <w:sz w:val="14"/>
          <w:szCs w:val="14"/>
          <w:color w:val="auto"/>
        </w:rPr>
        <w:t>, accessed 14 Sep 2022</w:t>
      </w:r>
    </w:p>
    <w:p>
      <w:pPr>
        <w:ind w:left="164" w:hanging="164"/>
        <w:spacing w:after="0" w:line="187" w:lineRule="auto"/>
        <w:tabs>
          <w:tab w:leader="none" w:pos="164"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 xml:space="preserve">Source: </w:t>
      </w:r>
      <w:r>
        <w:rPr>
          <w:rFonts w:ascii="Arial" w:cs="Arial" w:eastAsia="Arial" w:hAnsi="Arial"/>
          <w:sz w:val="12"/>
          <w:szCs w:val="12"/>
          <w:u w:val="single" w:color="auto"/>
          <w:color w:val="FF644B"/>
        </w:rPr>
        <w:t>https://interactive.satellitetoday.com/via/october-2022/satellite-operators-respond-to-cyber-threats-in-a-rapidly-changing-environment/</w:t>
      </w:r>
      <w:r>
        <w:rPr>
          <w:rFonts w:ascii="Arial" w:cs="Arial" w:eastAsia="Arial" w:hAnsi="Arial"/>
          <w:sz w:val="12"/>
          <w:szCs w:val="12"/>
          <w:color w:val="auto"/>
        </w:rPr>
        <w:t xml:space="preserve"> , accessed 14 Sep 2022</w:t>
      </w:r>
    </w:p>
    <w:p>
      <w:pPr>
        <w:ind w:left="164" w:hanging="164"/>
        <w:spacing w:after="0" w:line="187" w:lineRule="auto"/>
        <w:tabs>
          <w:tab w:leader="none" w:pos="164"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 xml:space="preserve">Source: </w:t>
      </w:r>
      <w:r>
        <w:rPr>
          <w:rFonts w:ascii="Arial" w:cs="Arial" w:eastAsia="Arial" w:hAnsi="Arial"/>
          <w:sz w:val="12"/>
          <w:szCs w:val="12"/>
          <w:u w:val="single" w:color="auto"/>
          <w:color w:val="FF644B"/>
        </w:rPr>
        <w:t>https://spacenews.com/dod-estimates-2-5-billion-price-tag-for-global-constellation-to-track-hypersonic-missiles/</w:t>
      </w:r>
      <w:r>
        <w:rPr>
          <w:rFonts w:ascii="Arial" w:cs="Arial" w:eastAsia="Arial" w:hAnsi="Arial"/>
          <w:sz w:val="12"/>
          <w:szCs w:val="12"/>
          <w:color w:val="auto"/>
        </w:rPr>
        <w:t xml:space="preserve"> , accessed 14 Sep 2022</w:t>
      </w:r>
    </w:p>
    <w:p>
      <w:pPr>
        <w:ind w:left="164" w:hanging="164"/>
        <w:spacing w:after="0" w:line="183" w:lineRule="auto"/>
        <w:tabs>
          <w:tab w:leader="none" w:pos="164"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 xml:space="preserve">Source: </w:t>
      </w:r>
      <w:r>
        <w:rPr>
          <w:rFonts w:ascii="Arial" w:cs="Arial" w:eastAsia="Arial" w:hAnsi="Arial"/>
          <w:sz w:val="14"/>
          <w:szCs w:val="14"/>
          <w:u w:val="single" w:color="auto"/>
          <w:color w:val="FF644B"/>
        </w:rPr>
        <w:t>https://www.bbc.com/news/world-europe-60806151</w:t>
      </w:r>
      <w:r>
        <w:rPr>
          <w:rFonts w:ascii="Arial" w:cs="Arial" w:eastAsia="Arial" w:hAnsi="Arial"/>
          <w:sz w:val="14"/>
          <w:szCs w:val="14"/>
          <w:color w:val="auto"/>
        </w:rPr>
        <w:t>, accessed 14 Sep 2022</w:t>
      </w:r>
    </w:p>
    <w:p>
      <w:pPr>
        <w:sectPr>
          <w:pgSz w:w="11900" w:h="16838" w:orient="portrait"/>
          <w:cols w:equalWidth="0" w:num="1">
            <w:col w:w="11024"/>
          </w:cols>
          <w:pgMar w:left="436" w:top="1362" w:right="439" w:bottom="1440" w:gutter="0" w:footer="0" w:header="0"/>
        </w:sectPr>
      </w:pPr>
    </w:p>
    <w:p>
      <w:pPr>
        <w:spacing w:after="0" w:line="12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868A9C"/>
        </w:rPr>
        <w:t>Page 13/33</w:t>
      </w:r>
    </w:p>
    <w:p>
      <w:pPr>
        <w:sectPr>
          <w:pgSz w:w="11900" w:h="16838" w:orient="portrait"/>
          <w:cols w:equalWidth="0" w:num="2">
            <w:col w:w="9564" w:space="720"/>
            <w:col w:w="740"/>
          </w:cols>
          <w:pgMar w:left="436" w:top="1362" w:right="439" w:bottom="1440" w:gutter="0" w:footer="0" w:header="0"/>
          <w:type w:val="continuous"/>
        </w:sectPr>
      </w:pPr>
    </w:p>
    <w:bookmarkStart w:id="18" w:name="page19"/>
    <w:bookmarkEnd w:id="18"/>
    <w:p>
      <w:pPr>
        <w:ind w:left="980"/>
        <w:spacing w:after="0"/>
        <w:tabs>
          <w:tab w:leader="none" w:pos="1840" w:val="left"/>
        </w:tabs>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4.3.</w:t>
      </w:r>
      <w:r>
        <w:rPr>
          <w:sz w:val="20"/>
          <w:szCs w:val="20"/>
          <w:color w:val="auto"/>
        </w:rPr>
        <w:tab/>
      </w:r>
      <w:r>
        <w:rPr>
          <w:rFonts w:ascii="Arial" w:cs="Arial" w:eastAsia="Arial" w:hAnsi="Arial"/>
          <w:sz w:val="23"/>
          <w:szCs w:val="23"/>
          <w:b w:val="1"/>
          <w:bCs w:val="1"/>
          <w:color w:val="auto"/>
        </w:rPr>
        <w:t>Forecast</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Mynaric generally anticipates a significant rise in demand for laser communication products over the next few years and believes it is well-positioned to capture significant business and secure a defendable market share in the expanding market. A detailed description of the economy, industry, and company forecast is contained in the Annual Report FY2021.</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Mynaric continues to anticipate a significant increase in Optical Communications Terminal Backlog in 2022 compared to 2021 and increases its guidance due to strong traction and recent program wins particularly in the government market. We expect Optical Communications Terminal Backlog by end of 2022 to exceed 250 terminal deliverables which represents a significant increase compared to 40 terminal deliverables in backlog at the end of 2021. As of October 31, 2022, we had 243 terminal deliverables in our Optical Communications Terminal Backlog which represents a moderate increase from our last reported backlog of 211 terminal deliverables as of April 28, 2022.</w:t>
      </w:r>
    </w:p>
    <w:p>
      <w:pPr>
        <w:spacing w:after="0" w:line="72"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 xml:space="preserve">Mynaric also continues to expect a significant increase of cash-in from customer contracts in 2022 compared to 2021 and reiterates its full-year guidance of expected more than EUR 20 million cash-in from customer contracts. This represents a significant increase compared to </w:t>
      </w:r>
      <w:r>
        <w:rPr>
          <w:rFonts w:ascii="Times New Roman" w:cs="Times New Roman" w:eastAsia="Times New Roman" w:hAnsi="Times New Roman"/>
          <w:sz w:val="17"/>
          <w:szCs w:val="17"/>
          <w:color w:val="auto"/>
        </w:rPr>
        <w:t>€</w:t>
      </w:r>
      <w:r>
        <w:rPr>
          <w:rFonts w:ascii="Arial" w:cs="Arial" w:eastAsia="Arial" w:hAnsi="Arial"/>
          <w:sz w:val="17"/>
          <w:szCs w:val="17"/>
          <w:color w:val="auto"/>
        </w:rPr>
        <w:t>3.9 million cash-in received in FY21.</w:t>
      </w:r>
    </w:p>
    <w:p>
      <w:pPr>
        <w:spacing w:after="0" w:line="6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Mynaric updates its full-year revenue guidance and now expects to report 2022 revenue to stay around the same level as reported in 2021. This reduced revenue guidance reflects the negative impact from supply chain constraints preventing previously expected HAWK product deliveries to occur as planned in 2022 and push-outs in customer program delivery schedules for previously scheduled deliveries. Due to the lower revenue, Mynaric now expects its operating loss for 2022 to significantly increase compared to the previous forecast of a moderate decrease compared to 2021.</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shd w:val="clear" w:color="auto" w:fill="BDBEBD"/>
          </w:tcPr>
          <w:p>
            <w:pPr>
              <w:spacing w:after="0"/>
              <w:rPr>
                <w:sz w:val="20"/>
                <w:szCs w:val="20"/>
                <w:color w:val="auto"/>
              </w:rPr>
            </w:pPr>
          </w:p>
        </w:tc>
        <w:tc>
          <w:tcPr>
            <w:tcW w:w="1560" w:type="dxa"/>
            <w:vAlign w:val="bottom"/>
            <w:shd w:val="clear" w:color="auto" w:fill="BDBEBD"/>
          </w:tcPr>
          <w:p>
            <w:pPr>
              <w:ind w:left="240"/>
              <w:spacing w:after="0"/>
              <w:rPr>
                <w:sz w:val="20"/>
                <w:szCs w:val="20"/>
                <w:color w:val="auto"/>
              </w:rPr>
            </w:pPr>
            <w:r>
              <w:rPr>
                <w:rFonts w:ascii="Arial" w:cs="Arial" w:eastAsia="Arial" w:hAnsi="Arial"/>
                <w:sz w:val="17"/>
                <w:szCs w:val="17"/>
                <w:b w:val="1"/>
                <w:bCs w:val="1"/>
                <w:color w:val="auto"/>
              </w:rPr>
              <w:t>2021 Actual</w:t>
            </w:r>
          </w:p>
        </w:tc>
        <w:tc>
          <w:tcPr>
            <w:tcW w:w="3000" w:type="dxa"/>
            <w:vAlign w:val="bottom"/>
            <w:shd w:val="clear" w:color="auto" w:fill="BDBEBD"/>
          </w:tcPr>
          <w:p>
            <w:pPr>
              <w:jc w:val="center"/>
              <w:ind w:right="135"/>
              <w:spacing w:after="0"/>
              <w:rPr>
                <w:sz w:val="20"/>
                <w:szCs w:val="20"/>
                <w:color w:val="auto"/>
              </w:rPr>
            </w:pPr>
            <w:r>
              <w:rPr>
                <w:rFonts w:ascii="Arial" w:cs="Arial" w:eastAsia="Arial" w:hAnsi="Arial"/>
                <w:sz w:val="17"/>
                <w:szCs w:val="17"/>
                <w:b w:val="1"/>
                <w:bCs w:val="1"/>
                <w:color w:val="auto"/>
              </w:rPr>
              <w:t>2022 Forecast (previous)</w:t>
            </w:r>
          </w:p>
        </w:tc>
        <w:tc>
          <w:tcPr>
            <w:tcW w:w="3280" w:type="dxa"/>
            <w:vAlign w:val="bottom"/>
            <w:shd w:val="clear" w:color="auto" w:fill="BDBEBD"/>
          </w:tcPr>
          <w:p>
            <w:pPr>
              <w:jc w:val="center"/>
              <w:spacing w:after="0"/>
              <w:rPr>
                <w:sz w:val="20"/>
                <w:szCs w:val="20"/>
                <w:color w:val="auto"/>
              </w:rPr>
            </w:pPr>
            <w:r>
              <w:rPr>
                <w:rFonts w:ascii="Arial" w:cs="Arial" w:eastAsia="Arial" w:hAnsi="Arial"/>
                <w:sz w:val="17"/>
                <w:szCs w:val="17"/>
                <w:b w:val="1"/>
                <w:bCs w:val="1"/>
                <w:color w:val="auto"/>
              </w:rPr>
              <w:t>2022 Forecast (updated)</w:t>
            </w:r>
          </w:p>
        </w:tc>
        <w:tc>
          <w:tcPr>
            <w:tcW w:w="0" w:type="dxa"/>
            <w:vAlign w:val="bottom"/>
          </w:tcPr>
          <w:p>
            <w:pPr>
              <w:spacing w:after="0"/>
              <w:rPr>
                <w:sz w:val="1"/>
                <w:szCs w:val="1"/>
                <w:color w:val="auto"/>
              </w:rPr>
            </w:pPr>
          </w:p>
        </w:tc>
      </w:tr>
      <w:tr>
        <w:trPr>
          <w:trHeight w:val="89"/>
        </w:trPr>
        <w:tc>
          <w:tcPr>
            <w:tcW w:w="3180" w:type="dxa"/>
            <w:vAlign w:val="bottom"/>
            <w:shd w:val="clear" w:color="auto" w:fill="BDBEBD"/>
          </w:tcPr>
          <w:p>
            <w:pPr>
              <w:spacing w:after="0"/>
              <w:rPr>
                <w:sz w:val="7"/>
                <w:szCs w:val="7"/>
                <w:color w:val="auto"/>
              </w:rPr>
            </w:pPr>
          </w:p>
        </w:tc>
        <w:tc>
          <w:tcPr>
            <w:tcW w:w="1560" w:type="dxa"/>
            <w:vAlign w:val="bottom"/>
            <w:shd w:val="clear" w:color="auto" w:fill="BDBEBD"/>
          </w:tcPr>
          <w:p>
            <w:pPr>
              <w:spacing w:after="0"/>
              <w:rPr>
                <w:sz w:val="7"/>
                <w:szCs w:val="7"/>
                <w:color w:val="auto"/>
              </w:rPr>
            </w:pPr>
          </w:p>
        </w:tc>
        <w:tc>
          <w:tcPr>
            <w:tcW w:w="3000" w:type="dxa"/>
            <w:vAlign w:val="bottom"/>
            <w:shd w:val="clear" w:color="auto" w:fill="BDBEBD"/>
          </w:tcPr>
          <w:p>
            <w:pPr>
              <w:spacing w:after="0"/>
              <w:rPr>
                <w:sz w:val="7"/>
                <w:szCs w:val="7"/>
                <w:color w:val="auto"/>
              </w:rPr>
            </w:pPr>
          </w:p>
        </w:tc>
        <w:tc>
          <w:tcPr>
            <w:tcW w:w="3280" w:type="dxa"/>
            <w:vAlign w:val="bottom"/>
            <w:shd w:val="clear" w:color="auto" w:fill="BDBEBD"/>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F7F3F7"/>
          </w:tcPr>
          <w:p>
            <w:pPr>
              <w:spacing w:after="0"/>
              <w:rPr>
                <w:sz w:val="20"/>
                <w:szCs w:val="20"/>
                <w:color w:val="auto"/>
              </w:rPr>
            </w:pPr>
            <w:r>
              <w:rPr>
                <w:rFonts w:ascii="Arial" w:cs="Arial" w:eastAsia="Arial" w:hAnsi="Arial"/>
                <w:sz w:val="17"/>
                <w:szCs w:val="17"/>
                <w:color w:val="auto"/>
              </w:rPr>
              <w:t>Optical Communications</w:t>
            </w:r>
          </w:p>
        </w:tc>
        <w:tc>
          <w:tcPr>
            <w:tcW w:w="1560" w:type="dxa"/>
            <w:vAlign w:val="bottom"/>
            <w:vMerge w:val="restart"/>
            <w:shd w:val="clear" w:color="auto" w:fill="F7F3F7"/>
          </w:tcPr>
          <w:p>
            <w:pPr>
              <w:jc w:val="center"/>
              <w:ind w:right="135"/>
              <w:spacing w:after="0"/>
              <w:rPr>
                <w:sz w:val="20"/>
                <w:szCs w:val="20"/>
                <w:color w:val="auto"/>
              </w:rPr>
            </w:pPr>
            <w:r>
              <w:rPr>
                <w:rFonts w:ascii="Arial" w:cs="Arial" w:eastAsia="Arial" w:hAnsi="Arial"/>
                <w:sz w:val="17"/>
                <w:szCs w:val="17"/>
                <w:color w:val="auto"/>
                <w:w w:val="94"/>
              </w:rPr>
              <w:t>40</w:t>
            </w:r>
          </w:p>
        </w:tc>
        <w:tc>
          <w:tcPr>
            <w:tcW w:w="3000" w:type="dxa"/>
            <w:vAlign w:val="bottom"/>
            <w:shd w:val="clear" w:color="auto" w:fill="F7F3F7"/>
          </w:tcPr>
          <w:p>
            <w:pPr>
              <w:jc w:val="center"/>
              <w:ind w:right="135"/>
              <w:spacing w:after="0"/>
              <w:rPr>
                <w:sz w:val="20"/>
                <w:szCs w:val="20"/>
                <w:color w:val="auto"/>
              </w:rPr>
            </w:pPr>
            <w:r>
              <w:rPr>
                <w:rFonts w:ascii="Arial" w:cs="Arial" w:eastAsia="Arial" w:hAnsi="Arial"/>
                <w:sz w:val="17"/>
                <w:szCs w:val="17"/>
                <w:color w:val="auto"/>
              </w:rPr>
              <w:t>Substantial increase</w:t>
            </w:r>
          </w:p>
        </w:tc>
        <w:tc>
          <w:tcPr>
            <w:tcW w:w="3280" w:type="dxa"/>
            <w:vAlign w:val="bottom"/>
            <w:vMerge w:val="restart"/>
            <w:shd w:val="clear" w:color="auto" w:fill="F7F3F7"/>
          </w:tcPr>
          <w:p>
            <w:pPr>
              <w:jc w:val="center"/>
              <w:spacing w:after="0"/>
              <w:rPr>
                <w:sz w:val="20"/>
                <w:szCs w:val="20"/>
                <w:color w:val="auto"/>
              </w:rPr>
            </w:pPr>
            <w:r>
              <w:rPr>
                <w:rFonts w:ascii="Arial" w:cs="Arial" w:eastAsia="Arial" w:hAnsi="Arial"/>
                <w:sz w:val="17"/>
                <w:szCs w:val="17"/>
                <w:color w:val="auto"/>
              </w:rPr>
              <w:t>Significant increase to &gt;250</w:t>
            </w:r>
          </w:p>
        </w:tc>
        <w:tc>
          <w:tcPr>
            <w:tcW w:w="0" w:type="dxa"/>
            <w:vAlign w:val="bottom"/>
          </w:tcPr>
          <w:p>
            <w:pPr>
              <w:spacing w:after="0"/>
              <w:rPr>
                <w:sz w:val="1"/>
                <w:szCs w:val="1"/>
                <w:color w:val="auto"/>
              </w:rPr>
            </w:pPr>
          </w:p>
        </w:tc>
      </w:tr>
      <w:tr>
        <w:trPr>
          <w:trHeight w:val="130"/>
        </w:trPr>
        <w:tc>
          <w:tcPr>
            <w:tcW w:w="3180" w:type="dxa"/>
            <w:vAlign w:val="bottom"/>
            <w:vMerge w:val="restart"/>
            <w:shd w:val="clear" w:color="auto" w:fill="F7F3F7"/>
          </w:tcPr>
          <w:p>
            <w:pPr>
              <w:spacing w:after="0"/>
              <w:rPr>
                <w:sz w:val="20"/>
                <w:szCs w:val="20"/>
                <w:color w:val="auto"/>
              </w:rPr>
            </w:pPr>
            <w:r>
              <w:rPr>
                <w:rFonts w:ascii="Arial" w:cs="Arial" w:eastAsia="Arial" w:hAnsi="Arial"/>
                <w:sz w:val="17"/>
                <w:szCs w:val="17"/>
                <w:color w:val="auto"/>
              </w:rPr>
              <w:t>Terminal Backlog (Units)</w:t>
            </w:r>
          </w:p>
        </w:tc>
        <w:tc>
          <w:tcPr>
            <w:tcW w:w="1560" w:type="dxa"/>
            <w:vAlign w:val="bottom"/>
            <w:vMerge w:val="continue"/>
            <w:shd w:val="clear" w:color="auto" w:fill="F7F3F7"/>
          </w:tcPr>
          <w:p>
            <w:pPr>
              <w:spacing w:after="0"/>
              <w:rPr>
                <w:sz w:val="11"/>
                <w:szCs w:val="11"/>
                <w:color w:val="auto"/>
              </w:rPr>
            </w:pPr>
          </w:p>
        </w:tc>
        <w:tc>
          <w:tcPr>
            <w:tcW w:w="3000" w:type="dxa"/>
            <w:vAlign w:val="bottom"/>
            <w:vMerge w:val="restart"/>
            <w:shd w:val="clear" w:color="auto" w:fill="F7F3F7"/>
          </w:tcPr>
          <w:p>
            <w:pPr>
              <w:jc w:val="center"/>
              <w:ind w:right="135"/>
              <w:spacing w:after="0"/>
              <w:rPr>
                <w:sz w:val="20"/>
                <w:szCs w:val="20"/>
                <w:color w:val="auto"/>
              </w:rPr>
            </w:pPr>
            <w:r>
              <w:rPr>
                <w:rFonts w:ascii="Arial" w:cs="Arial" w:eastAsia="Arial" w:hAnsi="Arial"/>
                <w:sz w:val="17"/>
                <w:szCs w:val="17"/>
                <w:color w:val="auto"/>
              </w:rPr>
              <w:t>to &gt;220</w:t>
            </w:r>
          </w:p>
        </w:tc>
        <w:tc>
          <w:tcPr>
            <w:tcW w:w="3280" w:type="dxa"/>
            <w:vAlign w:val="bottom"/>
            <w:vMerge w:val="continue"/>
            <w:shd w:val="clear" w:color="auto" w:fill="F7F3F7"/>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180" w:type="dxa"/>
            <w:vAlign w:val="bottom"/>
            <w:vMerge w:val="continue"/>
            <w:shd w:val="clear" w:color="auto" w:fill="F7F3F7"/>
          </w:tcPr>
          <w:p>
            <w:pPr>
              <w:spacing w:after="0"/>
              <w:rPr>
                <w:sz w:val="8"/>
                <w:szCs w:val="8"/>
                <w:color w:val="auto"/>
              </w:rPr>
            </w:pPr>
          </w:p>
        </w:tc>
        <w:tc>
          <w:tcPr>
            <w:tcW w:w="1560" w:type="dxa"/>
            <w:vAlign w:val="bottom"/>
            <w:shd w:val="clear" w:color="auto" w:fill="F7F3F7"/>
          </w:tcPr>
          <w:p>
            <w:pPr>
              <w:spacing w:after="0"/>
              <w:rPr>
                <w:sz w:val="8"/>
                <w:szCs w:val="8"/>
                <w:color w:val="auto"/>
              </w:rPr>
            </w:pPr>
          </w:p>
        </w:tc>
        <w:tc>
          <w:tcPr>
            <w:tcW w:w="3000" w:type="dxa"/>
            <w:vAlign w:val="bottom"/>
            <w:vMerge w:val="continue"/>
            <w:shd w:val="clear" w:color="auto" w:fill="F7F3F7"/>
          </w:tcPr>
          <w:p>
            <w:pPr>
              <w:spacing w:after="0"/>
              <w:rPr>
                <w:sz w:val="8"/>
                <w:szCs w:val="8"/>
                <w:color w:val="auto"/>
              </w:rPr>
            </w:pPr>
          </w:p>
        </w:tc>
        <w:tc>
          <w:tcPr>
            <w:tcW w:w="3280" w:type="dxa"/>
            <w:vAlign w:val="bottom"/>
            <w:shd w:val="clear" w:color="auto" w:fill="F7F3F7"/>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180" w:type="dxa"/>
            <w:vAlign w:val="bottom"/>
            <w:shd w:val="clear" w:color="auto" w:fill="F7F3F7"/>
          </w:tcPr>
          <w:p>
            <w:pPr>
              <w:spacing w:after="0"/>
              <w:rPr>
                <w:sz w:val="5"/>
                <w:szCs w:val="5"/>
                <w:color w:val="auto"/>
              </w:rPr>
            </w:pPr>
          </w:p>
        </w:tc>
        <w:tc>
          <w:tcPr>
            <w:tcW w:w="1560" w:type="dxa"/>
            <w:vAlign w:val="bottom"/>
            <w:shd w:val="clear" w:color="auto" w:fill="F7F3F7"/>
          </w:tcPr>
          <w:p>
            <w:pPr>
              <w:spacing w:after="0"/>
              <w:rPr>
                <w:sz w:val="5"/>
                <w:szCs w:val="5"/>
                <w:color w:val="auto"/>
              </w:rPr>
            </w:pPr>
          </w:p>
        </w:tc>
        <w:tc>
          <w:tcPr>
            <w:tcW w:w="3000" w:type="dxa"/>
            <w:vAlign w:val="bottom"/>
            <w:shd w:val="clear" w:color="auto" w:fill="F7F3F7"/>
          </w:tcPr>
          <w:p>
            <w:pPr>
              <w:spacing w:after="0"/>
              <w:rPr>
                <w:sz w:val="5"/>
                <w:szCs w:val="5"/>
                <w:color w:val="auto"/>
              </w:rPr>
            </w:pPr>
          </w:p>
        </w:tc>
        <w:tc>
          <w:tcPr>
            <w:tcW w:w="3280" w:type="dxa"/>
            <w:vAlign w:val="bottom"/>
            <w:shd w:val="clear" w:color="auto" w:fill="F7F3F7"/>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60"/>
              <w:spacing w:after="0"/>
              <w:rPr>
                <w:sz w:val="20"/>
                <w:szCs w:val="20"/>
                <w:color w:val="auto"/>
              </w:rPr>
            </w:pPr>
            <w:r>
              <w:rPr>
                <w:rFonts w:ascii="Arial" w:cs="Arial" w:eastAsia="Arial" w:hAnsi="Arial"/>
                <w:sz w:val="17"/>
                <w:szCs w:val="17"/>
                <w:color w:val="auto"/>
              </w:rPr>
              <w:t>Cash-in from Customer</w:t>
            </w:r>
          </w:p>
        </w:tc>
        <w:tc>
          <w:tcPr>
            <w:tcW w:w="1560" w:type="dxa"/>
            <w:vAlign w:val="bottom"/>
            <w:vMerge w:val="restart"/>
          </w:tcPr>
          <w:p>
            <w:pPr>
              <w:jc w:val="center"/>
              <w:ind w:right="135"/>
              <w:spacing w:after="0"/>
              <w:rPr>
                <w:sz w:val="20"/>
                <w:szCs w:val="20"/>
                <w:color w:val="auto"/>
              </w:rPr>
            </w:pPr>
            <w:r>
              <w:rPr>
                <w:rFonts w:ascii="Arial" w:cs="Arial" w:eastAsia="Arial" w:hAnsi="Arial"/>
                <w:sz w:val="17"/>
                <w:szCs w:val="17"/>
                <w:color w:val="auto"/>
                <w:w w:val="92"/>
              </w:rPr>
              <w:t>3.9</w:t>
            </w:r>
          </w:p>
        </w:tc>
        <w:tc>
          <w:tcPr>
            <w:tcW w:w="3000" w:type="dxa"/>
            <w:vAlign w:val="bottom"/>
          </w:tcPr>
          <w:p>
            <w:pPr>
              <w:jc w:val="center"/>
              <w:ind w:right="135"/>
              <w:spacing w:after="0"/>
              <w:rPr>
                <w:sz w:val="20"/>
                <w:szCs w:val="20"/>
                <w:color w:val="auto"/>
              </w:rPr>
            </w:pPr>
            <w:r>
              <w:rPr>
                <w:rFonts w:ascii="Arial" w:cs="Arial" w:eastAsia="Arial" w:hAnsi="Arial"/>
                <w:sz w:val="17"/>
                <w:szCs w:val="17"/>
                <w:color w:val="auto"/>
              </w:rPr>
              <w:t>Substantial increase</w:t>
            </w:r>
          </w:p>
        </w:tc>
        <w:tc>
          <w:tcPr>
            <w:tcW w:w="3280" w:type="dxa"/>
            <w:vAlign w:val="bottom"/>
            <w:vMerge w:val="restart"/>
          </w:tcPr>
          <w:p>
            <w:pPr>
              <w:jc w:val="center"/>
              <w:spacing w:after="0"/>
              <w:rPr>
                <w:sz w:val="20"/>
                <w:szCs w:val="20"/>
                <w:color w:val="auto"/>
              </w:rPr>
            </w:pPr>
            <w:r>
              <w:rPr>
                <w:rFonts w:ascii="Arial" w:cs="Arial" w:eastAsia="Arial" w:hAnsi="Arial"/>
                <w:sz w:val="17"/>
                <w:szCs w:val="17"/>
                <w:color w:val="auto"/>
              </w:rPr>
              <w:t>Significant increase to &gt;20</w:t>
            </w:r>
          </w:p>
        </w:tc>
        <w:tc>
          <w:tcPr>
            <w:tcW w:w="0" w:type="dxa"/>
            <w:vAlign w:val="bottom"/>
          </w:tcPr>
          <w:p>
            <w:pPr>
              <w:spacing w:after="0"/>
              <w:rPr>
                <w:sz w:val="1"/>
                <w:szCs w:val="1"/>
                <w:color w:val="auto"/>
              </w:rPr>
            </w:pPr>
          </w:p>
        </w:tc>
      </w:tr>
      <w:tr>
        <w:trPr>
          <w:trHeight w:val="130"/>
        </w:trPr>
        <w:tc>
          <w:tcPr>
            <w:tcW w:w="3180" w:type="dxa"/>
            <w:vAlign w:val="bottom"/>
            <w:vMerge w:val="restart"/>
          </w:tcPr>
          <w:p>
            <w:pPr>
              <w:ind w:left="340"/>
              <w:spacing w:after="0"/>
              <w:rPr>
                <w:sz w:val="20"/>
                <w:szCs w:val="20"/>
                <w:color w:val="auto"/>
              </w:rPr>
            </w:pPr>
            <w:r>
              <w:rPr>
                <w:rFonts w:ascii="Arial" w:cs="Arial" w:eastAsia="Arial" w:hAnsi="Arial"/>
                <w:sz w:val="17"/>
                <w:szCs w:val="17"/>
                <w:color w:val="auto"/>
              </w:rPr>
              <w:t>Contracts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million)</w:t>
            </w:r>
          </w:p>
        </w:tc>
        <w:tc>
          <w:tcPr>
            <w:tcW w:w="1560" w:type="dxa"/>
            <w:vAlign w:val="bottom"/>
            <w:vMerge w:val="continue"/>
          </w:tcPr>
          <w:p>
            <w:pPr>
              <w:spacing w:after="0"/>
              <w:rPr>
                <w:sz w:val="11"/>
                <w:szCs w:val="11"/>
                <w:color w:val="auto"/>
              </w:rPr>
            </w:pPr>
          </w:p>
        </w:tc>
        <w:tc>
          <w:tcPr>
            <w:tcW w:w="3000" w:type="dxa"/>
            <w:vAlign w:val="bottom"/>
            <w:vMerge w:val="restart"/>
          </w:tcPr>
          <w:p>
            <w:pPr>
              <w:jc w:val="center"/>
              <w:ind w:right="155"/>
              <w:spacing w:after="0"/>
              <w:rPr>
                <w:sz w:val="20"/>
                <w:szCs w:val="20"/>
                <w:color w:val="auto"/>
              </w:rPr>
            </w:pPr>
            <w:r>
              <w:rPr>
                <w:rFonts w:ascii="Arial" w:cs="Arial" w:eastAsia="Arial" w:hAnsi="Arial"/>
                <w:sz w:val="17"/>
                <w:szCs w:val="17"/>
                <w:color w:val="auto"/>
              </w:rPr>
              <w:t>to &gt;20</w:t>
            </w: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18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180" w:type="dxa"/>
            <w:vAlign w:val="bottom"/>
            <w:vMerge w:val="restart"/>
            <w:shd w:val="clear" w:color="auto" w:fill="F7F3F7"/>
          </w:tcPr>
          <w:p>
            <w:pPr>
              <w:ind w:left="340"/>
              <w:spacing w:after="0"/>
              <w:rPr>
                <w:sz w:val="20"/>
                <w:szCs w:val="20"/>
                <w:color w:val="auto"/>
              </w:rPr>
            </w:pPr>
            <w:r>
              <w:rPr>
                <w:rFonts w:ascii="Arial" w:cs="Arial" w:eastAsia="Arial" w:hAnsi="Arial"/>
                <w:sz w:val="17"/>
                <w:szCs w:val="17"/>
                <w:color w:val="auto"/>
              </w:rPr>
              <w:t>Revenue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million)</w:t>
            </w:r>
          </w:p>
        </w:tc>
        <w:tc>
          <w:tcPr>
            <w:tcW w:w="1560" w:type="dxa"/>
            <w:vAlign w:val="bottom"/>
            <w:vMerge w:val="restart"/>
            <w:shd w:val="clear" w:color="auto" w:fill="F7F3F7"/>
          </w:tcPr>
          <w:p>
            <w:pPr>
              <w:jc w:val="center"/>
              <w:ind w:right="135"/>
              <w:spacing w:after="0"/>
              <w:rPr>
                <w:sz w:val="20"/>
                <w:szCs w:val="20"/>
                <w:color w:val="auto"/>
              </w:rPr>
            </w:pPr>
            <w:r>
              <w:rPr>
                <w:rFonts w:ascii="Arial" w:cs="Arial" w:eastAsia="Arial" w:hAnsi="Arial"/>
                <w:sz w:val="17"/>
                <w:szCs w:val="17"/>
                <w:color w:val="auto"/>
                <w:w w:val="92"/>
              </w:rPr>
              <w:t>2.4</w:t>
            </w:r>
          </w:p>
        </w:tc>
        <w:tc>
          <w:tcPr>
            <w:tcW w:w="3000" w:type="dxa"/>
            <w:vAlign w:val="bottom"/>
            <w:vMerge w:val="restart"/>
            <w:shd w:val="clear" w:color="auto" w:fill="F7F3F7"/>
          </w:tcPr>
          <w:p>
            <w:pPr>
              <w:jc w:val="center"/>
              <w:ind w:right="155"/>
              <w:spacing w:after="0"/>
              <w:rPr>
                <w:sz w:val="20"/>
                <w:szCs w:val="20"/>
                <w:color w:val="auto"/>
              </w:rPr>
            </w:pPr>
            <w:r>
              <w:rPr>
                <w:rFonts w:ascii="Arial" w:cs="Arial" w:eastAsia="Arial" w:hAnsi="Arial"/>
                <w:sz w:val="17"/>
                <w:szCs w:val="17"/>
                <w:color w:val="auto"/>
              </w:rPr>
              <w:t>Significant increase</w:t>
            </w:r>
          </w:p>
        </w:tc>
        <w:tc>
          <w:tcPr>
            <w:tcW w:w="3280" w:type="dxa"/>
            <w:vAlign w:val="bottom"/>
            <w:shd w:val="clear" w:color="auto" w:fill="F7F3F7"/>
          </w:tcPr>
          <w:p>
            <w:pPr>
              <w:jc w:val="center"/>
              <w:spacing w:after="0"/>
              <w:rPr>
                <w:sz w:val="20"/>
                <w:szCs w:val="20"/>
                <w:color w:val="auto"/>
              </w:rPr>
            </w:pPr>
            <w:r>
              <w:rPr>
                <w:rFonts w:ascii="Arial" w:cs="Arial" w:eastAsia="Arial" w:hAnsi="Arial"/>
                <w:sz w:val="17"/>
                <w:szCs w:val="17"/>
                <w:color w:val="auto"/>
              </w:rPr>
              <w:t>Around the same level</w:t>
            </w:r>
          </w:p>
        </w:tc>
        <w:tc>
          <w:tcPr>
            <w:tcW w:w="0" w:type="dxa"/>
            <w:vAlign w:val="bottom"/>
          </w:tcPr>
          <w:p>
            <w:pPr>
              <w:spacing w:after="0"/>
              <w:rPr>
                <w:sz w:val="1"/>
                <w:szCs w:val="1"/>
                <w:color w:val="auto"/>
              </w:rPr>
            </w:pPr>
          </w:p>
        </w:tc>
      </w:tr>
      <w:tr>
        <w:trPr>
          <w:trHeight w:val="130"/>
        </w:trPr>
        <w:tc>
          <w:tcPr>
            <w:tcW w:w="3180" w:type="dxa"/>
            <w:vAlign w:val="bottom"/>
            <w:vMerge w:val="continue"/>
            <w:shd w:val="clear" w:color="auto" w:fill="F7F3F7"/>
          </w:tcPr>
          <w:p>
            <w:pPr>
              <w:spacing w:after="0"/>
              <w:rPr>
                <w:sz w:val="11"/>
                <w:szCs w:val="11"/>
                <w:color w:val="auto"/>
              </w:rPr>
            </w:pPr>
          </w:p>
        </w:tc>
        <w:tc>
          <w:tcPr>
            <w:tcW w:w="1560" w:type="dxa"/>
            <w:vAlign w:val="bottom"/>
            <w:vMerge w:val="continue"/>
            <w:shd w:val="clear" w:color="auto" w:fill="F7F3F7"/>
          </w:tcPr>
          <w:p>
            <w:pPr>
              <w:spacing w:after="0"/>
              <w:rPr>
                <w:sz w:val="11"/>
                <w:szCs w:val="11"/>
                <w:color w:val="auto"/>
              </w:rPr>
            </w:pPr>
          </w:p>
        </w:tc>
        <w:tc>
          <w:tcPr>
            <w:tcW w:w="3000" w:type="dxa"/>
            <w:vAlign w:val="bottom"/>
            <w:vMerge w:val="continue"/>
            <w:shd w:val="clear" w:color="auto" w:fill="F7F3F7"/>
          </w:tcPr>
          <w:p>
            <w:pPr>
              <w:spacing w:after="0"/>
              <w:rPr>
                <w:sz w:val="11"/>
                <w:szCs w:val="11"/>
                <w:color w:val="auto"/>
              </w:rPr>
            </w:pPr>
          </w:p>
        </w:tc>
        <w:tc>
          <w:tcPr>
            <w:tcW w:w="3280" w:type="dxa"/>
            <w:vAlign w:val="bottom"/>
            <w:vMerge w:val="restart"/>
            <w:shd w:val="clear" w:color="auto" w:fill="F7F3F7"/>
          </w:tcPr>
          <w:p>
            <w:pPr>
              <w:jc w:val="center"/>
              <w:spacing w:after="0"/>
              <w:rPr>
                <w:sz w:val="20"/>
                <w:szCs w:val="20"/>
                <w:color w:val="auto"/>
              </w:rPr>
            </w:pPr>
            <w:r>
              <w:rPr>
                <w:rFonts w:ascii="Arial" w:cs="Arial" w:eastAsia="Arial" w:hAnsi="Arial"/>
                <w:sz w:val="17"/>
                <w:szCs w:val="17"/>
                <w:color w:val="auto"/>
              </w:rPr>
              <w:t>as in 2021</w:t>
            </w:r>
          </w:p>
        </w:tc>
        <w:tc>
          <w:tcPr>
            <w:tcW w:w="0" w:type="dxa"/>
            <w:vAlign w:val="bottom"/>
          </w:tcPr>
          <w:p>
            <w:pPr>
              <w:spacing w:after="0"/>
              <w:rPr>
                <w:sz w:val="1"/>
                <w:szCs w:val="1"/>
                <w:color w:val="auto"/>
              </w:rPr>
            </w:pPr>
          </w:p>
        </w:tc>
      </w:tr>
      <w:tr>
        <w:trPr>
          <w:trHeight w:val="95"/>
        </w:trPr>
        <w:tc>
          <w:tcPr>
            <w:tcW w:w="3180" w:type="dxa"/>
            <w:vAlign w:val="bottom"/>
            <w:shd w:val="clear" w:color="auto" w:fill="F7F3F7"/>
          </w:tcPr>
          <w:p>
            <w:pPr>
              <w:spacing w:after="0"/>
              <w:rPr>
                <w:sz w:val="8"/>
                <w:szCs w:val="8"/>
                <w:color w:val="auto"/>
              </w:rPr>
            </w:pPr>
          </w:p>
        </w:tc>
        <w:tc>
          <w:tcPr>
            <w:tcW w:w="1560" w:type="dxa"/>
            <w:vAlign w:val="bottom"/>
            <w:shd w:val="clear" w:color="auto" w:fill="F7F3F7"/>
          </w:tcPr>
          <w:p>
            <w:pPr>
              <w:spacing w:after="0"/>
              <w:rPr>
                <w:sz w:val="8"/>
                <w:szCs w:val="8"/>
                <w:color w:val="auto"/>
              </w:rPr>
            </w:pPr>
          </w:p>
        </w:tc>
        <w:tc>
          <w:tcPr>
            <w:tcW w:w="3000" w:type="dxa"/>
            <w:vAlign w:val="bottom"/>
            <w:shd w:val="clear" w:color="auto" w:fill="F7F3F7"/>
          </w:tcPr>
          <w:p>
            <w:pPr>
              <w:spacing w:after="0"/>
              <w:rPr>
                <w:sz w:val="8"/>
                <w:szCs w:val="8"/>
                <w:color w:val="auto"/>
              </w:rPr>
            </w:pPr>
          </w:p>
        </w:tc>
        <w:tc>
          <w:tcPr>
            <w:tcW w:w="3280" w:type="dxa"/>
            <w:vAlign w:val="bottom"/>
            <w:vMerge w:val="continue"/>
            <w:shd w:val="clear" w:color="auto" w:fill="F7F3F7"/>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180" w:type="dxa"/>
            <w:vAlign w:val="bottom"/>
            <w:shd w:val="clear" w:color="auto" w:fill="F7F3F7"/>
          </w:tcPr>
          <w:p>
            <w:pPr>
              <w:spacing w:after="0"/>
              <w:rPr>
                <w:sz w:val="5"/>
                <w:szCs w:val="5"/>
                <w:color w:val="auto"/>
              </w:rPr>
            </w:pPr>
          </w:p>
        </w:tc>
        <w:tc>
          <w:tcPr>
            <w:tcW w:w="1560" w:type="dxa"/>
            <w:vAlign w:val="bottom"/>
            <w:shd w:val="clear" w:color="auto" w:fill="F7F3F7"/>
          </w:tcPr>
          <w:p>
            <w:pPr>
              <w:spacing w:after="0"/>
              <w:rPr>
                <w:sz w:val="5"/>
                <w:szCs w:val="5"/>
                <w:color w:val="auto"/>
              </w:rPr>
            </w:pPr>
          </w:p>
        </w:tc>
        <w:tc>
          <w:tcPr>
            <w:tcW w:w="3000" w:type="dxa"/>
            <w:vAlign w:val="bottom"/>
            <w:shd w:val="clear" w:color="auto" w:fill="F7F3F7"/>
          </w:tcPr>
          <w:p>
            <w:pPr>
              <w:spacing w:after="0"/>
              <w:rPr>
                <w:sz w:val="5"/>
                <w:szCs w:val="5"/>
                <w:color w:val="auto"/>
              </w:rPr>
            </w:pPr>
          </w:p>
        </w:tc>
        <w:tc>
          <w:tcPr>
            <w:tcW w:w="3280" w:type="dxa"/>
            <w:vAlign w:val="bottom"/>
            <w:shd w:val="clear" w:color="auto" w:fill="F7F3F7"/>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7"/>
                <w:szCs w:val="17"/>
                <w:color w:val="auto"/>
              </w:rPr>
              <w:t>Operating loss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million)</w:t>
            </w:r>
          </w:p>
        </w:tc>
        <w:tc>
          <w:tcPr>
            <w:tcW w:w="1560" w:type="dxa"/>
            <w:vAlign w:val="bottom"/>
          </w:tcPr>
          <w:p>
            <w:pPr>
              <w:jc w:val="center"/>
              <w:ind w:right="135"/>
              <w:spacing w:after="0"/>
              <w:rPr>
                <w:sz w:val="20"/>
                <w:szCs w:val="20"/>
                <w:color w:val="auto"/>
              </w:rPr>
            </w:pPr>
            <w:r>
              <w:rPr>
                <w:rFonts w:ascii="Arial" w:cs="Arial" w:eastAsia="Arial" w:hAnsi="Arial"/>
                <w:sz w:val="17"/>
                <w:szCs w:val="17"/>
                <w:color w:val="auto"/>
                <w:w w:val="97"/>
              </w:rPr>
              <w:t>-42.4</w:t>
            </w:r>
          </w:p>
        </w:tc>
        <w:tc>
          <w:tcPr>
            <w:tcW w:w="3000" w:type="dxa"/>
            <w:vAlign w:val="bottom"/>
          </w:tcPr>
          <w:p>
            <w:pPr>
              <w:jc w:val="center"/>
              <w:ind w:right="155"/>
              <w:spacing w:after="0"/>
              <w:rPr>
                <w:sz w:val="20"/>
                <w:szCs w:val="20"/>
                <w:color w:val="auto"/>
              </w:rPr>
            </w:pPr>
            <w:r>
              <w:rPr>
                <w:rFonts w:ascii="Arial" w:cs="Arial" w:eastAsia="Arial" w:hAnsi="Arial"/>
                <w:sz w:val="17"/>
                <w:szCs w:val="17"/>
                <w:color w:val="auto"/>
              </w:rPr>
              <w:t>Moderate decrease</w:t>
            </w:r>
          </w:p>
        </w:tc>
        <w:tc>
          <w:tcPr>
            <w:tcW w:w="3280" w:type="dxa"/>
            <w:vAlign w:val="bottom"/>
          </w:tcPr>
          <w:p>
            <w:pPr>
              <w:jc w:val="center"/>
              <w:spacing w:after="0"/>
              <w:rPr>
                <w:sz w:val="20"/>
                <w:szCs w:val="20"/>
                <w:color w:val="auto"/>
              </w:rPr>
            </w:pPr>
            <w:r>
              <w:rPr>
                <w:rFonts w:ascii="Arial" w:cs="Arial" w:eastAsia="Arial" w:hAnsi="Arial"/>
                <w:sz w:val="17"/>
                <w:szCs w:val="17"/>
                <w:color w:val="auto"/>
              </w:rPr>
              <w:t>Significant increase</w:t>
            </w:r>
          </w:p>
        </w:tc>
        <w:tc>
          <w:tcPr>
            <w:tcW w:w="0" w:type="dxa"/>
            <w:vAlign w:val="bottom"/>
          </w:tcPr>
          <w:p>
            <w:pPr>
              <w:spacing w:after="0"/>
              <w:rPr>
                <w:sz w:val="1"/>
                <w:szCs w:val="1"/>
                <w:color w:val="auto"/>
              </w:rPr>
            </w:pPr>
          </w:p>
        </w:tc>
      </w:tr>
      <w:tr>
        <w:trPr>
          <w:trHeight w:val="369"/>
        </w:trPr>
        <w:tc>
          <w:tcPr>
            <w:tcW w:w="3180" w:type="dxa"/>
            <w:vAlign w:val="bottom"/>
          </w:tcPr>
          <w:p>
            <w:pPr>
              <w:spacing w:after="0"/>
              <w:rPr>
                <w:sz w:val="20"/>
                <w:szCs w:val="20"/>
                <w:color w:val="auto"/>
              </w:rPr>
            </w:pPr>
            <w:r>
              <w:rPr>
                <w:rFonts w:ascii="Arial" w:cs="Arial" w:eastAsia="Arial" w:hAnsi="Arial"/>
                <w:sz w:val="14"/>
                <w:szCs w:val="14"/>
                <w:color w:val="868A9C"/>
              </w:rPr>
              <w:t>H1 2022 Half Year Report</w:t>
            </w:r>
          </w:p>
        </w:tc>
        <w:tc>
          <w:tcPr>
            <w:tcW w:w="1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868A9C"/>
              </w:rPr>
              <w:t>Mynaric (NASDAQ: MYNA)(FRA: M0YN)</w:t>
            </w:r>
          </w:p>
        </w:tc>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Arial" w:cs="Arial" w:eastAsia="Arial" w:hAnsi="Arial"/>
                <w:sz w:val="14"/>
                <w:szCs w:val="14"/>
                <w:color w:val="868A9C"/>
              </w:rPr>
              <w:t>www.mynaric.com</w:t>
            </w:r>
          </w:p>
        </w:tc>
        <w:tc>
          <w:tcPr>
            <w:tcW w:w="1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280" w:type="dxa"/>
            <w:vAlign w:val="bottom"/>
          </w:tcPr>
          <w:p>
            <w:pPr>
              <w:ind w:left="2540"/>
              <w:spacing w:after="0"/>
              <w:rPr>
                <w:sz w:val="20"/>
                <w:szCs w:val="20"/>
                <w:color w:val="auto"/>
              </w:rPr>
            </w:pPr>
            <w:r>
              <w:rPr>
                <w:rFonts w:ascii="Arial" w:cs="Arial" w:eastAsia="Arial" w:hAnsi="Arial"/>
                <w:sz w:val="14"/>
                <w:szCs w:val="14"/>
                <w:color w:val="868A9C"/>
              </w:rPr>
              <w:t>Page 14/33</w:t>
            </w:r>
          </w:p>
        </w:tc>
        <w:tc>
          <w:tcPr>
            <w:tcW w:w="0" w:type="dxa"/>
            <w:vAlign w:val="bottom"/>
          </w:tcPr>
          <w:p>
            <w:pPr>
              <w:spacing w:after="0"/>
              <w:rPr>
                <w:sz w:val="1"/>
                <w:szCs w:val="1"/>
                <w:color w:val="auto"/>
              </w:rPr>
            </w:pPr>
          </w:p>
        </w:tc>
      </w:tr>
    </w:tbl>
    <w:p>
      <w:pPr>
        <w:sectPr>
          <w:pgSz w:w="11900" w:h="16838" w:orient="portrait"/>
          <w:cols w:equalWidth="0" w:num="1">
            <w:col w:w="11020"/>
          </w:cols>
          <w:pgMar w:left="440" w:top="1362" w:right="439" w:bottom="1440" w:gutter="0" w:footer="0" w:header="0"/>
        </w:sectPr>
      </w:pPr>
    </w:p>
    <w:bookmarkStart w:id="19" w:name="page20"/>
    <w:bookmarkEnd w:id="19"/>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5. Condensed Interim Financial Statements</w:t>
      </w:r>
    </w:p>
    <w:p>
      <w:pPr>
        <w:spacing w:after="0" w:line="140"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23"/>
          <w:szCs w:val="23"/>
          <w:b w:val="1"/>
          <w:bCs w:val="1"/>
          <w:color w:val="auto"/>
        </w:rPr>
        <w:t>5.1.</w:t>
      </w:r>
      <w:r>
        <w:rPr>
          <w:sz w:val="20"/>
          <w:szCs w:val="20"/>
          <w:color w:val="auto"/>
        </w:rPr>
        <w:tab/>
      </w:r>
      <w:r>
        <w:rPr>
          <w:rFonts w:ascii="Arial" w:cs="Arial" w:eastAsia="Arial" w:hAnsi="Arial"/>
          <w:sz w:val="23"/>
          <w:szCs w:val="23"/>
          <w:b w:val="1"/>
          <w:bCs w:val="1"/>
          <w:color w:val="auto"/>
        </w:rPr>
        <w:t>Financial Position</w:t>
      </w:r>
    </w:p>
    <w:p>
      <w:pPr>
        <w:spacing w:after="0" w:line="200" w:lineRule="exact"/>
        <w:rPr>
          <w:sz w:val="20"/>
          <w:szCs w:val="20"/>
          <w:color w:val="auto"/>
        </w:rPr>
      </w:pPr>
    </w:p>
    <w:p>
      <w:pPr>
        <w:spacing w:after="0" w:line="316"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Condensed consolidated statements of financial position</w:t>
      </w:r>
    </w:p>
    <w:p>
      <w:pPr>
        <w:spacing w:after="0" w:line="10"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as of June 30, 2022 and December 31,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ASSETS</w:t>
            </w:r>
          </w:p>
        </w:tc>
        <w:tc>
          <w:tcPr>
            <w:tcW w:w="2480" w:type="dxa"/>
            <w:vAlign w:val="bottom"/>
            <w:tcBorders>
              <w:top w:val="single" w:sz="8" w:color="auto"/>
            </w:tcBorders>
            <w:vMerge w:val="restart"/>
          </w:tcPr>
          <w:p>
            <w:pPr>
              <w:jc w:val="center"/>
              <w:ind w:left="1775"/>
              <w:spacing w:after="0"/>
              <w:rPr>
                <w:sz w:val="20"/>
                <w:szCs w:val="20"/>
                <w:color w:val="auto"/>
              </w:rPr>
            </w:pPr>
            <w:r>
              <w:rPr>
                <w:rFonts w:ascii="Arial" w:cs="Arial" w:eastAsia="Arial" w:hAnsi="Arial"/>
                <w:sz w:val="17"/>
                <w:szCs w:val="17"/>
                <w:b w:val="1"/>
                <w:bCs w:val="1"/>
                <w:color w:val="auto"/>
              </w:rPr>
              <w:t>Note</w:t>
            </w:r>
          </w:p>
        </w:tc>
        <w:tc>
          <w:tcPr>
            <w:tcW w:w="116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7"/>
                <w:szCs w:val="17"/>
                <w:b w:val="1"/>
                <w:bCs w:val="1"/>
                <w:color w:val="auto"/>
              </w:rPr>
              <w:t>06/30/2022</w:t>
            </w:r>
          </w:p>
        </w:tc>
        <w:tc>
          <w:tcPr>
            <w:tcW w:w="112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7"/>
                <w:szCs w:val="17"/>
                <w:b w:val="1"/>
                <w:bCs w:val="1"/>
                <w:color w:val="auto"/>
              </w:rPr>
              <w:t>12/31/2021</w:t>
            </w:r>
          </w:p>
        </w:tc>
        <w:tc>
          <w:tcPr>
            <w:tcW w:w="0" w:type="dxa"/>
            <w:vAlign w:val="bottom"/>
          </w:tcPr>
          <w:p>
            <w:pPr>
              <w:spacing w:after="0"/>
              <w:rPr>
                <w:sz w:val="1"/>
                <w:szCs w:val="1"/>
                <w:color w:val="auto"/>
              </w:rPr>
            </w:pPr>
          </w:p>
        </w:tc>
      </w:tr>
      <w:tr>
        <w:trPr>
          <w:trHeight w:val="126"/>
        </w:trPr>
        <w:tc>
          <w:tcPr>
            <w:tcW w:w="5140" w:type="dxa"/>
            <w:vAlign w:val="bottom"/>
            <w:vMerge w:val="restart"/>
          </w:tcPr>
          <w:p>
            <w:pPr>
              <w:ind w:left="40"/>
              <w:spacing w:after="0"/>
              <w:rPr>
                <w:sz w:val="20"/>
                <w:szCs w:val="20"/>
                <w:color w:val="auto"/>
              </w:rPr>
            </w:pPr>
            <w:r>
              <w:rPr>
                <w:rFonts w:ascii="Arial" w:cs="Arial" w:eastAsia="Arial" w:hAnsi="Arial"/>
                <w:sz w:val="17"/>
                <w:szCs w:val="17"/>
                <w:color w:val="auto"/>
              </w:rPr>
              <w:t xml:space="preserve">in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thousand</w:t>
            </w:r>
          </w:p>
        </w:tc>
        <w:tc>
          <w:tcPr>
            <w:tcW w:w="24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140" w:type="dxa"/>
            <w:vAlign w:val="bottom"/>
            <w:tcBorders>
              <w:bottom w:val="single" w:sz="8" w:color="auto"/>
            </w:tcBorders>
            <w:vMerge w:val="continue"/>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b w:val="1"/>
                <w:bCs w:val="1"/>
                <w:i w:val="1"/>
                <w:iCs w:val="1"/>
                <w:color w:val="auto"/>
              </w:rPr>
              <w:t>Assets</w:t>
            </w:r>
          </w:p>
        </w:tc>
        <w:tc>
          <w:tcPr>
            <w:tcW w:w="2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5140" w:type="dxa"/>
            <w:vAlign w:val="bottom"/>
          </w:tcPr>
          <w:p>
            <w:pPr>
              <w:ind w:left="160"/>
              <w:spacing w:after="0"/>
              <w:rPr>
                <w:sz w:val="20"/>
                <w:szCs w:val="20"/>
                <w:color w:val="auto"/>
              </w:rPr>
            </w:pPr>
            <w:r>
              <w:rPr>
                <w:rFonts w:ascii="Arial" w:cs="Arial" w:eastAsia="Arial" w:hAnsi="Arial"/>
                <w:sz w:val="17"/>
                <w:szCs w:val="17"/>
                <w:color w:val="auto"/>
              </w:rPr>
              <w:t>Intangible assets</w:t>
            </w:r>
          </w:p>
        </w:tc>
        <w:tc>
          <w:tcPr>
            <w:tcW w:w="2480" w:type="dxa"/>
            <w:vAlign w:val="bottom"/>
          </w:tcPr>
          <w:p>
            <w:pPr>
              <w:jc w:val="center"/>
              <w:ind w:left="1775"/>
              <w:spacing w:after="0"/>
              <w:rPr>
                <w:sz w:val="20"/>
                <w:szCs w:val="20"/>
                <w:color w:val="auto"/>
              </w:rPr>
            </w:pPr>
            <w:r>
              <w:rPr>
                <w:rFonts w:ascii="Arial" w:cs="Arial" w:eastAsia="Arial" w:hAnsi="Arial"/>
                <w:sz w:val="17"/>
                <w:szCs w:val="17"/>
                <w:color w:val="auto"/>
                <w:w w:val="92"/>
              </w:rPr>
              <w:t>11.</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20,178</w:t>
            </w:r>
          </w:p>
        </w:tc>
        <w:tc>
          <w:tcPr>
            <w:tcW w:w="1120" w:type="dxa"/>
            <w:vAlign w:val="bottom"/>
          </w:tcPr>
          <w:p>
            <w:pPr>
              <w:jc w:val="right"/>
              <w:spacing w:after="0"/>
              <w:rPr>
                <w:sz w:val="20"/>
                <w:szCs w:val="20"/>
                <w:color w:val="auto"/>
              </w:rPr>
            </w:pPr>
            <w:r>
              <w:rPr>
                <w:rFonts w:ascii="Arial" w:cs="Arial" w:eastAsia="Arial" w:hAnsi="Arial"/>
                <w:sz w:val="17"/>
                <w:szCs w:val="17"/>
                <w:color w:val="auto"/>
              </w:rPr>
              <w:t>19,969</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Right-of-use assets</w:t>
            </w:r>
          </w:p>
        </w:tc>
        <w:tc>
          <w:tcPr>
            <w:tcW w:w="2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8,280</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8,827</w:t>
            </w:r>
          </w:p>
        </w:tc>
        <w:tc>
          <w:tcPr>
            <w:tcW w:w="0" w:type="dxa"/>
            <w:vAlign w:val="bottom"/>
          </w:tcPr>
          <w:p>
            <w:pPr>
              <w:spacing w:after="0"/>
              <w:rPr>
                <w:sz w:val="1"/>
                <w:szCs w:val="1"/>
                <w:color w:val="auto"/>
              </w:rPr>
            </w:pPr>
          </w:p>
        </w:tc>
      </w:tr>
      <w:tr>
        <w:trPr>
          <w:trHeight w:val="189"/>
        </w:trPr>
        <w:tc>
          <w:tcPr>
            <w:tcW w:w="5140" w:type="dxa"/>
            <w:vAlign w:val="bottom"/>
          </w:tcPr>
          <w:p>
            <w:pPr>
              <w:ind w:left="160"/>
              <w:spacing w:after="0" w:line="189" w:lineRule="exact"/>
              <w:rPr>
                <w:sz w:val="20"/>
                <w:szCs w:val="20"/>
                <w:color w:val="auto"/>
              </w:rPr>
            </w:pPr>
            <w:r>
              <w:rPr>
                <w:rFonts w:ascii="Arial" w:cs="Arial" w:eastAsia="Arial" w:hAnsi="Arial"/>
                <w:sz w:val="17"/>
                <w:szCs w:val="17"/>
                <w:color w:val="auto"/>
              </w:rPr>
              <w:t>Property, plant and equipment</w:t>
            </w:r>
          </w:p>
        </w:tc>
        <w:tc>
          <w:tcPr>
            <w:tcW w:w="2480" w:type="dxa"/>
            <w:vAlign w:val="bottom"/>
          </w:tcPr>
          <w:p>
            <w:pPr>
              <w:jc w:val="center"/>
              <w:ind w:left="1755"/>
              <w:spacing w:after="0" w:line="189" w:lineRule="exact"/>
              <w:rPr>
                <w:sz w:val="20"/>
                <w:szCs w:val="20"/>
                <w:color w:val="auto"/>
              </w:rPr>
            </w:pPr>
            <w:r>
              <w:rPr>
                <w:rFonts w:ascii="Arial" w:cs="Arial" w:eastAsia="Arial" w:hAnsi="Arial"/>
                <w:sz w:val="17"/>
                <w:szCs w:val="17"/>
                <w:color w:val="auto"/>
              </w:rPr>
              <w:t>12.</w:t>
            </w: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21,101</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16,768</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Other non-current financial assets</w:t>
            </w:r>
          </w:p>
        </w:tc>
        <w:tc>
          <w:tcPr>
            <w:tcW w:w="2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425</w:t>
            </w: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183"/>
        </w:trPr>
        <w:tc>
          <w:tcPr>
            <w:tcW w:w="51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7"/>
                <w:szCs w:val="17"/>
                <w:b w:val="1"/>
                <w:bCs w:val="1"/>
                <w:color w:val="auto"/>
              </w:rPr>
              <w:t>Non-current assets</w:t>
            </w:r>
          </w:p>
        </w:tc>
        <w:tc>
          <w:tcPr>
            <w:tcW w:w="2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49,984</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45,975</w:t>
            </w: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Inventories</w:t>
            </w:r>
          </w:p>
        </w:tc>
        <w:tc>
          <w:tcPr>
            <w:tcW w:w="2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13,395</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8,399</w:t>
            </w:r>
          </w:p>
        </w:tc>
        <w:tc>
          <w:tcPr>
            <w:tcW w:w="0" w:type="dxa"/>
            <w:vAlign w:val="bottom"/>
          </w:tcPr>
          <w:p>
            <w:pPr>
              <w:spacing w:after="0"/>
              <w:rPr>
                <w:sz w:val="1"/>
                <w:szCs w:val="1"/>
                <w:color w:val="auto"/>
              </w:rPr>
            </w:pPr>
          </w:p>
        </w:tc>
      </w:tr>
      <w:tr>
        <w:trPr>
          <w:trHeight w:val="189"/>
        </w:trPr>
        <w:tc>
          <w:tcPr>
            <w:tcW w:w="5140" w:type="dxa"/>
            <w:vAlign w:val="bottom"/>
          </w:tcPr>
          <w:p>
            <w:pPr>
              <w:ind w:left="160"/>
              <w:spacing w:after="0" w:line="189" w:lineRule="exact"/>
              <w:rPr>
                <w:sz w:val="20"/>
                <w:szCs w:val="20"/>
                <w:color w:val="auto"/>
              </w:rPr>
            </w:pPr>
            <w:r>
              <w:rPr>
                <w:rFonts w:ascii="Arial" w:cs="Arial" w:eastAsia="Arial" w:hAnsi="Arial"/>
                <w:sz w:val="17"/>
                <w:szCs w:val="17"/>
                <w:color w:val="auto"/>
              </w:rPr>
              <w:t>Other financial and non-financial assets</w:t>
            </w:r>
          </w:p>
        </w:tc>
        <w:tc>
          <w:tcPr>
            <w:tcW w:w="2480" w:type="dxa"/>
            <w:vAlign w:val="bottom"/>
          </w:tcPr>
          <w:p>
            <w:pPr>
              <w:jc w:val="center"/>
              <w:ind w:left="1755"/>
              <w:spacing w:after="0" w:line="189" w:lineRule="exact"/>
              <w:rPr>
                <w:sz w:val="20"/>
                <w:szCs w:val="20"/>
                <w:color w:val="auto"/>
              </w:rPr>
            </w:pPr>
            <w:r>
              <w:rPr>
                <w:rFonts w:ascii="Arial" w:cs="Arial" w:eastAsia="Arial" w:hAnsi="Arial"/>
                <w:sz w:val="17"/>
                <w:szCs w:val="17"/>
                <w:color w:val="auto"/>
              </w:rPr>
              <w:t>13.</w:t>
            </w: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8,680</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5,512</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Cash and cash equivalents</w:t>
            </w:r>
          </w:p>
        </w:tc>
        <w:tc>
          <w:tcPr>
            <w:tcW w:w="2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25,508</w:t>
            </w: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48,143</w:t>
            </w:r>
          </w:p>
        </w:tc>
        <w:tc>
          <w:tcPr>
            <w:tcW w:w="0" w:type="dxa"/>
            <w:vAlign w:val="bottom"/>
          </w:tcPr>
          <w:p>
            <w:pPr>
              <w:spacing w:after="0"/>
              <w:rPr>
                <w:sz w:val="1"/>
                <w:szCs w:val="1"/>
                <w:color w:val="auto"/>
              </w:rPr>
            </w:pPr>
          </w:p>
        </w:tc>
      </w:tr>
      <w:tr>
        <w:trPr>
          <w:trHeight w:val="183"/>
        </w:trPr>
        <w:tc>
          <w:tcPr>
            <w:tcW w:w="514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7"/>
                <w:szCs w:val="17"/>
                <w:b w:val="1"/>
                <w:bCs w:val="1"/>
                <w:color w:val="auto"/>
              </w:rPr>
              <w:t>Current assets</w:t>
            </w:r>
          </w:p>
        </w:tc>
        <w:tc>
          <w:tcPr>
            <w:tcW w:w="2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47,583</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62,054</w:t>
            </w:r>
          </w:p>
        </w:tc>
        <w:tc>
          <w:tcPr>
            <w:tcW w:w="0" w:type="dxa"/>
            <w:vAlign w:val="bottom"/>
          </w:tcPr>
          <w:p>
            <w:pPr>
              <w:spacing w:after="0"/>
              <w:rPr>
                <w:sz w:val="1"/>
                <w:szCs w:val="1"/>
                <w:color w:val="auto"/>
              </w:rPr>
            </w:pPr>
          </w:p>
        </w:tc>
      </w:tr>
      <w:tr>
        <w:trPr>
          <w:trHeight w:val="385"/>
        </w:trPr>
        <w:tc>
          <w:tcPr>
            <w:tcW w:w="5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40" w:type="dxa"/>
            <w:vAlign w:val="bottom"/>
            <w:tcBorders>
              <w:bottom w:val="single" w:sz="8" w:color="auto"/>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TOTAL ASSETS</w:t>
            </w:r>
          </w:p>
        </w:tc>
        <w:tc>
          <w:tcPr>
            <w:tcW w:w="24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97,567</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108,029</w:t>
            </w: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11020"/>
          </w:cols>
          <w:pgMar w:left="440" w:top="1347" w:right="439" w:bottom="1440" w:gutter="0" w:footer="0" w:header="0"/>
        </w:sect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868A9C"/>
        </w:rPr>
        <w:t>Page 15/33</w:t>
      </w:r>
    </w:p>
    <w:p>
      <w:pPr>
        <w:sectPr>
          <w:pgSz w:w="11900" w:h="16838" w:orient="portrait"/>
          <w:cols w:equalWidth="0" w:num="2">
            <w:col w:w="9560" w:space="720"/>
            <w:col w:w="740"/>
          </w:cols>
          <w:pgMar w:left="440" w:top="1347" w:right="4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48"/>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EQUITY AND LIABILITIES</w:t>
            </w:r>
          </w:p>
        </w:tc>
        <w:tc>
          <w:tcPr>
            <w:tcW w:w="90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7"/>
                <w:szCs w:val="17"/>
                <w:b w:val="1"/>
                <w:bCs w:val="1"/>
                <w:color w:val="auto"/>
              </w:rPr>
              <w:t>Note</w:t>
            </w:r>
          </w:p>
        </w:tc>
        <w:tc>
          <w:tcPr>
            <w:tcW w:w="134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7"/>
                <w:szCs w:val="17"/>
                <w:b w:val="1"/>
                <w:bCs w:val="1"/>
                <w:color w:val="auto"/>
              </w:rPr>
              <w:t>06/30/2022</w:t>
            </w:r>
          </w:p>
        </w:tc>
        <w:tc>
          <w:tcPr>
            <w:tcW w:w="12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7"/>
                <w:szCs w:val="17"/>
                <w:b w:val="1"/>
                <w:bCs w:val="1"/>
                <w:color w:val="auto"/>
              </w:rPr>
              <w:t>12/31/2021</w:t>
            </w:r>
          </w:p>
        </w:tc>
        <w:tc>
          <w:tcPr>
            <w:tcW w:w="0" w:type="dxa"/>
            <w:vAlign w:val="bottom"/>
          </w:tcPr>
          <w:p>
            <w:pPr>
              <w:spacing w:after="0"/>
              <w:rPr>
                <w:sz w:val="1"/>
                <w:szCs w:val="1"/>
                <w:color w:val="auto"/>
              </w:rPr>
            </w:pPr>
          </w:p>
        </w:tc>
      </w:tr>
      <w:tr>
        <w:trPr>
          <w:trHeight w:val="140"/>
        </w:trPr>
        <w:tc>
          <w:tcPr>
            <w:tcW w:w="6460" w:type="dxa"/>
            <w:vAlign w:val="bottom"/>
            <w:vMerge w:val="restart"/>
          </w:tcPr>
          <w:p>
            <w:pPr>
              <w:ind w:left="40"/>
              <w:spacing w:after="0"/>
              <w:rPr>
                <w:sz w:val="20"/>
                <w:szCs w:val="20"/>
                <w:color w:val="auto"/>
              </w:rPr>
            </w:pPr>
            <w:r>
              <w:rPr>
                <w:rFonts w:ascii="Arial" w:cs="Arial" w:eastAsia="Arial" w:hAnsi="Arial"/>
                <w:sz w:val="17"/>
                <w:szCs w:val="17"/>
                <w:color w:val="auto"/>
              </w:rPr>
              <w:t xml:space="preserve">in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thousand</w:t>
            </w:r>
          </w:p>
        </w:tc>
        <w:tc>
          <w:tcPr>
            <w:tcW w:w="90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460" w:type="dxa"/>
            <w:vAlign w:val="bottom"/>
            <w:tcBorders>
              <w:bottom w:val="single" w:sz="8" w:color="auto"/>
            </w:tcBorders>
            <w:vMerge w:val="continue"/>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b w:val="1"/>
                <w:bCs w:val="1"/>
                <w:i w:val="1"/>
                <w:iCs w:val="1"/>
                <w:color w:val="auto"/>
              </w:rPr>
              <w:t>Equity</w:t>
            </w: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6460" w:type="dxa"/>
            <w:vAlign w:val="bottom"/>
          </w:tcPr>
          <w:p>
            <w:pPr>
              <w:ind w:left="160"/>
              <w:spacing w:after="0"/>
              <w:rPr>
                <w:sz w:val="20"/>
                <w:szCs w:val="20"/>
                <w:color w:val="auto"/>
              </w:rPr>
            </w:pPr>
            <w:r>
              <w:rPr>
                <w:rFonts w:ascii="Arial" w:cs="Arial" w:eastAsia="Arial" w:hAnsi="Arial"/>
                <w:sz w:val="17"/>
                <w:szCs w:val="17"/>
                <w:color w:val="auto"/>
              </w:rPr>
              <w:t>Share capital</w:t>
            </w:r>
          </w:p>
        </w:tc>
        <w:tc>
          <w:tcPr>
            <w:tcW w:w="900" w:type="dxa"/>
            <w:vAlign w:val="bottom"/>
          </w:tcPr>
          <w:p>
            <w:pPr>
              <w:spacing w:after="0"/>
              <w:rPr>
                <w:sz w:val="24"/>
                <w:szCs w:val="24"/>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5,243</w:t>
            </w:r>
          </w:p>
        </w:tc>
        <w:tc>
          <w:tcPr>
            <w:tcW w:w="1200" w:type="dxa"/>
            <w:vAlign w:val="bottom"/>
          </w:tcPr>
          <w:p>
            <w:pPr>
              <w:jc w:val="right"/>
              <w:spacing w:after="0"/>
              <w:rPr>
                <w:sz w:val="20"/>
                <w:szCs w:val="20"/>
                <w:color w:val="auto"/>
              </w:rPr>
            </w:pPr>
            <w:r>
              <w:rPr>
                <w:rFonts w:ascii="Arial" w:cs="Arial" w:eastAsia="Arial" w:hAnsi="Arial"/>
                <w:sz w:val="17"/>
                <w:szCs w:val="17"/>
                <w:color w:val="auto"/>
              </w:rPr>
              <w:t>5,243</w:t>
            </w: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Capital reserve</w:t>
            </w: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175,594</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172,622</w:t>
            </w:r>
          </w:p>
        </w:tc>
        <w:tc>
          <w:tcPr>
            <w:tcW w:w="0" w:type="dxa"/>
            <w:vAlign w:val="bottom"/>
          </w:tcPr>
          <w:p>
            <w:pPr>
              <w:spacing w:after="0"/>
              <w:rPr>
                <w:sz w:val="1"/>
                <w:szCs w:val="1"/>
                <w:color w:val="auto"/>
              </w:rPr>
            </w:pPr>
          </w:p>
        </w:tc>
      </w:tr>
      <w:tr>
        <w:trPr>
          <w:trHeight w:val="189"/>
        </w:trPr>
        <w:tc>
          <w:tcPr>
            <w:tcW w:w="6460" w:type="dxa"/>
            <w:vAlign w:val="bottom"/>
          </w:tcPr>
          <w:p>
            <w:pPr>
              <w:ind w:left="160"/>
              <w:spacing w:after="0" w:line="189" w:lineRule="exact"/>
              <w:rPr>
                <w:sz w:val="20"/>
                <w:szCs w:val="20"/>
                <w:color w:val="auto"/>
              </w:rPr>
            </w:pPr>
            <w:r>
              <w:rPr>
                <w:rFonts w:ascii="Arial" w:cs="Arial" w:eastAsia="Arial" w:hAnsi="Arial"/>
                <w:sz w:val="17"/>
                <w:szCs w:val="17"/>
                <w:color w:val="auto"/>
              </w:rPr>
              <w:t>Accumulated deficit</w:t>
            </w:r>
          </w:p>
        </w:tc>
        <w:tc>
          <w:tcPr>
            <w:tcW w:w="900" w:type="dxa"/>
            <w:vAlign w:val="bottom"/>
          </w:tcPr>
          <w:p>
            <w:pPr>
              <w:spacing w:after="0"/>
              <w:rPr>
                <w:sz w:val="16"/>
                <w:szCs w:val="16"/>
                <w:color w:val="auto"/>
              </w:rPr>
            </w:pP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-125,679</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-92,767</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Accumulated other comprehensive income/loss</w:t>
            </w:r>
          </w:p>
        </w:tc>
        <w:tc>
          <w:tcPr>
            <w:tcW w:w="9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-1,163</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7"/>
                <w:szCs w:val="17"/>
                <w:b w:val="1"/>
                <w:bCs w:val="1"/>
                <w:color w:val="auto"/>
              </w:rPr>
              <w:t>TOTAL EQUITY</w:t>
            </w: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53,996</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84,914</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b w:val="1"/>
                <w:bCs w:val="1"/>
                <w:i w:val="1"/>
                <w:iCs w:val="1"/>
                <w:color w:val="auto"/>
              </w:rPr>
              <w:t>Liabilities</w:t>
            </w: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460" w:type="dxa"/>
            <w:vAlign w:val="bottom"/>
          </w:tcPr>
          <w:p>
            <w:pPr>
              <w:ind w:left="160"/>
              <w:spacing w:after="0"/>
              <w:rPr>
                <w:sz w:val="20"/>
                <w:szCs w:val="20"/>
                <w:color w:val="auto"/>
              </w:rPr>
            </w:pPr>
            <w:r>
              <w:rPr>
                <w:rFonts w:ascii="Arial" w:cs="Arial" w:eastAsia="Arial" w:hAnsi="Arial"/>
                <w:sz w:val="17"/>
                <w:szCs w:val="17"/>
                <w:color w:val="auto"/>
              </w:rPr>
              <w:t>Provisions</w:t>
            </w:r>
          </w:p>
        </w:tc>
        <w:tc>
          <w:tcPr>
            <w:tcW w:w="900" w:type="dxa"/>
            <w:vAlign w:val="bottom"/>
          </w:tcPr>
          <w:p>
            <w:pPr>
              <w:spacing w:after="0"/>
              <w:rPr>
                <w:sz w:val="24"/>
                <w:szCs w:val="24"/>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216</w:t>
            </w:r>
          </w:p>
        </w:tc>
        <w:tc>
          <w:tcPr>
            <w:tcW w:w="120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Non-current lease liabilities</w:t>
            </w: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6,881</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7,389</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auto"/>
            </w:tcBorders>
          </w:tcPr>
          <w:p>
            <w:pPr>
              <w:ind w:left="160"/>
              <w:spacing w:after="0" w:line="189" w:lineRule="exact"/>
              <w:rPr>
                <w:sz w:val="20"/>
                <w:szCs w:val="20"/>
                <w:color w:val="auto"/>
              </w:rPr>
            </w:pPr>
            <w:r>
              <w:rPr>
                <w:rFonts w:ascii="Arial" w:cs="Arial" w:eastAsia="Arial" w:hAnsi="Arial"/>
                <w:sz w:val="17"/>
                <w:szCs w:val="17"/>
                <w:color w:val="auto"/>
              </w:rPr>
              <w:t>Deferred tax liability</w:t>
            </w: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1,791</w:t>
            </w: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1,791</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auto"/>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Non-current liabilities</w:t>
            </w:r>
          </w:p>
        </w:tc>
        <w:tc>
          <w:tcPr>
            <w:tcW w:w="9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8,888</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9,391</w:t>
            </w:r>
          </w:p>
        </w:tc>
        <w:tc>
          <w:tcPr>
            <w:tcW w:w="0" w:type="dxa"/>
            <w:vAlign w:val="bottom"/>
          </w:tcPr>
          <w:p>
            <w:pPr>
              <w:spacing w:after="0"/>
              <w:rPr>
                <w:sz w:val="1"/>
                <w:szCs w:val="1"/>
                <w:color w:val="auto"/>
              </w:rPr>
            </w:pPr>
          </w:p>
        </w:tc>
      </w:tr>
      <w:tr>
        <w:trPr>
          <w:trHeight w:val="385"/>
        </w:trPr>
        <w:tc>
          <w:tcPr>
            <w:tcW w:w="6460" w:type="dxa"/>
            <w:vAlign w:val="bottom"/>
          </w:tcPr>
          <w:p>
            <w:pPr>
              <w:ind w:left="160"/>
              <w:spacing w:after="0"/>
              <w:rPr>
                <w:sz w:val="20"/>
                <w:szCs w:val="20"/>
                <w:color w:val="auto"/>
              </w:rPr>
            </w:pPr>
            <w:r>
              <w:rPr>
                <w:rFonts w:ascii="Arial" w:cs="Arial" w:eastAsia="Arial" w:hAnsi="Arial"/>
                <w:sz w:val="17"/>
                <w:szCs w:val="17"/>
                <w:color w:val="auto"/>
              </w:rPr>
              <w:t>Provisions</w:t>
            </w:r>
          </w:p>
        </w:tc>
        <w:tc>
          <w:tcPr>
            <w:tcW w:w="900" w:type="dxa"/>
            <w:vAlign w:val="bottom"/>
          </w:tcPr>
          <w:p>
            <w:pPr>
              <w:spacing w:after="0"/>
              <w:rPr>
                <w:sz w:val="24"/>
                <w:szCs w:val="24"/>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856</w:t>
            </w:r>
          </w:p>
        </w:tc>
        <w:tc>
          <w:tcPr>
            <w:tcW w:w="1200" w:type="dxa"/>
            <w:vAlign w:val="bottom"/>
          </w:tcPr>
          <w:p>
            <w:pPr>
              <w:jc w:val="right"/>
              <w:spacing w:after="0"/>
              <w:rPr>
                <w:sz w:val="20"/>
                <w:szCs w:val="20"/>
                <w:color w:val="auto"/>
              </w:rPr>
            </w:pPr>
            <w:r>
              <w:rPr>
                <w:rFonts w:ascii="Arial" w:cs="Arial" w:eastAsia="Arial" w:hAnsi="Arial"/>
                <w:sz w:val="17"/>
                <w:szCs w:val="17"/>
                <w:color w:val="auto"/>
              </w:rPr>
              <w:t>1,023</w:t>
            </w: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Current lease liabilities</w:t>
            </w: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1,656</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1,638</w:t>
            </w:r>
          </w:p>
        </w:tc>
        <w:tc>
          <w:tcPr>
            <w:tcW w:w="0" w:type="dxa"/>
            <w:vAlign w:val="bottom"/>
          </w:tcPr>
          <w:p>
            <w:pPr>
              <w:spacing w:after="0"/>
              <w:rPr>
                <w:sz w:val="1"/>
                <w:szCs w:val="1"/>
                <w:color w:val="auto"/>
              </w:rPr>
            </w:pPr>
          </w:p>
        </w:tc>
      </w:tr>
      <w:tr>
        <w:trPr>
          <w:trHeight w:val="189"/>
        </w:trPr>
        <w:tc>
          <w:tcPr>
            <w:tcW w:w="6460" w:type="dxa"/>
            <w:vAlign w:val="bottom"/>
          </w:tcPr>
          <w:p>
            <w:pPr>
              <w:ind w:left="160"/>
              <w:spacing w:after="0" w:line="189" w:lineRule="exact"/>
              <w:rPr>
                <w:sz w:val="20"/>
                <w:szCs w:val="20"/>
                <w:color w:val="auto"/>
              </w:rPr>
            </w:pPr>
            <w:r>
              <w:rPr>
                <w:rFonts w:ascii="Arial" w:cs="Arial" w:eastAsia="Arial" w:hAnsi="Arial"/>
                <w:sz w:val="17"/>
                <w:szCs w:val="17"/>
                <w:color w:val="auto"/>
              </w:rPr>
              <w:t>Trade and other payables</w:t>
            </w:r>
          </w:p>
        </w:tc>
        <w:tc>
          <w:tcPr>
            <w:tcW w:w="900" w:type="dxa"/>
            <w:vAlign w:val="bottom"/>
          </w:tcPr>
          <w:p>
            <w:pPr>
              <w:spacing w:after="0"/>
              <w:rPr>
                <w:sz w:val="16"/>
                <w:szCs w:val="16"/>
                <w:color w:val="auto"/>
              </w:rPr>
            </w:pP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10,200</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8,396</w:t>
            </w:r>
          </w:p>
        </w:tc>
        <w:tc>
          <w:tcPr>
            <w:tcW w:w="0" w:type="dxa"/>
            <w:vAlign w:val="bottom"/>
          </w:tcPr>
          <w:p>
            <w:pPr>
              <w:spacing w:after="0"/>
              <w:rPr>
                <w:sz w:val="1"/>
                <w:szCs w:val="1"/>
                <w:color w:val="auto"/>
              </w:rPr>
            </w:pPr>
          </w:p>
        </w:tc>
      </w:tr>
      <w:tr>
        <w:trPr>
          <w:trHeight w:val="189"/>
        </w:trPr>
        <w:tc>
          <w:tcPr>
            <w:tcW w:w="64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Contract liabilities</w:t>
            </w:r>
          </w:p>
        </w:tc>
        <w:tc>
          <w:tcPr>
            <w:tcW w:w="9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613</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189"/>
        </w:trPr>
        <w:tc>
          <w:tcPr>
            <w:tcW w:w="6460" w:type="dxa"/>
            <w:vAlign w:val="bottom"/>
          </w:tcPr>
          <w:p>
            <w:pPr>
              <w:ind w:left="160"/>
              <w:spacing w:after="0" w:line="189" w:lineRule="exact"/>
              <w:rPr>
                <w:sz w:val="20"/>
                <w:szCs w:val="20"/>
                <w:color w:val="auto"/>
              </w:rPr>
            </w:pPr>
            <w:r>
              <w:rPr>
                <w:rFonts w:ascii="Arial" w:cs="Arial" w:eastAsia="Arial" w:hAnsi="Arial"/>
                <w:sz w:val="17"/>
                <w:szCs w:val="17"/>
                <w:color w:val="auto"/>
              </w:rPr>
              <w:t>Financial Liabilities</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14.</w:t>
            </w: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10,279</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Other non-financial liabilities</w:t>
            </w:r>
          </w:p>
        </w:tc>
        <w:tc>
          <w:tcPr>
            <w:tcW w:w="9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15.</w:t>
            </w:r>
          </w:p>
        </w:tc>
        <w:tc>
          <w:tcPr>
            <w:tcW w:w="13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11,079</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2,323</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7"/>
                <w:szCs w:val="17"/>
                <w:b w:val="1"/>
                <w:bCs w:val="1"/>
                <w:color w:val="auto"/>
              </w:rPr>
              <w:t>Current liabilities</w:t>
            </w: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34,684</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13,724</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tcBorders>
              <w:bottom w:val="single" w:sz="8" w:color="auto"/>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Total liabilities</w:t>
            </w:r>
          </w:p>
        </w:tc>
        <w:tc>
          <w:tcPr>
            <w:tcW w:w="9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43,572</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23,115</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7"/>
                <w:szCs w:val="17"/>
                <w:b w:val="1"/>
                <w:bCs w:val="1"/>
                <w:color w:val="auto"/>
              </w:rPr>
              <w:t>TOTAL EQUITY AND LIABILITIES</w:t>
            </w: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97,567</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108,029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1402"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868A9C"/>
        </w:rPr>
        <w:t>Page 16/33</w:t>
      </w:r>
    </w:p>
    <w:p>
      <w:pPr>
        <w:sectPr>
          <w:pgSz w:w="11900" w:h="16838" w:orient="portrait"/>
          <w:cols w:equalWidth="0" w:num="2">
            <w:col w:w="9560" w:space="720"/>
            <w:col w:w="740"/>
          </w:cols>
          <w:pgMar w:left="440" w:top="1402" w:right="439" w:bottom="1440" w:gutter="0" w:footer="0" w:header="0"/>
          <w:type w:val="continuous"/>
        </w:sectPr>
      </w:pPr>
    </w:p>
    <w:bookmarkStart w:id="21" w:name="page22"/>
    <w:bookmarkEnd w:id="21"/>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2"/>
        </w:trPr>
        <w:tc>
          <w:tcPr>
            <w:tcW w:w="1780" w:type="dxa"/>
            <w:vAlign w:val="bottom"/>
          </w:tcPr>
          <w:p>
            <w:pPr>
              <w:ind w:left="980"/>
              <w:spacing w:after="0"/>
              <w:rPr>
                <w:sz w:val="20"/>
                <w:szCs w:val="20"/>
                <w:color w:val="auto"/>
              </w:rPr>
            </w:pPr>
            <w:r>
              <w:rPr>
                <w:rFonts w:ascii="Arial" w:cs="Arial" w:eastAsia="Arial" w:hAnsi="Arial"/>
                <w:sz w:val="23"/>
                <w:szCs w:val="23"/>
                <w:b w:val="1"/>
                <w:bCs w:val="1"/>
                <w:color w:val="auto"/>
              </w:rPr>
              <w:t>5.2.</w:t>
            </w:r>
          </w:p>
        </w:tc>
        <w:tc>
          <w:tcPr>
            <w:tcW w:w="5660" w:type="dxa"/>
            <w:vAlign w:val="bottom"/>
            <w:gridSpan w:val="2"/>
          </w:tcPr>
          <w:p>
            <w:pPr>
              <w:ind w:left="80"/>
              <w:spacing w:after="0"/>
              <w:rPr>
                <w:sz w:val="20"/>
                <w:szCs w:val="20"/>
                <w:color w:val="auto"/>
              </w:rPr>
            </w:pPr>
            <w:r>
              <w:rPr>
                <w:rFonts w:ascii="Arial" w:cs="Arial" w:eastAsia="Arial" w:hAnsi="Arial"/>
                <w:sz w:val="23"/>
                <w:szCs w:val="23"/>
                <w:b w:val="1"/>
                <w:bCs w:val="1"/>
                <w:color w:val="auto"/>
              </w:rPr>
              <w:t>Cash flows</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780" w:type="dxa"/>
            <w:vAlign w:val="bottom"/>
          </w:tcPr>
          <w:p>
            <w:pPr>
              <w:spacing w:after="0"/>
              <w:rPr>
                <w:sz w:val="24"/>
                <w:szCs w:val="24"/>
                <w:color w:val="auto"/>
              </w:rPr>
            </w:pPr>
          </w:p>
        </w:tc>
        <w:tc>
          <w:tcPr>
            <w:tcW w:w="6480" w:type="dxa"/>
            <w:vAlign w:val="bottom"/>
            <w:gridSpan w:val="3"/>
          </w:tcPr>
          <w:p>
            <w:pPr>
              <w:jc w:val="center"/>
              <w:ind w:left="884"/>
              <w:spacing w:after="0"/>
              <w:rPr>
                <w:sz w:val="20"/>
                <w:szCs w:val="20"/>
                <w:color w:val="auto"/>
              </w:rPr>
            </w:pPr>
            <w:r>
              <w:rPr>
                <w:rFonts w:ascii="Arial" w:cs="Arial" w:eastAsia="Arial" w:hAnsi="Arial"/>
                <w:sz w:val="17"/>
                <w:szCs w:val="17"/>
                <w:b w:val="1"/>
                <w:bCs w:val="1"/>
                <w:color w:val="auto"/>
              </w:rPr>
              <w:t>Condensed consolidated statements of cash flows for</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80" w:type="dxa"/>
            <w:vAlign w:val="bottom"/>
          </w:tcPr>
          <w:p>
            <w:pPr>
              <w:spacing w:after="0"/>
              <w:rPr>
                <w:sz w:val="20"/>
                <w:szCs w:val="20"/>
                <w:color w:val="auto"/>
              </w:rPr>
            </w:pPr>
          </w:p>
        </w:tc>
        <w:tc>
          <w:tcPr>
            <w:tcW w:w="5660" w:type="dxa"/>
            <w:vAlign w:val="bottom"/>
            <w:gridSpan w:val="2"/>
          </w:tcPr>
          <w:p>
            <w:pPr>
              <w:jc w:val="center"/>
              <w:ind w:left="1704"/>
              <w:spacing w:after="0"/>
              <w:rPr>
                <w:sz w:val="20"/>
                <w:szCs w:val="20"/>
                <w:color w:val="auto"/>
              </w:rPr>
            </w:pPr>
            <w:r>
              <w:rPr>
                <w:rFonts w:ascii="Arial" w:cs="Arial" w:eastAsia="Arial" w:hAnsi="Arial"/>
                <w:sz w:val="17"/>
                <w:szCs w:val="17"/>
                <w:b w:val="1"/>
                <w:bCs w:val="1"/>
                <w:color w:val="auto"/>
              </w:rPr>
              <w:t>the six months ended June 30, 2022 and 2021</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780" w:type="dxa"/>
            <w:vAlign w:val="bottom"/>
            <w:tcBorders>
              <w:bottom w:val="single" w:sz="8" w:color="auto"/>
            </w:tcBorders>
          </w:tcPr>
          <w:p>
            <w:pPr>
              <w:spacing w:after="0"/>
              <w:rPr>
                <w:sz w:val="8"/>
                <w:szCs w:val="8"/>
                <w:color w:val="auto"/>
              </w:rPr>
            </w:pPr>
          </w:p>
        </w:tc>
        <w:tc>
          <w:tcPr>
            <w:tcW w:w="49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1"/>
        </w:trPr>
        <w:tc>
          <w:tcPr>
            <w:tcW w:w="1780" w:type="dxa"/>
            <w:vAlign w:val="bottom"/>
            <w:vMerge w:val="restart"/>
          </w:tcPr>
          <w:p>
            <w:pPr>
              <w:ind w:left="40"/>
              <w:spacing w:after="0"/>
              <w:rPr>
                <w:sz w:val="20"/>
                <w:szCs w:val="20"/>
                <w:color w:val="auto"/>
              </w:rPr>
            </w:pPr>
            <w:r>
              <w:rPr>
                <w:rFonts w:ascii="Arial" w:cs="Arial" w:eastAsia="Arial" w:hAnsi="Arial"/>
                <w:sz w:val="17"/>
                <w:szCs w:val="17"/>
                <w:color w:val="auto"/>
              </w:rPr>
              <w:t xml:space="preserve">in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thousand</w:t>
            </w:r>
          </w:p>
        </w:tc>
        <w:tc>
          <w:tcPr>
            <w:tcW w:w="49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7"/>
                <w:szCs w:val="17"/>
                <w:b w:val="1"/>
                <w:bCs w:val="1"/>
                <w:color w:val="auto"/>
              </w:rPr>
              <w:t>Note</w:t>
            </w:r>
          </w:p>
        </w:tc>
        <w:tc>
          <w:tcPr>
            <w:tcW w:w="820" w:type="dxa"/>
            <w:vAlign w:val="bottom"/>
          </w:tcPr>
          <w:p>
            <w:pPr>
              <w:jc w:val="right"/>
              <w:ind w:right="235"/>
              <w:spacing w:after="0"/>
              <w:rPr>
                <w:sz w:val="20"/>
                <w:szCs w:val="20"/>
                <w:color w:val="auto"/>
              </w:rPr>
            </w:pPr>
            <w:r>
              <w:rPr>
                <w:rFonts w:ascii="Arial" w:cs="Arial" w:eastAsia="Arial" w:hAnsi="Arial"/>
                <w:sz w:val="17"/>
                <w:szCs w:val="17"/>
                <w:b w:val="1"/>
                <w:bCs w:val="1"/>
                <w:color w:val="auto"/>
              </w:rPr>
              <w:t>2022</w:t>
            </w:r>
          </w:p>
        </w:tc>
        <w:tc>
          <w:tcPr>
            <w:tcW w:w="760" w:type="dxa"/>
            <w:vAlign w:val="bottom"/>
          </w:tcPr>
          <w:p>
            <w:pPr>
              <w:jc w:val="right"/>
              <w:ind w:right="13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79"/>
        </w:trPr>
        <w:tc>
          <w:tcPr>
            <w:tcW w:w="1780" w:type="dxa"/>
            <w:vAlign w:val="bottom"/>
            <w:tcBorders>
              <w:bottom w:val="single" w:sz="8" w:color="auto"/>
            </w:tcBorders>
            <w:vMerge w:val="continue"/>
          </w:tcPr>
          <w:p>
            <w:pPr>
              <w:spacing w:after="0"/>
              <w:rPr>
                <w:sz w:val="15"/>
                <w:szCs w:val="15"/>
                <w:color w:val="auto"/>
              </w:rPr>
            </w:pPr>
          </w:p>
        </w:tc>
        <w:tc>
          <w:tcPr>
            <w:tcW w:w="490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4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7"/>
                <w:szCs w:val="17"/>
                <w:b w:val="1"/>
                <w:bCs w:val="1"/>
                <w:color w:val="auto"/>
              </w:rPr>
              <w:t>Cash flows from operating activities</w:t>
            </w: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gridSpan w:val="3"/>
          </w:tcPr>
          <w:p>
            <w:pPr>
              <w:ind w:left="160"/>
              <w:spacing w:after="0" w:line="189" w:lineRule="exact"/>
              <w:rPr>
                <w:sz w:val="20"/>
                <w:szCs w:val="20"/>
                <w:color w:val="auto"/>
              </w:rPr>
            </w:pPr>
            <w:r>
              <w:rPr>
                <w:rFonts w:ascii="Arial" w:cs="Arial" w:eastAsia="Arial" w:hAnsi="Arial"/>
                <w:sz w:val="17"/>
                <w:szCs w:val="17"/>
                <w:color w:val="auto"/>
              </w:rPr>
              <w:t>Consolidated net profit/loss for the period</w:t>
            </w:r>
          </w:p>
        </w:tc>
        <w:tc>
          <w:tcPr>
            <w:tcW w:w="8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-32,912</w:t>
            </w:r>
          </w:p>
        </w:tc>
        <w:tc>
          <w:tcPr>
            <w:tcW w:w="7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-16,077</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Adjustments for:</w:t>
            </w:r>
          </w:p>
        </w:tc>
        <w:tc>
          <w:tcPr>
            <w:tcW w:w="4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Depreciation and amortization</w:t>
            </w:r>
          </w:p>
        </w:tc>
        <w:tc>
          <w:tcPr>
            <w:tcW w:w="8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3,055</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1,920</w:t>
            </w:r>
          </w:p>
        </w:tc>
        <w:tc>
          <w:tcPr>
            <w:tcW w:w="0" w:type="dxa"/>
            <w:vAlign w:val="bottom"/>
          </w:tcPr>
          <w:p>
            <w:pPr>
              <w:spacing w:after="0"/>
              <w:rPr>
                <w:sz w:val="1"/>
                <w:szCs w:val="1"/>
                <w:color w:val="auto"/>
              </w:rPr>
            </w:pPr>
          </w:p>
        </w:tc>
      </w:tr>
      <w:tr>
        <w:trPr>
          <w:trHeight w:val="189"/>
        </w:trPr>
        <w:tc>
          <w:tcPr>
            <w:tcW w:w="744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Loss from disposals of non-current assets</w:t>
            </w:r>
          </w:p>
        </w:tc>
        <w:tc>
          <w:tcPr>
            <w:tcW w:w="8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41</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89"/>
        </w:trPr>
        <w:tc>
          <w:tcPr>
            <w:tcW w:w="744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Interest and similar (income) and expenses, net</w:t>
            </w:r>
          </w:p>
        </w:tc>
        <w:tc>
          <w:tcPr>
            <w:tcW w:w="8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425</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7440" w:type="dxa"/>
            <w:vAlign w:val="bottom"/>
            <w:gridSpan w:val="3"/>
            <w:shd w:val="clear" w:color="auto" w:fill="CCEEFF"/>
          </w:tcPr>
          <w:p>
            <w:pPr>
              <w:ind w:left="340"/>
              <w:spacing w:after="0" w:line="189" w:lineRule="exact"/>
              <w:rPr>
                <w:sz w:val="20"/>
                <w:szCs w:val="20"/>
                <w:color w:val="auto"/>
              </w:rPr>
            </w:pPr>
            <w:r>
              <w:rPr>
                <w:rFonts w:ascii="Arial" w:cs="Arial" w:eastAsia="Arial" w:hAnsi="Arial"/>
                <w:sz w:val="17"/>
                <w:szCs w:val="17"/>
                <w:color w:val="auto"/>
              </w:rPr>
              <w:t>Equity-settled share-based payment transactions</w:t>
            </w:r>
          </w:p>
        </w:tc>
        <w:tc>
          <w:tcPr>
            <w:tcW w:w="8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2,972</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189"/>
        </w:trPr>
        <w:tc>
          <w:tcPr>
            <w:tcW w:w="744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Net foreign exchange (gain) / loss</w:t>
            </w:r>
          </w:p>
        </w:tc>
        <w:tc>
          <w:tcPr>
            <w:tcW w:w="8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-2,460</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Changes in:</w:t>
            </w:r>
          </w:p>
        </w:tc>
        <w:tc>
          <w:tcPr>
            <w:tcW w:w="4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340"/>
              <w:spacing w:after="0" w:line="189" w:lineRule="exact"/>
              <w:rPr>
                <w:sz w:val="20"/>
                <w:szCs w:val="20"/>
                <w:color w:val="auto"/>
              </w:rPr>
            </w:pPr>
            <w:r>
              <w:rPr>
                <w:rFonts w:ascii="Arial" w:cs="Arial" w:eastAsia="Arial" w:hAnsi="Arial"/>
                <w:sz w:val="17"/>
                <w:szCs w:val="17"/>
                <w:color w:val="auto"/>
              </w:rPr>
              <w:t>Inventories</w:t>
            </w:r>
          </w:p>
        </w:tc>
        <w:tc>
          <w:tcPr>
            <w:tcW w:w="4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-5,005</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-3,839</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Trade receivables</w:t>
            </w:r>
          </w:p>
        </w:tc>
        <w:tc>
          <w:tcPr>
            <w:tcW w:w="4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189"/>
        </w:trPr>
        <w:tc>
          <w:tcPr>
            <w:tcW w:w="744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Other financial and non-financial assets</w:t>
            </w:r>
          </w:p>
        </w:tc>
        <w:tc>
          <w:tcPr>
            <w:tcW w:w="8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-1,922</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-2,448</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Provisions</w:t>
            </w:r>
          </w:p>
        </w:tc>
        <w:tc>
          <w:tcPr>
            <w:tcW w:w="4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-168</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89"/>
        </w:trPr>
        <w:tc>
          <w:tcPr>
            <w:tcW w:w="744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Trade and other payables</w:t>
            </w:r>
          </w:p>
        </w:tc>
        <w:tc>
          <w:tcPr>
            <w:tcW w:w="8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2,514</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1,463</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Contract liabilities</w:t>
            </w:r>
          </w:p>
        </w:tc>
        <w:tc>
          <w:tcPr>
            <w:tcW w:w="4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306</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9"/>
        </w:trPr>
        <w:tc>
          <w:tcPr>
            <w:tcW w:w="1780" w:type="dxa"/>
            <w:vAlign w:val="bottom"/>
          </w:tcPr>
          <w:p>
            <w:pPr>
              <w:ind w:left="340"/>
              <w:spacing w:after="0" w:line="189" w:lineRule="exact"/>
              <w:rPr>
                <w:sz w:val="20"/>
                <w:szCs w:val="20"/>
                <w:color w:val="auto"/>
              </w:rPr>
            </w:pPr>
            <w:r>
              <w:rPr>
                <w:rFonts w:ascii="Arial" w:cs="Arial" w:eastAsia="Arial" w:hAnsi="Arial"/>
                <w:sz w:val="17"/>
                <w:szCs w:val="17"/>
                <w:color w:val="auto"/>
              </w:rPr>
              <w:t>Financial liabilities</w:t>
            </w:r>
          </w:p>
        </w:tc>
        <w:tc>
          <w:tcPr>
            <w:tcW w:w="4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5"/>
        </w:trPr>
        <w:tc>
          <w:tcPr>
            <w:tcW w:w="1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liabilities</w:t>
            </w:r>
          </w:p>
        </w:tc>
        <w:tc>
          <w:tcPr>
            <w:tcW w:w="4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7,377</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80"/>
        </w:trPr>
        <w:tc>
          <w:tcPr>
            <w:tcW w:w="6680" w:type="dxa"/>
            <w:vAlign w:val="bottom"/>
            <w:tcBorders>
              <w:bottom w:val="single" w:sz="8" w:color="auto"/>
            </w:tcBorders>
            <w:gridSpan w:val="2"/>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40" w:type="dxa"/>
            <w:vAlign w:val="bottom"/>
            <w:tcBorders>
              <w:bottom w:val="single" w:sz="8" w:color="auto"/>
            </w:tcBorders>
            <w:gridSpan w:val="3"/>
          </w:tcPr>
          <w:p>
            <w:pPr>
              <w:ind w:left="40"/>
              <w:spacing w:after="0" w:line="183" w:lineRule="exact"/>
              <w:rPr>
                <w:sz w:val="20"/>
                <w:szCs w:val="20"/>
                <w:color w:val="auto"/>
              </w:rPr>
            </w:pPr>
            <w:r>
              <w:rPr>
                <w:rFonts w:ascii="Arial" w:cs="Arial" w:eastAsia="Arial" w:hAnsi="Arial"/>
                <w:sz w:val="17"/>
                <w:szCs w:val="17"/>
                <w:b w:val="1"/>
                <w:bCs w:val="1"/>
                <w:color w:val="auto"/>
              </w:rPr>
              <w:t>Net cash from operating activities</w:t>
            </w:r>
          </w:p>
        </w:tc>
        <w:tc>
          <w:tcPr>
            <w:tcW w:w="8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-25,781</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-18,220</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7"/>
                <w:szCs w:val="17"/>
                <w:b w:val="1"/>
                <w:bCs w:val="1"/>
                <w:color w:val="auto"/>
              </w:rPr>
              <w:t>Cash flows from investing activities</w:t>
            </w: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gridSpan w:val="3"/>
          </w:tcPr>
          <w:p>
            <w:pPr>
              <w:ind w:left="160"/>
              <w:spacing w:after="0" w:line="189" w:lineRule="exact"/>
              <w:rPr>
                <w:sz w:val="20"/>
                <w:szCs w:val="20"/>
                <w:color w:val="auto"/>
              </w:rPr>
            </w:pPr>
            <w:r>
              <w:rPr>
                <w:rFonts w:ascii="Arial" w:cs="Arial" w:eastAsia="Arial" w:hAnsi="Arial"/>
                <w:sz w:val="17"/>
                <w:szCs w:val="17"/>
                <w:color w:val="auto"/>
              </w:rPr>
              <w:t>Acquisition of intangible assets</w:t>
            </w:r>
          </w:p>
        </w:tc>
        <w:tc>
          <w:tcPr>
            <w:tcW w:w="8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-969</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-2,505</w:t>
            </w:r>
          </w:p>
        </w:tc>
        <w:tc>
          <w:tcPr>
            <w:tcW w:w="0" w:type="dxa"/>
            <w:vAlign w:val="bottom"/>
          </w:tcPr>
          <w:p>
            <w:pPr>
              <w:spacing w:after="0"/>
              <w:rPr>
                <w:sz w:val="1"/>
                <w:szCs w:val="1"/>
                <w:color w:val="auto"/>
              </w:rPr>
            </w:pPr>
          </w:p>
        </w:tc>
      </w:tr>
      <w:tr>
        <w:trPr>
          <w:trHeight w:val="225"/>
        </w:trPr>
        <w:tc>
          <w:tcPr>
            <w:tcW w:w="74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Acquisition of property, plant and equipment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-6,386</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180"/>
        </w:trPr>
        <w:tc>
          <w:tcPr>
            <w:tcW w:w="6680" w:type="dxa"/>
            <w:vAlign w:val="bottom"/>
            <w:tcBorders>
              <w:bottom w:val="single" w:sz="8" w:color="auto"/>
            </w:tcBorders>
            <w:gridSpan w:val="2"/>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40" w:type="dxa"/>
            <w:vAlign w:val="bottom"/>
            <w:tcBorders>
              <w:bottom w:val="single" w:sz="8" w:color="auto"/>
            </w:tcBorders>
            <w:gridSpan w:val="3"/>
          </w:tcPr>
          <w:p>
            <w:pPr>
              <w:ind w:left="40"/>
              <w:spacing w:after="0" w:line="183" w:lineRule="exact"/>
              <w:rPr>
                <w:sz w:val="20"/>
                <w:szCs w:val="20"/>
                <w:color w:val="auto"/>
              </w:rPr>
            </w:pPr>
            <w:r>
              <w:rPr>
                <w:rFonts w:ascii="Arial" w:cs="Arial" w:eastAsia="Arial" w:hAnsi="Arial"/>
                <w:sz w:val="17"/>
                <w:szCs w:val="17"/>
                <w:b w:val="1"/>
                <w:bCs w:val="1"/>
                <w:color w:val="auto"/>
              </w:rPr>
              <w:t>Net cash used in investing activities</w:t>
            </w:r>
          </w:p>
        </w:tc>
        <w:tc>
          <w:tcPr>
            <w:tcW w:w="8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-7,355</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-5,972</w:t>
            </w: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11020"/>
          </w:cols>
          <w:pgMar w:left="440" w:top="1440" w:right="439" w:bottom="1440" w:gutter="0" w:footer="0" w:header="0"/>
        </w:sect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868A9C"/>
        </w:rPr>
        <w:t>Page 17/33</w:t>
      </w:r>
    </w:p>
    <w:p>
      <w:pPr>
        <w:sectPr>
          <w:pgSz w:w="11900" w:h="16838" w:orient="portrait"/>
          <w:cols w:equalWidth="0" w:num="2">
            <w:col w:w="9560" w:space="720"/>
            <w:col w:w="740"/>
          </w:cols>
          <w:pgMar w:left="440" w:top="1440" w:right="439" w:bottom="1440" w:gutter="0" w:footer="0" w:header="0"/>
          <w:type w:val="continuous"/>
        </w:sectPr>
      </w:pPr>
    </w:p>
    <w:bookmarkStart w:id="22" w:name="page23"/>
    <w:bookmarkEnd w:id="22"/>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4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1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9"/>
        </w:trPr>
        <w:tc>
          <w:tcPr>
            <w:tcW w:w="6480" w:type="dxa"/>
            <w:vAlign w:val="bottom"/>
          </w:tcPr>
          <w:p>
            <w:pPr>
              <w:ind w:left="340"/>
              <w:spacing w:after="0" w:line="189" w:lineRule="exact"/>
              <w:rPr>
                <w:sz w:val="20"/>
                <w:szCs w:val="20"/>
                <w:color w:val="auto"/>
              </w:rPr>
            </w:pPr>
            <w:r>
              <w:rPr>
                <w:rFonts w:ascii="Arial" w:cs="Arial" w:eastAsia="Arial" w:hAnsi="Arial"/>
                <w:sz w:val="17"/>
                <w:szCs w:val="17"/>
                <w:color w:val="auto"/>
              </w:rPr>
              <w:t>Procceds from short-term loans</w:t>
            </w:r>
          </w:p>
        </w:tc>
        <w:tc>
          <w:tcPr>
            <w:tcW w:w="18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10,000</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0</w:t>
            </w:r>
          </w:p>
        </w:tc>
      </w:tr>
      <w:tr>
        <w:trPr>
          <w:trHeight w:val="189"/>
        </w:trPr>
        <w:tc>
          <w:tcPr>
            <w:tcW w:w="64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Payments of lease liabilities</w:t>
            </w:r>
          </w:p>
        </w:tc>
        <w:tc>
          <w:tcPr>
            <w:tcW w:w="18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-730</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-504</w:t>
            </w:r>
          </w:p>
        </w:tc>
      </w:tr>
      <w:tr>
        <w:trPr>
          <w:trHeight w:val="225"/>
        </w:trPr>
        <w:tc>
          <w:tcPr>
            <w:tcW w:w="6480" w:type="dxa"/>
            <w:vAlign w:val="bottom"/>
          </w:tcPr>
          <w:p>
            <w:pPr>
              <w:ind w:left="340"/>
              <w:spacing w:after="0"/>
              <w:rPr>
                <w:sz w:val="20"/>
                <w:szCs w:val="20"/>
                <w:color w:val="auto"/>
              </w:rPr>
            </w:pPr>
            <w:r>
              <w:rPr>
                <w:rFonts w:ascii="Arial" w:cs="Arial" w:eastAsia="Arial" w:hAnsi="Arial"/>
                <w:sz w:val="17"/>
                <w:szCs w:val="17"/>
                <w:color w:val="auto"/>
              </w:rPr>
              <w:t>Interest expenses paid</w:t>
            </w: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-563</w:t>
            </w:r>
          </w:p>
        </w:tc>
        <w:tc>
          <w:tcPr>
            <w:tcW w:w="74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180"/>
        </w:trPr>
        <w:tc>
          <w:tcPr>
            <w:tcW w:w="64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83"/>
        </w:trPr>
        <w:tc>
          <w:tcPr>
            <w:tcW w:w="6480" w:type="dxa"/>
            <w:vAlign w:val="bottom"/>
            <w:tcBorders>
              <w:bottom w:val="single" w:sz="8" w:color="auto"/>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Net cash from financing activities</w:t>
            </w:r>
          </w:p>
        </w:tc>
        <w:tc>
          <w:tcPr>
            <w:tcW w:w="18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8,707</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-588</w:t>
            </w:r>
          </w:p>
        </w:tc>
      </w:tr>
      <w:tr>
        <w:trPr>
          <w:trHeight w:val="183"/>
        </w:trPr>
        <w:tc>
          <w:tcPr>
            <w:tcW w:w="64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83"/>
        </w:trPr>
        <w:tc>
          <w:tcPr>
            <w:tcW w:w="648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7"/>
                <w:szCs w:val="17"/>
                <w:b w:val="1"/>
                <w:bCs w:val="1"/>
                <w:color w:val="auto"/>
              </w:rPr>
              <w:t>Net increase/decrease in cash and cash equivalents</w:t>
            </w:r>
          </w:p>
        </w:tc>
        <w:tc>
          <w:tcPr>
            <w:tcW w:w="18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-24,429</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-24,780</w:t>
            </w:r>
          </w:p>
        </w:tc>
      </w:tr>
      <w:tr>
        <w:trPr>
          <w:trHeight w:val="115"/>
        </w:trPr>
        <w:tc>
          <w:tcPr>
            <w:tcW w:w="6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89"/>
        </w:trPr>
        <w:tc>
          <w:tcPr>
            <w:tcW w:w="648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Cash and cash equivalents at January 1</w:t>
            </w:r>
          </w:p>
        </w:tc>
        <w:tc>
          <w:tcPr>
            <w:tcW w:w="18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48,143</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43,198</w:t>
            </w:r>
          </w:p>
        </w:tc>
      </w:tr>
      <w:tr>
        <w:trPr>
          <w:trHeight w:val="225"/>
        </w:trPr>
        <w:tc>
          <w:tcPr>
            <w:tcW w:w="6480" w:type="dxa"/>
            <w:vAlign w:val="bottom"/>
          </w:tcPr>
          <w:p>
            <w:pPr>
              <w:ind w:left="40"/>
              <w:spacing w:after="0"/>
              <w:rPr>
                <w:sz w:val="20"/>
                <w:szCs w:val="20"/>
                <w:color w:val="auto"/>
              </w:rPr>
            </w:pPr>
            <w:r>
              <w:rPr>
                <w:rFonts w:ascii="Arial" w:cs="Arial" w:eastAsia="Arial" w:hAnsi="Arial"/>
                <w:sz w:val="17"/>
                <w:szCs w:val="17"/>
                <w:color w:val="auto"/>
              </w:rPr>
              <w:t>Effects of movements in exchange rates on cash and cash equivalents</w:t>
            </w:r>
          </w:p>
        </w:tc>
        <w:tc>
          <w:tcPr>
            <w:tcW w:w="1800" w:type="dxa"/>
            <w:vAlign w:val="bottom"/>
          </w:tcPr>
          <w:p>
            <w:pPr>
              <w:jc w:val="right"/>
              <w:ind w:right="15"/>
              <w:spacing w:after="0"/>
              <w:rPr>
                <w:sz w:val="20"/>
                <w:szCs w:val="20"/>
                <w:color w:val="auto"/>
              </w:rPr>
            </w:pPr>
            <w:r>
              <w:rPr>
                <w:rFonts w:ascii="Arial" w:cs="Arial" w:eastAsia="Arial" w:hAnsi="Arial"/>
                <w:sz w:val="17"/>
                <w:szCs w:val="17"/>
                <w:color w:val="auto"/>
              </w:rPr>
              <w:t>1,793</w:t>
            </w: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180"/>
        </w:trPr>
        <w:tc>
          <w:tcPr>
            <w:tcW w:w="64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83"/>
        </w:trPr>
        <w:tc>
          <w:tcPr>
            <w:tcW w:w="6480" w:type="dxa"/>
            <w:vAlign w:val="bottom"/>
            <w:tcBorders>
              <w:bottom w:val="single" w:sz="8" w:color="auto"/>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Cash and cash equivalents at June 30</w:t>
            </w:r>
          </w:p>
        </w:tc>
        <w:tc>
          <w:tcPr>
            <w:tcW w:w="18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25,508</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18,444</w:t>
            </w:r>
          </w:p>
        </w:tc>
      </w:tr>
    </w:tbl>
    <w:p>
      <w:pPr>
        <w:spacing w:after="0" w:line="139" w:lineRule="exact"/>
        <w:rPr>
          <w:sz w:val="20"/>
          <w:szCs w:val="20"/>
          <w:color w:val="auto"/>
        </w:rPr>
      </w:pPr>
    </w:p>
    <w:p>
      <w:pPr>
        <w:sectPr>
          <w:pgSz w:w="11900" w:h="16838" w:orient="portrait"/>
          <w:cols w:equalWidth="0" w:num="1">
            <w:col w:w="11020"/>
          </w:cols>
          <w:pgMar w:left="440" w:top="1440" w:right="439" w:bottom="1440" w:gutter="0" w:footer="0" w:header="0"/>
        </w:sect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868A9C"/>
        </w:rPr>
        <w:t>Page 18/33</w:t>
      </w:r>
    </w:p>
    <w:p>
      <w:pPr>
        <w:sectPr>
          <w:pgSz w:w="11900" w:h="16838" w:orient="portrait"/>
          <w:cols w:equalWidth="0" w:num="2">
            <w:col w:w="9560" w:space="720"/>
            <w:col w:w="740"/>
          </w:cols>
          <w:pgMar w:left="440" w:top="1440" w:right="439" w:bottom="1440" w:gutter="0" w:footer="0" w:header="0"/>
          <w:type w:val="continuous"/>
        </w:sectPr>
      </w:pPr>
    </w:p>
    <w:bookmarkStart w:id="23" w:name="page24"/>
    <w:bookmarkEnd w:id="23"/>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2"/>
        </w:trPr>
        <w:tc>
          <w:tcPr>
            <w:tcW w:w="1820" w:type="dxa"/>
            <w:vAlign w:val="bottom"/>
          </w:tcPr>
          <w:p>
            <w:pPr>
              <w:ind w:left="980"/>
              <w:spacing w:after="0"/>
              <w:rPr>
                <w:sz w:val="20"/>
                <w:szCs w:val="20"/>
                <w:color w:val="auto"/>
              </w:rPr>
            </w:pPr>
            <w:r>
              <w:rPr>
                <w:rFonts w:ascii="Arial" w:cs="Arial" w:eastAsia="Arial" w:hAnsi="Arial"/>
                <w:sz w:val="23"/>
                <w:szCs w:val="23"/>
                <w:b w:val="1"/>
                <w:bCs w:val="1"/>
                <w:color w:val="auto"/>
              </w:rPr>
              <w:t>5.3.</w:t>
            </w:r>
          </w:p>
        </w:tc>
        <w:tc>
          <w:tcPr>
            <w:tcW w:w="5560" w:type="dxa"/>
            <w:vAlign w:val="bottom"/>
          </w:tcPr>
          <w:p>
            <w:pPr>
              <w:ind w:left="40"/>
              <w:spacing w:after="0"/>
              <w:rPr>
                <w:sz w:val="20"/>
                <w:szCs w:val="20"/>
                <w:color w:val="auto"/>
              </w:rPr>
            </w:pPr>
            <w:r>
              <w:rPr>
                <w:rFonts w:ascii="Arial" w:cs="Arial" w:eastAsia="Arial" w:hAnsi="Arial"/>
                <w:sz w:val="23"/>
                <w:szCs w:val="23"/>
                <w:b w:val="1"/>
                <w:bCs w:val="1"/>
                <w:color w:val="auto"/>
              </w:rPr>
              <w:t>Profit or loss and other comprehensive income</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80"/>
        </w:trPr>
        <w:tc>
          <w:tcPr>
            <w:tcW w:w="1820" w:type="dxa"/>
            <w:vAlign w:val="bottom"/>
          </w:tcPr>
          <w:p>
            <w:pPr>
              <w:spacing w:after="0"/>
              <w:rPr>
                <w:sz w:val="24"/>
                <w:szCs w:val="24"/>
                <w:color w:val="auto"/>
              </w:rPr>
            </w:pPr>
          </w:p>
        </w:tc>
        <w:tc>
          <w:tcPr>
            <w:tcW w:w="6200" w:type="dxa"/>
            <w:vAlign w:val="bottom"/>
            <w:gridSpan w:val="2"/>
          </w:tcPr>
          <w:p>
            <w:pPr>
              <w:ind w:left="1240"/>
              <w:spacing w:after="0"/>
              <w:rPr>
                <w:sz w:val="20"/>
                <w:szCs w:val="20"/>
                <w:color w:val="auto"/>
              </w:rPr>
            </w:pPr>
            <w:r>
              <w:rPr>
                <w:rFonts w:ascii="Arial" w:cs="Arial" w:eastAsia="Arial" w:hAnsi="Arial"/>
                <w:sz w:val="17"/>
                <w:szCs w:val="17"/>
                <w:b w:val="1"/>
                <w:bCs w:val="1"/>
                <w:color w:val="auto"/>
              </w:rPr>
              <w:t>Condensed consolidated statements of profit/loss and other</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820" w:type="dxa"/>
            <w:vAlign w:val="bottom"/>
          </w:tcPr>
          <w:p>
            <w:pPr>
              <w:spacing w:after="0"/>
              <w:rPr>
                <w:sz w:val="20"/>
                <w:szCs w:val="20"/>
                <w:color w:val="auto"/>
              </w:rPr>
            </w:pPr>
          </w:p>
        </w:tc>
        <w:tc>
          <w:tcPr>
            <w:tcW w:w="7160" w:type="dxa"/>
            <w:vAlign w:val="bottom"/>
            <w:gridSpan w:val="3"/>
          </w:tcPr>
          <w:p>
            <w:pPr>
              <w:jc w:val="right"/>
              <w:ind w:right="215"/>
              <w:spacing w:after="0"/>
              <w:rPr>
                <w:sz w:val="20"/>
                <w:szCs w:val="20"/>
                <w:color w:val="auto"/>
              </w:rPr>
            </w:pPr>
            <w:r>
              <w:rPr>
                <w:rFonts w:ascii="Arial" w:cs="Arial" w:eastAsia="Arial" w:hAnsi="Arial"/>
                <w:sz w:val="17"/>
                <w:szCs w:val="17"/>
                <w:b w:val="1"/>
                <w:bCs w:val="1"/>
                <w:color w:val="auto"/>
              </w:rPr>
              <w:t>comprehensive income/loss for the six months ended June 30, 2022 and 2021.</w:t>
            </w:r>
          </w:p>
        </w:tc>
        <w:tc>
          <w:tcPr>
            <w:tcW w:w="920" w:type="dxa"/>
            <w:vAlign w:val="bottom"/>
          </w:tcPr>
          <w:p>
            <w:pPr>
              <w:spacing w:after="0"/>
              <w:rPr>
                <w:sz w:val="20"/>
                <w:szCs w:val="20"/>
                <w:color w:val="auto"/>
              </w:rPr>
            </w:pPr>
          </w:p>
        </w:tc>
      </w:tr>
      <w:tr>
        <w:trPr>
          <w:trHeight w:val="98"/>
        </w:trPr>
        <w:tc>
          <w:tcPr>
            <w:tcW w:w="1820" w:type="dxa"/>
            <w:vAlign w:val="bottom"/>
            <w:tcBorders>
              <w:bottom w:val="single" w:sz="8" w:color="auto"/>
            </w:tcBorders>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260"/>
        </w:trPr>
        <w:tc>
          <w:tcPr>
            <w:tcW w:w="18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640" w:type="dxa"/>
            <w:vAlign w:val="bottom"/>
          </w:tcPr>
          <w:p>
            <w:pPr>
              <w:ind w:left="120"/>
              <w:spacing w:after="0"/>
              <w:rPr>
                <w:sz w:val="20"/>
                <w:szCs w:val="20"/>
                <w:color w:val="auto"/>
              </w:rPr>
            </w:pPr>
            <w:r>
              <w:rPr>
                <w:rFonts w:ascii="Arial" w:cs="Arial" w:eastAsia="Arial" w:hAnsi="Arial"/>
                <w:sz w:val="17"/>
                <w:szCs w:val="17"/>
                <w:b w:val="1"/>
                <w:bCs w:val="1"/>
                <w:color w:val="auto"/>
              </w:rPr>
              <w:t>Note</w:t>
            </w:r>
          </w:p>
        </w:tc>
        <w:tc>
          <w:tcPr>
            <w:tcW w:w="960" w:type="dxa"/>
            <w:vAlign w:val="bottom"/>
          </w:tcPr>
          <w:p>
            <w:pPr>
              <w:jc w:val="right"/>
              <w:ind w:right="255"/>
              <w:spacing w:after="0"/>
              <w:rPr>
                <w:sz w:val="20"/>
                <w:szCs w:val="20"/>
                <w:color w:val="auto"/>
              </w:rPr>
            </w:pPr>
            <w:r>
              <w:rPr>
                <w:rFonts w:ascii="Arial" w:cs="Arial" w:eastAsia="Arial" w:hAnsi="Arial"/>
                <w:sz w:val="17"/>
                <w:szCs w:val="17"/>
                <w:b w:val="1"/>
                <w:bCs w:val="1"/>
                <w:color w:val="auto"/>
              </w:rPr>
              <w:t>2022</w:t>
            </w:r>
          </w:p>
        </w:tc>
        <w:tc>
          <w:tcPr>
            <w:tcW w:w="920" w:type="dxa"/>
            <w:vAlign w:val="bottom"/>
          </w:tcPr>
          <w:p>
            <w:pPr>
              <w:jc w:val="right"/>
              <w:ind w:right="195"/>
              <w:spacing w:after="0"/>
              <w:rPr>
                <w:sz w:val="20"/>
                <w:szCs w:val="20"/>
                <w:color w:val="auto"/>
              </w:rPr>
            </w:pPr>
            <w:r>
              <w:rPr>
                <w:rFonts w:ascii="Arial" w:cs="Arial" w:eastAsia="Arial" w:hAnsi="Arial"/>
                <w:sz w:val="17"/>
                <w:szCs w:val="17"/>
                <w:b w:val="1"/>
                <w:bCs w:val="1"/>
                <w:color w:val="auto"/>
              </w:rPr>
              <w:t>2021</w:t>
            </w:r>
          </w:p>
        </w:tc>
      </w:tr>
      <w:tr>
        <w:trPr>
          <w:trHeight w:val="246"/>
        </w:trPr>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xml:space="preserve">in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thousand</w:t>
            </w:r>
          </w:p>
        </w:tc>
        <w:tc>
          <w:tcPr>
            <w:tcW w:w="5560" w:type="dxa"/>
            <w:vAlign w:val="bottom"/>
            <w:tcBorders>
              <w:bottom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7"/>
        </w:trPr>
        <w:tc>
          <w:tcPr>
            <w:tcW w:w="18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9"/>
        </w:trPr>
        <w:tc>
          <w:tcPr>
            <w:tcW w:w="182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Revenue</w:t>
            </w:r>
          </w:p>
        </w:tc>
        <w:tc>
          <w:tcPr>
            <w:tcW w:w="556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8"/>
              </w:rPr>
              <w:t>7.</w:t>
            </w:r>
          </w:p>
        </w:tc>
        <w:tc>
          <w:tcPr>
            <w:tcW w:w="9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25</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1,349</w:t>
            </w:r>
          </w:p>
        </w:tc>
      </w:tr>
      <w:tr>
        <w:trPr>
          <w:trHeight w:val="189"/>
        </w:trPr>
        <w:tc>
          <w:tcPr>
            <w:tcW w:w="73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Change in inventories of finished goods and work in progress</w:t>
            </w:r>
          </w:p>
        </w:tc>
        <w:tc>
          <w:tcPr>
            <w:tcW w:w="640" w:type="dxa"/>
            <w:vAlign w:val="bottom"/>
          </w:tcPr>
          <w:p>
            <w:pPr>
              <w:jc w:val="center"/>
              <w:spacing w:after="0" w:line="189" w:lineRule="exact"/>
              <w:rPr>
                <w:sz w:val="20"/>
                <w:szCs w:val="20"/>
                <w:color w:val="auto"/>
              </w:rPr>
            </w:pPr>
            <w:r>
              <w:rPr>
                <w:rFonts w:ascii="Arial" w:cs="Arial" w:eastAsia="Arial" w:hAnsi="Arial"/>
                <w:sz w:val="17"/>
                <w:szCs w:val="17"/>
                <w:color w:val="auto"/>
                <w:w w:val="98"/>
              </w:rPr>
              <w:t>9.</w:t>
            </w:r>
          </w:p>
        </w:tc>
        <w:tc>
          <w:tcPr>
            <w:tcW w:w="9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2,068</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988</w:t>
            </w:r>
          </w:p>
        </w:tc>
      </w:tr>
      <w:tr>
        <w:trPr>
          <w:trHeight w:val="189"/>
        </w:trPr>
        <w:tc>
          <w:tcPr>
            <w:tcW w:w="182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Own work capitalized</w:t>
            </w:r>
          </w:p>
        </w:tc>
        <w:tc>
          <w:tcPr>
            <w:tcW w:w="556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10.</w:t>
            </w:r>
          </w:p>
        </w:tc>
        <w:tc>
          <w:tcPr>
            <w:tcW w:w="9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1,493</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2,471</w:t>
            </w:r>
          </w:p>
        </w:tc>
      </w:tr>
      <w:tr>
        <w:trPr>
          <w:trHeight w:val="189"/>
        </w:trPr>
        <w:tc>
          <w:tcPr>
            <w:tcW w:w="73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Other operating income</w:t>
            </w:r>
          </w:p>
        </w:tc>
        <w:tc>
          <w:tcPr>
            <w:tcW w:w="640" w:type="dxa"/>
            <w:vAlign w:val="bottom"/>
          </w:tcPr>
          <w:p>
            <w:pPr>
              <w:spacing w:after="0"/>
              <w:rPr>
                <w:sz w:val="16"/>
                <w:szCs w:val="16"/>
                <w:color w:val="auto"/>
              </w:rPr>
            </w:pPr>
          </w:p>
        </w:tc>
        <w:tc>
          <w:tcPr>
            <w:tcW w:w="9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884</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271</w:t>
            </w:r>
          </w:p>
        </w:tc>
      </w:tr>
      <w:tr>
        <w:trPr>
          <w:trHeight w:val="189"/>
        </w:trPr>
        <w:tc>
          <w:tcPr>
            <w:tcW w:w="182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Cost of materials</w:t>
            </w:r>
          </w:p>
        </w:tc>
        <w:tc>
          <w:tcPr>
            <w:tcW w:w="5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-8,304</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-4,431</w:t>
            </w:r>
          </w:p>
        </w:tc>
      </w:tr>
      <w:tr>
        <w:trPr>
          <w:trHeight w:val="189"/>
        </w:trPr>
        <w:tc>
          <w:tcPr>
            <w:tcW w:w="1820" w:type="dxa"/>
            <w:vAlign w:val="bottom"/>
          </w:tcPr>
          <w:p>
            <w:pPr>
              <w:ind w:left="160"/>
              <w:spacing w:after="0" w:line="189" w:lineRule="exact"/>
              <w:rPr>
                <w:sz w:val="20"/>
                <w:szCs w:val="20"/>
                <w:color w:val="auto"/>
              </w:rPr>
            </w:pPr>
            <w:r>
              <w:rPr>
                <w:rFonts w:ascii="Arial" w:cs="Arial" w:eastAsia="Arial" w:hAnsi="Arial"/>
                <w:sz w:val="17"/>
                <w:szCs w:val="17"/>
                <w:color w:val="auto"/>
              </w:rPr>
              <w:t>Personnel costs</w:t>
            </w:r>
          </w:p>
        </w:tc>
        <w:tc>
          <w:tcPr>
            <w:tcW w:w="55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Arial" w:cs="Arial" w:eastAsia="Arial" w:hAnsi="Arial"/>
                <w:sz w:val="17"/>
                <w:szCs w:val="17"/>
                <w:color w:val="auto"/>
                <w:w w:val="98"/>
              </w:rPr>
              <w:t>8.</w:t>
            </w:r>
          </w:p>
        </w:tc>
        <w:tc>
          <w:tcPr>
            <w:tcW w:w="9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-17,456</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-10,812</w:t>
            </w:r>
          </w:p>
        </w:tc>
      </w:tr>
      <w:tr>
        <w:trPr>
          <w:trHeight w:val="189"/>
        </w:trPr>
        <w:tc>
          <w:tcPr>
            <w:tcW w:w="73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Depreciation and amortisation</w:t>
            </w: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-3,055</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-1,916</w:t>
            </w:r>
          </w:p>
        </w:tc>
      </w:tr>
      <w:tr>
        <w:trPr>
          <w:trHeight w:val="225"/>
        </w:trPr>
        <w:tc>
          <w:tcPr>
            <w:tcW w:w="1820" w:type="dxa"/>
            <w:vAlign w:val="bottom"/>
          </w:tcPr>
          <w:p>
            <w:pPr>
              <w:ind w:left="160"/>
              <w:spacing w:after="0"/>
              <w:rPr>
                <w:sz w:val="20"/>
                <w:szCs w:val="20"/>
                <w:color w:val="auto"/>
              </w:rPr>
            </w:pPr>
            <w:r>
              <w:rPr>
                <w:rFonts w:ascii="Arial" w:cs="Arial" w:eastAsia="Arial" w:hAnsi="Arial"/>
                <w:sz w:val="17"/>
                <w:szCs w:val="17"/>
                <w:color w:val="auto"/>
              </w:rPr>
              <w:t>Other operating costs</w:t>
            </w:r>
          </w:p>
        </w:tc>
        <w:tc>
          <w:tcPr>
            <w:tcW w:w="5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-10,602</w:t>
            </w:r>
          </w:p>
        </w:tc>
        <w:tc>
          <w:tcPr>
            <w:tcW w:w="920" w:type="dxa"/>
            <w:vAlign w:val="bottom"/>
          </w:tcPr>
          <w:p>
            <w:pPr>
              <w:jc w:val="right"/>
              <w:spacing w:after="0"/>
              <w:rPr>
                <w:sz w:val="20"/>
                <w:szCs w:val="20"/>
                <w:color w:val="auto"/>
              </w:rPr>
            </w:pPr>
            <w:r>
              <w:rPr>
                <w:rFonts w:ascii="Arial" w:cs="Arial" w:eastAsia="Arial" w:hAnsi="Arial"/>
                <w:sz w:val="17"/>
                <w:szCs w:val="17"/>
                <w:color w:val="auto"/>
              </w:rPr>
              <w:t>-4,160</w:t>
            </w:r>
          </w:p>
        </w:tc>
      </w:tr>
      <w:tr>
        <w:trPr>
          <w:trHeight w:val="99"/>
        </w:trPr>
        <w:tc>
          <w:tcPr>
            <w:tcW w:w="1820" w:type="dxa"/>
            <w:vAlign w:val="bottom"/>
            <w:tcBorders>
              <w:bottom w:val="single" w:sz="8" w:color="auto"/>
            </w:tcBorders>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r>
        <w:trPr>
          <w:trHeight w:val="48"/>
        </w:trPr>
        <w:tc>
          <w:tcPr>
            <w:tcW w:w="1820" w:type="dxa"/>
            <w:vAlign w:val="bottom"/>
          </w:tcPr>
          <w:p>
            <w:pPr>
              <w:spacing w:after="0"/>
              <w:rPr>
                <w:sz w:val="4"/>
                <w:szCs w:val="4"/>
                <w:color w:val="auto"/>
              </w:rPr>
            </w:pPr>
          </w:p>
        </w:tc>
        <w:tc>
          <w:tcPr>
            <w:tcW w:w="5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62"/>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profit/loss</w:t>
            </w:r>
          </w:p>
        </w:tc>
        <w:tc>
          <w:tcPr>
            <w:tcW w:w="5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-34,947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-16,240</w:t>
            </w:r>
          </w:p>
        </w:tc>
      </w:tr>
      <w:tr>
        <w:trPr>
          <w:trHeight w:val="277"/>
        </w:trPr>
        <w:tc>
          <w:tcPr>
            <w:tcW w:w="738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color w:val="auto"/>
              </w:rPr>
              <w:t>Interest and similar expenses</w:t>
            </w:r>
          </w:p>
        </w:tc>
        <w:tc>
          <w:tcPr>
            <w:tcW w:w="6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-425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189"/>
        </w:trPr>
        <w:tc>
          <w:tcPr>
            <w:tcW w:w="73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Net foreign exchange gain / (loss)</w:t>
            </w: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2,460</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170</w:t>
            </w:r>
          </w:p>
        </w:tc>
      </w:tr>
      <w:tr>
        <w:trPr>
          <w:trHeight w:val="189"/>
        </w:trPr>
        <w:tc>
          <w:tcPr>
            <w:tcW w:w="1820" w:type="dxa"/>
            <w:vAlign w:val="bottom"/>
            <w:tcBorders>
              <w:bottom w:val="single" w:sz="8" w:color="auto"/>
            </w:tcBorders>
          </w:tcPr>
          <w:p>
            <w:pPr>
              <w:spacing w:after="0"/>
              <w:rPr>
                <w:sz w:val="16"/>
                <w:szCs w:val="16"/>
                <w:color w:val="auto"/>
              </w:rPr>
            </w:pPr>
          </w:p>
        </w:tc>
        <w:tc>
          <w:tcPr>
            <w:tcW w:w="5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48"/>
        </w:trPr>
        <w:tc>
          <w:tcPr>
            <w:tcW w:w="1820" w:type="dxa"/>
            <w:vAlign w:val="bottom"/>
          </w:tcPr>
          <w:p>
            <w:pPr>
              <w:spacing w:after="0"/>
              <w:rPr>
                <w:sz w:val="4"/>
                <w:szCs w:val="4"/>
                <w:color w:val="auto"/>
              </w:rPr>
            </w:pPr>
          </w:p>
        </w:tc>
        <w:tc>
          <w:tcPr>
            <w:tcW w:w="5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62"/>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finance costs</w:t>
            </w:r>
          </w:p>
        </w:tc>
        <w:tc>
          <w:tcPr>
            <w:tcW w:w="5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2,035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163</w:t>
            </w:r>
          </w:p>
        </w:tc>
      </w:tr>
      <w:tr>
        <w:trPr>
          <w:trHeight w:val="260"/>
        </w:trPr>
        <w:tc>
          <w:tcPr>
            <w:tcW w:w="1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Profit/Loss before tax</w:t>
            </w:r>
          </w:p>
        </w:tc>
        <w:tc>
          <w:tcPr>
            <w:tcW w:w="55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-32,912</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-16,077</w:t>
            </w:r>
          </w:p>
        </w:tc>
      </w:tr>
      <w:tr>
        <w:trPr>
          <w:trHeight w:val="44"/>
        </w:trPr>
        <w:tc>
          <w:tcPr>
            <w:tcW w:w="1820" w:type="dxa"/>
            <w:vAlign w:val="bottom"/>
            <w:tcBorders>
              <w:bottom w:val="single" w:sz="8" w:color="auto"/>
            </w:tcBorders>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88"/>
        </w:trPr>
        <w:tc>
          <w:tcPr>
            <w:tcW w:w="1820" w:type="dxa"/>
            <w:vAlign w:val="bottom"/>
          </w:tcPr>
          <w:p>
            <w:pPr>
              <w:spacing w:after="0"/>
              <w:rPr>
                <w:sz w:val="7"/>
                <w:szCs w:val="7"/>
                <w:color w:val="auto"/>
              </w:rPr>
            </w:pPr>
          </w:p>
        </w:tc>
        <w:tc>
          <w:tcPr>
            <w:tcW w:w="5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16"/>
        </w:trPr>
        <w:tc>
          <w:tcPr>
            <w:tcW w:w="18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Income tax expense</w:t>
            </w:r>
          </w:p>
        </w:tc>
        <w:tc>
          <w:tcPr>
            <w:tcW w:w="55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60"/>
        </w:trPr>
        <w:tc>
          <w:tcPr>
            <w:tcW w:w="7380" w:type="dxa"/>
            <w:vAlign w:val="bottom"/>
            <w:gridSpan w:val="2"/>
          </w:tcPr>
          <w:p>
            <w:pPr>
              <w:ind w:left="40"/>
              <w:spacing w:after="0"/>
              <w:rPr>
                <w:sz w:val="20"/>
                <w:szCs w:val="20"/>
                <w:color w:val="auto"/>
              </w:rPr>
            </w:pPr>
            <w:r>
              <w:rPr>
                <w:rFonts w:ascii="Arial" w:cs="Arial" w:eastAsia="Arial" w:hAnsi="Arial"/>
                <w:sz w:val="17"/>
                <w:szCs w:val="17"/>
                <w:b w:val="1"/>
                <w:bCs w:val="1"/>
                <w:color w:val="auto"/>
              </w:rPr>
              <w:t>Consolidated net profit/loss</w:t>
            </w:r>
          </w:p>
        </w:tc>
        <w:tc>
          <w:tcPr>
            <w:tcW w:w="64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-32,912</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-16,077</w:t>
            </w:r>
          </w:p>
        </w:tc>
      </w:tr>
      <w:tr>
        <w:trPr>
          <w:trHeight w:val="44"/>
        </w:trPr>
        <w:tc>
          <w:tcPr>
            <w:tcW w:w="73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55"/>
        </w:trPr>
        <w:tc>
          <w:tcPr>
            <w:tcW w:w="18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9"/>
        </w:trPr>
        <w:tc>
          <w:tcPr>
            <w:tcW w:w="7380" w:type="dxa"/>
            <w:vAlign w:val="bottom"/>
            <w:tcBorders>
              <w:bottom w:val="single" w:sz="8" w:color="auto"/>
            </w:tcBorders>
            <w:gridSpan w:val="2"/>
            <w:shd w:val="clear" w:color="auto" w:fill="CCEEFF"/>
          </w:tcPr>
          <w:p>
            <w:pPr>
              <w:ind w:left="40"/>
              <w:spacing w:after="0" w:line="189" w:lineRule="exact"/>
              <w:rPr>
                <w:sz w:val="20"/>
                <w:szCs w:val="20"/>
                <w:color w:val="auto"/>
              </w:rPr>
            </w:pPr>
            <w:r>
              <w:rPr>
                <w:rFonts w:ascii="Arial" w:cs="Arial" w:eastAsia="Arial" w:hAnsi="Arial"/>
                <w:sz w:val="17"/>
                <w:szCs w:val="17"/>
                <w:b w:val="1"/>
                <w:bCs w:val="1"/>
                <w:color w:val="auto"/>
              </w:rPr>
              <w:t>Other comprehensive income/loss</w:t>
            </w:r>
          </w:p>
        </w:tc>
        <w:tc>
          <w:tcPr>
            <w:tcW w:w="6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r>
      <w:tr>
        <w:trPr>
          <w:trHeight w:val="301"/>
        </w:trPr>
        <w:tc>
          <w:tcPr>
            <w:tcW w:w="7380" w:type="dxa"/>
            <w:vAlign w:val="bottom"/>
            <w:gridSpan w:val="2"/>
          </w:tcPr>
          <w:p>
            <w:pPr>
              <w:ind w:left="160"/>
              <w:spacing w:after="0"/>
              <w:rPr>
                <w:sz w:val="20"/>
                <w:szCs w:val="20"/>
                <w:color w:val="auto"/>
              </w:rPr>
            </w:pPr>
            <w:r>
              <w:rPr>
                <w:rFonts w:ascii="Arial" w:cs="Arial" w:eastAsia="Arial" w:hAnsi="Arial"/>
                <w:sz w:val="17"/>
                <w:szCs w:val="17"/>
                <w:b w:val="1"/>
                <w:bCs w:val="1"/>
                <w:color w:val="auto"/>
              </w:rPr>
              <w:t>Items which may be subsequently reclassified to profit and loss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4"/>
        </w:trPr>
        <w:tc>
          <w:tcPr>
            <w:tcW w:w="7380" w:type="dxa"/>
            <w:vAlign w:val="bottom"/>
            <w:gridSpan w:val="2"/>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25"/>
        </w:trPr>
        <w:tc>
          <w:tcPr>
            <w:tcW w:w="73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Foreign operations – foreign currency translation differences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-978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72"/>
        </w:trPr>
        <w:tc>
          <w:tcPr>
            <w:tcW w:w="1820" w:type="dxa"/>
            <w:vAlign w:val="bottom"/>
            <w:tcBorders>
              <w:bottom w:val="single" w:sz="8" w:color="auto"/>
            </w:tcBorders>
            <w:shd w:val="clear" w:color="auto" w:fill="CCEEFF"/>
          </w:tcPr>
          <w:p>
            <w:pPr>
              <w:spacing w:after="0"/>
              <w:rPr>
                <w:sz w:val="6"/>
                <w:szCs w:val="6"/>
                <w:color w:val="auto"/>
              </w:rPr>
            </w:pPr>
          </w:p>
        </w:tc>
        <w:tc>
          <w:tcPr>
            <w:tcW w:w="55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r>
      <w:tr>
        <w:trPr>
          <w:trHeight w:val="183"/>
        </w:trPr>
        <w:tc>
          <w:tcPr>
            <w:tcW w:w="182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7"/>
                <w:szCs w:val="17"/>
                <w:b w:val="1"/>
                <w:bCs w:val="1"/>
                <w:color w:val="auto"/>
              </w:rPr>
              <w:t>Total</w:t>
            </w:r>
          </w:p>
        </w:tc>
        <w:tc>
          <w:tcPr>
            <w:tcW w:w="5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-978</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-138</w:t>
            </w:r>
          </w:p>
        </w:tc>
      </w:tr>
      <w:tr>
        <w:trPr>
          <w:trHeight w:val="183"/>
        </w:trPr>
        <w:tc>
          <w:tcPr>
            <w:tcW w:w="182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7380" w:type="dxa"/>
            <w:vAlign w:val="bottom"/>
            <w:tcBorders>
              <w:bottom w:val="single" w:sz="8" w:color="auto"/>
            </w:tcBorders>
            <w:gridSpan w:val="2"/>
            <w:shd w:val="clear" w:color="auto" w:fill="CCEEFF"/>
          </w:tcPr>
          <w:p>
            <w:pPr>
              <w:ind w:left="160"/>
              <w:spacing w:after="0" w:line="183" w:lineRule="exact"/>
              <w:rPr>
                <w:sz w:val="20"/>
                <w:szCs w:val="20"/>
                <w:color w:val="auto"/>
              </w:rPr>
            </w:pPr>
            <w:r>
              <w:rPr>
                <w:rFonts w:ascii="Arial" w:cs="Arial" w:eastAsia="Arial" w:hAnsi="Arial"/>
                <w:sz w:val="17"/>
                <w:szCs w:val="17"/>
                <w:b w:val="1"/>
                <w:bCs w:val="1"/>
                <w:color w:val="auto"/>
              </w:rPr>
              <w:t>Other comprehensive income/loss for the period after tax</w:t>
            </w:r>
          </w:p>
        </w:tc>
        <w:tc>
          <w:tcPr>
            <w:tcW w:w="6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-978</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-138</w:t>
            </w:r>
          </w:p>
        </w:tc>
      </w:tr>
      <w:tr>
        <w:trPr>
          <w:trHeight w:val="182"/>
        </w:trPr>
        <w:tc>
          <w:tcPr>
            <w:tcW w:w="182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3"/>
        </w:trPr>
        <w:tc>
          <w:tcPr>
            <w:tcW w:w="7380" w:type="dxa"/>
            <w:vAlign w:val="bottom"/>
            <w:tcBorders>
              <w:bottom w:val="single" w:sz="8" w:color="auto"/>
            </w:tcBorders>
            <w:gridSpan w:val="2"/>
            <w:shd w:val="clear" w:color="auto" w:fill="CCEEFF"/>
          </w:tcPr>
          <w:p>
            <w:pPr>
              <w:ind w:left="160"/>
              <w:spacing w:after="0" w:line="183" w:lineRule="exact"/>
              <w:rPr>
                <w:sz w:val="20"/>
                <w:szCs w:val="20"/>
                <w:color w:val="auto"/>
              </w:rPr>
            </w:pPr>
            <w:r>
              <w:rPr>
                <w:rFonts w:ascii="Arial" w:cs="Arial" w:eastAsia="Arial" w:hAnsi="Arial"/>
                <w:sz w:val="17"/>
                <w:szCs w:val="17"/>
                <w:b w:val="1"/>
                <w:bCs w:val="1"/>
                <w:color w:val="auto"/>
              </w:rPr>
              <w:t>Total comprehensive income/loss for the period</w:t>
            </w:r>
          </w:p>
        </w:tc>
        <w:tc>
          <w:tcPr>
            <w:tcW w:w="6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-33,890</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-16,215</w:t>
            </w:r>
          </w:p>
        </w:tc>
      </w:tr>
      <w:tr>
        <w:trPr>
          <w:trHeight w:val="399"/>
        </w:trPr>
        <w:tc>
          <w:tcPr>
            <w:tcW w:w="7380" w:type="dxa"/>
            <w:vAlign w:val="bottom"/>
            <w:gridSpan w:val="2"/>
          </w:tcPr>
          <w:p>
            <w:pPr>
              <w:ind w:left="500"/>
              <w:spacing w:after="0"/>
              <w:rPr>
                <w:sz w:val="20"/>
                <w:szCs w:val="20"/>
                <w:color w:val="auto"/>
              </w:rPr>
            </w:pPr>
            <w:r>
              <w:rPr>
                <w:rFonts w:ascii="Arial" w:cs="Arial" w:eastAsia="Arial" w:hAnsi="Arial"/>
                <w:sz w:val="17"/>
                <w:szCs w:val="17"/>
                <w:color w:val="auto"/>
              </w:rPr>
              <w:t>Weighted average ordinary shares outstanding (basic and diluted)</w:t>
            </w:r>
          </w:p>
        </w:tc>
        <w:tc>
          <w:tcPr>
            <w:tcW w:w="640" w:type="dxa"/>
            <w:vAlign w:val="bottom"/>
          </w:tcPr>
          <w:p>
            <w:pPr>
              <w:spacing w:after="0"/>
              <w:rPr>
                <w:sz w:val="24"/>
                <w:szCs w:val="24"/>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5,242,948</w:t>
            </w:r>
          </w:p>
        </w:tc>
        <w:tc>
          <w:tcPr>
            <w:tcW w:w="920" w:type="dxa"/>
            <w:vAlign w:val="bottom"/>
          </w:tcPr>
          <w:p>
            <w:pPr>
              <w:jc w:val="right"/>
              <w:spacing w:after="0"/>
              <w:rPr>
                <w:sz w:val="20"/>
                <w:szCs w:val="20"/>
                <w:color w:val="auto"/>
              </w:rPr>
            </w:pPr>
            <w:r>
              <w:rPr>
                <w:rFonts w:ascii="Arial" w:cs="Arial" w:eastAsia="Arial" w:hAnsi="Arial"/>
                <w:sz w:val="17"/>
                <w:szCs w:val="17"/>
                <w:color w:val="auto"/>
              </w:rPr>
              <w:t>4,085,855</w:t>
            </w:r>
          </w:p>
        </w:tc>
      </w:tr>
      <w:tr>
        <w:trPr>
          <w:trHeight w:val="203"/>
        </w:trPr>
        <w:tc>
          <w:tcPr>
            <w:tcW w:w="73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738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rPr>
              <w:t>Basic and diluted loss per share in EUR</w:t>
            </w: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-6.28</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-3.93</w:t>
            </w:r>
          </w:p>
        </w:tc>
      </w:tr>
    </w:tbl>
    <w:p>
      <w:pPr>
        <w:spacing w:after="0" w:line="139" w:lineRule="exact"/>
        <w:rPr>
          <w:sz w:val="20"/>
          <w:szCs w:val="20"/>
          <w:color w:val="auto"/>
        </w:rPr>
      </w:pPr>
    </w:p>
    <w:p>
      <w:pPr>
        <w:sectPr>
          <w:pgSz w:w="11900" w:h="16838" w:orient="portrait"/>
          <w:cols w:equalWidth="0" w:num="1">
            <w:col w:w="11020"/>
          </w:cols>
          <w:pgMar w:left="440" w:top="1440" w:right="439" w:bottom="1440" w:gutter="0" w:footer="0" w:header="0"/>
        </w:sect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868A9C"/>
        </w:rPr>
        <w:t>Page 19/33</w:t>
      </w:r>
    </w:p>
    <w:p>
      <w:pPr>
        <w:sectPr>
          <w:pgSz w:w="11900" w:h="16838" w:orient="portrait"/>
          <w:cols w:equalWidth="0" w:num="2">
            <w:col w:w="9560" w:space="720"/>
            <w:col w:w="740"/>
          </w:cols>
          <w:pgMar w:left="440" w:top="1440" w:right="439" w:bottom="1440" w:gutter="0" w:footer="0" w:header="0"/>
          <w:type w:val="continuous"/>
        </w:sectPr>
      </w:pPr>
    </w:p>
    <w:bookmarkStart w:id="24" w:name="page25"/>
    <w:bookmarkEnd w:id="24"/>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2"/>
        </w:trPr>
        <w:tc>
          <w:tcPr>
            <w:tcW w:w="1620" w:type="dxa"/>
            <w:vAlign w:val="bottom"/>
          </w:tcPr>
          <w:p>
            <w:pPr>
              <w:ind w:left="980"/>
              <w:spacing w:after="0"/>
              <w:rPr>
                <w:sz w:val="20"/>
                <w:szCs w:val="20"/>
                <w:color w:val="auto"/>
              </w:rPr>
            </w:pPr>
            <w:r>
              <w:rPr>
                <w:rFonts w:ascii="Arial" w:cs="Arial" w:eastAsia="Arial" w:hAnsi="Arial"/>
                <w:sz w:val="23"/>
                <w:szCs w:val="23"/>
                <w:b w:val="1"/>
                <w:bCs w:val="1"/>
                <w:color w:val="auto"/>
              </w:rPr>
              <w:t>5.4.</w:t>
            </w:r>
          </w:p>
        </w:tc>
        <w:tc>
          <w:tcPr>
            <w:tcW w:w="2320" w:type="dxa"/>
            <w:vAlign w:val="bottom"/>
            <w:gridSpan w:val="2"/>
          </w:tcPr>
          <w:p>
            <w:pPr>
              <w:jc w:val="right"/>
              <w:spacing w:after="0"/>
              <w:rPr>
                <w:sz w:val="20"/>
                <w:szCs w:val="20"/>
                <w:color w:val="auto"/>
              </w:rPr>
            </w:pPr>
            <w:r>
              <w:rPr>
                <w:rFonts w:ascii="Arial" w:cs="Arial" w:eastAsia="Arial" w:hAnsi="Arial"/>
                <w:sz w:val="23"/>
                <w:szCs w:val="23"/>
                <w:b w:val="1"/>
                <w:bCs w:val="1"/>
                <w:color w:val="auto"/>
              </w:rPr>
              <w:t>Changes in equity</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960" w:type="dxa"/>
            <w:vAlign w:val="bottom"/>
            <w:gridSpan w:val="5"/>
          </w:tcPr>
          <w:p>
            <w:pPr>
              <w:jc w:val="right"/>
              <w:ind w:right="115"/>
              <w:spacing w:after="0"/>
              <w:rPr>
                <w:sz w:val="20"/>
                <w:szCs w:val="20"/>
                <w:color w:val="auto"/>
              </w:rPr>
            </w:pPr>
            <w:r>
              <w:rPr>
                <w:rFonts w:ascii="Arial" w:cs="Arial" w:eastAsia="Arial" w:hAnsi="Arial"/>
                <w:sz w:val="17"/>
                <w:szCs w:val="17"/>
                <w:b w:val="1"/>
                <w:bCs w:val="1"/>
                <w:color w:val="auto"/>
              </w:rPr>
              <w:t>Condensed consolidated statements of changes in equity</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960" w:type="dxa"/>
            <w:vAlign w:val="bottom"/>
            <w:gridSpan w:val="5"/>
          </w:tcPr>
          <w:p>
            <w:pPr>
              <w:jc w:val="right"/>
              <w:ind w:right="475"/>
              <w:spacing w:after="0"/>
              <w:rPr>
                <w:sz w:val="20"/>
                <w:szCs w:val="20"/>
                <w:color w:val="auto"/>
              </w:rPr>
            </w:pPr>
            <w:r>
              <w:rPr>
                <w:rFonts w:ascii="Arial" w:cs="Arial" w:eastAsia="Arial" w:hAnsi="Arial"/>
                <w:sz w:val="17"/>
                <w:szCs w:val="17"/>
                <w:b w:val="1"/>
                <w:bCs w:val="1"/>
                <w:color w:val="auto"/>
              </w:rPr>
              <w:t>for the six months ended June 30, 2022 and 2021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6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99"/>
              </w:rPr>
              <w:t>Foreign</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i w:val="1"/>
                <w:iCs w:val="1"/>
                <w:color w:val="auto"/>
                <w:w w:val="99"/>
              </w:rPr>
              <w:t>Prepaid</w:t>
            </w:r>
          </w:p>
        </w:tc>
        <w:tc>
          <w:tcPr>
            <w:tcW w:w="1300" w:type="dxa"/>
            <w:vAlign w:val="bottom"/>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Arial" w:cs="Arial" w:eastAsia="Arial" w:hAnsi="Arial"/>
                <w:sz w:val="17"/>
                <w:szCs w:val="17"/>
                <w:b w:val="1"/>
                <w:bCs w:val="1"/>
                <w:i w:val="1"/>
                <w:iCs w:val="1"/>
                <w:color w:val="auto"/>
              </w:rPr>
              <w:t>currency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vMerge w:val="restart"/>
          </w:tcPr>
          <w:p>
            <w:pPr>
              <w:ind w:left="40"/>
              <w:spacing w:after="0"/>
              <w:rPr>
                <w:sz w:val="20"/>
                <w:szCs w:val="20"/>
                <w:color w:val="auto"/>
              </w:rPr>
            </w:pPr>
            <w:r>
              <w:rPr>
                <w:rFonts w:ascii="Arial" w:cs="Arial" w:eastAsia="Arial" w:hAnsi="Arial"/>
                <w:sz w:val="17"/>
                <w:szCs w:val="17"/>
                <w:color w:val="auto"/>
              </w:rPr>
              <w:t xml:space="preserve">in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thousand</w:t>
            </w:r>
          </w:p>
        </w:tc>
        <w:tc>
          <w:tcPr>
            <w:tcW w:w="1460" w:type="dxa"/>
            <w:vAlign w:val="bottom"/>
          </w:tcPr>
          <w:p>
            <w:pPr>
              <w:spacing w:after="0"/>
              <w:rPr>
                <w:sz w:val="17"/>
                <w:szCs w:val="17"/>
                <w:color w:val="auto"/>
              </w:rPr>
            </w:pPr>
          </w:p>
        </w:tc>
        <w:tc>
          <w:tcPr>
            <w:tcW w:w="860" w:type="dxa"/>
            <w:vAlign w:val="bottom"/>
          </w:tcPr>
          <w:p>
            <w:pPr>
              <w:jc w:val="right"/>
              <w:ind w:right="95"/>
              <w:spacing w:after="0"/>
              <w:rPr>
                <w:sz w:val="20"/>
                <w:szCs w:val="20"/>
                <w:color w:val="auto"/>
              </w:rPr>
            </w:pPr>
            <w:r>
              <w:rPr>
                <w:rFonts w:ascii="Arial" w:cs="Arial" w:eastAsia="Arial" w:hAnsi="Arial"/>
                <w:sz w:val="17"/>
                <w:szCs w:val="17"/>
                <w:b w:val="1"/>
                <w:bCs w:val="1"/>
                <w:i w:val="1"/>
                <w:iCs w:val="1"/>
                <w:color w:val="auto"/>
              </w:rPr>
              <w:t>Share</w:t>
            </w:r>
          </w:p>
        </w:tc>
        <w:tc>
          <w:tcPr>
            <w:tcW w:w="840" w:type="dxa"/>
            <w:vAlign w:val="bottom"/>
          </w:tcPr>
          <w:p>
            <w:pPr>
              <w:jc w:val="right"/>
              <w:ind w:right="75"/>
              <w:spacing w:after="0"/>
              <w:rPr>
                <w:sz w:val="20"/>
                <w:szCs w:val="20"/>
                <w:color w:val="auto"/>
              </w:rPr>
            </w:pPr>
            <w:r>
              <w:rPr>
                <w:rFonts w:ascii="Arial" w:cs="Arial" w:eastAsia="Arial" w:hAnsi="Arial"/>
                <w:sz w:val="17"/>
                <w:szCs w:val="17"/>
                <w:b w:val="1"/>
                <w:bCs w:val="1"/>
                <w:i w:val="1"/>
                <w:iCs w:val="1"/>
                <w:color w:val="auto"/>
              </w:rPr>
              <w:t>Capital</w:t>
            </w:r>
          </w:p>
        </w:tc>
        <w:tc>
          <w:tcPr>
            <w:tcW w:w="820" w:type="dxa"/>
            <w:vAlign w:val="bottom"/>
          </w:tcPr>
          <w:p>
            <w:pPr>
              <w:jc w:val="center"/>
              <w:spacing w:after="0"/>
              <w:rPr>
                <w:sz w:val="20"/>
                <w:szCs w:val="20"/>
                <w:color w:val="auto"/>
              </w:rPr>
            </w:pPr>
            <w:r>
              <w:rPr>
                <w:rFonts w:ascii="Arial" w:cs="Arial" w:eastAsia="Arial" w:hAnsi="Arial"/>
                <w:sz w:val="17"/>
                <w:szCs w:val="17"/>
                <w:b w:val="1"/>
                <w:bCs w:val="1"/>
                <w:i w:val="1"/>
                <w:iCs w:val="1"/>
                <w:color w:val="auto"/>
              </w:rPr>
              <w:t>share</w:t>
            </w:r>
          </w:p>
        </w:tc>
        <w:tc>
          <w:tcPr>
            <w:tcW w:w="1300" w:type="dxa"/>
            <w:vAlign w:val="bottom"/>
          </w:tcPr>
          <w:p>
            <w:pPr>
              <w:jc w:val="right"/>
              <w:ind w:right="35"/>
              <w:spacing w:after="0"/>
              <w:rPr>
                <w:sz w:val="20"/>
                <w:szCs w:val="20"/>
                <w:color w:val="auto"/>
              </w:rPr>
            </w:pPr>
            <w:r>
              <w:rPr>
                <w:rFonts w:ascii="Arial" w:cs="Arial" w:eastAsia="Arial" w:hAnsi="Arial"/>
                <w:sz w:val="17"/>
                <w:szCs w:val="17"/>
                <w:b w:val="1"/>
                <w:bCs w:val="1"/>
                <w:i w:val="1"/>
                <w:iCs w:val="1"/>
                <w:color w:val="auto"/>
              </w:rPr>
              <w:t>Accumulated</w:t>
            </w:r>
          </w:p>
        </w:tc>
        <w:tc>
          <w:tcPr>
            <w:tcW w:w="114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98"/>
              </w:rPr>
              <w:t>translation</w:t>
            </w:r>
          </w:p>
        </w:tc>
        <w:tc>
          <w:tcPr>
            <w:tcW w:w="760" w:type="dxa"/>
            <w:vAlign w:val="bottom"/>
          </w:tcPr>
          <w:p>
            <w:pPr>
              <w:jc w:val="right"/>
              <w:ind w:right="95"/>
              <w:spacing w:after="0"/>
              <w:rPr>
                <w:sz w:val="20"/>
                <w:szCs w:val="20"/>
                <w:color w:val="auto"/>
              </w:rPr>
            </w:pPr>
            <w:r>
              <w:rPr>
                <w:rFonts w:ascii="Arial" w:cs="Arial" w:eastAsia="Arial" w:hAnsi="Arial"/>
                <w:sz w:val="17"/>
                <w:szCs w:val="17"/>
                <w:b w:val="1"/>
                <w:bCs w:val="1"/>
                <w:i w:val="1"/>
                <w:iCs w:val="1"/>
                <w:color w:val="auto"/>
              </w:rPr>
              <w:t>Total</w:t>
            </w:r>
          </w:p>
        </w:tc>
        <w:tc>
          <w:tcPr>
            <w:tcW w:w="0" w:type="dxa"/>
            <w:vAlign w:val="bottom"/>
          </w:tcPr>
          <w:p>
            <w:pPr>
              <w:spacing w:after="0"/>
              <w:rPr>
                <w:sz w:val="1"/>
                <w:szCs w:val="1"/>
                <w:color w:val="auto"/>
              </w:rPr>
            </w:pPr>
          </w:p>
        </w:tc>
      </w:tr>
      <w:tr>
        <w:trPr>
          <w:trHeight w:val="211"/>
        </w:trPr>
        <w:tc>
          <w:tcPr>
            <w:tcW w:w="162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i w:val="1"/>
                <w:iCs w:val="1"/>
                <w:color w:val="auto"/>
              </w:rPr>
              <w:t>capital</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i w:val="1"/>
                <w:iCs w:val="1"/>
                <w:color w:val="auto"/>
              </w:rPr>
              <w:t>reserve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i w:val="1"/>
                <w:iCs w:val="1"/>
                <w:color w:val="auto"/>
              </w:rPr>
              <w:t>reserve</w:t>
            </w:r>
          </w:p>
        </w:tc>
        <w:tc>
          <w:tcPr>
            <w:tcW w:w="13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i w:val="1"/>
                <w:iCs w:val="1"/>
                <w:color w:val="auto"/>
              </w:rPr>
              <w:t>deficit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i w:val="1"/>
                <w:iCs w:val="1"/>
                <w:color w:val="auto"/>
                <w:w w:val="99"/>
              </w:rPr>
              <w:t>differences</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6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auto"/>
            </w:tcBorders>
            <w:gridSpan w:val="2"/>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Balance at January 1, 2021</w:t>
            </w:r>
          </w:p>
        </w:tc>
        <w:tc>
          <w:tcPr>
            <w:tcW w:w="8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3,995</w:t>
            </w:r>
          </w:p>
        </w:tc>
        <w:tc>
          <w:tcPr>
            <w:tcW w:w="8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108,189</w:t>
            </w:r>
          </w:p>
        </w:tc>
        <w:tc>
          <w:tcPr>
            <w:tcW w:w="8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5,500</w:t>
            </w:r>
          </w:p>
        </w:tc>
        <w:tc>
          <w:tcPr>
            <w:tcW w:w="13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-47,290</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314</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70,708</w:t>
            </w:r>
          </w:p>
        </w:tc>
        <w:tc>
          <w:tcPr>
            <w:tcW w:w="0" w:type="dxa"/>
            <w:vAlign w:val="bottom"/>
          </w:tcPr>
          <w:p>
            <w:pPr>
              <w:spacing w:after="0"/>
              <w:rPr>
                <w:sz w:val="1"/>
                <w:szCs w:val="1"/>
                <w:color w:val="auto"/>
              </w:rPr>
            </w:pPr>
          </w:p>
        </w:tc>
      </w:tr>
      <w:tr>
        <w:trPr>
          <w:trHeight w:val="277"/>
        </w:trPr>
        <w:tc>
          <w:tcPr>
            <w:tcW w:w="3080" w:type="dxa"/>
            <w:vAlign w:val="bottom"/>
            <w:gridSpan w:val="2"/>
          </w:tcPr>
          <w:p>
            <w:pPr>
              <w:ind w:left="160"/>
              <w:spacing w:after="0"/>
              <w:rPr>
                <w:sz w:val="20"/>
                <w:szCs w:val="20"/>
                <w:color w:val="auto"/>
              </w:rPr>
            </w:pPr>
            <w:r>
              <w:rPr>
                <w:rFonts w:ascii="Arial" w:cs="Arial" w:eastAsia="Arial" w:hAnsi="Arial"/>
                <w:sz w:val="17"/>
                <w:szCs w:val="17"/>
                <w:color w:val="auto"/>
              </w:rPr>
              <w:t>Issue of ordinary shares</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98</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5,402</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-5,500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Equity-settled share-based payments</w:t>
            </w: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278</w:t>
            </w:r>
          </w:p>
        </w:tc>
        <w:tc>
          <w:tcPr>
            <w:tcW w:w="8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189"/>
        </w:trPr>
        <w:tc>
          <w:tcPr>
            <w:tcW w:w="30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Consolidated net loss for the period</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-16,077</w:t>
            </w:r>
          </w:p>
        </w:tc>
        <w:tc>
          <w:tcPr>
            <w:tcW w:w="114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-16,077</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Other comprehensive income/loss</w:t>
            </w: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-138</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gridSpan w:val="2"/>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auto"/>
            </w:tcBorders>
            <w:gridSpan w:val="2"/>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Balance at June 30, 2021</w:t>
            </w:r>
          </w:p>
        </w:tc>
        <w:tc>
          <w:tcPr>
            <w:tcW w:w="8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4,093</w:t>
            </w:r>
          </w:p>
        </w:tc>
        <w:tc>
          <w:tcPr>
            <w:tcW w:w="8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113,869</w:t>
            </w:r>
          </w:p>
        </w:tc>
        <w:tc>
          <w:tcPr>
            <w:tcW w:w="8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0</w:t>
            </w:r>
          </w:p>
        </w:tc>
        <w:tc>
          <w:tcPr>
            <w:tcW w:w="13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-63,367</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176</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54,771</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auto"/>
            </w:tcBorders>
            <w:gridSpan w:val="2"/>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Balance at January 1, 2022</w:t>
            </w:r>
          </w:p>
        </w:tc>
        <w:tc>
          <w:tcPr>
            <w:tcW w:w="8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5,243</w:t>
            </w:r>
          </w:p>
        </w:tc>
        <w:tc>
          <w:tcPr>
            <w:tcW w:w="8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172,622</w:t>
            </w:r>
          </w:p>
        </w:tc>
        <w:tc>
          <w:tcPr>
            <w:tcW w:w="8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0</w:t>
            </w:r>
          </w:p>
        </w:tc>
        <w:tc>
          <w:tcPr>
            <w:tcW w:w="13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-92,767</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-185</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84,914</w:t>
            </w:r>
          </w:p>
        </w:tc>
        <w:tc>
          <w:tcPr>
            <w:tcW w:w="0" w:type="dxa"/>
            <w:vAlign w:val="bottom"/>
          </w:tcPr>
          <w:p>
            <w:pPr>
              <w:spacing w:after="0"/>
              <w:rPr>
                <w:sz w:val="1"/>
                <w:szCs w:val="1"/>
                <w:color w:val="auto"/>
              </w:rPr>
            </w:pPr>
          </w:p>
        </w:tc>
      </w:tr>
      <w:tr>
        <w:trPr>
          <w:trHeight w:val="277"/>
        </w:trPr>
        <w:tc>
          <w:tcPr>
            <w:tcW w:w="3080" w:type="dxa"/>
            <w:vAlign w:val="bottom"/>
            <w:gridSpan w:val="2"/>
          </w:tcPr>
          <w:p>
            <w:pPr>
              <w:ind w:left="160"/>
              <w:spacing w:after="0"/>
              <w:rPr>
                <w:sz w:val="20"/>
                <w:szCs w:val="20"/>
                <w:color w:val="auto"/>
              </w:rPr>
            </w:pPr>
            <w:r>
              <w:rPr>
                <w:rFonts w:ascii="Arial" w:cs="Arial" w:eastAsia="Arial" w:hAnsi="Arial"/>
                <w:sz w:val="17"/>
                <w:szCs w:val="17"/>
                <w:color w:val="auto"/>
              </w:rPr>
              <w:t>Equity-settled share-based payments</w:t>
            </w:r>
          </w:p>
        </w:tc>
        <w:tc>
          <w:tcPr>
            <w:tcW w:w="860" w:type="dxa"/>
            <w:vAlign w:val="bottom"/>
          </w:tcPr>
          <w:p>
            <w:pPr>
              <w:spacing w:after="0"/>
              <w:rPr>
                <w:sz w:val="24"/>
                <w:szCs w:val="24"/>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2,972</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2,972</w:t>
            </w:r>
          </w:p>
        </w:tc>
        <w:tc>
          <w:tcPr>
            <w:tcW w:w="0" w:type="dxa"/>
            <w:vAlign w:val="bottom"/>
          </w:tcPr>
          <w:p>
            <w:pPr>
              <w:spacing w:after="0"/>
              <w:rPr>
                <w:sz w:val="1"/>
                <w:szCs w:val="1"/>
                <w:color w:val="auto"/>
              </w:rPr>
            </w:pPr>
          </w:p>
        </w:tc>
      </w:tr>
      <w:tr>
        <w:trPr>
          <w:trHeight w:val="189"/>
        </w:trPr>
        <w:tc>
          <w:tcPr>
            <w:tcW w:w="30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Consolidated net loss for the period</w:t>
            </w: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-32,912</w:t>
            </w:r>
          </w:p>
        </w:tc>
        <w:tc>
          <w:tcPr>
            <w:tcW w:w="1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-32,912</w:t>
            </w:r>
          </w:p>
        </w:tc>
        <w:tc>
          <w:tcPr>
            <w:tcW w:w="0" w:type="dxa"/>
            <w:vAlign w:val="bottom"/>
          </w:tcPr>
          <w:p>
            <w:pPr>
              <w:spacing w:after="0"/>
              <w:rPr>
                <w:sz w:val="1"/>
                <w:szCs w:val="1"/>
                <w:color w:val="auto"/>
              </w:rPr>
            </w:pPr>
          </w:p>
        </w:tc>
      </w:tr>
      <w:tr>
        <w:trPr>
          <w:trHeight w:val="225"/>
        </w:trPr>
        <w:tc>
          <w:tcPr>
            <w:tcW w:w="3080" w:type="dxa"/>
            <w:vAlign w:val="bottom"/>
            <w:gridSpan w:val="2"/>
          </w:tcPr>
          <w:p>
            <w:pPr>
              <w:ind w:left="160"/>
              <w:spacing w:after="0"/>
              <w:rPr>
                <w:sz w:val="20"/>
                <w:szCs w:val="20"/>
                <w:color w:val="auto"/>
              </w:rPr>
            </w:pPr>
            <w:r>
              <w:rPr>
                <w:rFonts w:ascii="Arial" w:cs="Arial" w:eastAsia="Arial" w:hAnsi="Arial"/>
                <w:sz w:val="17"/>
                <w:szCs w:val="17"/>
                <w:color w:val="auto"/>
              </w:rPr>
              <w:t>Other comprehensive income/loss</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-978</w:t>
            </w:r>
          </w:p>
        </w:tc>
        <w:tc>
          <w:tcPr>
            <w:tcW w:w="760" w:type="dxa"/>
            <w:vAlign w:val="bottom"/>
          </w:tcPr>
          <w:p>
            <w:pPr>
              <w:jc w:val="right"/>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72"/>
        </w:trPr>
        <w:tc>
          <w:tcPr>
            <w:tcW w:w="3080" w:type="dxa"/>
            <w:vAlign w:val="bottom"/>
            <w:tcBorders>
              <w:bottom w:val="single" w:sz="8" w:color="auto"/>
            </w:tcBorders>
            <w:gridSpan w:val="2"/>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auto"/>
            </w:tcBorders>
            <w:gridSpan w:val="2"/>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Balance at June 30, 2022</w:t>
            </w:r>
          </w:p>
        </w:tc>
        <w:tc>
          <w:tcPr>
            <w:tcW w:w="8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5,243</w:t>
            </w:r>
          </w:p>
        </w:tc>
        <w:tc>
          <w:tcPr>
            <w:tcW w:w="8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175,594</w:t>
            </w:r>
          </w:p>
        </w:tc>
        <w:tc>
          <w:tcPr>
            <w:tcW w:w="8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0</w:t>
            </w:r>
          </w:p>
        </w:tc>
        <w:tc>
          <w:tcPr>
            <w:tcW w:w="13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-125,679</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-1,163</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53,996</w:t>
            </w: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11020"/>
          </w:cols>
          <w:pgMar w:left="440" w:top="1440" w:right="439" w:bottom="1440" w:gutter="0" w:footer="0" w:header="0"/>
        </w:sect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868A9C"/>
        </w:rPr>
        <w:t>Page 20/33</w:t>
      </w:r>
    </w:p>
    <w:p>
      <w:pPr>
        <w:sectPr>
          <w:pgSz w:w="11900" w:h="16838" w:orient="portrait"/>
          <w:cols w:equalWidth="0" w:num="2">
            <w:col w:w="9560" w:space="720"/>
            <w:col w:w="740"/>
          </w:cols>
          <w:pgMar w:left="440" w:top="1440" w:right="439" w:bottom="1440" w:gutter="0" w:footer="0" w:header="0"/>
          <w:type w:val="continuous"/>
        </w:sectPr>
      </w:pPr>
    </w:p>
    <w:bookmarkStart w:id="25" w:name="page26"/>
    <w:bookmarkEnd w:id="25"/>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p>
      <w:pPr>
        <w:ind w:left="980"/>
        <w:spacing w:after="0"/>
        <w:tabs>
          <w:tab w:leader="none" w:pos="1840" w:val="left"/>
        </w:tabs>
        <w:rPr>
          <w:sz w:val="20"/>
          <w:szCs w:val="20"/>
          <w:color w:val="auto"/>
        </w:rPr>
      </w:pPr>
      <w:r>
        <w:rPr>
          <w:rFonts w:ascii="Arial" w:cs="Arial" w:eastAsia="Arial" w:hAnsi="Arial"/>
          <w:sz w:val="23"/>
          <w:szCs w:val="23"/>
          <w:b w:val="1"/>
          <w:bCs w:val="1"/>
          <w:color w:val="auto"/>
        </w:rPr>
        <w:t>5.5.</w:t>
      </w:r>
      <w:r>
        <w:rPr>
          <w:sz w:val="20"/>
          <w:szCs w:val="20"/>
          <w:color w:val="auto"/>
        </w:rPr>
        <w:tab/>
      </w:r>
      <w:r>
        <w:rPr>
          <w:rFonts w:ascii="Arial" w:cs="Arial" w:eastAsia="Arial" w:hAnsi="Arial"/>
          <w:sz w:val="23"/>
          <w:szCs w:val="23"/>
          <w:b w:val="1"/>
          <w:bCs w:val="1"/>
          <w:color w:val="auto"/>
        </w:rPr>
        <w:t>Notes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June 30, 2022, and for the six months ended June 30, 2022, and 2021.</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100"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Mynaric AG registered in Commercial Register at Munich Local Court (Reg. No. HRB 232763), has its registered office at Dornierstraße 19 in 82205 Gilching, Germany, and together with its consolidated subsidiaries is referred to herein as the “Company” or “Group”. The objective of the Company is the development, manufacture, sale, and operation of laser communication network equipment, software, systems, and solutions, particularly for aerospace applications and related products. The Company engages primarily in the manufacturing and sale of products and projects, and in the provision of services related to laser technology, particularly for applications in aerospace, and satellite services.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interim consolidated financial statements of Mynaric were authorized for issue by the Management Board on September 28, 2022.</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These interim condensed consolidated financial statements as of June 30, 2022, and for the six months ended June 30, 2022, and 2021 are prepared in accordance with International Accounting Standard 34 ‘Interim Financial Reporting’, as issued by the International Accounting Standards Board (“IASB”) as endorsed by the European Union (“IFRS-EU”). The interim condensed consolidated financial statements should be read in conjunction with the annual consolidated financial statements for fiscal year 2021, which have been prepared in accordance with International Financial Reporting Standards (IFRS) as issued by the International Accounting Standards Board (IASB) as endorsed by the European Union (“IFRS-EU”) considering the interpretations issued by the International Financial Reporting Interpretations Committee (IFRIC). They do not include all the information required for a complete set of annual financial statements prepared in accordance with IFRS. However, selected explanatory notes are included to explain events and transactions that are significant to an understanding of the changes in the Group’s financial position and results since the last annual financial statements.</w:t>
      </w:r>
    </w:p>
    <w:p>
      <w:pPr>
        <w:spacing w:after="0" w:line="79"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consolidated financial statements were prepared on a going concern basis; however, management has identified material uncertainties that may cast significant doubt on the Group’s ability to continue as a going concern.</w:t>
      </w:r>
    </w:p>
    <w:p>
      <w:pPr>
        <w:spacing w:after="0" w:line="51"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 xml:space="preserve">For the six months ended June 30, 2022, the Group recognized a net loss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32.9 million. The Group’s net current assets as of June 30, 2022, were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12.9 million. As of October 27, 2022, the Group has </w:t>
      </w:r>
      <w:r>
        <w:rPr>
          <w:rFonts w:ascii="Times New Roman" w:cs="Times New Roman" w:eastAsia="Times New Roman" w:hAnsi="Times New Roman"/>
          <w:sz w:val="17"/>
          <w:szCs w:val="17"/>
          <w:color w:val="auto"/>
        </w:rPr>
        <w:t>€</w:t>
      </w:r>
      <w:r>
        <w:rPr>
          <w:rFonts w:ascii="Arial" w:cs="Arial" w:eastAsia="Arial" w:hAnsi="Arial"/>
          <w:sz w:val="17"/>
          <w:szCs w:val="17"/>
          <w:color w:val="auto"/>
        </w:rPr>
        <w:t>15.6 million in available liquidity consisting of cash and cash equivalents and undrawn credit line whereas the amount of the undrawn credit line is evaluated based on the current market capitalization.</w:t>
      </w:r>
    </w:p>
    <w:p>
      <w:pPr>
        <w:spacing w:after="0" w:line="5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Management has planned for a significant increase in cash-in from customer contracts and government-funded projects in the fiscal year 2022 as it ramps up its commercial production of CONDOR and HAWK terminals. According to management expectation the cash-in from customer contracts and government-funded project, which is planned to be &gt;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20 million for the full fiscal-year 2022. While a portion of the revenue planned for fiscal 2023 is subject to firm contractual commitments, significant amounts are not contractually committed or are based on management’s expectations regarding the outcome of major public project tenders or negotiations with potential or existing customers. Management is actively pursuing multiple commercial opportunities to sell its CONDOR and HAWK terminals to a strongly expanding customer base. Additionally, the Company is planning to continue its strong growth with additional investments in property, plant and equipment and development and refinement of its products which will lead to further financing needs for the company. Based on the Company’s liquidity position as at the date of authorization of these consolidated financial statements, management estimates that it will need additional financing to meet its financial obligations in the first quarter 2023. After the strategic investment of L3 Harris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11,2 million beginning of July 2022, the management is currently in further discussion with potential strategic investors as well as various providers of debt capital which are in varying stages. However, none of these have yet been firmly committed to as of the date of these financial statements. There can be no assurance that financing in the amounts needed to meet its current operational planning can be obtained in the first quarter 2023. If the Group is unable to obtain financing or take other actions in response to these circumstances within that time, such as significantly curtailing its current operational budget in 2023, it may</w:t>
      </w:r>
    </w:p>
    <w:p>
      <w:pPr>
        <w:sectPr>
          <w:pgSz w:w="11900" w:h="16838" w:orient="portrait"/>
          <w:cols w:equalWidth="0" w:num="1">
            <w:col w:w="11020"/>
          </w:cols>
          <w:pgMar w:left="440" w:top="1440" w:right="4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868A9C"/>
        </w:rPr>
        <w:t>Page 21/33</w:t>
      </w:r>
    </w:p>
    <w:p>
      <w:pPr>
        <w:sectPr>
          <w:pgSz w:w="11900" w:h="16838" w:orient="portrait"/>
          <w:cols w:equalWidth="0" w:num="2">
            <w:col w:w="9560" w:space="720"/>
            <w:col w:w="740"/>
          </w:cols>
          <w:pgMar w:left="440" w:top="1440" w:right="439" w:bottom="1440" w:gutter="0" w:footer="0" w:header="0"/>
          <w:type w:val="continuous"/>
        </w:sectPr>
      </w:pPr>
    </w:p>
    <w:bookmarkStart w:id="26" w:name="page27"/>
    <w:bookmarkEnd w:id="26"/>
    <w:p>
      <w:pPr>
        <w:jc w:val="both"/>
        <w:ind w:right="20"/>
        <w:spacing w:after="0" w:line="24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be unable to continue as a going concern. While management believes it will be successful in obtaining additional financing in a timely manner to fund its operational and financial obligations, the factors described above represent material uncertainties that may cast significant doubt on the Company’s ability to continue as a going concern and, therefore, the Company may be unable to realize its assets and discharge its liabilities in the normal course of business.</w:t>
      </w:r>
    </w:p>
    <w:p>
      <w:pPr>
        <w:spacing w:after="0" w:line="6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Impacts to the consolidated financial statements due to Covid-19 pandemic</w:t>
      </w:r>
    </w:p>
    <w:p>
      <w:pPr>
        <w:spacing w:after="0" w:line="100"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w:t>
      </w:r>
    </w:p>
    <w:p>
      <w:pPr>
        <w:spacing w:after="0" w:line="51"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1"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Any disruptions to our supply chain, a significant increase in component costs, or shortages of critical components, could adversely affect our business and result in increased costs. Such a disruption could occur as a result of any slowdown at our supplier’s plants or shipping delays due to efforts to limit the spread of COVID-19 or implementation of post-COVID-19 policies or practices. Further, the impact of the ongoing COVID-19 situation and broader inflationary environment has had, and may continue to have, adverse impacts on our supply chain, which could put pressure on our unit costs in the future and increased upfront payments to our suppliers and earlier phasing of those payments may put pressure on our non-recurring costs in future periods.</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Further, the currently prevalent global supply chain disruptions have had, and may continue to have, adverse impacts on our supply chain, particularly for our HAWK product, that result in lower production volumes for the current HAWK product version and earlier introduction of the subsequent product version than initially planned. The broader inflationary environment could put pressure on our unit costs in the future. In addition, any future updates or modifications to the anticipated design of our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Basis of Consolidation and Accounting Policies</w:t>
      </w:r>
    </w:p>
    <w:p>
      <w:pPr>
        <w:spacing w:after="0" w:line="100"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consolidation and accounting policies applied by Mynaric Group in these interim condensed consolidated financial statements are the same as those applied by Mynaric Group in its consolidated financial statements for fiscal 2021, except for:</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Mynaric Government Solutions, Inc.</w:t>
      </w:r>
    </w:p>
    <w:p>
      <w:pPr>
        <w:spacing w:after="0" w:line="102"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To participate in certain U.S. government programs, on April 28, 2022, Mynaric AG established a new 100% owned U.S. subsidiary, Mynaric Government Solutions, Inc., with an authorized share capital of USD 100.</w:t>
      </w:r>
    </w:p>
    <w:p>
      <w:pPr>
        <w:spacing w:after="0" w:line="51"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Mynaric Government Solutions, Inc. is controlled by Mynaric AG. As controlled subsidiary the financial statements Mynaric Government Solutions, Inc. are included in the consolidated financial statements. The Company has not yet commenced any operations.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2"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In accordance with IAS 34 (Interim Financial Reporting) income tax expense for the condensed consolidated interim financial statements is calculated based on the average annual tax rate that is expected for the entire fiscal year. The effective tax rate is 0% for the six months ended June 30, 2021, and 0% for the six months ended June 30, 2022.</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main reason for the change of the average annual tax rate is the expected loss for the year.</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Material judgments, estimates and assumptions</w:t>
      </w:r>
    </w:p>
    <w:p>
      <w:pPr>
        <w:sectPr>
          <w:pgSz w:w="11900" w:h="16838" w:orient="portrait"/>
          <w:cols w:equalWidth="0" w:num="1">
            <w:col w:w="11020"/>
          </w:cols>
          <w:pgMar w:left="440" w:top="1359" w:right="4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868A9C"/>
        </w:rPr>
        <w:t>Page 22/33</w:t>
      </w:r>
    </w:p>
    <w:p>
      <w:pPr>
        <w:sectPr>
          <w:pgSz w:w="11900" w:h="16838" w:orient="portrait"/>
          <w:cols w:equalWidth="0" w:num="2">
            <w:col w:w="9560" w:space="720"/>
            <w:col w:w="740"/>
          </w:cols>
          <w:pgMar w:left="440" w:top="1359" w:right="439" w:bottom="1440" w:gutter="0" w:footer="0" w:header="0"/>
          <w:type w:val="continuous"/>
        </w:sectPr>
      </w:pPr>
    </w:p>
    <w:bookmarkStart w:id="27" w:name="page28"/>
    <w:bookmarkEnd w:id="2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p>
      <w:pPr>
        <w:jc w:val="both"/>
        <w:ind w:left="4" w:right="20"/>
        <w:spacing w:after="0" w:line="249" w:lineRule="auto"/>
        <w:rPr>
          <w:sz w:val="20"/>
          <w:szCs w:val="20"/>
          <w:color w:val="auto"/>
        </w:rPr>
      </w:pPr>
      <w:r>
        <w:rPr>
          <w:rFonts w:ascii="Arial" w:cs="Arial" w:eastAsia="Arial" w:hAnsi="Arial"/>
          <w:sz w:val="17"/>
          <w:szCs w:val="17"/>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7"/>
          <w:szCs w:val="17"/>
          <w:color w:val="auto"/>
        </w:rPr>
        <w:t>Estimates and underlying assumptions are continuously reviewed. Revisions of estimates are accounted for on a prospective basis.</w:t>
      </w:r>
    </w:p>
    <w:p>
      <w:pPr>
        <w:spacing w:after="0" w:line="102" w:lineRule="exact"/>
        <w:rPr>
          <w:sz w:val="20"/>
          <w:szCs w:val="20"/>
          <w:color w:val="auto"/>
        </w:rPr>
      </w:pPr>
    </w:p>
    <w:p>
      <w:pPr>
        <w:jc w:val="both"/>
        <w:ind w:left="4" w:right="20"/>
        <w:spacing w:after="0" w:line="249" w:lineRule="auto"/>
        <w:rPr>
          <w:sz w:val="20"/>
          <w:szCs w:val="20"/>
          <w:color w:val="auto"/>
        </w:rPr>
      </w:pPr>
      <w:r>
        <w:rPr>
          <w:rFonts w:ascii="Arial" w:cs="Arial" w:eastAsia="Arial" w:hAnsi="Arial"/>
          <w:sz w:val="17"/>
          <w:szCs w:val="17"/>
          <w:color w:val="auto"/>
        </w:rPr>
        <w:t>In preparing the interim condensed consolidated financial statements, the significant judgments made by management in applying Mynaric Group’s accounting policies and the key sources of estimation uncertainty were the same as those that applied to the consolidated financial statements for fiscal 2021.</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 Segment reporting and information on geographical areas</w:t>
      </w:r>
    </w:p>
    <w:p>
      <w:pPr>
        <w:spacing w:after="0" w:line="100" w:lineRule="exact"/>
        <w:rPr>
          <w:sz w:val="20"/>
          <w:szCs w:val="20"/>
          <w:color w:val="auto"/>
        </w:rPr>
      </w:pPr>
    </w:p>
    <w:p>
      <w:pPr>
        <w:jc w:val="both"/>
        <w:ind w:left="4"/>
        <w:spacing w:after="0" w:line="239" w:lineRule="auto"/>
        <w:rPr>
          <w:sz w:val="20"/>
          <w:szCs w:val="20"/>
          <w:color w:val="auto"/>
        </w:rPr>
      </w:pPr>
      <w:r>
        <w:rPr>
          <w:rFonts w:ascii="Arial" w:cs="Arial" w:eastAsia="Arial" w:hAnsi="Arial"/>
          <w:sz w:val="17"/>
          <w:szCs w:val="17"/>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 is the Management Board collectively which allocates resources and evaluates segment performance based on the Management Board reports submitted to it. The segment reporting below was prepared in accordance with this definition. The CODM uses Operating profit/loss as the primary profitability measure to evaluate the performance of the Company’s operating segments.</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Air segment includes the Company’s HAWK AIR terminals. The Space segment includes the Company’s CONDOR terminals.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6840" w:type="dxa"/>
            <w:vAlign w:val="bottom"/>
            <w:shd w:val="clear" w:color="auto" w:fill="BDBEBD"/>
          </w:tcPr>
          <w:p>
            <w:pPr>
              <w:spacing w:after="0"/>
              <w:rPr>
                <w:sz w:val="16"/>
                <w:szCs w:val="16"/>
                <w:color w:val="auto"/>
              </w:rPr>
            </w:pPr>
          </w:p>
        </w:tc>
        <w:tc>
          <w:tcPr>
            <w:tcW w:w="220" w:type="dxa"/>
            <w:vAlign w:val="bottom"/>
            <w:shd w:val="clear" w:color="auto" w:fill="BDBEBD"/>
          </w:tcPr>
          <w:p>
            <w:pPr>
              <w:spacing w:after="0"/>
              <w:rPr>
                <w:sz w:val="16"/>
                <w:szCs w:val="16"/>
                <w:color w:val="auto"/>
              </w:rPr>
            </w:pPr>
          </w:p>
        </w:tc>
        <w:tc>
          <w:tcPr>
            <w:tcW w:w="640" w:type="dxa"/>
            <w:vAlign w:val="bottom"/>
            <w:shd w:val="clear" w:color="auto" w:fill="BDBEBD"/>
          </w:tcPr>
          <w:p>
            <w:pPr>
              <w:spacing w:after="0"/>
              <w:rPr>
                <w:sz w:val="16"/>
                <w:szCs w:val="16"/>
                <w:color w:val="auto"/>
              </w:rPr>
            </w:pPr>
          </w:p>
        </w:tc>
        <w:tc>
          <w:tcPr>
            <w:tcW w:w="3320" w:type="dxa"/>
            <w:vAlign w:val="bottom"/>
            <w:gridSpan w:val="3"/>
            <w:shd w:val="clear" w:color="auto" w:fill="BDBEBD"/>
          </w:tcPr>
          <w:p>
            <w:pPr>
              <w:jc w:val="right"/>
              <w:ind w:right="615"/>
              <w:spacing w:after="0"/>
              <w:rPr>
                <w:sz w:val="20"/>
                <w:szCs w:val="20"/>
                <w:color w:val="auto"/>
              </w:rPr>
            </w:pPr>
            <w:r>
              <w:rPr>
                <w:rFonts w:ascii="Arial" w:cs="Arial" w:eastAsia="Arial" w:hAnsi="Arial"/>
                <w:sz w:val="17"/>
                <w:szCs w:val="17"/>
                <w:b w:val="1"/>
                <w:bCs w:val="1"/>
                <w:color w:val="auto"/>
                <w:w w:val="99"/>
              </w:rPr>
              <w:t>Six months ended June 30, 2022</w:t>
            </w:r>
          </w:p>
        </w:tc>
        <w:tc>
          <w:tcPr>
            <w:tcW w:w="0" w:type="dxa"/>
            <w:vAlign w:val="bottom"/>
          </w:tcPr>
          <w:p>
            <w:pPr>
              <w:spacing w:after="0"/>
              <w:rPr>
                <w:sz w:val="1"/>
                <w:szCs w:val="1"/>
                <w:color w:val="auto"/>
              </w:rPr>
            </w:pPr>
          </w:p>
        </w:tc>
      </w:tr>
      <w:tr>
        <w:trPr>
          <w:trHeight w:val="311"/>
        </w:trPr>
        <w:tc>
          <w:tcPr>
            <w:tcW w:w="6840" w:type="dxa"/>
            <w:vAlign w:val="bottom"/>
            <w:shd w:val="clear" w:color="auto" w:fill="BDBEBD"/>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220" w:type="dxa"/>
            <w:vAlign w:val="bottom"/>
            <w:shd w:val="clear" w:color="auto" w:fill="BDBEBD"/>
          </w:tcPr>
          <w:p>
            <w:pPr>
              <w:spacing w:after="0"/>
              <w:rPr>
                <w:sz w:val="24"/>
                <w:szCs w:val="24"/>
                <w:color w:val="auto"/>
              </w:rPr>
            </w:pPr>
          </w:p>
        </w:tc>
        <w:tc>
          <w:tcPr>
            <w:tcW w:w="640" w:type="dxa"/>
            <w:vAlign w:val="bottom"/>
            <w:vMerge w:val="restart"/>
            <w:shd w:val="clear" w:color="auto" w:fill="BDBEBD"/>
          </w:tcPr>
          <w:p>
            <w:pPr>
              <w:jc w:val="right"/>
              <w:spacing w:after="0"/>
              <w:rPr>
                <w:sz w:val="20"/>
                <w:szCs w:val="20"/>
                <w:color w:val="auto"/>
              </w:rPr>
            </w:pPr>
            <w:r>
              <w:rPr>
                <w:rFonts w:ascii="Arial" w:cs="Arial" w:eastAsia="Arial" w:hAnsi="Arial"/>
                <w:sz w:val="17"/>
                <w:szCs w:val="17"/>
                <w:color w:val="auto"/>
              </w:rPr>
              <w:t>Air</w:t>
            </w:r>
          </w:p>
        </w:tc>
        <w:tc>
          <w:tcPr>
            <w:tcW w:w="1040" w:type="dxa"/>
            <w:vAlign w:val="bottom"/>
            <w:vMerge w:val="restart"/>
            <w:shd w:val="clear" w:color="auto" w:fill="BDBEBD"/>
          </w:tcPr>
          <w:p>
            <w:pPr>
              <w:jc w:val="right"/>
              <w:ind w:right="55"/>
              <w:spacing w:after="0"/>
              <w:rPr>
                <w:sz w:val="20"/>
                <w:szCs w:val="20"/>
                <w:color w:val="auto"/>
              </w:rPr>
            </w:pPr>
            <w:r>
              <w:rPr>
                <w:rFonts w:ascii="Arial" w:cs="Arial" w:eastAsia="Arial" w:hAnsi="Arial"/>
                <w:sz w:val="17"/>
                <w:szCs w:val="17"/>
                <w:color w:val="auto"/>
              </w:rPr>
              <w:t>Space</w:t>
            </w:r>
          </w:p>
        </w:tc>
        <w:tc>
          <w:tcPr>
            <w:tcW w:w="1080" w:type="dxa"/>
            <w:vAlign w:val="bottom"/>
            <w:shd w:val="clear" w:color="auto" w:fill="BDBEBD"/>
          </w:tcPr>
          <w:p>
            <w:pPr>
              <w:jc w:val="right"/>
              <w:ind w:right="175"/>
              <w:spacing w:after="0"/>
              <w:rPr>
                <w:sz w:val="20"/>
                <w:szCs w:val="20"/>
                <w:color w:val="auto"/>
              </w:rPr>
            </w:pPr>
            <w:r>
              <w:rPr>
                <w:rFonts w:ascii="Arial" w:cs="Arial" w:eastAsia="Arial" w:hAnsi="Arial"/>
                <w:sz w:val="17"/>
                <w:szCs w:val="17"/>
                <w:color w:val="auto"/>
              </w:rPr>
              <w:t>Not</w:t>
            </w:r>
          </w:p>
        </w:tc>
        <w:tc>
          <w:tcPr>
            <w:tcW w:w="1200" w:type="dxa"/>
            <w:vAlign w:val="bottom"/>
            <w:vMerge w:val="restart"/>
            <w:shd w:val="clear" w:color="auto" w:fill="BDBEBD"/>
          </w:tcPr>
          <w:p>
            <w:pPr>
              <w:jc w:val="right"/>
              <w:spacing w:after="0"/>
              <w:rPr>
                <w:sz w:val="20"/>
                <w:szCs w:val="20"/>
                <w:color w:val="auto"/>
              </w:rPr>
            </w:pPr>
            <w:r>
              <w:rPr>
                <w:rFonts w:ascii="Arial" w:cs="Arial" w:eastAsia="Arial" w:hAnsi="Arial"/>
                <w:sz w:val="17"/>
                <w:szCs w:val="17"/>
                <w:color w:val="auto"/>
              </w:rPr>
              <w:t>Consolidated</w:t>
            </w:r>
          </w:p>
        </w:tc>
        <w:tc>
          <w:tcPr>
            <w:tcW w:w="0" w:type="dxa"/>
            <w:vAlign w:val="bottom"/>
          </w:tcPr>
          <w:p>
            <w:pPr>
              <w:spacing w:after="0"/>
              <w:rPr>
                <w:sz w:val="1"/>
                <w:szCs w:val="1"/>
                <w:color w:val="auto"/>
              </w:rPr>
            </w:pPr>
          </w:p>
        </w:tc>
      </w:tr>
      <w:tr>
        <w:trPr>
          <w:trHeight w:val="189"/>
        </w:trPr>
        <w:tc>
          <w:tcPr>
            <w:tcW w:w="6840" w:type="dxa"/>
            <w:vAlign w:val="bottom"/>
            <w:shd w:val="clear" w:color="auto" w:fill="BDBEBD"/>
          </w:tcPr>
          <w:p>
            <w:pPr>
              <w:spacing w:after="0"/>
              <w:rPr>
                <w:sz w:val="16"/>
                <w:szCs w:val="16"/>
                <w:color w:val="auto"/>
              </w:rPr>
            </w:pPr>
          </w:p>
        </w:tc>
        <w:tc>
          <w:tcPr>
            <w:tcW w:w="220" w:type="dxa"/>
            <w:vAlign w:val="bottom"/>
            <w:shd w:val="clear" w:color="auto" w:fill="BDBEBD"/>
          </w:tcPr>
          <w:p>
            <w:pPr>
              <w:spacing w:after="0"/>
              <w:rPr>
                <w:sz w:val="16"/>
                <w:szCs w:val="16"/>
                <w:color w:val="auto"/>
              </w:rPr>
            </w:pPr>
          </w:p>
        </w:tc>
        <w:tc>
          <w:tcPr>
            <w:tcW w:w="640" w:type="dxa"/>
            <w:vAlign w:val="bottom"/>
            <w:vMerge w:val="continue"/>
            <w:shd w:val="clear" w:color="auto" w:fill="BDBEBD"/>
          </w:tcPr>
          <w:p>
            <w:pPr>
              <w:spacing w:after="0"/>
              <w:rPr>
                <w:sz w:val="16"/>
                <w:szCs w:val="16"/>
                <w:color w:val="auto"/>
              </w:rPr>
            </w:pPr>
          </w:p>
        </w:tc>
        <w:tc>
          <w:tcPr>
            <w:tcW w:w="1040" w:type="dxa"/>
            <w:vAlign w:val="bottom"/>
            <w:vMerge w:val="continue"/>
            <w:shd w:val="clear" w:color="auto" w:fill="BDBEBD"/>
          </w:tcPr>
          <w:p>
            <w:pPr>
              <w:spacing w:after="0"/>
              <w:rPr>
                <w:sz w:val="16"/>
                <w:szCs w:val="16"/>
                <w:color w:val="auto"/>
              </w:rPr>
            </w:pPr>
          </w:p>
        </w:tc>
        <w:tc>
          <w:tcPr>
            <w:tcW w:w="1080" w:type="dxa"/>
            <w:vAlign w:val="bottom"/>
            <w:vMerge w:val="restart"/>
            <w:shd w:val="clear" w:color="auto" w:fill="BDBEBD"/>
          </w:tcPr>
          <w:p>
            <w:pPr>
              <w:jc w:val="right"/>
              <w:ind w:right="175"/>
              <w:spacing w:after="0"/>
              <w:rPr>
                <w:sz w:val="20"/>
                <w:szCs w:val="20"/>
                <w:color w:val="auto"/>
              </w:rPr>
            </w:pPr>
            <w:r>
              <w:rPr>
                <w:rFonts w:ascii="Arial" w:cs="Arial" w:eastAsia="Arial" w:hAnsi="Arial"/>
                <w:sz w:val="17"/>
                <w:szCs w:val="17"/>
                <w:color w:val="auto"/>
              </w:rPr>
              <w:t>allocated</w:t>
            </w:r>
          </w:p>
        </w:tc>
        <w:tc>
          <w:tcPr>
            <w:tcW w:w="1200" w:type="dxa"/>
            <w:vAlign w:val="bottom"/>
            <w:vMerge w:val="continue"/>
            <w:shd w:val="clear" w:color="auto" w:fill="BDBEB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BDBEBD"/>
          </w:tcPr>
          <w:p>
            <w:pPr>
              <w:spacing w:after="0"/>
              <w:rPr>
                <w:sz w:val="17"/>
                <w:szCs w:val="17"/>
                <w:color w:val="auto"/>
              </w:rPr>
            </w:pPr>
          </w:p>
        </w:tc>
        <w:tc>
          <w:tcPr>
            <w:tcW w:w="220" w:type="dxa"/>
            <w:vAlign w:val="bottom"/>
            <w:shd w:val="clear" w:color="auto" w:fill="BDBEBD"/>
          </w:tcPr>
          <w:p>
            <w:pPr>
              <w:spacing w:after="0"/>
              <w:rPr>
                <w:sz w:val="17"/>
                <w:szCs w:val="17"/>
                <w:color w:val="auto"/>
              </w:rPr>
            </w:pPr>
          </w:p>
        </w:tc>
        <w:tc>
          <w:tcPr>
            <w:tcW w:w="640" w:type="dxa"/>
            <w:vAlign w:val="bottom"/>
            <w:shd w:val="clear" w:color="auto" w:fill="BDBEBD"/>
          </w:tcPr>
          <w:p>
            <w:pPr>
              <w:spacing w:after="0"/>
              <w:rPr>
                <w:sz w:val="17"/>
                <w:szCs w:val="17"/>
                <w:color w:val="auto"/>
              </w:rPr>
            </w:pPr>
          </w:p>
        </w:tc>
        <w:tc>
          <w:tcPr>
            <w:tcW w:w="1040" w:type="dxa"/>
            <w:vAlign w:val="bottom"/>
            <w:shd w:val="clear" w:color="auto" w:fill="BDBEBD"/>
          </w:tcPr>
          <w:p>
            <w:pPr>
              <w:spacing w:after="0"/>
              <w:rPr>
                <w:sz w:val="17"/>
                <w:szCs w:val="17"/>
                <w:color w:val="auto"/>
              </w:rPr>
            </w:pPr>
          </w:p>
        </w:tc>
        <w:tc>
          <w:tcPr>
            <w:tcW w:w="1080" w:type="dxa"/>
            <w:vAlign w:val="bottom"/>
            <w:vMerge w:val="continue"/>
            <w:shd w:val="clear" w:color="auto" w:fill="BDBEBD"/>
          </w:tcPr>
          <w:p>
            <w:pPr>
              <w:spacing w:after="0"/>
              <w:rPr>
                <w:sz w:val="17"/>
                <w:szCs w:val="17"/>
                <w:color w:val="auto"/>
              </w:rPr>
            </w:pPr>
          </w:p>
        </w:tc>
        <w:tc>
          <w:tcPr>
            <w:tcW w:w="1200" w:type="dxa"/>
            <w:vAlign w:val="bottom"/>
            <w:shd w:val="clear" w:color="auto" w:fill="BDBEBD"/>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6840" w:type="dxa"/>
            <w:vAlign w:val="bottom"/>
            <w:shd w:val="clear" w:color="auto" w:fill="BDBEBD"/>
          </w:tcPr>
          <w:p>
            <w:pPr>
              <w:spacing w:after="0"/>
              <w:rPr>
                <w:sz w:val="8"/>
                <w:szCs w:val="8"/>
                <w:color w:val="auto"/>
              </w:rPr>
            </w:pPr>
          </w:p>
        </w:tc>
        <w:tc>
          <w:tcPr>
            <w:tcW w:w="220" w:type="dxa"/>
            <w:vAlign w:val="bottom"/>
            <w:shd w:val="clear" w:color="auto" w:fill="BDBEBD"/>
          </w:tcPr>
          <w:p>
            <w:pPr>
              <w:spacing w:after="0"/>
              <w:rPr>
                <w:sz w:val="8"/>
                <w:szCs w:val="8"/>
                <w:color w:val="auto"/>
              </w:rPr>
            </w:pPr>
          </w:p>
        </w:tc>
        <w:tc>
          <w:tcPr>
            <w:tcW w:w="640" w:type="dxa"/>
            <w:vAlign w:val="bottom"/>
            <w:shd w:val="clear" w:color="auto" w:fill="BDBEBD"/>
          </w:tcPr>
          <w:p>
            <w:pPr>
              <w:spacing w:after="0"/>
              <w:rPr>
                <w:sz w:val="8"/>
                <w:szCs w:val="8"/>
                <w:color w:val="auto"/>
              </w:rPr>
            </w:pPr>
          </w:p>
        </w:tc>
        <w:tc>
          <w:tcPr>
            <w:tcW w:w="1040" w:type="dxa"/>
            <w:vAlign w:val="bottom"/>
            <w:shd w:val="clear" w:color="auto" w:fill="BDBEBD"/>
          </w:tcPr>
          <w:p>
            <w:pPr>
              <w:spacing w:after="0"/>
              <w:rPr>
                <w:sz w:val="8"/>
                <w:szCs w:val="8"/>
                <w:color w:val="auto"/>
              </w:rPr>
            </w:pPr>
          </w:p>
        </w:tc>
        <w:tc>
          <w:tcPr>
            <w:tcW w:w="1080" w:type="dxa"/>
            <w:vAlign w:val="bottom"/>
            <w:shd w:val="clear" w:color="auto" w:fill="BDBEBD"/>
          </w:tcPr>
          <w:p>
            <w:pPr>
              <w:spacing w:after="0"/>
              <w:rPr>
                <w:sz w:val="8"/>
                <w:szCs w:val="8"/>
                <w:color w:val="auto"/>
              </w:rPr>
            </w:pPr>
          </w:p>
        </w:tc>
        <w:tc>
          <w:tcPr>
            <w:tcW w:w="1200" w:type="dxa"/>
            <w:vAlign w:val="bottom"/>
            <w:shd w:val="clear" w:color="auto" w:fill="BDBEBD"/>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6840" w:type="dxa"/>
            <w:vAlign w:val="bottom"/>
          </w:tcPr>
          <w:p>
            <w:pPr>
              <w:ind w:left="100"/>
              <w:spacing w:after="0"/>
              <w:rPr>
                <w:sz w:val="20"/>
                <w:szCs w:val="20"/>
                <w:color w:val="auto"/>
              </w:rPr>
            </w:pPr>
            <w:r>
              <w:rPr>
                <w:rFonts w:ascii="Arial" w:cs="Arial" w:eastAsia="Arial" w:hAnsi="Arial"/>
                <w:sz w:val="17"/>
                <w:szCs w:val="17"/>
                <w:color w:val="auto"/>
              </w:rPr>
              <w:t>Revenue</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25</w:t>
            </w:r>
          </w:p>
        </w:tc>
        <w:tc>
          <w:tcPr>
            <w:tcW w:w="108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72"/>
        </w:trPr>
        <w:tc>
          <w:tcPr>
            <w:tcW w:w="684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6840" w:type="dxa"/>
            <w:vAlign w:val="bottom"/>
            <w:shd w:val="clear" w:color="auto" w:fill="F7F3F7"/>
          </w:tcPr>
          <w:p>
            <w:pPr>
              <w:ind w:left="100"/>
              <w:spacing w:after="0"/>
              <w:rPr>
                <w:sz w:val="20"/>
                <w:szCs w:val="20"/>
                <w:color w:val="auto"/>
              </w:rPr>
            </w:pPr>
            <w:r>
              <w:rPr>
                <w:rFonts w:ascii="Arial" w:cs="Arial" w:eastAsia="Arial" w:hAnsi="Arial"/>
                <w:sz w:val="17"/>
                <w:szCs w:val="17"/>
                <w:b w:val="1"/>
                <w:bCs w:val="1"/>
                <w:color w:val="auto"/>
              </w:rPr>
              <w:t>Operating profit/loss</w:t>
            </w:r>
          </w:p>
        </w:tc>
        <w:tc>
          <w:tcPr>
            <w:tcW w:w="860" w:type="dxa"/>
            <w:vAlign w:val="bottom"/>
            <w:gridSpan w:val="2"/>
            <w:shd w:val="clear" w:color="auto" w:fill="F7F3F7"/>
          </w:tcPr>
          <w:p>
            <w:pPr>
              <w:jc w:val="right"/>
              <w:spacing w:after="0"/>
              <w:rPr>
                <w:sz w:val="20"/>
                <w:szCs w:val="20"/>
                <w:color w:val="auto"/>
              </w:rPr>
            </w:pPr>
            <w:r>
              <w:rPr>
                <w:rFonts w:ascii="Arial" w:cs="Arial" w:eastAsia="Arial" w:hAnsi="Arial"/>
                <w:sz w:val="17"/>
                <w:szCs w:val="17"/>
                <w:b w:val="1"/>
                <w:bCs w:val="1"/>
                <w:color w:val="auto"/>
              </w:rPr>
              <w:t>-11,248</w:t>
            </w:r>
          </w:p>
        </w:tc>
        <w:tc>
          <w:tcPr>
            <w:tcW w:w="1040" w:type="dxa"/>
            <w:vAlign w:val="bottom"/>
            <w:shd w:val="clear" w:color="auto" w:fill="F7F3F7"/>
          </w:tcPr>
          <w:p>
            <w:pPr>
              <w:jc w:val="right"/>
              <w:ind w:right="55"/>
              <w:spacing w:after="0"/>
              <w:rPr>
                <w:sz w:val="20"/>
                <w:szCs w:val="20"/>
                <w:color w:val="auto"/>
              </w:rPr>
            </w:pPr>
            <w:r>
              <w:rPr>
                <w:rFonts w:ascii="Arial" w:cs="Arial" w:eastAsia="Arial" w:hAnsi="Arial"/>
                <w:sz w:val="17"/>
                <w:szCs w:val="17"/>
                <w:b w:val="1"/>
                <w:bCs w:val="1"/>
                <w:color w:val="auto"/>
              </w:rPr>
              <w:t>-20,502</w:t>
            </w:r>
          </w:p>
        </w:tc>
        <w:tc>
          <w:tcPr>
            <w:tcW w:w="1080" w:type="dxa"/>
            <w:vAlign w:val="bottom"/>
            <w:shd w:val="clear" w:color="auto" w:fill="F7F3F7"/>
          </w:tcPr>
          <w:p>
            <w:pPr>
              <w:jc w:val="right"/>
              <w:ind w:right="35"/>
              <w:spacing w:after="0"/>
              <w:rPr>
                <w:sz w:val="20"/>
                <w:szCs w:val="20"/>
                <w:color w:val="auto"/>
              </w:rPr>
            </w:pPr>
            <w:r>
              <w:rPr>
                <w:rFonts w:ascii="Arial" w:cs="Arial" w:eastAsia="Arial" w:hAnsi="Arial"/>
                <w:sz w:val="17"/>
                <w:szCs w:val="17"/>
                <w:b w:val="1"/>
                <w:bCs w:val="1"/>
                <w:color w:val="auto"/>
              </w:rPr>
              <w:t>-3,198</w:t>
            </w:r>
            <w:r>
              <w:rPr>
                <w:rFonts w:ascii="Arial" w:cs="Arial" w:eastAsia="Arial" w:hAnsi="Arial"/>
                <w:sz w:val="12"/>
                <w:szCs w:val="12"/>
                <w:b w:val="1"/>
                <w:bCs w:val="1"/>
                <w:color w:val="auto"/>
              </w:rPr>
              <w:t>17</w:t>
            </w:r>
          </w:p>
        </w:tc>
        <w:tc>
          <w:tcPr>
            <w:tcW w:w="1200" w:type="dxa"/>
            <w:vAlign w:val="bottom"/>
            <w:shd w:val="clear" w:color="auto" w:fill="F7F3F7"/>
          </w:tcPr>
          <w:p>
            <w:pPr>
              <w:jc w:val="right"/>
              <w:spacing w:after="0"/>
              <w:rPr>
                <w:sz w:val="20"/>
                <w:szCs w:val="20"/>
                <w:color w:val="auto"/>
              </w:rPr>
            </w:pPr>
            <w:r>
              <w:rPr>
                <w:rFonts w:ascii="Arial" w:cs="Arial" w:eastAsia="Arial" w:hAnsi="Arial"/>
                <w:sz w:val="17"/>
                <w:szCs w:val="17"/>
                <w:b w:val="1"/>
                <w:bCs w:val="1"/>
                <w:color w:val="auto"/>
              </w:rPr>
              <w:t>-34,947</w:t>
            </w:r>
          </w:p>
        </w:tc>
        <w:tc>
          <w:tcPr>
            <w:tcW w:w="0" w:type="dxa"/>
            <w:vAlign w:val="bottom"/>
          </w:tcPr>
          <w:p>
            <w:pPr>
              <w:spacing w:after="0"/>
              <w:rPr>
                <w:sz w:val="1"/>
                <w:szCs w:val="1"/>
                <w:color w:val="auto"/>
              </w:rPr>
            </w:pPr>
          </w:p>
        </w:tc>
      </w:tr>
      <w:tr>
        <w:trPr>
          <w:trHeight w:val="62"/>
        </w:trPr>
        <w:tc>
          <w:tcPr>
            <w:tcW w:w="6840" w:type="dxa"/>
            <w:vAlign w:val="bottom"/>
            <w:shd w:val="clear" w:color="auto" w:fill="F7F3F7"/>
          </w:tcPr>
          <w:p>
            <w:pPr>
              <w:spacing w:after="0"/>
              <w:rPr>
                <w:sz w:val="5"/>
                <w:szCs w:val="5"/>
                <w:color w:val="auto"/>
              </w:rPr>
            </w:pPr>
          </w:p>
        </w:tc>
        <w:tc>
          <w:tcPr>
            <w:tcW w:w="220" w:type="dxa"/>
            <w:vAlign w:val="bottom"/>
            <w:shd w:val="clear" w:color="auto" w:fill="F7F3F7"/>
          </w:tcPr>
          <w:p>
            <w:pPr>
              <w:spacing w:after="0"/>
              <w:rPr>
                <w:sz w:val="5"/>
                <w:szCs w:val="5"/>
                <w:color w:val="auto"/>
              </w:rPr>
            </w:pPr>
          </w:p>
        </w:tc>
        <w:tc>
          <w:tcPr>
            <w:tcW w:w="640" w:type="dxa"/>
            <w:vAlign w:val="bottom"/>
            <w:shd w:val="clear" w:color="auto" w:fill="F7F3F7"/>
          </w:tcPr>
          <w:p>
            <w:pPr>
              <w:spacing w:after="0"/>
              <w:rPr>
                <w:sz w:val="5"/>
                <w:szCs w:val="5"/>
                <w:color w:val="auto"/>
              </w:rPr>
            </w:pPr>
          </w:p>
        </w:tc>
        <w:tc>
          <w:tcPr>
            <w:tcW w:w="1040" w:type="dxa"/>
            <w:vAlign w:val="bottom"/>
            <w:shd w:val="clear" w:color="auto" w:fill="F7F3F7"/>
          </w:tcPr>
          <w:p>
            <w:pPr>
              <w:spacing w:after="0"/>
              <w:rPr>
                <w:sz w:val="5"/>
                <w:szCs w:val="5"/>
                <w:color w:val="auto"/>
              </w:rPr>
            </w:pPr>
          </w:p>
        </w:tc>
        <w:tc>
          <w:tcPr>
            <w:tcW w:w="1080" w:type="dxa"/>
            <w:vAlign w:val="bottom"/>
            <w:shd w:val="clear" w:color="auto" w:fill="F7F3F7"/>
          </w:tcPr>
          <w:p>
            <w:pPr>
              <w:spacing w:after="0"/>
              <w:rPr>
                <w:sz w:val="5"/>
                <w:szCs w:val="5"/>
                <w:color w:val="auto"/>
              </w:rPr>
            </w:pPr>
          </w:p>
        </w:tc>
        <w:tc>
          <w:tcPr>
            <w:tcW w:w="1200" w:type="dxa"/>
            <w:vAlign w:val="bottom"/>
            <w:shd w:val="clear" w:color="auto" w:fill="F7F3F7"/>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6840" w:type="dxa"/>
            <w:vAlign w:val="bottom"/>
          </w:tcPr>
          <w:p>
            <w:pPr>
              <w:ind w:left="100"/>
              <w:spacing w:after="0"/>
              <w:rPr>
                <w:sz w:val="20"/>
                <w:szCs w:val="20"/>
                <w:color w:val="auto"/>
              </w:rPr>
            </w:pPr>
            <w:r>
              <w:rPr>
                <w:rFonts w:ascii="Arial" w:cs="Arial" w:eastAsia="Arial" w:hAnsi="Arial"/>
                <w:sz w:val="17"/>
                <w:szCs w:val="17"/>
                <w:color w:val="auto"/>
              </w:rPr>
              <w:t>Interest and similar expenses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72"/>
        </w:trPr>
        <w:tc>
          <w:tcPr>
            <w:tcW w:w="6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6840" w:type="dxa"/>
            <w:vAlign w:val="bottom"/>
            <w:shd w:val="clear" w:color="auto" w:fill="F7F3F7"/>
          </w:tcPr>
          <w:p>
            <w:pPr>
              <w:ind w:left="100"/>
              <w:spacing w:after="0"/>
              <w:rPr>
                <w:sz w:val="20"/>
                <w:szCs w:val="20"/>
                <w:color w:val="auto"/>
              </w:rPr>
            </w:pPr>
            <w:r>
              <w:rPr>
                <w:rFonts w:ascii="Arial" w:cs="Arial" w:eastAsia="Arial" w:hAnsi="Arial"/>
                <w:sz w:val="17"/>
                <w:szCs w:val="17"/>
                <w:color w:val="auto"/>
              </w:rPr>
              <w:t>Net foreign exchange gain / (loss)</w:t>
            </w:r>
          </w:p>
        </w:tc>
        <w:tc>
          <w:tcPr>
            <w:tcW w:w="220" w:type="dxa"/>
            <w:vAlign w:val="bottom"/>
            <w:shd w:val="clear" w:color="auto" w:fill="F7F3F7"/>
          </w:tcPr>
          <w:p>
            <w:pPr>
              <w:spacing w:after="0"/>
              <w:rPr>
                <w:sz w:val="19"/>
                <w:szCs w:val="19"/>
                <w:color w:val="auto"/>
              </w:rPr>
            </w:pPr>
          </w:p>
        </w:tc>
        <w:tc>
          <w:tcPr>
            <w:tcW w:w="640" w:type="dxa"/>
            <w:vAlign w:val="bottom"/>
            <w:shd w:val="clear" w:color="auto" w:fill="F7F3F7"/>
          </w:tcPr>
          <w:p>
            <w:pPr>
              <w:spacing w:after="0"/>
              <w:rPr>
                <w:sz w:val="19"/>
                <w:szCs w:val="19"/>
                <w:color w:val="auto"/>
              </w:rPr>
            </w:pPr>
          </w:p>
        </w:tc>
        <w:tc>
          <w:tcPr>
            <w:tcW w:w="1040" w:type="dxa"/>
            <w:vAlign w:val="bottom"/>
            <w:shd w:val="clear" w:color="auto" w:fill="F7F3F7"/>
          </w:tcPr>
          <w:p>
            <w:pPr>
              <w:spacing w:after="0"/>
              <w:rPr>
                <w:sz w:val="19"/>
                <w:szCs w:val="19"/>
                <w:color w:val="auto"/>
              </w:rPr>
            </w:pPr>
          </w:p>
        </w:tc>
        <w:tc>
          <w:tcPr>
            <w:tcW w:w="1080" w:type="dxa"/>
            <w:vAlign w:val="bottom"/>
            <w:shd w:val="clear" w:color="auto" w:fill="F7F3F7"/>
          </w:tcPr>
          <w:p>
            <w:pPr>
              <w:spacing w:after="0"/>
              <w:rPr>
                <w:sz w:val="19"/>
                <w:szCs w:val="19"/>
                <w:color w:val="auto"/>
              </w:rPr>
            </w:pPr>
          </w:p>
        </w:tc>
        <w:tc>
          <w:tcPr>
            <w:tcW w:w="1200" w:type="dxa"/>
            <w:vAlign w:val="bottom"/>
            <w:shd w:val="clear" w:color="auto" w:fill="F7F3F7"/>
          </w:tcPr>
          <w:p>
            <w:pPr>
              <w:jc w:val="right"/>
              <w:spacing w:after="0"/>
              <w:rPr>
                <w:sz w:val="20"/>
                <w:szCs w:val="20"/>
                <w:color w:val="auto"/>
              </w:rPr>
            </w:pPr>
            <w:r>
              <w:rPr>
                <w:rFonts w:ascii="Arial" w:cs="Arial" w:eastAsia="Arial" w:hAnsi="Arial"/>
                <w:sz w:val="17"/>
                <w:szCs w:val="17"/>
                <w:color w:val="auto"/>
              </w:rPr>
              <w:t>2,460</w:t>
            </w:r>
          </w:p>
        </w:tc>
        <w:tc>
          <w:tcPr>
            <w:tcW w:w="0" w:type="dxa"/>
            <w:vAlign w:val="bottom"/>
          </w:tcPr>
          <w:p>
            <w:pPr>
              <w:spacing w:after="0"/>
              <w:rPr>
                <w:sz w:val="1"/>
                <w:szCs w:val="1"/>
                <w:color w:val="auto"/>
              </w:rPr>
            </w:pPr>
          </w:p>
        </w:tc>
      </w:tr>
      <w:tr>
        <w:trPr>
          <w:trHeight w:val="72"/>
        </w:trPr>
        <w:tc>
          <w:tcPr>
            <w:tcW w:w="6840" w:type="dxa"/>
            <w:vAlign w:val="bottom"/>
            <w:shd w:val="clear" w:color="auto" w:fill="F7F3F7"/>
          </w:tcPr>
          <w:p>
            <w:pPr>
              <w:spacing w:after="0"/>
              <w:rPr>
                <w:sz w:val="6"/>
                <w:szCs w:val="6"/>
                <w:color w:val="auto"/>
              </w:rPr>
            </w:pPr>
          </w:p>
        </w:tc>
        <w:tc>
          <w:tcPr>
            <w:tcW w:w="220" w:type="dxa"/>
            <w:vAlign w:val="bottom"/>
            <w:shd w:val="clear" w:color="auto" w:fill="F7F3F7"/>
          </w:tcPr>
          <w:p>
            <w:pPr>
              <w:spacing w:after="0"/>
              <w:rPr>
                <w:sz w:val="6"/>
                <w:szCs w:val="6"/>
                <w:color w:val="auto"/>
              </w:rPr>
            </w:pPr>
          </w:p>
        </w:tc>
        <w:tc>
          <w:tcPr>
            <w:tcW w:w="640" w:type="dxa"/>
            <w:vAlign w:val="bottom"/>
            <w:shd w:val="clear" w:color="auto" w:fill="F7F3F7"/>
          </w:tcPr>
          <w:p>
            <w:pPr>
              <w:spacing w:after="0"/>
              <w:rPr>
                <w:sz w:val="6"/>
                <w:szCs w:val="6"/>
                <w:color w:val="auto"/>
              </w:rPr>
            </w:pPr>
          </w:p>
        </w:tc>
        <w:tc>
          <w:tcPr>
            <w:tcW w:w="1040" w:type="dxa"/>
            <w:vAlign w:val="bottom"/>
            <w:shd w:val="clear" w:color="auto" w:fill="F7F3F7"/>
          </w:tcPr>
          <w:p>
            <w:pPr>
              <w:spacing w:after="0"/>
              <w:rPr>
                <w:sz w:val="6"/>
                <w:szCs w:val="6"/>
                <w:color w:val="auto"/>
              </w:rPr>
            </w:pPr>
          </w:p>
        </w:tc>
        <w:tc>
          <w:tcPr>
            <w:tcW w:w="1080" w:type="dxa"/>
            <w:vAlign w:val="bottom"/>
            <w:shd w:val="clear" w:color="auto" w:fill="F7F3F7"/>
          </w:tcPr>
          <w:p>
            <w:pPr>
              <w:spacing w:after="0"/>
              <w:rPr>
                <w:sz w:val="6"/>
                <w:szCs w:val="6"/>
                <w:color w:val="auto"/>
              </w:rPr>
            </w:pPr>
          </w:p>
        </w:tc>
        <w:tc>
          <w:tcPr>
            <w:tcW w:w="1200" w:type="dxa"/>
            <w:vAlign w:val="bottom"/>
            <w:shd w:val="clear" w:color="auto" w:fill="F7F3F7"/>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6840" w:type="dxa"/>
            <w:vAlign w:val="bottom"/>
          </w:tcPr>
          <w:p>
            <w:pPr>
              <w:ind w:left="100"/>
              <w:spacing w:after="0"/>
              <w:rPr>
                <w:sz w:val="20"/>
                <w:szCs w:val="20"/>
                <w:color w:val="auto"/>
              </w:rPr>
            </w:pPr>
            <w:r>
              <w:rPr>
                <w:rFonts w:ascii="Arial" w:cs="Arial" w:eastAsia="Arial" w:hAnsi="Arial"/>
                <w:sz w:val="17"/>
                <w:szCs w:val="17"/>
                <w:b w:val="1"/>
                <w:bCs w:val="1"/>
                <w:color w:val="auto"/>
              </w:rPr>
              <w:t>Net Finance costs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2,035</w:t>
            </w:r>
          </w:p>
        </w:tc>
        <w:tc>
          <w:tcPr>
            <w:tcW w:w="0" w:type="dxa"/>
            <w:vAlign w:val="bottom"/>
          </w:tcPr>
          <w:p>
            <w:pPr>
              <w:spacing w:after="0"/>
              <w:rPr>
                <w:sz w:val="1"/>
                <w:szCs w:val="1"/>
                <w:color w:val="auto"/>
              </w:rPr>
            </w:pPr>
          </w:p>
        </w:tc>
      </w:tr>
      <w:tr>
        <w:trPr>
          <w:trHeight w:val="62"/>
        </w:trPr>
        <w:tc>
          <w:tcPr>
            <w:tcW w:w="6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840" w:type="dxa"/>
            <w:vAlign w:val="bottom"/>
            <w:shd w:val="clear" w:color="auto" w:fill="F7F3F7"/>
          </w:tcPr>
          <w:p>
            <w:pPr>
              <w:ind w:left="100"/>
              <w:spacing w:after="0"/>
              <w:rPr>
                <w:sz w:val="20"/>
                <w:szCs w:val="20"/>
                <w:color w:val="auto"/>
              </w:rPr>
            </w:pPr>
            <w:r>
              <w:rPr>
                <w:rFonts w:ascii="Arial" w:cs="Arial" w:eastAsia="Arial" w:hAnsi="Arial"/>
                <w:sz w:val="17"/>
                <w:szCs w:val="17"/>
                <w:b w:val="1"/>
                <w:bCs w:val="1"/>
                <w:color w:val="auto"/>
              </w:rPr>
              <w:t>Profit/loss before taxes</w:t>
            </w:r>
          </w:p>
        </w:tc>
        <w:tc>
          <w:tcPr>
            <w:tcW w:w="220" w:type="dxa"/>
            <w:vAlign w:val="bottom"/>
            <w:shd w:val="clear" w:color="auto" w:fill="F7F3F7"/>
          </w:tcPr>
          <w:p>
            <w:pPr>
              <w:spacing w:after="0"/>
              <w:rPr>
                <w:sz w:val="20"/>
                <w:szCs w:val="20"/>
                <w:color w:val="auto"/>
              </w:rPr>
            </w:pPr>
          </w:p>
        </w:tc>
        <w:tc>
          <w:tcPr>
            <w:tcW w:w="640" w:type="dxa"/>
            <w:vAlign w:val="bottom"/>
            <w:shd w:val="clear" w:color="auto" w:fill="F7F3F7"/>
          </w:tcPr>
          <w:p>
            <w:pPr>
              <w:spacing w:after="0"/>
              <w:rPr>
                <w:sz w:val="20"/>
                <w:szCs w:val="20"/>
                <w:color w:val="auto"/>
              </w:rPr>
            </w:pPr>
          </w:p>
        </w:tc>
        <w:tc>
          <w:tcPr>
            <w:tcW w:w="1040" w:type="dxa"/>
            <w:vAlign w:val="bottom"/>
            <w:shd w:val="clear" w:color="auto" w:fill="F7F3F7"/>
          </w:tcPr>
          <w:p>
            <w:pPr>
              <w:spacing w:after="0"/>
              <w:rPr>
                <w:sz w:val="20"/>
                <w:szCs w:val="20"/>
                <w:color w:val="auto"/>
              </w:rPr>
            </w:pPr>
          </w:p>
        </w:tc>
        <w:tc>
          <w:tcPr>
            <w:tcW w:w="1080" w:type="dxa"/>
            <w:vAlign w:val="bottom"/>
            <w:shd w:val="clear" w:color="auto" w:fill="F7F3F7"/>
          </w:tcPr>
          <w:p>
            <w:pPr>
              <w:spacing w:after="0"/>
              <w:rPr>
                <w:sz w:val="20"/>
                <w:szCs w:val="20"/>
                <w:color w:val="auto"/>
              </w:rPr>
            </w:pPr>
          </w:p>
        </w:tc>
        <w:tc>
          <w:tcPr>
            <w:tcW w:w="1200" w:type="dxa"/>
            <w:vAlign w:val="bottom"/>
            <w:shd w:val="clear" w:color="auto" w:fill="F7F3F7"/>
          </w:tcPr>
          <w:p>
            <w:pPr>
              <w:jc w:val="right"/>
              <w:spacing w:after="0"/>
              <w:rPr>
                <w:sz w:val="20"/>
                <w:szCs w:val="20"/>
                <w:color w:val="auto"/>
              </w:rPr>
            </w:pPr>
            <w:r>
              <w:rPr>
                <w:rFonts w:ascii="Arial" w:cs="Arial" w:eastAsia="Arial" w:hAnsi="Arial"/>
                <w:sz w:val="17"/>
                <w:szCs w:val="17"/>
                <w:b w:val="1"/>
                <w:bCs w:val="1"/>
                <w:color w:val="auto"/>
              </w:rPr>
              <w:t>-32,912</w:t>
            </w:r>
          </w:p>
        </w:tc>
        <w:tc>
          <w:tcPr>
            <w:tcW w:w="0" w:type="dxa"/>
            <w:vAlign w:val="bottom"/>
          </w:tcPr>
          <w:p>
            <w:pPr>
              <w:spacing w:after="0"/>
              <w:rPr>
                <w:sz w:val="1"/>
                <w:szCs w:val="1"/>
                <w:color w:val="auto"/>
              </w:rPr>
            </w:pPr>
          </w:p>
        </w:tc>
      </w:tr>
      <w:tr>
        <w:trPr>
          <w:trHeight w:val="62"/>
        </w:trPr>
        <w:tc>
          <w:tcPr>
            <w:tcW w:w="6840" w:type="dxa"/>
            <w:vAlign w:val="bottom"/>
            <w:shd w:val="clear" w:color="auto" w:fill="F7F3F7"/>
          </w:tcPr>
          <w:p>
            <w:pPr>
              <w:spacing w:after="0"/>
              <w:rPr>
                <w:sz w:val="5"/>
                <w:szCs w:val="5"/>
                <w:color w:val="auto"/>
              </w:rPr>
            </w:pPr>
          </w:p>
        </w:tc>
        <w:tc>
          <w:tcPr>
            <w:tcW w:w="220" w:type="dxa"/>
            <w:vAlign w:val="bottom"/>
            <w:shd w:val="clear" w:color="auto" w:fill="F7F3F7"/>
          </w:tcPr>
          <w:p>
            <w:pPr>
              <w:spacing w:after="0"/>
              <w:rPr>
                <w:sz w:val="5"/>
                <w:szCs w:val="5"/>
                <w:color w:val="auto"/>
              </w:rPr>
            </w:pPr>
          </w:p>
        </w:tc>
        <w:tc>
          <w:tcPr>
            <w:tcW w:w="640" w:type="dxa"/>
            <w:vAlign w:val="bottom"/>
            <w:shd w:val="clear" w:color="auto" w:fill="F7F3F7"/>
          </w:tcPr>
          <w:p>
            <w:pPr>
              <w:spacing w:after="0"/>
              <w:rPr>
                <w:sz w:val="5"/>
                <w:szCs w:val="5"/>
                <w:color w:val="auto"/>
              </w:rPr>
            </w:pPr>
          </w:p>
        </w:tc>
        <w:tc>
          <w:tcPr>
            <w:tcW w:w="1040" w:type="dxa"/>
            <w:vAlign w:val="bottom"/>
            <w:shd w:val="clear" w:color="auto" w:fill="F7F3F7"/>
          </w:tcPr>
          <w:p>
            <w:pPr>
              <w:spacing w:after="0"/>
              <w:rPr>
                <w:sz w:val="5"/>
                <w:szCs w:val="5"/>
                <w:color w:val="auto"/>
              </w:rPr>
            </w:pPr>
          </w:p>
        </w:tc>
        <w:tc>
          <w:tcPr>
            <w:tcW w:w="1080" w:type="dxa"/>
            <w:vAlign w:val="bottom"/>
            <w:shd w:val="clear" w:color="auto" w:fill="F7F3F7"/>
          </w:tcPr>
          <w:p>
            <w:pPr>
              <w:spacing w:after="0"/>
              <w:rPr>
                <w:sz w:val="5"/>
                <w:szCs w:val="5"/>
                <w:color w:val="auto"/>
              </w:rPr>
            </w:pPr>
          </w:p>
        </w:tc>
        <w:tc>
          <w:tcPr>
            <w:tcW w:w="1200" w:type="dxa"/>
            <w:vAlign w:val="bottom"/>
            <w:shd w:val="clear" w:color="auto" w:fill="F7F3F7"/>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6840" w:type="dxa"/>
            <w:vAlign w:val="bottom"/>
          </w:tcPr>
          <w:p>
            <w:pPr>
              <w:ind w:left="100"/>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72"/>
        </w:trPr>
        <w:tc>
          <w:tcPr>
            <w:tcW w:w="6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6840" w:type="dxa"/>
            <w:vAlign w:val="bottom"/>
            <w:shd w:val="clear" w:color="auto" w:fill="F7F3F7"/>
          </w:tcPr>
          <w:p>
            <w:pPr>
              <w:ind w:left="100"/>
              <w:spacing w:after="0"/>
              <w:rPr>
                <w:sz w:val="20"/>
                <w:szCs w:val="20"/>
                <w:color w:val="auto"/>
              </w:rPr>
            </w:pPr>
            <w:r>
              <w:rPr>
                <w:rFonts w:ascii="Arial" w:cs="Arial" w:eastAsia="Arial" w:hAnsi="Arial"/>
                <w:sz w:val="17"/>
                <w:szCs w:val="17"/>
                <w:b w:val="1"/>
                <w:bCs w:val="1"/>
                <w:color w:val="auto"/>
              </w:rPr>
              <w:t>Consolidated net profit/loss</w:t>
            </w:r>
          </w:p>
        </w:tc>
        <w:tc>
          <w:tcPr>
            <w:tcW w:w="220" w:type="dxa"/>
            <w:vAlign w:val="bottom"/>
            <w:shd w:val="clear" w:color="auto" w:fill="F7F3F7"/>
          </w:tcPr>
          <w:p>
            <w:pPr>
              <w:spacing w:after="0"/>
              <w:rPr>
                <w:sz w:val="20"/>
                <w:szCs w:val="20"/>
                <w:color w:val="auto"/>
              </w:rPr>
            </w:pPr>
          </w:p>
        </w:tc>
        <w:tc>
          <w:tcPr>
            <w:tcW w:w="640" w:type="dxa"/>
            <w:vAlign w:val="bottom"/>
            <w:shd w:val="clear" w:color="auto" w:fill="F7F3F7"/>
          </w:tcPr>
          <w:p>
            <w:pPr>
              <w:spacing w:after="0"/>
              <w:rPr>
                <w:sz w:val="20"/>
                <w:szCs w:val="20"/>
                <w:color w:val="auto"/>
              </w:rPr>
            </w:pPr>
          </w:p>
        </w:tc>
        <w:tc>
          <w:tcPr>
            <w:tcW w:w="1040" w:type="dxa"/>
            <w:vAlign w:val="bottom"/>
            <w:shd w:val="clear" w:color="auto" w:fill="F7F3F7"/>
          </w:tcPr>
          <w:p>
            <w:pPr>
              <w:spacing w:after="0"/>
              <w:rPr>
                <w:sz w:val="20"/>
                <w:szCs w:val="20"/>
                <w:color w:val="auto"/>
              </w:rPr>
            </w:pPr>
          </w:p>
        </w:tc>
        <w:tc>
          <w:tcPr>
            <w:tcW w:w="1080" w:type="dxa"/>
            <w:vAlign w:val="bottom"/>
            <w:shd w:val="clear" w:color="auto" w:fill="F7F3F7"/>
          </w:tcPr>
          <w:p>
            <w:pPr>
              <w:spacing w:after="0"/>
              <w:rPr>
                <w:sz w:val="20"/>
                <w:szCs w:val="20"/>
                <w:color w:val="auto"/>
              </w:rPr>
            </w:pPr>
          </w:p>
        </w:tc>
        <w:tc>
          <w:tcPr>
            <w:tcW w:w="1200" w:type="dxa"/>
            <w:vAlign w:val="bottom"/>
            <w:shd w:val="clear" w:color="auto" w:fill="F7F3F7"/>
          </w:tcPr>
          <w:p>
            <w:pPr>
              <w:jc w:val="right"/>
              <w:spacing w:after="0"/>
              <w:rPr>
                <w:sz w:val="20"/>
                <w:szCs w:val="20"/>
                <w:color w:val="auto"/>
              </w:rPr>
            </w:pPr>
            <w:r>
              <w:rPr>
                <w:rFonts w:ascii="Arial" w:cs="Arial" w:eastAsia="Arial" w:hAnsi="Arial"/>
                <w:sz w:val="17"/>
                <w:szCs w:val="17"/>
                <w:b w:val="1"/>
                <w:bCs w:val="1"/>
                <w:color w:val="auto"/>
              </w:rPr>
              <w:t>-32,912</w:t>
            </w:r>
          </w:p>
        </w:tc>
        <w:tc>
          <w:tcPr>
            <w:tcW w:w="0" w:type="dxa"/>
            <w:vAlign w:val="bottom"/>
          </w:tcPr>
          <w:p>
            <w:pPr>
              <w:spacing w:after="0"/>
              <w:rPr>
                <w:sz w:val="1"/>
                <w:szCs w:val="1"/>
                <w:color w:val="auto"/>
              </w:rPr>
            </w:pPr>
          </w:p>
        </w:tc>
      </w:tr>
      <w:tr>
        <w:trPr>
          <w:trHeight w:val="62"/>
        </w:trPr>
        <w:tc>
          <w:tcPr>
            <w:tcW w:w="6840" w:type="dxa"/>
            <w:vAlign w:val="bottom"/>
            <w:shd w:val="clear" w:color="auto" w:fill="F7F3F7"/>
          </w:tcPr>
          <w:p>
            <w:pPr>
              <w:spacing w:after="0"/>
              <w:rPr>
                <w:sz w:val="5"/>
                <w:szCs w:val="5"/>
                <w:color w:val="auto"/>
              </w:rPr>
            </w:pPr>
          </w:p>
        </w:tc>
        <w:tc>
          <w:tcPr>
            <w:tcW w:w="220" w:type="dxa"/>
            <w:vAlign w:val="bottom"/>
            <w:shd w:val="clear" w:color="auto" w:fill="F7F3F7"/>
          </w:tcPr>
          <w:p>
            <w:pPr>
              <w:spacing w:after="0"/>
              <w:rPr>
                <w:sz w:val="5"/>
                <w:szCs w:val="5"/>
                <w:color w:val="auto"/>
              </w:rPr>
            </w:pPr>
          </w:p>
        </w:tc>
        <w:tc>
          <w:tcPr>
            <w:tcW w:w="640" w:type="dxa"/>
            <w:vAlign w:val="bottom"/>
            <w:shd w:val="clear" w:color="auto" w:fill="F7F3F7"/>
          </w:tcPr>
          <w:p>
            <w:pPr>
              <w:spacing w:after="0"/>
              <w:rPr>
                <w:sz w:val="5"/>
                <w:szCs w:val="5"/>
                <w:color w:val="auto"/>
              </w:rPr>
            </w:pPr>
          </w:p>
        </w:tc>
        <w:tc>
          <w:tcPr>
            <w:tcW w:w="1040" w:type="dxa"/>
            <w:vAlign w:val="bottom"/>
            <w:shd w:val="clear" w:color="auto" w:fill="F7F3F7"/>
          </w:tcPr>
          <w:p>
            <w:pPr>
              <w:spacing w:after="0"/>
              <w:rPr>
                <w:sz w:val="5"/>
                <w:szCs w:val="5"/>
                <w:color w:val="auto"/>
              </w:rPr>
            </w:pPr>
          </w:p>
        </w:tc>
        <w:tc>
          <w:tcPr>
            <w:tcW w:w="1080" w:type="dxa"/>
            <w:vAlign w:val="bottom"/>
            <w:shd w:val="clear" w:color="auto" w:fill="F7F3F7"/>
          </w:tcPr>
          <w:p>
            <w:pPr>
              <w:spacing w:after="0"/>
              <w:rPr>
                <w:sz w:val="5"/>
                <w:szCs w:val="5"/>
                <w:color w:val="auto"/>
              </w:rPr>
            </w:pPr>
          </w:p>
        </w:tc>
        <w:tc>
          <w:tcPr>
            <w:tcW w:w="1200" w:type="dxa"/>
            <w:vAlign w:val="bottom"/>
            <w:shd w:val="clear" w:color="auto" w:fill="F7F3F7"/>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2152015</wp:posOffset>
            </wp:positionV>
            <wp:extent cx="1817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 w:right="40" w:hanging="4"/>
        <w:spacing w:after="0" w:line="210" w:lineRule="auto"/>
        <w:tabs>
          <w:tab w:leader="none" w:pos="184"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Including costs for audit of the financial statements as well as Supervisory Board remuneration and management insurance costs which are not directly incremental.</w:t>
      </w:r>
    </w:p>
    <w:p>
      <w:pPr>
        <w:sectPr>
          <w:pgSz w:w="11900" w:h="16838" w:orient="portrait"/>
          <w:cols w:equalWidth="0" w:num="1">
            <w:col w:w="11024"/>
          </w:cols>
          <w:pgMar w:left="436" w:top="1440" w:right="439" w:bottom="1440" w:gutter="0" w:footer="0" w:header="0"/>
        </w:sectPr>
      </w:pPr>
    </w:p>
    <w:p>
      <w:pPr>
        <w:spacing w:after="0" w:line="129"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868A9C"/>
        </w:rPr>
        <w:t>Page 23/33</w:t>
      </w:r>
    </w:p>
    <w:p>
      <w:pPr>
        <w:sectPr>
          <w:pgSz w:w="11900" w:h="16838" w:orient="portrait"/>
          <w:cols w:equalWidth="0" w:num="2">
            <w:col w:w="9564" w:space="720"/>
            <w:col w:w="740"/>
          </w:cols>
          <w:pgMar w:left="436" w:top="1440" w:right="439" w:bottom="1440" w:gutter="0" w:footer="0" w:header="0"/>
          <w:type w:val="continuous"/>
        </w:sectPr>
      </w:pPr>
    </w:p>
    <w:bookmarkStart w:id="28" w:name="page29"/>
    <w:bookmarkEnd w:id="28"/>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5"/>
        </w:trPr>
        <w:tc>
          <w:tcPr>
            <w:tcW w:w="6600" w:type="dxa"/>
            <w:vAlign w:val="bottom"/>
            <w:shd w:val="clear" w:color="auto" w:fill="BDBEBD"/>
          </w:tcPr>
          <w:p>
            <w:pPr>
              <w:spacing w:after="0"/>
              <w:rPr>
                <w:sz w:val="16"/>
                <w:szCs w:val="16"/>
                <w:color w:val="auto"/>
              </w:rPr>
            </w:pPr>
          </w:p>
        </w:tc>
        <w:tc>
          <w:tcPr>
            <w:tcW w:w="300" w:type="dxa"/>
            <w:vAlign w:val="bottom"/>
            <w:shd w:val="clear" w:color="auto" w:fill="BDBEBD"/>
          </w:tcPr>
          <w:p>
            <w:pPr>
              <w:spacing w:after="0"/>
              <w:rPr>
                <w:sz w:val="16"/>
                <w:szCs w:val="16"/>
                <w:color w:val="auto"/>
              </w:rPr>
            </w:pPr>
          </w:p>
        </w:tc>
        <w:tc>
          <w:tcPr>
            <w:tcW w:w="540" w:type="dxa"/>
            <w:vAlign w:val="bottom"/>
            <w:shd w:val="clear" w:color="auto" w:fill="BDBEBD"/>
          </w:tcPr>
          <w:p>
            <w:pPr>
              <w:spacing w:after="0"/>
              <w:rPr>
                <w:sz w:val="16"/>
                <w:szCs w:val="16"/>
                <w:color w:val="auto"/>
              </w:rPr>
            </w:pPr>
          </w:p>
        </w:tc>
        <w:tc>
          <w:tcPr>
            <w:tcW w:w="80" w:type="dxa"/>
            <w:vAlign w:val="bottom"/>
            <w:shd w:val="clear" w:color="auto" w:fill="BDBEBD"/>
          </w:tcPr>
          <w:p>
            <w:pPr>
              <w:spacing w:after="0"/>
              <w:rPr>
                <w:sz w:val="16"/>
                <w:szCs w:val="16"/>
                <w:color w:val="auto"/>
              </w:rPr>
            </w:pPr>
          </w:p>
        </w:tc>
        <w:tc>
          <w:tcPr>
            <w:tcW w:w="3500" w:type="dxa"/>
            <w:vAlign w:val="bottom"/>
            <w:gridSpan w:val="3"/>
            <w:shd w:val="clear" w:color="auto" w:fill="BDBEBD"/>
          </w:tcPr>
          <w:p>
            <w:pPr>
              <w:jc w:val="right"/>
              <w:ind w:right="695"/>
              <w:spacing w:after="0"/>
              <w:rPr>
                <w:sz w:val="20"/>
                <w:szCs w:val="20"/>
                <w:color w:val="auto"/>
              </w:rPr>
            </w:pPr>
            <w:r>
              <w:rPr>
                <w:rFonts w:ascii="Arial" w:cs="Arial" w:eastAsia="Arial" w:hAnsi="Arial"/>
                <w:sz w:val="17"/>
                <w:szCs w:val="17"/>
                <w:b w:val="1"/>
                <w:bCs w:val="1"/>
                <w:color w:val="auto"/>
              </w:rPr>
              <w:t>Six months ended June 30, 2021</w:t>
            </w:r>
          </w:p>
        </w:tc>
        <w:tc>
          <w:tcPr>
            <w:tcW w:w="0" w:type="dxa"/>
            <w:vAlign w:val="bottom"/>
          </w:tcPr>
          <w:p>
            <w:pPr>
              <w:spacing w:after="0"/>
              <w:rPr>
                <w:sz w:val="1"/>
                <w:szCs w:val="1"/>
                <w:color w:val="auto"/>
              </w:rPr>
            </w:pPr>
          </w:p>
        </w:tc>
      </w:tr>
      <w:tr>
        <w:trPr>
          <w:trHeight w:val="311"/>
        </w:trPr>
        <w:tc>
          <w:tcPr>
            <w:tcW w:w="6600" w:type="dxa"/>
            <w:vAlign w:val="bottom"/>
            <w:shd w:val="clear" w:color="auto" w:fill="BDBEBD"/>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300" w:type="dxa"/>
            <w:vAlign w:val="bottom"/>
            <w:shd w:val="clear" w:color="auto" w:fill="BDBEBD"/>
          </w:tcPr>
          <w:p>
            <w:pPr>
              <w:spacing w:after="0"/>
              <w:rPr>
                <w:sz w:val="24"/>
                <w:szCs w:val="24"/>
                <w:color w:val="auto"/>
              </w:rPr>
            </w:pPr>
          </w:p>
        </w:tc>
        <w:tc>
          <w:tcPr>
            <w:tcW w:w="540" w:type="dxa"/>
            <w:vAlign w:val="bottom"/>
            <w:vMerge w:val="restart"/>
            <w:shd w:val="clear" w:color="auto" w:fill="BDBEBD"/>
          </w:tcPr>
          <w:p>
            <w:pPr>
              <w:jc w:val="right"/>
              <w:spacing w:after="0"/>
              <w:rPr>
                <w:sz w:val="20"/>
                <w:szCs w:val="20"/>
                <w:color w:val="auto"/>
              </w:rPr>
            </w:pPr>
            <w:r>
              <w:rPr>
                <w:rFonts w:ascii="Arial" w:cs="Arial" w:eastAsia="Arial" w:hAnsi="Arial"/>
                <w:sz w:val="17"/>
                <w:szCs w:val="17"/>
                <w:color w:val="auto"/>
              </w:rPr>
              <w:t>Air</w:t>
            </w:r>
          </w:p>
        </w:tc>
        <w:tc>
          <w:tcPr>
            <w:tcW w:w="80" w:type="dxa"/>
            <w:vAlign w:val="bottom"/>
            <w:shd w:val="clear" w:color="auto" w:fill="BDBEBD"/>
          </w:tcPr>
          <w:p>
            <w:pPr>
              <w:spacing w:after="0"/>
              <w:rPr>
                <w:sz w:val="24"/>
                <w:szCs w:val="24"/>
                <w:color w:val="auto"/>
              </w:rPr>
            </w:pPr>
          </w:p>
        </w:tc>
        <w:tc>
          <w:tcPr>
            <w:tcW w:w="1080" w:type="dxa"/>
            <w:vAlign w:val="bottom"/>
            <w:vMerge w:val="restart"/>
            <w:shd w:val="clear" w:color="auto" w:fill="BDBEBD"/>
          </w:tcPr>
          <w:p>
            <w:pPr>
              <w:jc w:val="right"/>
              <w:ind w:right="95"/>
              <w:spacing w:after="0"/>
              <w:rPr>
                <w:sz w:val="20"/>
                <w:szCs w:val="20"/>
                <w:color w:val="auto"/>
              </w:rPr>
            </w:pPr>
            <w:r>
              <w:rPr>
                <w:rFonts w:ascii="Arial" w:cs="Arial" w:eastAsia="Arial" w:hAnsi="Arial"/>
                <w:sz w:val="17"/>
                <w:szCs w:val="17"/>
                <w:color w:val="auto"/>
              </w:rPr>
              <w:t>Space</w:t>
            </w:r>
          </w:p>
        </w:tc>
        <w:tc>
          <w:tcPr>
            <w:tcW w:w="1180" w:type="dxa"/>
            <w:vAlign w:val="bottom"/>
            <w:shd w:val="clear" w:color="auto" w:fill="BDBEBD"/>
          </w:tcPr>
          <w:p>
            <w:pPr>
              <w:jc w:val="right"/>
              <w:ind w:right="235"/>
              <w:spacing w:after="0"/>
              <w:rPr>
                <w:sz w:val="20"/>
                <w:szCs w:val="20"/>
                <w:color w:val="auto"/>
              </w:rPr>
            </w:pPr>
            <w:r>
              <w:rPr>
                <w:rFonts w:ascii="Arial" w:cs="Arial" w:eastAsia="Arial" w:hAnsi="Arial"/>
                <w:sz w:val="17"/>
                <w:szCs w:val="17"/>
                <w:color w:val="auto"/>
              </w:rPr>
              <w:t>Not</w:t>
            </w:r>
          </w:p>
        </w:tc>
        <w:tc>
          <w:tcPr>
            <w:tcW w:w="1240" w:type="dxa"/>
            <w:vAlign w:val="bottom"/>
            <w:vMerge w:val="restart"/>
            <w:shd w:val="clear" w:color="auto" w:fill="BDBEBD"/>
          </w:tcPr>
          <w:p>
            <w:pPr>
              <w:jc w:val="right"/>
              <w:spacing w:after="0"/>
              <w:rPr>
                <w:sz w:val="20"/>
                <w:szCs w:val="20"/>
                <w:color w:val="auto"/>
              </w:rPr>
            </w:pPr>
            <w:r>
              <w:rPr>
                <w:rFonts w:ascii="Arial" w:cs="Arial" w:eastAsia="Arial" w:hAnsi="Arial"/>
                <w:sz w:val="17"/>
                <w:szCs w:val="17"/>
                <w:color w:val="auto"/>
              </w:rPr>
              <w:t>Consolidated</w:t>
            </w:r>
          </w:p>
        </w:tc>
        <w:tc>
          <w:tcPr>
            <w:tcW w:w="0" w:type="dxa"/>
            <w:vAlign w:val="bottom"/>
          </w:tcPr>
          <w:p>
            <w:pPr>
              <w:spacing w:after="0"/>
              <w:rPr>
                <w:sz w:val="1"/>
                <w:szCs w:val="1"/>
                <w:color w:val="auto"/>
              </w:rPr>
            </w:pPr>
          </w:p>
        </w:tc>
      </w:tr>
      <w:tr>
        <w:trPr>
          <w:trHeight w:val="189"/>
        </w:trPr>
        <w:tc>
          <w:tcPr>
            <w:tcW w:w="6600" w:type="dxa"/>
            <w:vAlign w:val="bottom"/>
            <w:shd w:val="clear" w:color="auto" w:fill="BDBEBD"/>
          </w:tcPr>
          <w:p>
            <w:pPr>
              <w:spacing w:after="0"/>
              <w:rPr>
                <w:sz w:val="16"/>
                <w:szCs w:val="16"/>
                <w:color w:val="auto"/>
              </w:rPr>
            </w:pPr>
          </w:p>
        </w:tc>
        <w:tc>
          <w:tcPr>
            <w:tcW w:w="300" w:type="dxa"/>
            <w:vAlign w:val="bottom"/>
            <w:shd w:val="clear" w:color="auto" w:fill="BDBEBD"/>
          </w:tcPr>
          <w:p>
            <w:pPr>
              <w:spacing w:after="0"/>
              <w:rPr>
                <w:sz w:val="16"/>
                <w:szCs w:val="16"/>
                <w:color w:val="auto"/>
              </w:rPr>
            </w:pPr>
          </w:p>
        </w:tc>
        <w:tc>
          <w:tcPr>
            <w:tcW w:w="540" w:type="dxa"/>
            <w:vAlign w:val="bottom"/>
            <w:vMerge w:val="continue"/>
            <w:shd w:val="clear" w:color="auto" w:fill="BDBEBD"/>
          </w:tcPr>
          <w:p>
            <w:pPr>
              <w:spacing w:after="0"/>
              <w:rPr>
                <w:sz w:val="16"/>
                <w:szCs w:val="16"/>
                <w:color w:val="auto"/>
              </w:rPr>
            </w:pPr>
          </w:p>
        </w:tc>
        <w:tc>
          <w:tcPr>
            <w:tcW w:w="80" w:type="dxa"/>
            <w:vAlign w:val="bottom"/>
            <w:shd w:val="clear" w:color="auto" w:fill="BDBEBD"/>
          </w:tcPr>
          <w:p>
            <w:pPr>
              <w:spacing w:after="0"/>
              <w:rPr>
                <w:sz w:val="16"/>
                <w:szCs w:val="16"/>
                <w:color w:val="auto"/>
              </w:rPr>
            </w:pPr>
          </w:p>
        </w:tc>
        <w:tc>
          <w:tcPr>
            <w:tcW w:w="1080" w:type="dxa"/>
            <w:vAlign w:val="bottom"/>
            <w:vMerge w:val="continue"/>
            <w:shd w:val="clear" w:color="auto" w:fill="BDBEBD"/>
          </w:tcPr>
          <w:p>
            <w:pPr>
              <w:spacing w:after="0"/>
              <w:rPr>
                <w:sz w:val="16"/>
                <w:szCs w:val="16"/>
                <w:color w:val="auto"/>
              </w:rPr>
            </w:pPr>
          </w:p>
        </w:tc>
        <w:tc>
          <w:tcPr>
            <w:tcW w:w="1180" w:type="dxa"/>
            <w:vAlign w:val="bottom"/>
            <w:vMerge w:val="restart"/>
            <w:shd w:val="clear" w:color="auto" w:fill="BDBEBD"/>
          </w:tcPr>
          <w:p>
            <w:pPr>
              <w:jc w:val="right"/>
              <w:ind w:right="235"/>
              <w:spacing w:after="0"/>
              <w:rPr>
                <w:sz w:val="20"/>
                <w:szCs w:val="20"/>
                <w:color w:val="auto"/>
              </w:rPr>
            </w:pPr>
            <w:r>
              <w:rPr>
                <w:rFonts w:ascii="Arial" w:cs="Arial" w:eastAsia="Arial" w:hAnsi="Arial"/>
                <w:sz w:val="17"/>
                <w:szCs w:val="17"/>
                <w:color w:val="auto"/>
              </w:rPr>
              <w:t>allocated</w:t>
            </w:r>
          </w:p>
        </w:tc>
        <w:tc>
          <w:tcPr>
            <w:tcW w:w="1240" w:type="dxa"/>
            <w:vAlign w:val="bottom"/>
            <w:vMerge w:val="continue"/>
            <w:shd w:val="clear" w:color="auto" w:fill="BDBEB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BDBEBD"/>
          </w:tcPr>
          <w:p>
            <w:pPr>
              <w:spacing w:after="0"/>
              <w:rPr>
                <w:sz w:val="16"/>
                <w:szCs w:val="16"/>
                <w:color w:val="auto"/>
              </w:rPr>
            </w:pPr>
          </w:p>
        </w:tc>
        <w:tc>
          <w:tcPr>
            <w:tcW w:w="300" w:type="dxa"/>
            <w:vAlign w:val="bottom"/>
            <w:shd w:val="clear" w:color="auto" w:fill="BDBEBD"/>
          </w:tcPr>
          <w:p>
            <w:pPr>
              <w:spacing w:after="0"/>
              <w:rPr>
                <w:sz w:val="16"/>
                <w:szCs w:val="16"/>
                <w:color w:val="auto"/>
              </w:rPr>
            </w:pPr>
          </w:p>
        </w:tc>
        <w:tc>
          <w:tcPr>
            <w:tcW w:w="540" w:type="dxa"/>
            <w:vAlign w:val="bottom"/>
            <w:shd w:val="clear" w:color="auto" w:fill="BDBEBD"/>
          </w:tcPr>
          <w:p>
            <w:pPr>
              <w:spacing w:after="0"/>
              <w:rPr>
                <w:sz w:val="16"/>
                <w:szCs w:val="16"/>
                <w:color w:val="auto"/>
              </w:rPr>
            </w:pPr>
          </w:p>
        </w:tc>
        <w:tc>
          <w:tcPr>
            <w:tcW w:w="80" w:type="dxa"/>
            <w:vAlign w:val="bottom"/>
            <w:shd w:val="clear" w:color="auto" w:fill="BDBEBD"/>
          </w:tcPr>
          <w:p>
            <w:pPr>
              <w:spacing w:after="0"/>
              <w:rPr>
                <w:sz w:val="16"/>
                <w:szCs w:val="16"/>
                <w:color w:val="auto"/>
              </w:rPr>
            </w:pPr>
          </w:p>
        </w:tc>
        <w:tc>
          <w:tcPr>
            <w:tcW w:w="1080" w:type="dxa"/>
            <w:vAlign w:val="bottom"/>
            <w:shd w:val="clear" w:color="auto" w:fill="BDBEBD"/>
          </w:tcPr>
          <w:p>
            <w:pPr>
              <w:spacing w:after="0"/>
              <w:rPr>
                <w:sz w:val="16"/>
                <w:szCs w:val="16"/>
                <w:color w:val="auto"/>
              </w:rPr>
            </w:pPr>
          </w:p>
        </w:tc>
        <w:tc>
          <w:tcPr>
            <w:tcW w:w="1180" w:type="dxa"/>
            <w:vAlign w:val="bottom"/>
            <w:vMerge w:val="continue"/>
            <w:shd w:val="clear" w:color="auto" w:fill="BDBEBD"/>
          </w:tcPr>
          <w:p>
            <w:pPr>
              <w:spacing w:after="0"/>
              <w:rPr>
                <w:sz w:val="16"/>
                <w:szCs w:val="16"/>
                <w:color w:val="auto"/>
              </w:rPr>
            </w:pPr>
          </w:p>
        </w:tc>
        <w:tc>
          <w:tcPr>
            <w:tcW w:w="1240" w:type="dxa"/>
            <w:vAlign w:val="bottom"/>
            <w:shd w:val="clear" w:color="auto" w:fill="BDBEBD"/>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100"/>
              <w:spacing w:after="0"/>
              <w:rPr>
                <w:sz w:val="20"/>
                <w:szCs w:val="20"/>
                <w:color w:val="auto"/>
              </w:rPr>
            </w:pPr>
            <w:r>
              <w:rPr>
                <w:rFonts w:ascii="Arial" w:cs="Arial" w:eastAsia="Arial" w:hAnsi="Arial"/>
                <w:sz w:val="17"/>
                <w:szCs w:val="17"/>
                <w:color w:val="auto"/>
              </w:rPr>
              <w:t>Revenue</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1,349</w:t>
            </w:r>
          </w:p>
        </w:tc>
        <w:tc>
          <w:tcPr>
            <w:tcW w:w="118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1240" w:type="dxa"/>
            <w:vAlign w:val="bottom"/>
          </w:tcPr>
          <w:p>
            <w:pPr>
              <w:jc w:val="right"/>
              <w:spacing w:after="0"/>
              <w:rPr>
                <w:sz w:val="20"/>
                <w:szCs w:val="20"/>
                <w:color w:val="auto"/>
              </w:rPr>
            </w:pPr>
            <w:r>
              <w:rPr>
                <w:rFonts w:ascii="Arial" w:cs="Arial" w:eastAsia="Arial" w:hAnsi="Arial"/>
                <w:sz w:val="17"/>
                <w:szCs w:val="17"/>
                <w:color w:val="auto"/>
              </w:rPr>
              <w:t>1,349</w:t>
            </w:r>
          </w:p>
        </w:tc>
        <w:tc>
          <w:tcPr>
            <w:tcW w:w="0" w:type="dxa"/>
            <w:vAlign w:val="bottom"/>
          </w:tcPr>
          <w:p>
            <w:pPr>
              <w:spacing w:after="0"/>
              <w:rPr>
                <w:sz w:val="1"/>
                <w:szCs w:val="1"/>
                <w:color w:val="auto"/>
              </w:rPr>
            </w:pPr>
          </w:p>
        </w:tc>
      </w:tr>
      <w:tr>
        <w:trPr>
          <w:trHeight w:val="72"/>
        </w:trPr>
        <w:tc>
          <w:tcPr>
            <w:tcW w:w="6600" w:type="dxa"/>
            <w:vAlign w:val="bottom"/>
          </w:tcPr>
          <w:p>
            <w:pPr>
              <w:spacing w:after="0"/>
              <w:rPr>
                <w:sz w:val="6"/>
                <w:szCs w:val="6"/>
                <w:color w:val="auto"/>
              </w:rPr>
            </w:pPr>
          </w:p>
        </w:tc>
        <w:tc>
          <w:tcPr>
            <w:tcW w:w="920" w:type="dxa"/>
            <w:vAlign w:val="bottom"/>
            <w:gridSpan w:val="3"/>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6600" w:type="dxa"/>
            <w:vAlign w:val="bottom"/>
            <w:shd w:val="clear" w:color="auto" w:fill="F7F3F7"/>
          </w:tcPr>
          <w:p>
            <w:pPr>
              <w:ind w:left="100"/>
              <w:spacing w:after="0"/>
              <w:rPr>
                <w:sz w:val="20"/>
                <w:szCs w:val="20"/>
                <w:color w:val="auto"/>
              </w:rPr>
            </w:pPr>
            <w:r>
              <w:rPr>
                <w:rFonts w:ascii="Arial" w:cs="Arial" w:eastAsia="Arial" w:hAnsi="Arial"/>
                <w:sz w:val="17"/>
                <w:szCs w:val="17"/>
                <w:b w:val="1"/>
                <w:bCs w:val="1"/>
                <w:color w:val="auto"/>
              </w:rPr>
              <w:t>Operating profit/loss</w:t>
            </w:r>
          </w:p>
        </w:tc>
        <w:tc>
          <w:tcPr>
            <w:tcW w:w="920" w:type="dxa"/>
            <w:vAlign w:val="bottom"/>
            <w:gridSpan w:val="3"/>
            <w:shd w:val="clear" w:color="auto" w:fill="F7F3F7"/>
          </w:tcPr>
          <w:p>
            <w:pPr>
              <w:jc w:val="right"/>
              <w:ind w:right="80"/>
              <w:spacing w:after="0"/>
              <w:rPr>
                <w:sz w:val="20"/>
                <w:szCs w:val="20"/>
                <w:color w:val="auto"/>
              </w:rPr>
            </w:pPr>
            <w:r>
              <w:rPr>
                <w:rFonts w:ascii="Arial" w:cs="Arial" w:eastAsia="Arial" w:hAnsi="Arial"/>
                <w:sz w:val="17"/>
                <w:szCs w:val="17"/>
                <w:b w:val="1"/>
                <w:bCs w:val="1"/>
                <w:color w:val="auto"/>
              </w:rPr>
              <w:t>-4,509</w:t>
            </w:r>
          </w:p>
        </w:tc>
        <w:tc>
          <w:tcPr>
            <w:tcW w:w="1080" w:type="dxa"/>
            <w:vAlign w:val="bottom"/>
            <w:shd w:val="clear" w:color="auto" w:fill="F7F3F7"/>
          </w:tcPr>
          <w:p>
            <w:pPr>
              <w:jc w:val="right"/>
              <w:ind w:right="95"/>
              <w:spacing w:after="0"/>
              <w:rPr>
                <w:sz w:val="20"/>
                <w:szCs w:val="20"/>
                <w:color w:val="auto"/>
              </w:rPr>
            </w:pPr>
            <w:r>
              <w:rPr>
                <w:rFonts w:ascii="Arial" w:cs="Arial" w:eastAsia="Arial" w:hAnsi="Arial"/>
                <w:sz w:val="17"/>
                <w:szCs w:val="17"/>
                <w:b w:val="1"/>
                <w:bCs w:val="1"/>
                <w:color w:val="auto"/>
              </w:rPr>
              <w:t>-11,288</w:t>
            </w:r>
          </w:p>
        </w:tc>
        <w:tc>
          <w:tcPr>
            <w:tcW w:w="1180" w:type="dxa"/>
            <w:vAlign w:val="bottom"/>
            <w:shd w:val="clear" w:color="auto" w:fill="F7F3F7"/>
          </w:tcPr>
          <w:p>
            <w:pPr>
              <w:jc w:val="right"/>
              <w:ind w:right="95"/>
              <w:spacing w:after="0"/>
              <w:rPr>
                <w:sz w:val="20"/>
                <w:szCs w:val="20"/>
                <w:color w:val="auto"/>
              </w:rPr>
            </w:pPr>
            <w:r>
              <w:rPr>
                <w:rFonts w:ascii="Arial" w:cs="Arial" w:eastAsia="Arial" w:hAnsi="Arial"/>
                <w:sz w:val="17"/>
                <w:szCs w:val="17"/>
                <w:b w:val="1"/>
                <w:bCs w:val="1"/>
                <w:color w:val="auto"/>
              </w:rPr>
              <w:t>-443</w:t>
            </w:r>
            <w:r>
              <w:rPr>
                <w:rFonts w:ascii="Arial" w:cs="Arial" w:eastAsia="Arial" w:hAnsi="Arial"/>
                <w:sz w:val="12"/>
                <w:szCs w:val="12"/>
                <w:color w:val="auto"/>
              </w:rPr>
              <w:t>18</w:t>
            </w:r>
          </w:p>
        </w:tc>
        <w:tc>
          <w:tcPr>
            <w:tcW w:w="1240" w:type="dxa"/>
            <w:vAlign w:val="bottom"/>
            <w:shd w:val="clear" w:color="auto" w:fill="F7F3F7"/>
          </w:tcPr>
          <w:p>
            <w:pPr>
              <w:jc w:val="right"/>
              <w:spacing w:after="0"/>
              <w:rPr>
                <w:sz w:val="20"/>
                <w:szCs w:val="20"/>
                <w:color w:val="auto"/>
              </w:rPr>
            </w:pPr>
            <w:r>
              <w:rPr>
                <w:rFonts w:ascii="Arial" w:cs="Arial" w:eastAsia="Arial" w:hAnsi="Arial"/>
                <w:sz w:val="17"/>
                <w:szCs w:val="17"/>
                <w:b w:val="1"/>
                <w:bCs w:val="1"/>
                <w:color w:val="auto"/>
              </w:rPr>
              <w:t>-16,240</w:t>
            </w:r>
          </w:p>
        </w:tc>
        <w:tc>
          <w:tcPr>
            <w:tcW w:w="0" w:type="dxa"/>
            <w:vAlign w:val="bottom"/>
          </w:tcPr>
          <w:p>
            <w:pPr>
              <w:spacing w:after="0"/>
              <w:rPr>
                <w:sz w:val="1"/>
                <w:szCs w:val="1"/>
                <w:color w:val="auto"/>
              </w:rPr>
            </w:pPr>
          </w:p>
        </w:tc>
      </w:tr>
      <w:tr>
        <w:trPr>
          <w:trHeight w:val="62"/>
        </w:trPr>
        <w:tc>
          <w:tcPr>
            <w:tcW w:w="6600" w:type="dxa"/>
            <w:vAlign w:val="bottom"/>
            <w:shd w:val="clear" w:color="auto" w:fill="F7F3F7"/>
          </w:tcPr>
          <w:p>
            <w:pPr>
              <w:spacing w:after="0"/>
              <w:rPr>
                <w:sz w:val="5"/>
                <w:szCs w:val="5"/>
                <w:color w:val="auto"/>
              </w:rPr>
            </w:pPr>
          </w:p>
        </w:tc>
        <w:tc>
          <w:tcPr>
            <w:tcW w:w="300" w:type="dxa"/>
            <w:vAlign w:val="bottom"/>
            <w:shd w:val="clear" w:color="auto" w:fill="F7F3F7"/>
          </w:tcPr>
          <w:p>
            <w:pPr>
              <w:spacing w:after="0"/>
              <w:rPr>
                <w:sz w:val="5"/>
                <w:szCs w:val="5"/>
                <w:color w:val="auto"/>
              </w:rPr>
            </w:pPr>
          </w:p>
        </w:tc>
        <w:tc>
          <w:tcPr>
            <w:tcW w:w="540" w:type="dxa"/>
            <w:vAlign w:val="bottom"/>
            <w:shd w:val="clear" w:color="auto" w:fill="F7F3F7"/>
          </w:tcPr>
          <w:p>
            <w:pPr>
              <w:spacing w:after="0"/>
              <w:rPr>
                <w:sz w:val="5"/>
                <w:szCs w:val="5"/>
                <w:color w:val="auto"/>
              </w:rPr>
            </w:pPr>
          </w:p>
        </w:tc>
        <w:tc>
          <w:tcPr>
            <w:tcW w:w="80" w:type="dxa"/>
            <w:vAlign w:val="bottom"/>
            <w:shd w:val="clear" w:color="auto" w:fill="F7F3F7"/>
          </w:tcPr>
          <w:p>
            <w:pPr>
              <w:spacing w:after="0"/>
              <w:rPr>
                <w:sz w:val="5"/>
                <w:szCs w:val="5"/>
                <w:color w:val="auto"/>
              </w:rPr>
            </w:pPr>
          </w:p>
        </w:tc>
        <w:tc>
          <w:tcPr>
            <w:tcW w:w="1080" w:type="dxa"/>
            <w:vAlign w:val="bottom"/>
            <w:shd w:val="clear" w:color="auto" w:fill="F7F3F7"/>
          </w:tcPr>
          <w:p>
            <w:pPr>
              <w:spacing w:after="0"/>
              <w:rPr>
                <w:sz w:val="5"/>
                <w:szCs w:val="5"/>
                <w:color w:val="auto"/>
              </w:rPr>
            </w:pPr>
          </w:p>
        </w:tc>
        <w:tc>
          <w:tcPr>
            <w:tcW w:w="1180" w:type="dxa"/>
            <w:vAlign w:val="bottom"/>
            <w:shd w:val="clear" w:color="auto" w:fill="F7F3F7"/>
          </w:tcPr>
          <w:p>
            <w:pPr>
              <w:spacing w:after="0"/>
              <w:rPr>
                <w:sz w:val="5"/>
                <w:szCs w:val="5"/>
                <w:color w:val="auto"/>
              </w:rPr>
            </w:pPr>
          </w:p>
        </w:tc>
        <w:tc>
          <w:tcPr>
            <w:tcW w:w="1240" w:type="dxa"/>
            <w:vAlign w:val="bottom"/>
            <w:shd w:val="clear" w:color="auto" w:fill="F7F3F7"/>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100"/>
              <w:spacing w:after="0"/>
              <w:rPr>
                <w:sz w:val="20"/>
                <w:szCs w:val="20"/>
                <w:color w:val="auto"/>
              </w:rPr>
            </w:pPr>
            <w:r>
              <w:rPr>
                <w:rFonts w:ascii="Arial" w:cs="Arial" w:eastAsia="Arial" w:hAnsi="Arial"/>
                <w:sz w:val="17"/>
                <w:szCs w:val="17"/>
                <w:color w:val="auto"/>
              </w:rPr>
              <w:t>Interest and similar expenses</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72"/>
        </w:trPr>
        <w:tc>
          <w:tcPr>
            <w:tcW w:w="6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F7F3F7"/>
          </w:tcPr>
          <w:p>
            <w:pPr>
              <w:ind w:left="100"/>
              <w:spacing w:after="0"/>
              <w:rPr>
                <w:sz w:val="20"/>
                <w:szCs w:val="20"/>
                <w:color w:val="auto"/>
              </w:rPr>
            </w:pPr>
            <w:r>
              <w:rPr>
                <w:rFonts w:ascii="Arial" w:cs="Arial" w:eastAsia="Arial" w:hAnsi="Arial"/>
                <w:sz w:val="17"/>
                <w:szCs w:val="17"/>
                <w:color w:val="auto"/>
              </w:rPr>
              <w:t>Net foreign exchange gain / (loss)</w:t>
            </w:r>
          </w:p>
        </w:tc>
        <w:tc>
          <w:tcPr>
            <w:tcW w:w="300" w:type="dxa"/>
            <w:vAlign w:val="bottom"/>
            <w:shd w:val="clear" w:color="auto" w:fill="F7F3F7"/>
          </w:tcPr>
          <w:p>
            <w:pPr>
              <w:spacing w:after="0"/>
              <w:rPr>
                <w:sz w:val="19"/>
                <w:szCs w:val="19"/>
                <w:color w:val="auto"/>
              </w:rPr>
            </w:pPr>
          </w:p>
        </w:tc>
        <w:tc>
          <w:tcPr>
            <w:tcW w:w="540" w:type="dxa"/>
            <w:vAlign w:val="bottom"/>
            <w:shd w:val="clear" w:color="auto" w:fill="F7F3F7"/>
          </w:tcPr>
          <w:p>
            <w:pPr>
              <w:spacing w:after="0"/>
              <w:rPr>
                <w:sz w:val="19"/>
                <w:szCs w:val="19"/>
                <w:color w:val="auto"/>
              </w:rPr>
            </w:pPr>
          </w:p>
        </w:tc>
        <w:tc>
          <w:tcPr>
            <w:tcW w:w="80" w:type="dxa"/>
            <w:vAlign w:val="bottom"/>
            <w:shd w:val="clear" w:color="auto" w:fill="F7F3F7"/>
          </w:tcPr>
          <w:p>
            <w:pPr>
              <w:spacing w:after="0"/>
              <w:rPr>
                <w:sz w:val="19"/>
                <w:szCs w:val="19"/>
                <w:color w:val="auto"/>
              </w:rPr>
            </w:pPr>
          </w:p>
        </w:tc>
        <w:tc>
          <w:tcPr>
            <w:tcW w:w="1080" w:type="dxa"/>
            <w:vAlign w:val="bottom"/>
            <w:shd w:val="clear" w:color="auto" w:fill="F7F3F7"/>
          </w:tcPr>
          <w:p>
            <w:pPr>
              <w:spacing w:after="0"/>
              <w:rPr>
                <w:sz w:val="19"/>
                <w:szCs w:val="19"/>
                <w:color w:val="auto"/>
              </w:rPr>
            </w:pPr>
          </w:p>
        </w:tc>
        <w:tc>
          <w:tcPr>
            <w:tcW w:w="1180" w:type="dxa"/>
            <w:vAlign w:val="bottom"/>
            <w:shd w:val="clear" w:color="auto" w:fill="F7F3F7"/>
          </w:tcPr>
          <w:p>
            <w:pPr>
              <w:spacing w:after="0"/>
              <w:rPr>
                <w:sz w:val="19"/>
                <w:szCs w:val="19"/>
                <w:color w:val="auto"/>
              </w:rPr>
            </w:pPr>
          </w:p>
        </w:tc>
        <w:tc>
          <w:tcPr>
            <w:tcW w:w="1240" w:type="dxa"/>
            <w:vAlign w:val="bottom"/>
            <w:shd w:val="clear" w:color="auto" w:fill="F7F3F7"/>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72"/>
        </w:trPr>
        <w:tc>
          <w:tcPr>
            <w:tcW w:w="6600" w:type="dxa"/>
            <w:vAlign w:val="bottom"/>
            <w:shd w:val="clear" w:color="auto" w:fill="F7F3F7"/>
          </w:tcPr>
          <w:p>
            <w:pPr>
              <w:spacing w:after="0"/>
              <w:rPr>
                <w:sz w:val="6"/>
                <w:szCs w:val="6"/>
                <w:color w:val="auto"/>
              </w:rPr>
            </w:pPr>
          </w:p>
        </w:tc>
        <w:tc>
          <w:tcPr>
            <w:tcW w:w="300" w:type="dxa"/>
            <w:vAlign w:val="bottom"/>
            <w:shd w:val="clear" w:color="auto" w:fill="F7F3F7"/>
          </w:tcPr>
          <w:p>
            <w:pPr>
              <w:spacing w:after="0"/>
              <w:rPr>
                <w:sz w:val="6"/>
                <w:szCs w:val="6"/>
                <w:color w:val="auto"/>
              </w:rPr>
            </w:pPr>
          </w:p>
        </w:tc>
        <w:tc>
          <w:tcPr>
            <w:tcW w:w="540" w:type="dxa"/>
            <w:vAlign w:val="bottom"/>
            <w:shd w:val="clear" w:color="auto" w:fill="F7F3F7"/>
          </w:tcPr>
          <w:p>
            <w:pPr>
              <w:spacing w:after="0"/>
              <w:rPr>
                <w:sz w:val="6"/>
                <w:szCs w:val="6"/>
                <w:color w:val="auto"/>
              </w:rPr>
            </w:pPr>
          </w:p>
        </w:tc>
        <w:tc>
          <w:tcPr>
            <w:tcW w:w="80" w:type="dxa"/>
            <w:vAlign w:val="bottom"/>
            <w:shd w:val="clear" w:color="auto" w:fill="F7F3F7"/>
          </w:tcPr>
          <w:p>
            <w:pPr>
              <w:spacing w:after="0"/>
              <w:rPr>
                <w:sz w:val="6"/>
                <w:szCs w:val="6"/>
                <w:color w:val="auto"/>
              </w:rPr>
            </w:pPr>
          </w:p>
        </w:tc>
        <w:tc>
          <w:tcPr>
            <w:tcW w:w="1080" w:type="dxa"/>
            <w:vAlign w:val="bottom"/>
            <w:shd w:val="clear" w:color="auto" w:fill="F7F3F7"/>
          </w:tcPr>
          <w:p>
            <w:pPr>
              <w:spacing w:after="0"/>
              <w:rPr>
                <w:sz w:val="6"/>
                <w:szCs w:val="6"/>
                <w:color w:val="auto"/>
              </w:rPr>
            </w:pPr>
          </w:p>
        </w:tc>
        <w:tc>
          <w:tcPr>
            <w:tcW w:w="1180" w:type="dxa"/>
            <w:vAlign w:val="bottom"/>
            <w:shd w:val="clear" w:color="auto" w:fill="F7F3F7"/>
          </w:tcPr>
          <w:p>
            <w:pPr>
              <w:spacing w:after="0"/>
              <w:rPr>
                <w:sz w:val="6"/>
                <w:szCs w:val="6"/>
                <w:color w:val="auto"/>
              </w:rPr>
            </w:pPr>
          </w:p>
        </w:tc>
        <w:tc>
          <w:tcPr>
            <w:tcW w:w="1240" w:type="dxa"/>
            <w:vAlign w:val="bottom"/>
            <w:shd w:val="clear" w:color="auto" w:fill="F7F3F7"/>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6600" w:type="dxa"/>
            <w:vAlign w:val="bottom"/>
          </w:tcPr>
          <w:p>
            <w:pPr>
              <w:ind w:left="100"/>
              <w:spacing w:after="0"/>
              <w:rPr>
                <w:sz w:val="20"/>
                <w:szCs w:val="20"/>
                <w:color w:val="auto"/>
              </w:rPr>
            </w:pPr>
            <w:r>
              <w:rPr>
                <w:rFonts w:ascii="Arial" w:cs="Arial" w:eastAsia="Arial" w:hAnsi="Arial"/>
                <w:sz w:val="17"/>
                <w:szCs w:val="17"/>
                <w:b w:val="1"/>
                <w:bCs w:val="1"/>
                <w:color w:val="auto"/>
              </w:rPr>
              <w:t>Net Finance costs</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163</w:t>
            </w:r>
          </w:p>
        </w:tc>
        <w:tc>
          <w:tcPr>
            <w:tcW w:w="0" w:type="dxa"/>
            <w:vAlign w:val="bottom"/>
          </w:tcPr>
          <w:p>
            <w:pPr>
              <w:spacing w:after="0"/>
              <w:rPr>
                <w:sz w:val="1"/>
                <w:szCs w:val="1"/>
                <w:color w:val="auto"/>
              </w:rPr>
            </w:pPr>
          </w:p>
        </w:tc>
      </w:tr>
      <w:tr>
        <w:trPr>
          <w:trHeight w:val="62"/>
        </w:trPr>
        <w:tc>
          <w:tcPr>
            <w:tcW w:w="6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600" w:type="dxa"/>
            <w:vAlign w:val="bottom"/>
            <w:shd w:val="clear" w:color="auto" w:fill="F7F3F7"/>
          </w:tcPr>
          <w:p>
            <w:pPr>
              <w:ind w:left="100"/>
              <w:spacing w:after="0"/>
              <w:rPr>
                <w:sz w:val="20"/>
                <w:szCs w:val="20"/>
                <w:color w:val="auto"/>
              </w:rPr>
            </w:pPr>
            <w:r>
              <w:rPr>
                <w:rFonts w:ascii="Arial" w:cs="Arial" w:eastAsia="Arial" w:hAnsi="Arial"/>
                <w:sz w:val="17"/>
                <w:szCs w:val="17"/>
                <w:b w:val="1"/>
                <w:bCs w:val="1"/>
                <w:color w:val="auto"/>
              </w:rPr>
              <w:t>Profit/loss before taxes</w:t>
            </w:r>
          </w:p>
        </w:tc>
        <w:tc>
          <w:tcPr>
            <w:tcW w:w="300" w:type="dxa"/>
            <w:vAlign w:val="bottom"/>
            <w:shd w:val="clear" w:color="auto" w:fill="F7F3F7"/>
          </w:tcPr>
          <w:p>
            <w:pPr>
              <w:spacing w:after="0"/>
              <w:rPr>
                <w:sz w:val="20"/>
                <w:szCs w:val="20"/>
                <w:color w:val="auto"/>
              </w:rPr>
            </w:pPr>
          </w:p>
        </w:tc>
        <w:tc>
          <w:tcPr>
            <w:tcW w:w="540" w:type="dxa"/>
            <w:vAlign w:val="bottom"/>
            <w:shd w:val="clear" w:color="auto" w:fill="F7F3F7"/>
          </w:tcPr>
          <w:p>
            <w:pPr>
              <w:spacing w:after="0"/>
              <w:rPr>
                <w:sz w:val="20"/>
                <w:szCs w:val="20"/>
                <w:color w:val="auto"/>
              </w:rPr>
            </w:pPr>
          </w:p>
        </w:tc>
        <w:tc>
          <w:tcPr>
            <w:tcW w:w="80" w:type="dxa"/>
            <w:vAlign w:val="bottom"/>
            <w:shd w:val="clear" w:color="auto" w:fill="F7F3F7"/>
          </w:tcPr>
          <w:p>
            <w:pPr>
              <w:spacing w:after="0"/>
              <w:rPr>
                <w:sz w:val="20"/>
                <w:szCs w:val="20"/>
                <w:color w:val="auto"/>
              </w:rPr>
            </w:pPr>
          </w:p>
        </w:tc>
        <w:tc>
          <w:tcPr>
            <w:tcW w:w="1080" w:type="dxa"/>
            <w:vAlign w:val="bottom"/>
            <w:shd w:val="clear" w:color="auto" w:fill="F7F3F7"/>
          </w:tcPr>
          <w:p>
            <w:pPr>
              <w:spacing w:after="0"/>
              <w:rPr>
                <w:sz w:val="20"/>
                <w:szCs w:val="20"/>
                <w:color w:val="auto"/>
              </w:rPr>
            </w:pPr>
          </w:p>
        </w:tc>
        <w:tc>
          <w:tcPr>
            <w:tcW w:w="1180" w:type="dxa"/>
            <w:vAlign w:val="bottom"/>
            <w:shd w:val="clear" w:color="auto" w:fill="F7F3F7"/>
          </w:tcPr>
          <w:p>
            <w:pPr>
              <w:spacing w:after="0"/>
              <w:rPr>
                <w:sz w:val="20"/>
                <w:szCs w:val="20"/>
                <w:color w:val="auto"/>
              </w:rPr>
            </w:pPr>
          </w:p>
        </w:tc>
        <w:tc>
          <w:tcPr>
            <w:tcW w:w="1240" w:type="dxa"/>
            <w:vAlign w:val="bottom"/>
            <w:shd w:val="clear" w:color="auto" w:fill="F7F3F7"/>
          </w:tcPr>
          <w:p>
            <w:pPr>
              <w:jc w:val="right"/>
              <w:spacing w:after="0"/>
              <w:rPr>
                <w:sz w:val="20"/>
                <w:szCs w:val="20"/>
                <w:color w:val="auto"/>
              </w:rPr>
            </w:pPr>
            <w:r>
              <w:rPr>
                <w:rFonts w:ascii="Arial" w:cs="Arial" w:eastAsia="Arial" w:hAnsi="Arial"/>
                <w:sz w:val="17"/>
                <w:szCs w:val="17"/>
                <w:b w:val="1"/>
                <w:bCs w:val="1"/>
                <w:color w:val="auto"/>
              </w:rPr>
              <w:t>-16,077</w:t>
            </w:r>
          </w:p>
        </w:tc>
        <w:tc>
          <w:tcPr>
            <w:tcW w:w="0" w:type="dxa"/>
            <w:vAlign w:val="bottom"/>
          </w:tcPr>
          <w:p>
            <w:pPr>
              <w:spacing w:after="0"/>
              <w:rPr>
                <w:sz w:val="1"/>
                <w:szCs w:val="1"/>
                <w:color w:val="auto"/>
              </w:rPr>
            </w:pPr>
          </w:p>
        </w:tc>
      </w:tr>
      <w:tr>
        <w:trPr>
          <w:trHeight w:val="62"/>
        </w:trPr>
        <w:tc>
          <w:tcPr>
            <w:tcW w:w="6600" w:type="dxa"/>
            <w:vAlign w:val="bottom"/>
            <w:shd w:val="clear" w:color="auto" w:fill="F7F3F7"/>
          </w:tcPr>
          <w:p>
            <w:pPr>
              <w:spacing w:after="0"/>
              <w:rPr>
                <w:sz w:val="5"/>
                <w:szCs w:val="5"/>
                <w:color w:val="auto"/>
              </w:rPr>
            </w:pPr>
          </w:p>
        </w:tc>
        <w:tc>
          <w:tcPr>
            <w:tcW w:w="300" w:type="dxa"/>
            <w:vAlign w:val="bottom"/>
            <w:shd w:val="clear" w:color="auto" w:fill="F7F3F7"/>
          </w:tcPr>
          <w:p>
            <w:pPr>
              <w:spacing w:after="0"/>
              <w:rPr>
                <w:sz w:val="5"/>
                <w:szCs w:val="5"/>
                <w:color w:val="auto"/>
              </w:rPr>
            </w:pPr>
          </w:p>
        </w:tc>
        <w:tc>
          <w:tcPr>
            <w:tcW w:w="540" w:type="dxa"/>
            <w:vAlign w:val="bottom"/>
            <w:shd w:val="clear" w:color="auto" w:fill="F7F3F7"/>
          </w:tcPr>
          <w:p>
            <w:pPr>
              <w:spacing w:after="0"/>
              <w:rPr>
                <w:sz w:val="5"/>
                <w:szCs w:val="5"/>
                <w:color w:val="auto"/>
              </w:rPr>
            </w:pPr>
          </w:p>
        </w:tc>
        <w:tc>
          <w:tcPr>
            <w:tcW w:w="80" w:type="dxa"/>
            <w:vAlign w:val="bottom"/>
            <w:shd w:val="clear" w:color="auto" w:fill="F7F3F7"/>
          </w:tcPr>
          <w:p>
            <w:pPr>
              <w:spacing w:after="0"/>
              <w:rPr>
                <w:sz w:val="5"/>
                <w:szCs w:val="5"/>
                <w:color w:val="auto"/>
              </w:rPr>
            </w:pPr>
          </w:p>
        </w:tc>
        <w:tc>
          <w:tcPr>
            <w:tcW w:w="1080" w:type="dxa"/>
            <w:vAlign w:val="bottom"/>
            <w:shd w:val="clear" w:color="auto" w:fill="F7F3F7"/>
          </w:tcPr>
          <w:p>
            <w:pPr>
              <w:spacing w:after="0"/>
              <w:rPr>
                <w:sz w:val="5"/>
                <w:szCs w:val="5"/>
                <w:color w:val="auto"/>
              </w:rPr>
            </w:pPr>
          </w:p>
        </w:tc>
        <w:tc>
          <w:tcPr>
            <w:tcW w:w="1180" w:type="dxa"/>
            <w:vAlign w:val="bottom"/>
            <w:shd w:val="clear" w:color="auto" w:fill="F7F3F7"/>
          </w:tcPr>
          <w:p>
            <w:pPr>
              <w:spacing w:after="0"/>
              <w:rPr>
                <w:sz w:val="5"/>
                <w:szCs w:val="5"/>
                <w:color w:val="auto"/>
              </w:rPr>
            </w:pPr>
          </w:p>
        </w:tc>
        <w:tc>
          <w:tcPr>
            <w:tcW w:w="1240" w:type="dxa"/>
            <w:vAlign w:val="bottom"/>
            <w:shd w:val="clear" w:color="auto" w:fill="F7F3F7"/>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10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72"/>
        </w:trPr>
        <w:tc>
          <w:tcPr>
            <w:tcW w:w="6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6600" w:type="dxa"/>
            <w:vAlign w:val="bottom"/>
            <w:shd w:val="clear" w:color="auto" w:fill="F7F3F7"/>
          </w:tcPr>
          <w:p>
            <w:pPr>
              <w:ind w:left="100"/>
              <w:spacing w:after="0"/>
              <w:rPr>
                <w:sz w:val="20"/>
                <w:szCs w:val="20"/>
                <w:color w:val="auto"/>
              </w:rPr>
            </w:pPr>
            <w:r>
              <w:rPr>
                <w:rFonts w:ascii="Arial" w:cs="Arial" w:eastAsia="Arial" w:hAnsi="Arial"/>
                <w:sz w:val="17"/>
                <w:szCs w:val="17"/>
                <w:b w:val="1"/>
                <w:bCs w:val="1"/>
                <w:color w:val="auto"/>
              </w:rPr>
              <w:t>Consolidated net profit/loss</w:t>
            </w:r>
          </w:p>
        </w:tc>
        <w:tc>
          <w:tcPr>
            <w:tcW w:w="300" w:type="dxa"/>
            <w:vAlign w:val="bottom"/>
            <w:shd w:val="clear" w:color="auto" w:fill="F7F3F7"/>
          </w:tcPr>
          <w:p>
            <w:pPr>
              <w:spacing w:after="0"/>
              <w:rPr>
                <w:sz w:val="20"/>
                <w:szCs w:val="20"/>
                <w:color w:val="auto"/>
              </w:rPr>
            </w:pPr>
          </w:p>
        </w:tc>
        <w:tc>
          <w:tcPr>
            <w:tcW w:w="540" w:type="dxa"/>
            <w:vAlign w:val="bottom"/>
            <w:shd w:val="clear" w:color="auto" w:fill="F7F3F7"/>
          </w:tcPr>
          <w:p>
            <w:pPr>
              <w:spacing w:after="0"/>
              <w:rPr>
                <w:sz w:val="20"/>
                <w:szCs w:val="20"/>
                <w:color w:val="auto"/>
              </w:rPr>
            </w:pPr>
          </w:p>
        </w:tc>
        <w:tc>
          <w:tcPr>
            <w:tcW w:w="80" w:type="dxa"/>
            <w:vAlign w:val="bottom"/>
            <w:shd w:val="clear" w:color="auto" w:fill="F7F3F7"/>
          </w:tcPr>
          <w:p>
            <w:pPr>
              <w:spacing w:after="0"/>
              <w:rPr>
                <w:sz w:val="20"/>
                <w:szCs w:val="20"/>
                <w:color w:val="auto"/>
              </w:rPr>
            </w:pPr>
          </w:p>
        </w:tc>
        <w:tc>
          <w:tcPr>
            <w:tcW w:w="1080" w:type="dxa"/>
            <w:vAlign w:val="bottom"/>
            <w:shd w:val="clear" w:color="auto" w:fill="F7F3F7"/>
          </w:tcPr>
          <w:p>
            <w:pPr>
              <w:spacing w:after="0"/>
              <w:rPr>
                <w:sz w:val="20"/>
                <w:szCs w:val="20"/>
                <w:color w:val="auto"/>
              </w:rPr>
            </w:pPr>
          </w:p>
        </w:tc>
        <w:tc>
          <w:tcPr>
            <w:tcW w:w="1180" w:type="dxa"/>
            <w:vAlign w:val="bottom"/>
            <w:shd w:val="clear" w:color="auto" w:fill="F7F3F7"/>
          </w:tcPr>
          <w:p>
            <w:pPr>
              <w:spacing w:after="0"/>
              <w:rPr>
                <w:sz w:val="20"/>
                <w:szCs w:val="20"/>
                <w:color w:val="auto"/>
              </w:rPr>
            </w:pPr>
          </w:p>
        </w:tc>
        <w:tc>
          <w:tcPr>
            <w:tcW w:w="1240" w:type="dxa"/>
            <w:vAlign w:val="bottom"/>
            <w:shd w:val="clear" w:color="auto" w:fill="F7F3F7"/>
          </w:tcPr>
          <w:p>
            <w:pPr>
              <w:jc w:val="right"/>
              <w:spacing w:after="0"/>
              <w:rPr>
                <w:sz w:val="20"/>
                <w:szCs w:val="20"/>
                <w:color w:val="auto"/>
              </w:rPr>
            </w:pPr>
            <w:r>
              <w:rPr>
                <w:rFonts w:ascii="Arial" w:cs="Arial" w:eastAsia="Arial" w:hAnsi="Arial"/>
                <w:sz w:val="17"/>
                <w:szCs w:val="17"/>
                <w:b w:val="1"/>
                <w:bCs w:val="1"/>
                <w:color w:val="auto"/>
              </w:rPr>
              <w:t>-16,077</w:t>
            </w:r>
          </w:p>
        </w:tc>
        <w:tc>
          <w:tcPr>
            <w:tcW w:w="0" w:type="dxa"/>
            <w:vAlign w:val="bottom"/>
          </w:tcPr>
          <w:p>
            <w:pPr>
              <w:spacing w:after="0"/>
              <w:rPr>
                <w:sz w:val="1"/>
                <w:szCs w:val="1"/>
                <w:color w:val="auto"/>
              </w:rPr>
            </w:pPr>
          </w:p>
        </w:tc>
      </w:tr>
      <w:tr>
        <w:trPr>
          <w:trHeight w:val="62"/>
        </w:trPr>
        <w:tc>
          <w:tcPr>
            <w:tcW w:w="6600" w:type="dxa"/>
            <w:vAlign w:val="bottom"/>
            <w:shd w:val="clear" w:color="auto" w:fill="F7F3F7"/>
          </w:tcPr>
          <w:p>
            <w:pPr>
              <w:spacing w:after="0"/>
              <w:rPr>
                <w:sz w:val="5"/>
                <w:szCs w:val="5"/>
                <w:color w:val="auto"/>
              </w:rPr>
            </w:pPr>
          </w:p>
        </w:tc>
        <w:tc>
          <w:tcPr>
            <w:tcW w:w="300" w:type="dxa"/>
            <w:vAlign w:val="bottom"/>
            <w:shd w:val="clear" w:color="auto" w:fill="F7F3F7"/>
          </w:tcPr>
          <w:p>
            <w:pPr>
              <w:spacing w:after="0"/>
              <w:rPr>
                <w:sz w:val="5"/>
                <w:szCs w:val="5"/>
                <w:color w:val="auto"/>
              </w:rPr>
            </w:pPr>
          </w:p>
        </w:tc>
        <w:tc>
          <w:tcPr>
            <w:tcW w:w="540" w:type="dxa"/>
            <w:vAlign w:val="bottom"/>
            <w:shd w:val="clear" w:color="auto" w:fill="F7F3F7"/>
          </w:tcPr>
          <w:p>
            <w:pPr>
              <w:spacing w:after="0"/>
              <w:rPr>
                <w:sz w:val="5"/>
                <w:szCs w:val="5"/>
                <w:color w:val="auto"/>
              </w:rPr>
            </w:pPr>
          </w:p>
        </w:tc>
        <w:tc>
          <w:tcPr>
            <w:tcW w:w="80" w:type="dxa"/>
            <w:vAlign w:val="bottom"/>
            <w:shd w:val="clear" w:color="auto" w:fill="F7F3F7"/>
          </w:tcPr>
          <w:p>
            <w:pPr>
              <w:spacing w:after="0"/>
              <w:rPr>
                <w:sz w:val="5"/>
                <w:szCs w:val="5"/>
                <w:color w:val="auto"/>
              </w:rPr>
            </w:pPr>
          </w:p>
        </w:tc>
        <w:tc>
          <w:tcPr>
            <w:tcW w:w="1080" w:type="dxa"/>
            <w:vAlign w:val="bottom"/>
            <w:shd w:val="clear" w:color="auto" w:fill="F7F3F7"/>
          </w:tcPr>
          <w:p>
            <w:pPr>
              <w:spacing w:after="0"/>
              <w:rPr>
                <w:sz w:val="5"/>
                <w:szCs w:val="5"/>
                <w:color w:val="auto"/>
              </w:rPr>
            </w:pPr>
          </w:p>
        </w:tc>
        <w:tc>
          <w:tcPr>
            <w:tcW w:w="1180" w:type="dxa"/>
            <w:vAlign w:val="bottom"/>
            <w:shd w:val="clear" w:color="auto" w:fill="F7F3F7"/>
          </w:tcPr>
          <w:p>
            <w:pPr>
              <w:spacing w:after="0"/>
              <w:rPr>
                <w:sz w:val="5"/>
                <w:szCs w:val="5"/>
                <w:color w:val="auto"/>
              </w:rPr>
            </w:pPr>
          </w:p>
        </w:tc>
        <w:tc>
          <w:tcPr>
            <w:tcW w:w="1240" w:type="dxa"/>
            <w:vAlign w:val="bottom"/>
            <w:shd w:val="clear" w:color="auto" w:fill="F7F3F7"/>
          </w:tcPr>
          <w:p>
            <w:pPr>
              <w:spacing w:after="0"/>
              <w:rPr>
                <w:sz w:val="5"/>
                <w:szCs w:val="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 w:right="20"/>
        <w:spacing w:after="0" w:line="254" w:lineRule="auto"/>
        <w:rPr>
          <w:sz w:val="20"/>
          <w:szCs w:val="20"/>
          <w:color w:val="auto"/>
        </w:rPr>
      </w:pPr>
      <w:r>
        <w:rPr>
          <w:rFonts w:ascii="Arial" w:cs="Arial" w:eastAsia="Arial" w:hAnsi="Arial"/>
          <w:sz w:val="17"/>
          <w:szCs w:val="17"/>
          <w:color w:val="auto"/>
        </w:rPr>
        <w:t xml:space="preserve">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25 thousand (Segment Space) is attributable to two customers. In the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1,240 thousand are attributable to one customer, which represents 92% of the total revenue. For the six months ended June 30, 2022, material expenses related to the write offs of inventories have been recognized for the Segment Space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2,739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0 thousand) and the Segment Air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933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0 thousand).</w:t>
      </w:r>
    </w:p>
    <w:p>
      <w:pPr>
        <w:spacing w:after="0" w:line="75"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With respect to the information on geographical regions, revenue is allocated to the countries based on the country of destination of the respective customer; non-current assets are allocated to the location of the respective asset.</w:t>
      </w:r>
    </w:p>
    <w:p>
      <w:pPr>
        <w:spacing w:after="0" w:line="51" w:lineRule="exact"/>
        <w:rPr>
          <w:sz w:val="20"/>
          <w:szCs w:val="20"/>
          <w:color w:val="auto"/>
        </w:rPr>
      </w:pPr>
    </w:p>
    <w:p>
      <w:pPr>
        <w:ind w:left="4"/>
        <w:spacing w:after="0"/>
        <w:rPr>
          <w:sz w:val="20"/>
          <w:szCs w:val="20"/>
          <w:color w:val="auto"/>
        </w:rPr>
      </w:pPr>
      <w:r>
        <w:rPr>
          <w:rFonts w:ascii="Arial" w:cs="Arial" w:eastAsia="Arial" w:hAnsi="Arial"/>
          <w:sz w:val="17"/>
          <w:szCs w:val="17"/>
          <w:color w:val="auto"/>
        </w:rPr>
        <w:t>Revenue can be broken down by country as follows:</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2440" w:type="dxa"/>
            <w:vAlign w:val="bottom"/>
            <w:shd w:val="clear" w:color="auto" w:fill="BDBEBD"/>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4160" w:type="dxa"/>
            <w:vAlign w:val="bottom"/>
            <w:gridSpan w:val="2"/>
            <w:shd w:val="clear" w:color="auto" w:fill="BDBEBD"/>
          </w:tcPr>
          <w:p>
            <w:pPr>
              <w:jc w:val="right"/>
              <w:ind w:right="1092"/>
              <w:spacing w:after="0"/>
              <w:rPr>
                <w:sz w:val="20"/>
                <w:szCs w:val="20"/>
                <w:color w:val="auto"/>
              </w:rPr>
            </w:pPr>
            <w:r>
              <w:rPr>
                <w:rFonts w:ascii="Arial" w:cs="Arial" w:eastAsia="Arial" w:hAnsi="Arial"/>
                <w:sz w:val="17"/>
                <w:szCs w:val="17"/>
                <w:color w:val="auto"/>
              </w:rPr>
              <w:t>Six Months Ended</w:t>
            </w:r>
          </w:p>
        </w:tc>
      </w:tr>
      <w:tr>
        <w:trPr>
          <w:trHeight w:val="310"/>
        </w:trPr>
        <w:tc>
          <w:tcPr>
            <w:tcW w:w="2440" w:type="dxa"/>
            <w:vAlign w:val="bottom"/>
            <w:shd w:val="clear" w:color="auto" w:fill="BDBEBD"/>
          </w:tcPr>
          <w:p>
            <w:pPr>
              <w:spacing w:after="0"/>
              <w:rPr>
                <w:sz w:val="24"/>
                <w:szCs w:val="24"/>
                <w:color w:val="auto"/>
              </w:rPr>
            </w:pPr>
          </w:p>
        </w:tc>
        <w:tc>
          <w:tcPr>
            <w:tcW w:w="2380" w:type="dxa"/>
            <w:vAlign w:val="bottom"/>
            <w:shd w:val="clear" w:color="auto" w:fill="BDBEBD"/>
          </w:tcPr>
          <w:p>
            <w:pPr>
              <w:jc w:val="right"/>
              <w:ind w:right="552"/>
              <w:spacing w:after="0"/>
              <w:rPr>
                <w:sz w:val="20"/>
                <w:szCs w:val="20"/>
                <w:color w:val="auto"/>
              </w:rPr>
            </w:pPr>
            <w:r>
              <w:rPr>
                <w:rFonts w:ascii="Arial" w:cs="Arial" w:eastAsia="Arial" w:hAnsi="Arial"/>
                <w:sz w:val="17"/>
                <w:szCs w:val="17"/>
                <w:color w:val="auto"/>
              </w:rPr>
              <w:t>June 30, 2022</w:t>
            </w:r>
          </w:p>
        </w:tc>
        <w:tc>
          <w:tcPr>
            <w:tcW w:w="1780" w:type="dxa"/>
            <w:vAlign w:val="bottom"/>
            <w:shd w:val="clear" w:color="auto" w:fill="BDBEBD"/>
          </w:tcPr>
          <w:p>
            <w:pPr>
              <w:jc w:val="right"/>
              <w:ind w:right="252"/>
              <w:spacing w:after="0"/>
              <w:rPr>
                <w:sz w:val="20"/>
                <w:szCs w:val="20"/>
                <w:color w:val="auto"/>
              </w:rPr>
            </w:pPr>
            <w:r>
              <w:rPr>
                <w:rFonts w:ascii="Arial" w:cs="Arial" w:eastAsia="Arial" w:hAnsi="Arial"/>
                <w:sz w:val="17"/>
                <w:szCs w:val="17"/>
                <w:color w:val="auto"/>
              </w:rPr>
              <w:t>June 30, 2021</w:t>
            </w:r>
          </w:p>
        </w:tc>
      </w:tr>
      <w:tr>
        <w:trPr>
          <w:trHeight w:val="94"/>
        </w:trPr>
        <w:tc>
          <w:tcPr>
            <w:tcW w:w="2440" w:type="dxa"/>
            <w:vAlign w:val="bottom"/>
            <w:shd w:val="clear" w:color="auto" w:fill="BDBEBD"/>
          </w:tcPr>
          <w:p>
            <w:pPr>
              <w:spacing w:after="0"/>
              <w:rPr>
                <w:sz w:val="8"/>
                <w:szCs w:val="8"/>
                <w:color w:val="auto"/>
              </w:rPr>
            </w:pPr>
          </w:p>
        </w:tc>
        <w:tc>
          <w:tcPr>
            <w:tcW w:w="2380" w:type="dxa"/>
            <w:vAlign w:val="bottom"/>
            <w:shd w:val="clear" w:color="auto" w:fill="BDBEBD"/>
          </w:tcPr>
          <w:p>
            <w:pPr>
              <w:spacing w:after="0"/>
              <w:rPr>
                <w:sz w:val="8"/>
                <w:szCs w:val="8"/>
                <w:color w:val="auto"/>
              </w:rPr>
            </w:pPr>
          </w:p>
        </w:tc>
        <w:tc>
          <w:tcPr>
            <w:tcW w:w="1780" w:type="dxa"/>
            <w:vAlign w:val="bottom"/>
            <w:shd w:val="clear" w:color="auto" w:fill="BDBEBD"/>
          </w:tcPr>
          <w:p>
            <w:pPr>
              <w:spacing w:after="0"/>
              <w:rPr>
                <w:sz w:val="8"/>
                <w:szCs w:val="8"/>
                <w:color w:val="auto"/>
              </w:rPr>
            </w:pPr>
          </w:p>
        </w:tc>
      </w:tr>
      <w:tr>
        <w:trPr>
          <w:trHeight w:val="311"/>
        </w:trPr>
        <w:tc>
          <w:tcPr>
            <w:tcW w:w="2440" w:type="dxa"/>
            <w:vAlign w:val="bottom"/>
          </w:tcPr>
          <w:p>
            <w:pPr>
              <w:ind w:left="100"/>
              <w:spacing w:after="0"/>
              <w:rPr>
                <w:sz w:val="20"/>
                <w:szCs w:val="20"/>
                <w:color w:val="auto"/>
              </w:rPr>
            </w:pPr>
            <w:r>
              <w:rPr>
                <w:rFonts w:ascii="Arial" w:cs="Arial" w:eastAsia="Arial" w:hAnsi="Arial"/>
                <w:sz w:val="18"/>
                <w:szCs w:val="18"/>
                <w:color w:val="auto"/>
              </w:rPr>
              <w:t>USA</w:t>
            </w:r>
          </w:p>
        </w:tc>
        <w:tc>
          <w:tcPr>
            <w:tcW w:w="2380" w:type="dxa"/>
            <w:vAlign w:val="bottom"/>
          </w:tcPr>
          <w:p>
            <w:pPr>
              <w:jc w:val="right"/>
              <w:ind w:right="272"/>
              <w:spacing w:after="0"/>
              <w:rPr>
                <w:sz w:val="20"/>
                <w:szCs w:val="20"/>
                <w:color w:val="auto"/>
              </w:rPr>
            </w:pPr>
            <w:r>
              <w:rPr>
                <w:rFonts w:ascii="Arial" w:cs="Arial" w:eastAsia="Arial" w:hAnsi="Arial"/>
                <w:sz w:val="18"/>
                <w:szCs w:val="18"/>
                <w:color w:val="auto"/>
              </w:rPr>
              <w:t>25</w:t>
            </w:r>
          </w:p>
        </w:tc>
        <w:tc>
          <w:tcPr>
            <w:tcW w:w="178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310"/>
        </w:trPr>
        <w:tc>
          <w:tcPr>
            <w:tcW w:w="2440" w:type="dxa"/>
            <w:vAlign w:val="bottom"/>
            <w:shd w:val="clear" w:color="auto" w:fill="F7F3F7"/>
          </w:tcPr>
          <w:p>
            <w:pPr>
              <w:ind w:left="100"/>
              <w:spacing w:after="0"/>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F7F3F7"/>
          </w:tcPr>
          <w:p>
            <w:pPr>
              <w:jc w:val="right"/>
              <w:ind w:right="272"/>
              <w:spacing w:after="0"/>
              <w:rPr>
                <w:sz w:val="20"/>
                <w:szCs w:val="20"/>
                <w:color w:val="auto"/>
              </w:rPr>
            </w:pPr>
            <w:r>
              <w:rPr>
                <w:rFonts w:ascii="Arial" w:cs="Arial" w:eastAsia="Arial" w:hAnsi="Arial"/>
                <w:sz w:val="18"/>
                <w:szCs w:val="18"/>
                <w:b w:val="1"/>
                <w:bCs w:val="1"/>
                <w:color w:val="auto"/>
              </w:rPr>
              <w:t>25</w:t>
            </w:r>
          </w:p>
        </w:tc>
        <w:tc>
          <w:tcPr>
            <w:tcW w:w="1780" w:type="dxa"/>
            <w:vAlign w:val="bottom"/>
            <w:shd w:val="clear" w:color="auto" w:fill="F7F3F7"/>
          </w:tcPr>
          <w:p>
            <w:pPr>
              <w:jc w:val="right"/>
              <w:spacing w:after="0"/>
              <w:rPr>
                <w:sz w:val="20"/>
                <w:szCs w:val="20"/>
                <w:color w:val="auto"/>
              </w:rPr>
            </w:pPr>
            <w:r>
              <w:rPr>
                <w:rFonts w:ascii="Arial" w:cs="Arial" w:eastAsia="Arial" w:hAnsi="Arial"/>
                <w:sz w:val="18"/>
                <w:szCs w:val="18"/>
                <w:b w:val="1"/>
                <w:bCs w:val="1"/>
                <w:color w:val="auto"/>
              </w:rPr>
              <w:t>1.349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2768600</wp:posOffset>
            </wp:positionV>
            <wp:extent cx="18173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 w:right="20" w:hanging="4"/>
        <w:spacing w:after="0" w:line="210" w:lineRule="auto"/>
        <w:tabs>
          <w:tab w:leader="none" w:pos="191"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Including expenses for IPO-bonus to the board of management and selected employees, expenses for preparation of the financial statements and for audit of the financial statements as well as Supervisory Board remuneration.</w:t>
      </w:r>
    </w:p>
    <w:p>
      <w:pPr>
        <w:sectPr>
          <w:pgSz w:w="11900" w:h="16838" w:orient="portrait"/>
          <w:cols w:equalWidth="0" w:num="1">
            <w:col w:w="11024"/>
          </w:cols>
          <w:pgMar w:left="436" w:top="1440" w:right="439" w:bottom="1440" w:gutter="0" w:footer="0" w:header="0"/>
        </w:sectPr>
      </w:pPr>
    </w:p>
    <w:p>
      <w:pPr>
        <w:spacing w:after="0" w:line="129"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868A9C"/>
        </w:rPr>
        <w:t>Page 24/33</w:t>
      </w:r>
    </w:p>
    <w:p>
      <w:pPr>
        <w:sectPr>
          <w:pgSz w:w="11900" w:h="16838" w:orient="portrait"/>
          <w:cols w:equalWidth="0" w:num="2">
            <w:col w:w="9564" w:space="720"/>
            <w:col w:w="740"/>
          </w:cols>
          <w:pgMar w:left="436" w:top="1440" w:right="439" w:bottom="1440" w:gutter="0" w:footer="0" w:header="0"/>
          <w:type w:val="continuous"/>
        </w:sectPr>
      </w:pPr>
    </w:p>
    <w:bookmarkStart w:id="29" w:name="page30"/>
    <w:bookmarkEnd w:id="29"/>
    <w:tbl>
      <w:tblPr>
        <w:tblLayout w:type="fixed"/>
        <w:tblInd w:w="4" w:type="dxa"/>
        <w:tblCellMar>
          <w:top w:w="0" w:type="dxa"/>
          <w:left w:w="0" w:type="dxa"/>
          <w:bottom w:w="0" w:type="dxa"/>
          <w:right w:w="0" w:type="dxa"/>
        </w:tblCellMar>
      </w:tblPr>
      <w:tr>
        <w:trPr>
          <w:trHeight w:val="225"/>
        </w:trPr>
        <w:tc>
          <w:tcPr>
            <w:tcW w:w="5100" w:type="dxa"/>
            <w:vAlign w:val="bottom"/>
          </w:tcPr>
          <w:p>
            <w:pPr>
              <w:spacing w:after="0"/>
              <w:rPr>
                <w:sz w:val="20"/>
                <w:szCs w:val="20"/>
                <w:color w:val="auto"/>
              </w:rPr>
            </w:pPr>
            <w:r>
              <w:rPr>
                <w:rFonts w:ascii="Arial" w:cs="Arial" w:eastAsia="Arial" w:hAnsi="Arial"/>
                <w:sz w:val="17"/>
                <w:szCs w:val="17"/>
                <w:color w:val="auto"/>
              </w:rPr>
              <w:t>Non-current assets can be broken down by country as follows:</w:t>
            </w:r>
          </w:p>
        </w:tc>
        <w:tc>
          <w:tcPr>
            <w:tcW w:w="18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68"/>
        </w:trPr>
        <w:tc>
          <w:tcPr>
            <w:tcW w:w="5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225"/>
        </w:trPr>
        <w:tc>
          <w:tcPr>
            <w:tcW w:w="5100" w:type="dxa"/>
            <w:vAlign w:val="bottom"/>
            <w:shd w:val="clear" w:color="auto" w:fill="BDBEBD"/>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1800" w:type="dxa"/>
            <w:vAlign w:val="bottom"/>
            <w:shd w:val="clear" w:color="auto" w:fill="BDBEBD"/>
          </w:tcPr>
          <w:p>
            <w:pPr>
              <w:jc w:val="right"/>
              <w:ind w:right="255"/>
              <w:spacing w:after="0"/>
              <w:rPr>
                <w:sz w:val="20"/>
                <w:szCs w:val="20"/>
                <w:color w:val="auto"/>
              </w:rPr>
            </w:pPr>
            <w:r>
              <w:rPr>
                <w:rFonts w:ascii="Arial" w:cs="Arial" w:eastAsia="Arial" w:hAnsi="Arial"/>
                <w:sz w:val="17"/>
                <w:szCs w:val="17"/>
                <w:color w:val="auto"/>
              </w:rPr>
              <w:t>June 30, 2022</w:t>
            </w:r>
          </w:p>
        </w:tc>
        <w:tc>
          <w:tcPr>
            <w:tcW w:w="1900" w:type="dxa"/>
            <w:vAlign w:val="bottom"/>
            <w:shd w:val="clear" w:color="auto" w:fill="BDBEBD"/>
          </w:tcPr>
          <w:p>
            <w:pPr>
              <w:jc w:val="right"/>
              <w:spacing w:after="0"/>
              <w:rPr>
                <w:sz w:val="20"/>
                <w:szCs w:val="20"/>
                <w:color w:val="auto"/>
              </w:rPr>
            </w:pPr>
            <w:r>
              <w:rPr>
                <w:rFonts w:ascii="Arial" w:cs="Arial" w:eastAsia="Arial" w:hAnsi="Arial"/>
                <w:sz w:val="17"/>
                <w:szCs w:val="17"/>
                <w:color w:val="auto"/>
              </w:rPr>
              <w:t>December 31, 2021</w:t>
            </w:r>
          </w:p>
        </w:tc>
      </w:tr>
      <w:tr>
        <w:trPr>
          <w:trHeight w:val="86"/>
        </w:trPr>
        <w:tc>
          <w:tcPr>
            <w:tcW w:w="5100" w:type="dxa"/>
            <w:vAlign w:val="bottom"/>
            <w:shd w:val="clear" w:color="auto" w:fill="BDBEBD"/>
          </w:tcPr>
          <w:p>
            <w:pPr>
              <w:spacing w:after="0"/>
              <w:rPr>
                <w:sz w:val="7"/>
                <w:szCs w:val="7"/>
                <w:color w:val="auto"/>
              </w:rPr>
            </w:pPr>
          </w:p>
        </w:tc>
        <w:tc>
          <w:tcPr>
            <w:tcW w:w="1800" w:type="dxa"/>
            <w:vAlign w:val="bottom"/>
            <w:shd w:val="clear" w:color="auto" w:fill="BDBEBD"/>
          </w:tcPr>
          <w:p>
            <w:pPr>
              <w:spacing w:after="0"/>
              <w:rPr>
                <w:sz w:val="7"/>
                <w:szCs w:val="7"/>
                <w:color w:val="auto"/>
              </w:rPr>
            </w:pPr>
          </w:p>
        </w:tc>
        <w:tc>
          <w:tcPr>
            <w:tcW w:w="1900" w:type="dxa"/>
            <w:vAlign w:val="bottom"/>
            <w:shd w:val="clear" w:color="auto" w:fill="BDBEBD"/>
          </w:tcPr>
          <w:p>
            <w:pPr>
              <w:spacing w:after="0"/>
              <w:rPr>
                <w:sz w:val="7"/>
                <w:szCs w:val="7"/>
                <w:color w:val="auto"/>
              </w:rPr>
            </w:pPr>
          </w:p>
        </w:tc>
      </w:tr>
      <w:tr>
        <w:trPr>
          <w:trHeight w:val="235"/>
        </w:trPr>
        <w:tc>
          <w:tcPr>
            <w:tcW w:w="5100" w:type="dxa"/>
            <w:vAlign w:val="bottom"/>
            <w:shd w:val="clear" w:color="auto" w:fill="F7F3F7"/>
          </w:tcPr>
          <w:p>
            <w:pPr>
              <w:ind w:left="100"/>
              <w:spacing w:after="0"/>
              <w:rPr>
                <w:sz w:val="20"/>
                <w:szCs w:val="20"/>
                <w:color w:val="auto"/>
              </w:rPr>
            </w:pPr>
            <w:r>
              <w:rPr>
                <w:rFonts w:ascii="Arial" w:cs="Arial" w:eastAsia="Arial" w:hAnsi="Arial"/>
                <w:sz w:val="17"/>
                <w:szCs w:val="17"/>
                <w:b w:val="1"/>
                <w:bCs w:val="1"/>
                <w:color w:val="auto"/>
              </w:rPr>
              <w:t>Germany</w:t>
            </w:r>
          </w:p>
        </w:tc>
        <w:tc>
          <w:tcPr>
            <w:tcW w:w="1800" w:type="dxa"/>
            <w:vAlign w:val="bottom"/>
            <w:shd w:val="clear" w:color="auto" w:fill="F7F3F7"/>
          </w:tcPr>
          <w:p>
            <w:pPr>
              <w:spacing w:after="0"/>
              <w:rPr>
                <w:sz w:val="20"/>
                <w:szCs w:val="20"/>
                <w:color w:val="auto"/>
              </w:rPr>
            </w:pPr>
          </w:p>
        </w:tc>
        <w:tc>
          <w:tcPr>
            <w:tcW w:w="1900" w:type="dxa"/>
            <w:vAlign w:val="bottom"/>
            <w:shd w:val="clear" w:color="auto" w:fill="F7F3F7"/>
          </w:tcPr>
          <w:p>
            <w:pPr>
              <w:spacing w:after="0"/>
              <w:rPr>
                <w:sz w:val="20"/>
                <w:szCs w:val="20"/>
                <w:color w:val="auto"/>
              </w:rPr>
            </w:pPr>
          </w:p>
        </w:tc>
      </w:tr>
      <w:tr>
        <w:trPr>
          <w:trHeight w:val="62"/>
        </w:trPr>
        <w:tc>
          <w:tcPr>
            <w:tcW w:w="5100" w:type="dxa"/>
            <w:vAlign w:val="bottom"/>
            <w:shd w:val="clear" w:color="auto" w:fill="F7F3F7"/>
          </w:tcPr>
          <w:p>
            <w:pPr>
              <w:spacing w:after="0"/>
              <w:rPr>
                <w:sz w:val="5"/>
                <w:szCs w:val="5"/>
                <w:color w:val="auto"/>
              </w:rPr>
            </w:pPr>
          </w:p>
        </w:tc>
        <w:tc>
          <w:tcPr>
            <w:tcW w:w="1800" w:type="dxa"/>
            <w:vAlign w:val="bottom"/>
            <w:shd w:val="clear" w:color="auto" w:fill="F7F3F7"/>
          </w:tcPr>
          <w:p>
            <w:pPr>
              <w:spacing w:after="0"/>
              <w:rPr>
                <w:sz w:val="5"/>
                <w:szCs w:val="5"/>
                <w:color w:val="auto"/>
              </w:rPr>
            </w:pPr>
          </w:p>
        </w:tc>
        <w:tc>
          <w:tcPr>
            <w:tcW w:w="1900" w:type="dxa"/>
            <w:vAlign w:val="bottom"/>
            <w:shd w:val="clear" w:color="auto" w:fill="F7F3F7"/>
          </w:tcPr>
          <w:p>
            <w:pPr>
              <w:spacing w:after="0"/>
              <w:rPr>
                <w:sz w:val="5"/>
                <w:szCs w:val="5"/>
                <w:color w:val="auto"/>
              </w:rPr>
            </w:pPr>
          </w:p>
        </w:tc>
      </w:tr>
      <w:tr>
        <w:trPr>
          <w:trHeight w:val="225"/>
        </w:trPr>
        <w:tc>
          <w:tcPr>
            <w:tcW w:w="5100" w:type="dxa"/>
            <w:vAlign w:val="bottom"/>
          </w:tcPr>
          <w:p>
            <w:pPr>
              <w:ind w:left="100"/>
              <w:spacing w:after="0"/>
              <w:rPr>
                <w:sz w:val="20"/>
                <w:szCs w:val="20"/>
                <w:color w:val="auto"/>
              </w:rPr>
            </w:pPr>
            <w:r>
              <w:rPr>
                <w:rFonts w:ascii="Arial" w:cs="Arial" w:eastAsia="Arial" w:hAnsi="Arial"/>
                <w:sz w:val="17"/>
                <w:szCs w:val="17"/>
                <w:color w:val="auto"/>
              </w:rPr>
              <w:t>Intangible assets</w:t>
            </w:r>
          </w:p>
        </w:tc>
        <w:tc>
          <w:tcPr>
            <w:tcW w:w="1800" w:type="dxa"/>
            <w:vAlign w:val="bottom"/>
          </w:tcPr>
          <w:p>
            <w:pPr>
              <w:jc w:val="right"/>
              <w:ind w:right="235"/>
              <w:spacing w:after="0"/>
              <w:rPr>
                <w:sz w:val="20"/>
                <w:szCs w:val="20"/>
                <w:color w:val="auto"/>
              </w:rPr>
            </w:pPr>
            <w:r>
              <w:rPr>
                <w:rFonts w:ascii="Arial" w:cs="Arial" w:eastAsia="Arial" w:hAnsi="Arial"/>
                <w:sz w:val="17"/>
                <w:szCs w:val="17"/>
                <w:color w:val="auto"/>
              </w:rPr>
              <w:t>20,178</w:t>
            </w:r>
          </w:p>
        </w:tc>
        <w:tc>
          <w:tcPr>
            <w:tcW w:w="1900" w:type="dxa"/>
            <w:vAlign w:val="bottom"/>
          </w:tcPr>
          <w:p>
            <w:pPr>
              <w:jc w:val="right"/>
              <w:spacing w:after="0"/>
              <w:rPr>
                <w:sz w:val="20"/>
                <w:szCs w:val="20"/>
                <w:color w:val="auto"/>
              </w:rPr>
            </w:pPr>
            <w:r>
              <w:rPr>
                <w:rFonts w:ascii="Arial" w:cs="Arial" w:eastAsia="Arial" w:hAnsi="Arial"/>
                <w:sz w:val="17"/>
                <w:szCs w:val="17"/>
                <w:color w:val="auto"/>
              </w:rPr>
              <w:t>19,969</w:t>
            </w:r>
          </w:p>
        </w:tc>
      </w:tr>
      <w:tr>
        <w:trPr>
          <w:trHeight w:val="72"/>
        </w:trPr>
        <w:tc>
          <w:tcPr>
            <w:tcW w:w="51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00" w:type="dxa"/>
            <w:vAlign w:val="bottom"/>
          </w:tcPr>
          <w:p>
            <w:pPr>
              <w:spacing w:after="0"/>
              <w:rPr>
                <w:sz w:val="6"/>
                <w:szCs w:val="6"/>
                <w:color w:val="auto"/>
              </w:rPr>
            </w:pPr>
          </w:p>
        </w:tc>
      </w:tr>
      <w:tr>
        <w:trPr>
          <w:trHeight w:val="225"/>
        </w:trPr>
        <w:tc>
          <w:tcPr>
            <w:tcW w:w="5100" w:type="dxa"/>
            <w:vAlign w:val="bottom"/>
            <w:shd w:val="clear" w:color="auto" w:fill="F7F3F7"/>
          </w:tcPr>
          <w:p>
            <w:pPr>
              <w:ind w:left="100"/>
              <w:spacing w:after="0"/>
              <w:rPr>
                <w:sz w:val="20"/>
                <w:szCs w:val="20"/>
                <w:color w:val="auto"/>
              </w:rPr>
            </w:pPr>
            <w:r>
              <w:rPr>
                <w:rFonts w:ascii="Arial" w:cs="Arial" w:eastAsia="Arial" w:hAnsi="Arial"/>
                <w:sz w:val="17"/>
                <w:szCs w:val="17"/>
                <w:color w:val="auto"/>
              </w:rPr>
              <w:t>Property, plant, and equipment</w:t>
            </w:r>
          </w:p>
        </w:tc>
        <w:tc>
          <w:tcPr>
            <w:tcW w:w="1800" w:type="dxa"/>
            <w:vAlign w:val="bottom"/>
            <w:shd w:val="clear" w:color="auto" w:fill="F7F3F7"/>
          </w:tcPr>
          <w:p>
            <w:pPr>
              <w:jc w:val="right"/>
              <w:ind w:right="235"/>
              <w:spacing w:after="0"/>
              <w:rPr>
                <w:sz w:val="20"/>
                <w:szCs w:val="20"/>
                <w:color w:val="auto"/>
              </w:rPr>
            </w:pPr>
            <w:r>
              <w:rPr>
                <w:rFonts w:ascii="Arial" w:cs="Arial" w:eastAsia="Arial" w:hAnsi="Arial"/>
                <w:sz w:val="17"/>
                <w:szCs w:val="17"/>
                <w:color w:val="auto"/>
              </w:rPr>
              <w:t>17,001</w:t>
            </w:r>
          </w:p>
        </w:tc>
        <w:tc>
          <w:tcPr>
            <w:tcW w:w="1900" w:type="dxa"/>
            <w:vAlign w:val="bottom"/>
            <w:shd w:val="clear" w:color="auto" w:fill="F7F3F7"/>
          </w:tcPr>
          <w:p>
            <w:pPr>
              <w:jc w:val="right"/>
              <w:spacing w:after="0"/>
              <w:rPr>
                <w:sz w:val="20"/>
                <w:szCs w:val="20"/>
                <w:color w:val="auto"/>
              </w:rPr>
            </w:pPr>
            <w:r>
              <w:rPr>
                <w:rFonts w:ascii="Arial" w:cs="Arial" w:eastAsia="Arial" w:hAnsi="Arial"/>
                <w:sz w:val="17"/>
                <w:szCs w:val="17"/>
                <w:color w:val="auto"/>
              </w:rPr>
              <w:t>14,490</w:t>
            </w:r>
          </w:p>
        </w:tc>
      </w:tr>
      <w:tr>
        <w:trPr>
          <w:trHeight w:val="72"/>
        </w:trPr>
        <w:tc>
          <w:tcPr>
            <w:tcW w:w="5100" w:type="dxa"/>
            <w:vAlign w:val="bottom"/>
            <w:shd w:val="clear" w:color="auto" w:fill="F7F3F7"/>
          </w:tcPr>
          <w:p>
            <w:pPr>
              <w:spacing w:after="0"/>
              <w:rPr>
                <w:sz w:val="6"/>
                <w:szCs w:val="6"/>
                <w:color w:val="auto"/>
              </w:rPr>
            </w:pPr>
          </w:p>
        </w:tc>
        <w:tc>
          <w:tcPr>
            <w:tcW w:w="1800" w:type="dxa"/>
            <w:vAlign w:val="bottom"/>
            <w:shd w:val="clear" w:color="auto" w:fill="F7F3F7"/>
          </w:tcPr>
          <w:p>
            <w:pPr>
              <w:spacing w:after="0"/>
              <w:rPr>
                <w:sz w:val="6"/>
                <w:szCs w:val="6"/>
                <w:color w:val="auto"/>
              </w:rPr>
            </w:pPr>
          </w:p>
        </w:tc>
        <w:tc>
          <w:tcPr>
            <w:tcW w:w="1900" w:type="dxa"/>
            <w:vAlign w:val="bottom"/>
            <w:shd w:val="clear" w:color="auto" w:fill="F7F3F7"/>
          </w:tcPr>
          <w:p>
            <w:pPr>
              <w:spacing w:after="0"/>
              <w:rPr>
                <w:sz w:val="6"/>
                <w:szCs w:val="6"/>
                <w:color w:val="auto"/>
              </w:rPr>
            </w:pPr>
          </w:p>
        </w:tc>
      </w:tr>
      <w:tr>
        <w:trPr>
          <w:trHeight w:val="225"/>
        </w:trPr>
        <w:tc>
          <w:tcPr>
            <w:tcW w:w="5100" w:type="dxa"/>
            <w:vAlign w:val="bottom"/>
          </w:tcPr>
          <w:p>
            <w:pPr>
              <w:ind w:left="100"/>
              <w:spacing w:after="0"/>
              <w:rPr>
                <w:sz w:val="20"/>
                <w:szCs w:val="20"/>
                <w:color w:val="auto"/>
              </w:rPr>
            </w:pPr>
            <w:r>
              <w:rPr>
                <w:rFonts w:ascii="Arial" w:cs="Arial" w:eastAsia="Arial" w:hAnsi="Arial"/>
                <w:sz w:val="17"/>
                <w:szCs w:val="17"/>
                <w:color w:val="auto"/>
              </w:rPr>
              <w:t>Right-of-use assets</w:t>
            </w:r>
          </w:p>
        </w:tc>
        <w:tc>
          <w:tcPr>
            <w:tcW w:w="1800" w:type="dxa"/>
            <w:vAlign w:val="bottom"/>
          </w:tcPr>
          <w:p>
            <w:pPr>
              <w:jc w:val="right"/>
              <w:ind w:right="235"/>
              <w:spacing w:after="0"/>
              <w:rPr>
                <w:sz w:val="20"/>
                <w:szCs w:val="20"/>
                <w:color w:val="auto"/>
              </w:rPr>
            </w:pPr>
            <w:r>
              <w:rPr>
                <w:rFonts w:ascii="Arial" w:cs="Arial" w:eastAsia="Arial" w:hAnsi="Arial"/>
                <w:sz w:val="17"/>
                <w:szCs w:val="17"/>
                <w:color w:val="auto"/>
              </w:rPr>
              <w:t>5,570</w:t>
            </w:r>
          </w:p>
        </w:tc>
        <w:tc>
          <w:tcPr>
            <w:tcW w:w="1900" w:type="dxa"/>
            <w:vAlign w:val="bottom"/>
          </w:tcPr>
          <w:p>
            <w:pPr>
              <w:jc w:val="right"/>
              <w:spacing w:after="0"/>
              <w:rPr>
                <w:sz w:val="20"/>
                <w:szCs w:val="20"/>
                <w:color w:val="auto"/>
              </w:rPr>
            </w:pPr>
            <w:r>
              <w:rPr>
                <w:rFonts w:ascii="Arial" w:cs="Arial" w:eastAsia="Arial" w:hAnsi="Arial"/>
                <w:sz w:val="17"/>
                <w:szCs w:val="17"/>
                <w:color w:val="auto"/>
              </w:rPr>
              <w:t>6,053</w:t>
            </w:r>
          </w:p>
        </w:tc>
      </w:tr>
      <w:tr>
        <w:trPr>
          <w:trHeight w:val="72"/>
        </w:trPr>
        <w:tc>
          <w:tcPr>
            <w:tcW w:w="51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00" w:type="dxa"/>
            <w:vAlign w:val="bottom"/>
          </w:tcPr>
          <w:p>
            <w:pPr>
              <w:spacing w:after="0"/>
              <w:rPr>
                <w:sz w:val="6"/>
                <w:szCs w:val="6"/>
                <w:color w:val="auto"/>
              </w:rPr>
            </w:pPr>
          </w:p>
        </w:tc>
      </w:tr>
      <w:tr>
        <w:trPr>
          <w:trHeight w:val="225"/>
        </w:trPr>
        <w:tc>
          <w:tcPr>
            <w:tcW w:w="5100" w:type="dxa"/>
            <w:vAlign w:val="bottom"/>
            <w:shd w:val="clear" w:color="auto" w:fill="F7F3F7"/>
          </w:tcPr>
          <w:p>
            <w:pPr>
              <w:ind w:left="100"/>
              <w:spacing w:after="0"/>
              <w:rPr>
                <w:sz w:val="20"/>
                <w:szCs w:val="20"/>
                <w:color w:val="auto"/>
              </w:rPr>
            </w:pPr>
            <w:r>
              <w:rPr>
                <w:rFonts w:ascii="Arial" w:cs="Arial" w:eastAsia="Arial" w:hAnsi="Arial"/>
                <w:sz w:val="17"/>
                <w:szCs w:val="17"/>
                <w:color w:val="auto"/>
              </w:rPr>
              <w:t>Germany, total</w:t>
            </w:r>
          </w:p>
        </w:tc>
        <w:tc>
          <w:tcPr>
            <w:tcW w:w="1800" w:type="dxa"/>
            <w:vAlign w:val="bottom"/>
            <w:shd w:val="clear" w:color="auto" w:fill="F7F3F7"/>
          </w:tcPr>
          <w:p>
            <w:pPr>
              <w:jc w:val="right"/>
              <w:ind w:right="235"/>
              <w:spacing w:after="0"/>
              <w:rPr>
                <w:sz w:val="20"/>
                <w:szCs w:val="20"/>
                <w:color w:val="auto"/>
              </w:rPr>
            </w:pPr>
            <w:r>
              <w:rPr>
                <w:rFonts w:ascii="Arial" w:cs="Arial" w:eastAsia="Arial" w:hAnsi="Arial"/>
                <w:sz w:val="17"/>
                <w:szCs w:val="17"/>
                <w:color w:val="auto"/>
              </w:rPr>
              <w:t>42,749</w:t>
            </w:r>
          </w:p>
        </w:tc>
        <w:tc>
          <w:tcPr>
            <w:tcW w:w="1900" w:type="dxa"/>
            <w:vAlign w:val="bottom"/>
            <w:shd w:val="clear" w:color="auto" w:fill="F7F3F7"/>
          </w:tcPr>
          <w:p>
            <w:pPr>
              <w:jc w:val="right"/>
              <w:spacing w:after="0"/>
              <w:rPr>
                <w:sz w:val="20"/>
                <w:szCs w:val="20"/>
                <w:color w:val="auto"/>
              </w:rPr>
            </w:pPr>
            <w:r>
              <w:rPr>
                <w:rFonts w:ascii="Arial" w:cs="Arial" w:eastAsia="Arial" w:hAnsi="Arial"/>
                <w:sz w:val="17"/>
                <w:szCs w:val="17"/>
                <w:color w:val="auto"/>
              </w:rPr>
              <w:t>40,512</w:t>
            </w:r>
          </w:p>
        </w:tc>
      </w:tr>
      <w:tr>
        <w:trPr>
          <w:trHeight w:val="72"/>
        </w:trPr>
        <w:tc>
          <w:tcPr>
            <w:tcW w:w="5100" w:type="dxa"/>
            <w:vAlign w:val="bottom"/>
            <w:shd w:val="clear" w:color="auto" w:fill="F7F3F7"/>
          </w:tcPr>
          <w:p>
            <w:pPr>
              <w:spacing w:after="0"/>
              <w:rPr>
                <w:sz w:val="6"/>
                <w:szCs w:val="6"/>
                <w:color w:val="auto"/>
              </w:rPr>
            </w:pPr>
          </w:p>
        </w:tc>
        <w:tc>
          <w:tcPr>
            <w:tcW w:w="1800" w:type="dxa"/>
            <w:vAlign w:val="bottom"/>
            <w:shd w:val="clear" w:color="auto" w:fill="F7F3F7"/>
          </w:tcPr>
          <w:p>
            <w:pPr>
              <w:spacing w:after="0"/>
              <w:rPr>
                <w:sz w:val="6"/>
                <w:szCs w:val="6"/>
                <w:color w:val="auto"/>
              </w:rPr>
            </w:pPr>
          </w:p>
        </w:tc>
        <w:tc>
          <w:tcPr>
            <w:tcW w:w="1900" w:type="dxa"/>
            <w:vAlign w:val="bottom"/>
            <w:shd w:val="clear" w:color="auto" w:fill="F7F3F7"/>
          </w:tcPr>
          <w:p>
            <w:pPr>
              <w:spacing w:after="0"/>
              <w:rPr>
                <w:sz w:val="6"/>
                <w:szCs w:val="6"/>
                <w:color w:val="auto"/>
              </w:rPr>
            </w:pPr>
          </w:p>
        </w:tc>
      </w:tr>
      <w:tr>
        <w:trPr>
          <w:trHeight w:val="297"/>
        </w:trPr>
        <w:tc>
          <w:tcPr>
            <w:tcW w:w="5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5"/>
        </w:trPr>
        <w:tc>
          <w:tcPr>
            <w:tcW w:w="5100" w:type="dxa"/>
            <w:vAlign w:val="bottom"/>
            <w:shd w:val="clear" w:color="auto" w:fill="F7F3F7"/>
          </w:tcPr>
          <w:p>
            <w:pPr>
              <w:ind w:left="100"/>
              <w:spacing w:after="0"/>
              <w:rPr>
                <w:sz w:val="20"/>
                <w:szCs w:val="20"/>
                <w:color w:val="auto"/>
              </w:rPr>
            </w:pPr>
            <w:r>
              <w:rPr>
                <w:rFonts w:ascii="Arial" w:cs="Arial" w:eastAsia="Arial" w:hAnsi="Arial"/>
                <w:sz w:val="17"/>
                <w:szCs w:val="17"/>
                <w:b w:val="1"/>
                <w:bCs w:val="1"/>
                <w:color w:val="auto"/>
              </w:rPr>
              <w:t>USA</w:t>
            </w:r>
          </w:p>
        </w:tc>
        <w:tc>
          <w:tcPr>
            <w:tcW w:w="1800" w:type="dxa"/>
            <w:vAlign w:val="bottom"/>
            <w:shd w:val="clear" w:color="auto" w:fill="F7F3F7"/>
          </w:tcPr>
          <w:p>
            <w:pPr>
              <w:spacing w:after="0"/>
              <w:rPr>
                <w:sz w:val="20"/>
                <w:szCs w:val="20"/>
                <w:color w:val="auto"/>
              </w:rPr>
            </w:pPr>
          </w:p>
        </w:tc>
        <w:tc>
          <w:tcPr>
            <w:tcW w:w="1900" w:type="dxa"/>
            <w:vAlign w:val="bottom"/>
            <w:shd w:val="clear" w:color="auto" w:fill="F7F3F7"/>
          </w:tcPr>
          <w:p>
            <w:pPr>
              <w:spacing w:after="0"/>
              <w:rPr>
                <w:sz w:val="20"/>
                <w:szCs w:val="20"/>
                <w:color w:val="auto"/>
              </w:rPr>
            </w:pPr>
          </w:p>
        </w:tc>
      </w:tr>
      <w:tr>
        <w:trPr>
          <w:trHeight w:val="62"/>
        </w:trPr>
        <w:tc>
          <w:tcPr>
            <w:tcW w:w="5100" w:type="dxa"/>
            <w:vAlign w:val="bottom"/>
            <w:shd w:val="clear" w:color="auto" w:fill="F7F3F7"/>
          </w:tcPr>
          <w:p>
            <w:pPr>
              <w:spacing w:after="0"/>
              <w:rPr>
                <w:sz w:val="5"/>
                <w:szCs w:val="5"/>
                <w:color w:val="auto"/>
              </w:rPr>
            </w:pPr>
          </w:p>
        </w:tc>
        <w:tc>
          <w:tcPr>
            <w:tcW w:w="1800" w:type="dxa"/>
            <w:vAlign w:val="bottom"/>
            <w:shd w:val="clear" w:color="auto" w:fill="F7F3F7"/>
          </w:tcPr>
          <w:p>
            <w:pPr>
              <w:spacing w:after="0"/>
              <w:rPr>
                <w:sz w:val="5"/>
                <w:szCs w:val="5"/>
                <w:color w:val="auto"/>
              </w:rPr>
            </w:pPr>
          </w:p>
        </w:tc>
        <w:tc>
          <w:tcPr>
            <w:tcW w:w="1900" w:type="dxa"/>
            <w:vAlign w:val="bottom"/>
            <w:shd w:val="clear" w:color="auto" w:fill="F7F3F7"/>
          </w:tcPr>
          <w:p>
            <w:pPr>
              <w:spacing w:after="0"/>
              <w:rPr>
                <w:sz w:val="5"/>
                <w:szCs w:val="5"/>
                <w:color w:val="auto"/>
              </w:rPr>
            </w:pPr>
          </w:p>
        </w:tc>
      </w:tr>
      <w:tr>
        <w:trPr>
          <w:trHeight w:val="225"/>
        </w:trPr>
        <w:tc>
          <w:tcPr>
            <w:tcW w:w="5100" w:type="dxa"/>
            <w:vAlign w:val="bottom"/>
          </w:tcPr>
          <w:p>
            <w:pPr>
              <w:ind w:left="100"/>
              <w:spacing w:after="0"/>
              <w:rPr>
                <w:sz w:val="20"/>
                <w:szCs w:val="20"/>
                <w:color w:val="auto"/>
              </w:rPr>
            </w:pPr>
            <w:r>
              <w:rPr>
                <w:rFonts w:ascii="Arial" w:cs="Arial" w:eastAsia="Arial" w:hAnsi="Arial"/>
                <w:sz w:val="17"/>
                <w:szCs w:val="17"/>
                <w:color w:val="auto"/>
              </w:rPr>
              <w:t>Intangible assets</w:t>
            </w:r>
          </w:p>
        </w:tc>
        <w:tc>
          <w:tcPr>
            <w:tcW w:w="180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190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72"/>
        </w:trPr>
        <w:tc>
          <w:tcPr>
            <w:tcW w:w="51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00" w:type="dxa"/>
            <w:vAlign w:val="bottom"/>
          </w:tcPr>
          <w:p>
            <w:pPr>
              <w:spacing w:after="0"/>
              <w:rPr>
                <w:sz w:val="6"/>
                <w:szCs w:val="6"/>
                <w:color w:val="auto"/>
              </w:rPr>
            </w:pPr>
          </w:p>
        </w:tc>
      </w:tr>
      <w:tr>
        <w:trPr>
          <w:trHeight w:val="225"/>
        </w:trPr>
        <w:tc>
          <w:tcPr>
            <w:tcW w:w="5100" w:type="dxa"/>
            <w:vAlign w:val="bottom"/>
            <w:shd w:val="clear" w:color="auto" w:fill="F7F3F7"/>
          </w:tcPr>
          <w:p>
            <w:pPr>
              <w:ind w:left="100"/>
              <w:spacing w:after="0"/>
              <w:rPr>
                <w:sz w:val="20"/>
                <w:szCs w:val="20"/>
                <w:color w:val="auto"/>
              </w:rPr>
            </w:pPr>
            <w:r>
              <w:rPr>
                <w:rFonts w:ascii="Arial" w:cs="Arial" w:eastAsia="Arial" w:hAnsi="Arial"/>
                <w:sz w:val="17"/>
                <w:szCs w:val="17"/>
                <w:color w:val="auto"/>
              </w:rPr>
              <w:t>Property, plant, and equipment</w:t>
            </w:r>
          </w:p>
        </w:tc>
        <w:tc>
          <w:tcPr>
            <w:tcW w:w="1800" w:type="dxa"/>
            <w:vAlign w:val="bottom"/>
            <w:shd w:val="clear" w:color="auto" w:fill="F7F3F7"/>
          </w:tcPr>
          <w:p>
            <w:pPr>
              <w:jc w:val="right"/>
              <w:ind w:right="235"/>
              <w:spacing w:after="0"/>
              <w:rPr>
                <w:sz w:val="20"/>
                <w:szCs w:val="20"/>
                <w:color w:val="auto"/>
              </w:rPr>
            </w:pPr>
            <w:r>
              <w:rPr>
                <w:rFonts w:ascii="Arial" w:cs="Arial" w:eastAsia="Arial" w:hAnsi="Arial"/>
                <w:sz w:val="17"/>
                <w:szCs w:val="17"/>
                <w:color w:val="auto"/>
              </w:rPr>
              <w:t>4,100</w:t>
            </w:r>
          </w:p>
        </w:tc>
        <w:tc>
          <w:tcPr>
            <w:tcW w:w="1900" w:type="dxa"/>
            <w:vAlign w:val="bottom"/>
            <w:shd w:val="clear" w:color="auto" w:fill="F7F3F7"/>
          </w:tcPr>
          <w:p>
            <w:pPr>
              <w:jc w:val="right"/>
              <w:spacing w:after="0"/>
              <w:rPr>
                <w:sz w:val="20"/>
                <w:szCs w:val="20"/>
                <w:color w:val="auto"/>
              </w:rPr>
            </w:pPr>
            <w:r>
              <w:rPr>
                <w:rFonts w:ascii="Arial" w:cs="Arial" w:eastAsia="Arial" w:hAnsi="Arial"/>
                <w:sz w:val="17"/>
                <w:szCs w:val="17"/>
                <w:color w:val="auto"/>
              </w:rPr>
              <w:t>2,278</w:t>
            </w:r>
          </w:p>
        </w:tc>
      </w:tr>
      <w:tr>
        <w:trPr>
          <w:trHeight w:val="72"/>
        </w:trPr>
        <w:tc>
          <w:tcPr>
            <w:tcW w:w="5100" w:type="dxa"/>
            <w:vAlign w:val="bottom"/>
            <w:shd w:val="clear" w:color="auto" w:fill="F7F3F7"/>
          </w:tcPr>
          <w:p>
            <w:pPr>
              <w:spacing w:after="0"/>
              <w:rPr>
                <w:sz w:val="6"/>
                <w:szCs w:val="6"/>
                <w:color w:val="auto"/>
              </w:rPr>
            </w:pPr>
          </w:p>
        </w:tc>
        <w:tc>
          <w:tcPr>
            <w:tcW w:w="1800" w:type="dxa"/>
            <w:vAlign w:val="bottom"/>
            <w:shd w:val="clear" w:color="auto" w:fill="F7F3F7"/>
          </w:tcPr>
          <w:p>
            <w:pPr>
              <w:spacing w:after="0"/>
              <w:rPr>
                <w:sz w:val="6"/>
                <w:szCs w:val="6"/>
                <w:color w:val="auto"/>
              </w:rPr>
            </w:pPr>
          </w:p>
        </w:tc>
        <w:tc>
          <w:tcPr>
            <w:tcW w:w="1900" w:type="dxa"/>
            <w:vAlign w:val="bottom"/>
            <w:shd w:val="clear" w:color="auto" w:fill="F7F3F7"/>
          </w:tcPr>
          <w:p>
            <w:pPr>
              <w:spacing w:after="0"/>
              <w:rPr>
                <w:sz w:val="6"/>
                <w:szCs w:val="6"/>
                <w:color w:val="auto"/>
              </w:rPr>
            </w:pPr>
          </w:p>
        </w:tc>
      </w:tr>
      <w:tr>
        <w:trPr>
          <w:trHeight w:val="225"/>
        </w:trPr>
        <w:tc>
          <w:tcPr>
            <w:tcW w:w="5100" w:type="dxa"/>
            <w:vAlign w:val="bottom"/>
          </w:tcPr>
          <w:p>
            <w:pPr>
              <w:ind w:left="100"/>
              <w:spacing w:after="0"/>
              <w:rPr>
                <w:sz w:val="20"/>
                <w:szCs w:val="20"/>
                <w:color w:val="auto"/>
              </w:rPr>
            </w:pPr>
            <w:r>
              <w:rPr>
                <w:rFonts w:ascii="Arial" w:cs="Arial" w:eastAsia="Arial" w:hAnsi="Arial"/>
                <w:sz w:val="17"/>
                <w:szCs w:val="17"/>
                <w:color w:val="auto"/>
              </w:rPr>
              <w:t>Right-of-use assets</w:t>
            </w:r>
          </w:p>
        </w:tc>
        <w:tc>
          <w:tcPr>
            <w:tcW w:w="1800" w:type="dxa"/>
            <w:vAlign w:val="bottom"/>
          </w:tcPr>
          <w:p>
            <w:pPr>
              <w:jc w:val="right"/>
              <w:ind w:right="235"/>
              <w:spacing w:after="0"/>
              <w:rPr>
                <w:sz w:val="20"/>
                <w:szCs w:val="20"/>
                <w:color w:val="auto"/>
              </w:rPr>
            </w:pPr>
            <w:r>
              <w:rPr>
                <w:rFonts w:ascii="Arial" w:cs="Arial" w:eastAsia="Arial" w:hAnsi="Arial"/>
                <w:sz w:val="17"/>
                <w:szCs w:val="17"/>
                <w:color w:val="auto"/>
              </w:rPr>
              <w:t>2,710</w:t>
            </w:r>
          </w:p>
        </w:tc>
        <w:tc>
          <w:tcPr>
            <w:tcW w:w="1900" w:type="dxa"/>
            <w:vAlign w:val="bottom"/>
          </w:tcPr>
          <w:p>
            <w:pPr>
              <w:jc w:val="right"/>
              <w:spacing w:after="0"/>
              <w:rPr>
                <w:sz w:val="20"/>
                <w:szCs w:val="20"/>
                <w:color w:val="auto"/>
              </w:rPr>
            </w:pPr>
            <w:r>
              <w:rPr>
                <w:rFonts w:ascii="Arial" w:cs="Arial" w:eastAsia="Arial" w:hAnsi="Arial"/>
                <w:sz w:val="17"/>
                <w:szCs w:val="17"/>
                <w:color w:val="auto"/>
              </w:rPr>
              <w:t>2,774</w:t>
            </w:r>
          </w:p>
        </w:tc>
      </w:tr>
      <w:tr>
        <w:trPr>
          <w:trHeight w:val="72"/>
        </w:trPr>
        <w:tc>
          <w:tcPr>
            <w:tcW w:w="51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00" w:type="dxa"/>
            <w:vAlign w:val="bottom"/>
          </w:tcPr>
          <w:p>
            <w:pPr>
              <w:spacing w:after="0"/>
              <w:rPr>
                <w:sz w:val="6"/>
                <w:szCs w:val="6"/>
                <w:color w:val="auto"/>
              </w:rPr>
            </w:pPr>
          </w:p>
        </w:tc>
      </w:tr>
      <w:tr>
        <w:trPr>
          <w:trHeight w:val="225"/>
        </w:trPr>
        <w:tc>
          <w:tcPr>
            <w:tcW w:w="5100" w:type="dxa"/>
            <w:vAlign w:val="bottom"/>
            <w:shd w:val="clear" w:color="auto" w:fill="F7F3F7"/>
          </w:tcPr>
          <w:p>
            <w:pPr>
              <w:ind w:left="100"/>
              <w:spacing w:after="0"/>
              <w:rPr>
                <w:sz w:val="20"/>
                <w:szCs w:val="20"/>
                <w:color w:val="auto"/>
              </w:rPr>
            </w:pPr>
            <w:r>
              <w:rPr>
                <w:rFonts w:ascii="Arial" w:cs="Arial" w:eastAsia="Arial" w:hAnsi="Arial"/>
                <w:sz w:val="17"/>
                <w:szCs w:val="17"/>
                <w:color w:val="auto"/>
              </w:rPr>
              <w:t>USA, total</w:t>
            </w:r>
          </w:p>
        </w:tc>
        <w:tc>
          <w:tcPr>
            <w:tcW w:w="1800" w:type="dxa"/>
            <w:vAlign w:val="bottom"/>
            <w:shd w:val="clear" w:color="auto" w:fill="F7F3F7"/>
          </w:tcPr>
          <w:p>
            <w:pPr>
              <w:jc w:val="right"/>
              <w:ind w:right="235"/>
              <w:spacing w:after="0"/>
              <w:rPr>
                <w:sz w:val="20"/>
                <w:szCs w:val="20"/>
                <w:color w:val="auto"/>
              </w:rPr>
            </w:pPr>
            <w:r>
              <w:rPr>
                <w:rFonts w:ascii="Arial" w:cs="Arial" w:eastAsia="Arial" w:hAnsi="Arial"/>
                <w:sz w:val="17"/>
                <w:szCs w:val="17"/>
                <w:color w:val="auto"/>
              </w:rPr>
              <w:t>6,810</w:t>
            </w:r>
          </w:p>
        </w:tc>
        <w:tc>
          <w:tcPr>
            <w:tcW w:w="1900" w:type="dxa"/>
            <w:vAlign w:val="bottom"/>
            <w:shd w:val="clear" w:color="auto" w:fill="F7F3F7"/>
          </w:tcPr>
          <w:p>
            <w:pPr>
              <w:jc w:val="right"/>
              <w:spacing w:after="0"/>
              <w:rPr>
                <w:sz w:val="20"/>
                <w:szCs w:val="20"/>
                <w:color w:val="auto"/>
              </w:rPr>
            </w:pPr>
            <w:r>
              <w:rPr>
                <w:rFonts w:ascii="Arial" w:cs="Arial" w:eastAsia="Arial" w:hAnsi="Arial"/>
                <w:sz w:val="17"/>
                <w:szCs w:val="17"/>
                <w:color w:val="auto"/>
              </w:rPr>
              <w:t>5,112</w:t>
            </w:r>
          </w:p>
        </w:tc>
      </w:tr>
      <w:tr>
        <w:trPr>
          <w:trHeight w:val="72"/>
        </w:trPr>
        <w:tc>
          <w:tcPr>
            <w:tcW w:w="5100" w:type="dxa"/>
            <w:vAlign w:val="bottom"/>
            <w:shd w:val="clear" w:color="auto" w:fill="F7F3F7"/>
          </w:tcPr>
          <w:p>
            <w:pPr>
              <w:spacing w:after="0"/>
              <w:rPr>
                <w:sz w:val="6"/>
                <w:szCs w:val="6"/>
                <w:color w:val="auto"/>
              </w:rPr>
            </w:pPr>
          </w:p>
        </w:tc>
        <w:tc>
          <w:tcPr>
            <w:tcW w:w="1800" w:type="dxa"/>
            <w:vAlign w:val="bottom"/>
            <w:shd w:val="clear" w:color="auto" w:fill="F7F3F7"/>
          </w:tcPr>
          <w:p>
            <w:pPr>
              <w:spacing w:after="0"/>
              <w:rPr>
                <w:sz w:val="6"/>
                <w:szCs w:val="6"/>
                <w:color w:val="auto"/>
              </w:rPr>
            </w:pPr>
          </w:p>
        </w:tc>
        <w:tc>
          <w:tcPr>
            <w:tcW w:w="1900" w:type="dxa"/>
            <w:vAlign w:val="bottom"/>
            <w:shd w:val="clear" w:color="auto" w:fill="F7F3F7"/>
          </w:tcPr>
          <w:p>
            <w:pPr>
              <w:spacing w:after="0"/>
              <w:rPr>
                <w:sz w:val="6"/>
                <w:szCs w:val="6"/>
                <w:color w:val="auto"/>
              </w:rPr>
            </w:pPr>
          </w:p>
        </w:tc>
      </w:tr>
      <w:tr>
        <w:trPr>
          <w:trHeight w:val="235"/>
        </w:trPr>
        <w:tc>
          <w:tcPr>
            <w:tcW w:w="5100" w:type="dxa"/>
            <w:vAlign w:val="bottom"/>
          </w:tcPr>
          <w:p>
            <w:pPr>
              <w:ind w:left="100"/>
              <w:spacing w:after="0"/>
              <w:rPr>
                <w:sz w:val="20"/>
                <w:szCs w:val="20"/>
                <w:color w:val="auto"/>
              </w:rPr>
            </w:pPr>
            <w:r>
              <w:rPr>
                <w:rFonts w:ascii="Arial" w:cs="Arial" w:eastAsia="Arial" w:hAnsi="Arial"/>
                <w:sz w:val="17"/>
                <w:szCs w:val="17"/>
                <w:b w:val="1"/>
                <w:bCs w:val="1"/>
                <w:color w:val="auto"/>
              </w:rPr>
              <w:t>Total</w:t>
            </w:r>
          </w:p>
        </w:tc>
        <w:tc>
          <w:tcPr>
            <w:tcW w:w="1800" w:type="dxa"/>
            <w:vAlign w:val="bottom"/>
          </w:tcPr>
          <w:p>
            <w:pPr>
              <w:jc w:val="right"/>
              <w:ind w:right="235"/>
              <w:spacing w:after="0"/>
              <w:rPr>
                <w:sz w:val="20"/>
                <w:szCs w:val="20"/>
                <w:color w:val="auto"/>
              </w:rPr>
            </w:pPr>
            <w:r>
              <w:rPr>
                <w:rFonts w:ascii="Arial" w:cs="Arial" w:eastAsia="Arial" w:hAnsi="Arial"/>
                <w:sz w:val="17"/>
                <w:szCs w:val="17"/>
                <w:b w:val="1"/>
                <w:bCs w:val="1"/>
                <w:color w:val="auto"/>
              </w:rPr>
              <w:t>49,559</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45,504</w:t>
            </w:r>
          </w:p>
        </w:tc>
      </w:tr>
    </w:tbl>
    <w:p>
      <w:pPr>
        <w:spacing w:after="0" w:line="3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7. Revenue</w:t>
      </w:r>
    </w:p>
    <w:p>
      <w:pPr>
        <w:spacing w:after="0" w:line="100"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7"/>
          <w:szCs w:val="17"/>
          <w:color w:val="auto"/>
        </w:rPr>
        <w:t>Revenues from contracts with customers refer to the delivery of goods, provision of services and operating lease income. They are recognized both at a point in time and, partially, over time. Products comprise the sales of HAWK AIR and CONDOR terminals. Services mainly consist of the provision of development and training services relating to the laser terminals manufactured by the Company. Operating lease income refers to consideration received from customers for the temporary provision of CONDOR terminals for testing purposes.</w:t>
      </w:r>
    </w:p>
    <w:p>
      <w:pPr>
        <w:spacing w:after="0" w:line="140" w:lineRule="exact"/>
        <w:rPr>
          <w:sz w:val="20"/>
          <w:szCs w:val="20"/>
          <w:color w:val="auto"/>
        </w:rPr>
      </w:pPr>
    </w:p>
    <w:p>
      <w:pPr>
        <w:ind w:left="4" w:right="8300" w:hanging="4"/>
        <w:spacing w:after="0" w:line="376" w:lineRule="auto"/>
        <w:tabs>
          <w:tab w:leader="none" w:pos="21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Disaggregation of revenue </w:t>
      </w:r>
      <w:r>
        <w:rPr>
          <w:rFonts w:ascii="Arial" w:cs="Arial" w:eastAsia="Arial" w:hAnsi="Arial"/>
          <w:sz w:val="17"/>
          <w:szCs w:val="17"/>
          <w:color w:val="auto"/>
        </w:rPr>
        <w:t>Revenue is broken down as follows:</w:t>
      </w:r>
    </w:p>
    <w:p>
      <w:pPr>
        <w:spacing w:after="0" w:line="107" w:lineRule="exact"/>
        <w:rPr>
          <w:sz w:val="20"/>
          <w:szCs w:val="20"/>
          <w:color w:val="auto"/>
        </w:rPr>
      </w:pPr>
    </w:p>
    <w:tbl>
      <w:tblPr>
        <w:tblLayout w:type="fixed"/>
        <w:tblInd w:w="4" w:type="dxa"/>
        <w:tblCellMar>
          <w:top w:w="0" w:type="dxa"/>
          <w:left w:w="0" w:type="dxa"/>
          <w:bottom w:w="0" w:type="dxa"/>
          <w:right w:w="0" w:type="dxa"/>
        </w:tblCellMar>
      </w:tblPr>
      <w:tr>
        <w:trPr>
          <w:trHeight w:val="231"/>
        </w:trPr>
        <w:tc>
          <w:tcPr>
            <w:tcW w:w="3460" w:type="dxa"/>
            <w:vAlign w:val="bottom"/>
            <w:shd w:val="clear" w:color="auto" w:fill="BDBEBD"/>
          </w:tcPr>
          <w:p>
            <w:pPr>
              <w:spacing w:after="0"/>
              <w:rPr>
                <w:sz w:val="20"/>
                <w:szCs w:val="20"/>
                <w:color w:val="auto"/>
              </w:rPr>
            </w:pPr>
          </w:p>
        </w:tc>
        <w:tc>
          <w:tcPr>
            <w:tcW w:w="3140" w:type="dxa"/>
            <w:vAlign w:val="bottom"/>
            <w:gridSpan w:val="2"/>
            <w:shd w:val="clear" w:color="auto" w:fill="BDBEBD"/>
          </w:tcPr>
          <w:p>
            <w:pPr>
              <w:jc w:val="right"/>
              <w:ind w:right="615"/>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75"/>
        </w:trPr>
        <w:tc>
          <w:tcPr>
            <w:tcW w:w="3460" w:type="dxa"/>
            <w:vAlign w:val="bottom"/>
            <w:shd w:val="clear" w:color="auto" w:fill="BDBEBD"/>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1760" w:type="dxa"/>
            <w:vAlign w:val="bottom"/>
            <w:vMerge w:val="restart"/>
            <w:shd w:val="clear" w:color="auto" w:fill="BDBEBD"/>
          </w:tcPr>
          <w:p>
            <w:pPr>
              <w:jc w:val="right"/>
              <w:ind w:right="155"/>
              <w:spacing w:after="0"/>
              <w:rPr>
                <w:sz w:val="20"/>
                <w:szCs w:val="20"/>
                <w:color w:val="auto"/>
              </w:rPr>
            </w:pPr>
            <w:r>
              <w:rPr>
                <w:rFonts w:ascii="Arial" w:cs="Arial" w:eastAsia="Arial" w:hAnsi="Arial"/>
                <w:sz w:val="17"/>
                <w:szCs w:val="17"/>
                <w:color w:val="auto"/>
              </w:rPr>
              <w:t>June 30, 2022</w:t>
            </w:r>
          </w:p>
        </w:tc>
        <w:tc>
          <w:tcPr>
            <w:tcW w:w="1380" w:type="dxa"/>
            <w:vAlign w:val="bottom"/>
            <w:vMerge w:val="restart"/>
            <w:shd w:val="clear" w:color="auto" w:fill="BDBEBD"/>
          </w:tcPr>
          <w:p>
            <w:pPr>
              <w:jc w:val="right"/>
              <w:spacing w:after="0"/>
              <w:rPr>
                <w:sz w:val="20"/>
                <w:szCs w:val="20"/>
                <w:color w:val="auto"/>
              </w:rPr>
            </w:pPr>
            <w:r>
              <w:rPr>
                <w:rFonts w:ascii="Arial" w:cs="Arial" w:eastAsia="Arial" w:hAnsi="Arial"/>
                <w:sz w:val="17"/>
                <w:szCs w:val="17"/>
                <w:color w:val="auto"/>
              </w:rPr>
              <w:t>June 30, 2021</w:t>
            </w:r>
          </w:p>
        </w:tc>
        <w:tc>
          <w:tcPr>
            <w:tcW w:w="0" w:type="dxa"/>
            <w:vAlign w:val="bottom"/>
          </w:tcPr>
          <w:p>
            <w:pPr>
              <w:spacing w:after="0"/>
              <w:rPr>
                <w:sz w:val="1"/>
                <w:szCs w:val="1"/>
                <w:color w:val="auto"/>
              </w:rPr>
            </w:pPr>
          </w:p>
        </w:tc>
      </w:tr>
      <w:tr>
        <w:trPr>
          <w:trHeight w:val="121"/>
        </w:trPr>
        <w:tc>
          <w:tcPr>
            <w:tcW w:w="3460" w:type="dxa"/>
            <w:vAlign w:val="bottom"/>
            <w:shd w:val="clear" w:color="auto" w:fill="BDBEBD"/>
          </w:tcPr>
          <w:p>
            <w:pPr>
              <w:spacing w:after="0"/>
              <w:rPr>
                <w:sz w:val="10"/>
                <w:szCs w:val="10"/>
                <w:color w:val="auto"/>
              </w:rPr>
            </w:pPr>
          </w:p>
        </w:tc>
        <w:tc>
          <w:tcPr>
            <w:tcW w:w="1760" w:type="dxa"/>
            <w:vAlign w:val="bottom"/>
            <w:vMerge w:val="continue"/>
            <w:shd w:val="clear" w:color="auto" w:fill="BDBEBD"/>
          </w:tcPr>
          <w:p>
            <w:pPr>
              <w:spacing w:after="0"/>
              <w:rPr>
                <w:sz w:val="10"/>
                <w:szCs w:val="10"/>
                <w:color w:val="auto"/>
              </w:rPr>
            </w:pPr>
          </w:p>
        </w:tc>
        <w:tc>
          <w:tcPr>
            <w:tcW w:w="1380" w:type="dxa"/>
            <w:vAlign w:val="bottom"/>
            <w:vMerge w:val="continue"/>
            <w:shd w:val="clear" w:color="auto" w:fill="BDBEBD"/>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60" w:type="dxa"/>
            <w:vAlign w:val="bottom"/>
            <w:shd w:val="clear" w:color="auto" w:fill="BDBEBD"/>
          </w:tcPr>
          <w:p>
            <w:pPr>
              <w:spacing w:after="0"/>
              <w:rPr>
                <w:sz w:val="9"/>
                <w:szCs w:val="9"/>
                <w:color w:val="auto"/>
              </w:rPr>
            </w:pPr>
          </w:p>
        </w:tc>
        <w:tc>
          <w:tcPr>
            <w:tcW w:w="1760" w:type="dxa"/>
            <w:vAlign w:val="bottom"/>
            <w:shd w:val="clear" w:color="auto" w:fill="BDBEBD"/>
          </w:tcPr>
          <w:p>
            <w:pPr>
              <w:spacing w:after="0"/>
              <w:rPr>
                <w:sz w:val="9"/>
                <w:szCs w:val="9"/>
                <w:color w:val="auto"/>
              </w:rPr>
            </w:pPr>
          </w:p>
        </w:tc>
        <w:tc>
          <w:tcPr>
            <w:tcW w:w="1380" w:type="dxa"/>
            <w:vAlign w:val="bottom"/>
            <w:shd w:val="clear" w:color="auto" w:fill="BDBEBD"/>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7"/>
                <w:szCs w:val="17"/>
                <w:color w:val="auto"/>
              </w:rPr>
              <w:t>Products</w:t>
            </w:r>
          </w:p>
        </w:tc>
        <w:tc>
          <w:tcPr>
            <w:tcW w:w="176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1380" w:type="dxa"/>
            <w:vAlign w:val="bottom"/>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72"/>
        </w:trPr>
        <w:tc>
          <w:tcPr>
            <w:tcW w:w="3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460" w:type="dxa"/>
            <w:vAlign w:val="bottom"/>
            <w:shd w:val="clear" w:color="auto" w:fill="F7F3F7"/>
          </w:tcPr>
          <w:p>
            <w:pPr>
              <w:ind w:left="100"/>
              <w:spacing w:after="0"/>
              <w:rPr>
                <w:sz w:val="20"/>
                <w:szCs w:val="20"/>
                <w:color w:val="auto"/>
              </w:rPr>
            </w:pPr>
            <w:r>
              <w:rPr>
                <w:rFonts w:ascii="Arial" w:cs="Arial" w:eastAsia="Arial" w:hAnsi="Arial"/>
                <w:sz w:val="17"/>
                <w:szCs w:val="17"/>
                <w:color w:val="auto"/>
              </w:rPr>
              <w:t>Services</w:t>
            </w:r>
          </w:p>
        </w:tc>
        <w:tc>
          <w:tcPr>
            <w:tcW w:w="1760" w:type="dxa"/>
            <w:vAlign w:val="bottom"/>
            <w:shd w:val="clear" w:color="auto" w:fill="F7F3F7"/>
          </w:tcPr>
          <w:p>
            <w:pPr>
              <w:jc w:val="right"/>
              <w:ind w:right="155"/>
              <w:spacing w:after="0"/>
              <w:rPr>
                <w:sz w:val="20"/>
                <w:szCs w:val="20"/>
                <w:color w:val="auto"/>
              </w:rPr>
            </w:pPr>
            <w:r>
              <w:rPr>
                <w:rFonts w:ascii="Arial" w:cs="Arial" w:eastAsia="Arial" w:hAnsi="Arial"/>
                <w:sz w:val="17"/>
                <w:szCs w:val="17"/>
                <w:color w:val="auto"/>
              </w:rPr>
              <w:t>0</w:t>
            </w:r>
          </w:p>
        </w:tc>
        <w:tc>
          <w:tcPr>
            <w:tcW w:w="1380" w:type="dxa"/>
            <w:vAlign w:val="bottom"/>
            <w:shd w:val="clear" w:color="auto" w:fill="F7F3F7"/>
          </w:tcPr>
          <w:p>
            <w:pPr>
              <w:jc w:val="right"/>
              <w:spacing w:after="0"/>
              <w:rPr>
                <w:sz w:val="20"/>
                <w:szCs w:val="20"/>
                <w:color w:val="auto"/>
              </w:rPr>
            </w:pPr>
            <w:r>
              <w:rPr>
                <w:rFonts w:ascii="Arial" w:cs="Arial" w:eastAsia="Arial" w:hAnsi="Arial"/>
                <w:sz w:val="17"/>
                <w:szCs w:val="17"/>
                <w:color w:val="auto"/>
              </w:rPr>
              <w:t>916</w:t>
            </w:r>
          </w:p>
        </w:tc>
        <w:tc>
          <w:tcPr>
            <w:tcW w:w="0" w:type="dxa"/>
            <w:vAlign w:val="bottom"/>
          </w:tcPr>
          <w:p>
            <w:pPr>
              <w:spacing w:after="0"/>
              <w:rPr>
                <w:sz w:val="1"/>
                <w:szCs w:val="1"/>
                <w:color w:val="auto"/>
              </w:rPr>
            </w:pPr>
          </w:p>
        </w:tc>
      </w:tr>
      <w:tr>
        <w:trPr>
          <w:trHeight w:val="72"/>
        </w:trPr>
        <w:tc>
          <w:tcPr>
            <w:tcW w:w="3460" w:type="dxa"/>
            <w:vAlign w:val="bottom"/>
            <w:shd w:val="clear" w:color="auto" w:fill="F7F3F7"/>
          </w:tcPr>
          <w:p>
            <w:pPr>
              <w:spacing w:after="0"/>
              <w:rPr>
                <w:sz w:val="6"/>
                <w:szCs w:val="6"/>
                <w:color w:val="auto"/>
              </w:rPr>
            </w:pPr>
          </w:p>
        </w:tc>
        <w:tc>
          <w:tcPr>
            <w:tcW w:w="1760" w:type="dxa"/>
            <w:vAlign w:val="bottom"/>
            <w:shd w:val="clear" w:color="auto" w:fill="F7F3F7"/>
          </w:tcPr>
          <w:p>
            <w:pPr>
              <w:spacing w:after="0"/>
              <w:rPr>
                <w:sz w:val="6"/>
                <w:szCs w:val="6"/>
                <w:color w:val="auto"/>
              </w:rPr>
            </w:pPr>
          </w:p>
        </w:tc>
        <w:tc>
          <w:tcPr>
            <w:tcW w:w="1380" w:type="dxa"/>
            <w:vAlign w:val="bottom"/>
            <w:shd w:val="clear" w:color="auto" w:fill="F7F3F7"/>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7"/>
                <w:szCs w:val="17"/>
                <w:color w:val="auto"/>
              </w:rPr>
              <w:t>Operating lease income</w:t>
            </w:r>
          </w:p>
        </w:tc>
        <w:tc>
          <w:tcPr>
            <w:tcW w:w="1760" w:type="dxa"/>
            <w:vAlign w:val="bottom"/>
          </w:tcPr>
          <w:p>
            <w:pPr>
              <w:jc w:val="right"/>
              <w:ind w:right="155"/>
              <w:spacing w:after="0"/>
              <w:rPr>
                <w:sz w:val="20"/>
                <w:szCs w:val="20"/>
                <w:color w:val="auto"/>
              </w:rPr>
            </w:pPr>
            <w:r>
              <w:rPr>
                <w:rFonts w:ascii="Arial" w:cs="Arial" w:eastAsia="Arial" w:hAnsi="Arial"/>
                <w:sz w:val="17"/>
                <w:szCs w:val="17"/>
                <w:color w:val="auto"/>
              </w:rPr>
              <w:t>25</w:t>
            </w:r>
          </w:p>
        </w:tc>
        <w:tc>
          <w:tcPr>
            <w:tcW w:w="138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72"/>
        </w:trPr>
        <w:tc>
          <w:tcPr>
            <w:tcW w:w="3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3460" w:type="dxa"/>
            <w:vAlign w:val="bottom"/>
            <w:shd w:val="clear" w:color="auto" w:fill="F7F3F7"/>
          </w:tcPr>
          <w:p>
            <w:pPr>
              <w:ind w:left="100"/>
              <w:spacing w:after="0"/>
              <w:rPr>
                <w:sz w:val="20"/>
                <w:szCs w:val="20"/>
                <w:color w:val="auto"/>
              </w:rPr>
            </w:pPr>
            <w:r>
              <w:rPr>
                <w:rFonts w:ascii="Arial" w:cs="Arial" w:eastAsia="Arial" w:hAnsi="Arial"/>
                <w:sz w:val="17"/>
                <w:szCs w:val="17"/>
                <w:b w:val="1"/>
                <w:bCs w:val="1"/>
                <w:color w:val="auto"/>
              </w:rPr>
              <w:t>Total</w:t>
            </w:r>
          </w:p>
        </w:tc>
        <w:tc>
          <w:tcPr>
            <w:tcW w:w="1760" w:type="dxa"/>
            <w:vAlign w:val="bottom"/>
            <w:shd w:val="clear" w:color="auto" w:fill="F7F3F7"/>
          </w:tcPr>
          <w:p>
            <w:pPr>
              <w:jc w:val="right"/>
              <w:ind w:right="155"/>
              <w:spacing w:after="0"/>
              <w:rPr>
                <w:sz w:val="20"/>
                <w:szCs w:val="20"/>
                <w:color w:val="auto"/>
              </w:rPr>
            </w:pPr>
            <w:r>
              <w:rPr>
                <w:rFonts w:ascii="Arial" w:cs="Arial" w:eastAsia="Arial" w:hAnsi="Arial"/>
                <w:sz w:val="17"/>
                <w:szCs w:val="17"/>
                <w:b w:val="1"/>
                <w:bCs w:val="1"/>
                <w:color w:val="auto"/>
              </w:rPr>
              <w:t>25</w:t>
            </w:r>
          </w:p>
        </w:tc>
        <w:tc>
          <w:tcPr>
            <w:tcW w:w="1380" w:type="dxa"/>
            <w:vAlign w:val="bottom"/>
            <w:shd w:val="clear" w:color="auto" w:fill="F7F3F7"/>
          </w:tcPr>
          <w:p>
            <w:pPr>
              <w:jc w:val="right"/>
              <w:spacing w:after="0"/>
              <w:rPr>
                <w:sz w:val="20"/>
                <w:szCs w:val="20"/>
                <w:color w:val="auto"/>
              </w:rPr>
            </w:pPr>
            <w:r>
              <w:rPr>
                <w:rFonts w:ascii="Arial" w:cs="Arial" w:eastAsia="Arial" w:hAnsi="Arial"/>
                <w:sz w:val="17"/>
                <w:szCs w:val="17"/>
                <w:b w:val="1"/>
                <w:bCs w:val="1"/>
                <w:color w:val="auto"/>
              </w:rPr>
              <w:t>1,349</w:t>
            </w:r>
          </w:p>
        </w:tc>
        <w:tc>
          <w:tcPr>
            <w:tcW w:w="0" w:type="dxa"/>
            <w:vAlign w:val="bottom"/>
          </w:tcPr>
          <w:p>
            <w:pPr>
              <w:spacing w:after="0"/>
              <w:rPr>
                <w:sz w:val="1"/>
                <w:szCs w:val="1"/>
                <w:color w:val="auto"/>
              </w:rPr>
            </w:pPr>
          </w:p>
        </w:tc>
      </w:tr>
      <w:tr>
        <w:trPr>
          <w:trHeight w:val="62"/>
        </w:trPr>
        <w:tc>
          <w:tcPr>
            <w:tcW w:w="3460" w:type="dxa"/>
            <w:vAlign w:val="bottom"/>
            <w:shd w:val="clear" w:color="auto" w:fill="F7F3F7"/>
          </w:tcPr>
          <w:p>
            <w:pPr>
              <w:spacing w:after="0"/>
              <w:rPr>
                <w:sz w:val="5"/>
                <w:szCs w:val="5"/>
                <w:color w:val="auto"/>
              </w:rPr>
            </w:pPr>
          </w:p>
        </w:tc>
        <w:tc>
          <w:tcPr>
            <w:tcW w:w="1760" w:type="dxa"/>
            <w:vAlign w:val="bottom"/>
            <w:shd w:val="clear" w:color="auto" w:fill="F7F3F7"/>
          </w:tcPr>
          <w:p>
            <w:pPr>
              <w:spacing w:after="0"/>
              <w:rPr>
                <w:sz w:val="5"/>
                <w:szCs w:val="5"/>
                <w:color w:val="auto"/>
              </w:rPr>
            </w:pPr>
          </w:p>
        </w:tc>
        <w:tc>
          <w:tcPr>
            <w:tcW w:w="1380" w:type="dxa"/>
            <w:vAlign w:val="bottom"/>
            <w:shd w:val="clear" w:color="auto" w:fill="F7F3F7"/>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 Contract balances</w:t>
      </w:r>
    </w:p>
    <w:p>
      <w:pPr>
        <w:spacing w:after="0" w:line="100" w:lineRule="exact"/>
        <w:rPr>
          <w:sz w:val="20"/>
          <w:szCs w:val="20"/>
          <w:color w:val="auto"/>
        </w:rPr>
      </w:pPr>
    </w:p>
    <w:p>
      <w:pPr>
        <w:ind w:left="4" w:right="20"/>
        <w:spacing w:after="0" w:line="283" w:lineRule="auto"/>
        <w:rPr>
          <w:sz w:val="20"/>
          <w:szCs w:val="20"/>
          <w:color w:val="auto"/>
        </w:rPr>
      </w:pPr>
      <w:r>
        <w:rPr>
          <w:rFonts w:ascii="Arial" w:cs="Arial" w:eastAsia="Arial" w:hAnsi="Arial"/>
          <w:sz w:val="17"/>
          <w:szCs w:val="17"/>
          <w:color w:val="auto"/>
        </w:rPr>
        <w:t xml:space="preserve">The contract liabilities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613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307 thousand) consist of payments in advance made by customers of Mynaric and deferred operating lease income presented in accordance with IFRS 15.</w:t>
      </w:r>
    </w:p>
    <w:p>
      <w:pPr>
        <w:spacing w:after="0" w:line="38" w:lineRule="exact"/>
        <w:rPr>
          <w:sz w:val="20"/>
          <w:szCs w:val="20"/>
          <w:color w:val="auto"/>
        </w:rPr>
      </w:pPr>
    </w:p>
    <w:p>
      <w:pPr>
        <w:ind w:left="4" w:right="20"/>
        <w:spacing w:after="0" w:line="265" w:lineRule="auto"/>
        <w:rPr>
          <w:sz w:val="20"/>
          <w:szCs w:val="20"/>
          <w:color w:val="auto"/>
        </w:rPr>
      </w:pPr>
      <w:r>
        <w:rPr>
          <w:rFonts w:ascii="Arial" w:cs="Arial" w:eastAsia="Arial" w:hAnsi="Arial"/>
          <w:sz w:val="17"/>
          <w:szCs w:val="17"/>
          <w:color w:val="auto"/>
        </w:rPr>
        <w:t xml:space="preserve">In the six months ended June 30, 2022, revenue recognized from contract liabilities which existed as of December 31, 2021, amounts to </w:t>
      </w:r>
      <w:r>
        <w:rPr>
          <w:rFonts w:ascii="Times New Roman" w:cs="Times New Roman" w:eastAsia="Times New Roman" w:hAnsi="Times New Roman"/>
          <w:sz w:val="17"/>
          <w:szCs w:val="17"/>
          <w:color w:val="auto"/>
        </w:rPr>
        <w:t>€</w:t>
      </w:r>
      <w:r>
        <w:rPr>
          <w:rFonts w:ascii="Arial" w:cs="Arial" w:eastAsia="Arial" w:hAnsi="Arial"/>
          <w:sz w:val="17"/>
          <w:szCs w:val="17"/>
          <w:color w:val="auto"/>
        </w:rPr>
        <w:t>0 thousand (six months ended June 30, 2021:</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915 thousand).</w:t>
      </w:r>
    </w:p>
    <w:p>
      <w:pPr>
        <w:spacing w:after="0" w:line="66" w:lineRule="exact"/>
        <w:rPr>
          <w:sz w:val="20"/>
          <w:szCs w:val="20"/>
          <w:color w:val="auto"/>
        </w:rPr>
      </w:pPr>
    </w:p>
    <w:p>
      <w:pPr>
        <w:ind w:left="4"/>
        <w:spacing w:after="0" w:line="267" w:lineRule="auto"/>
        <w:rPr>
          <w:sz w:val="20"/>
          <w:szCs w:val="20"/>
          <w:color w:val="auto"/>
        </w:rPr>
      </w:pPr>
      <w:r>
        <w:rPr>
          <w:rFonts w:ascii="Arial" w:cs="Arial" w:eastAsia="Arial" w:hAnsi="Arial"/>
          <w:sz w:val="17"/>
          <w:szCs w:val="17"/>
          <w:color w:val="auto"/>
        </w:rPr>
        <w:t>The Company makes use of the exemption according to IFR7S 15.122 regarding the disclosure of the expected revenues for outstanding performance obligations as of June 30, 2022, as all revenues will take place within one year.</w:t>
      </w:r>
    </w:p>
    <w:p>
      <w:pPr>
        <w:sectPr>
          <w:pgSz w:w="11900" w:h="16838" w:orient="portrait"/>
          <w:cols w:equalWidth="0" w:num="1">
            <w:col w:w="11024"/>
          </w:cols>
          <w:pgMar w:left="436" w:top="1359" w:right="439" w:bottom="1440" w:gutter="0" w:footer="0" w:header="0"/>
        </w:sectPr>
      </w:pPr>
    </w:p>
    <w:p>
      <w:pPr>
        <w:spacing w:after="0" w:line="10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868A9C"/>
        </w:rPr>
        <w:t>Page 25/33</w:t>
      </w:r>
    </w:p>
    <w:p>
      <w:pPr>
        <w:sectPr>
          <w:pgSz w:w="11900" w:h="16838" w:orient="portrait"/>
          <w:cols w:equalWidth="0" w:num="2">
            <w:col w:w="9564" w:space="720"/>
            <w:col w:w="740"/>
          </w:cols>
          <w:pgMar w:left="436" w:top="1359" w:right="439" w:bottom="1440" w:gutter="0" w:footer="0" w:header="0"/>
          <w:type w:val="continuous"/>
        </w:sectPr>
      </w:pPr>
    </w:p>
    <w:bookmarkStart w:id="30" w:name="page31"/>
    <w:bookmarkEnd w:id="30"/>
    <w:p>
      <w:pPr>
        <w:ind w:left="324" w:hanging="324"/>
        <w:spacing w:after="0"/>
        <w:tabs>
          <w:tab w:leader="none" w:pos="324"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Share-based payments</w:t>
      </w:r>
    </w:p>
    <w:p>
      <w:pPr>
        <w:spacing w:after="0" w:line="9" w:lineRule="exact"/>
        <w:rPr>
          <w:rFonts w:ascii="Arial" w:cs="Arial" w:eastAsia="Arial" w:hAnsi="Arial"/>
          <w:sz w:val="17"/>
          <w:szCs w:val="17"/>
          <w:b w:val="1"/>
          <w:bCs w:val="1"/>
          <w:color w:val="auto"/>
        </w:rPr>
      </w:pPr>
    </w:p>
    <w:p>
      <w:pPr>
        <w:ind w:left="344" w:hanging="249"/>
        <w:spacing w:after="0"/>
        <w:tabs>
          <w:tab w:leader="none" w:pos="344" w:val="left"/>
        </w:tabs>
        <w:numPr>
          <w:ilvl w:val="1"/>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payments under Stock Option Plans</w:t>
      </w:r>
    </w:p>
    <w:p>
      <w:pPr>
        <w:spacing w:after="0" w:line="30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2019 Stock Option Plan</w:t>
      </w:r>
    </w:p>
    <w:p>
      <w:pPr>
        <w:spacing w:after="0" w:line="98"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During the six months ended June 30, 2022, Mynaric granted 2,500 stocks options to selected employees under the 2019 Stock option plan. The conditions remain the same as described in the financial statements as of December 31, 2021.</w:t>
      </w:r>
    </w:p>
    <w:p>
      <w:pPr>
        <w:spacing w:after="0" w:line="51" w:lineRule="exact"/>
        <w:rPr>
          <w:sz w:val="20"/>
          <w:szCs w:val="20"/>
          <w:color w:val="auto"/>
        </w:rPr>
      </w:pPr>
    </w:p>
    <w:p>
      <w:pPr>
        <w:jc w:val="both"/>
        <w:ind w:left="4" w:right="20"/>
        <w:spacing w:after="0" w:line="249" w:lineRule="auto"/>
        <w:rPr>
          <w:sz w:val="20"/>
          <w:szCs w:val="20"/>
          <w:color w:val="auto"/>
        </w:rPr>
      </w:pPr>
      <w:r>
        <w:rPr>
          <w:rFonts w:ascii="Arial" w:cs="Arial" w:eastAsia="Arial" w:hAnsi="Arial"/>
          <w:sz w:val="17"/>
          <w:szCs w:val="17"/>
          <w:color w:val="auto"/>
        </w:rPr>
        <w:t>The stock option grants under the 2017, 2019, 2020, 2021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67" w:lineRule="exact"/>
        <w:rPr>
          <w:sz w:val="20"/>
          <w:szCs w:val="20"/>
          <w:color w:val="auto"/>
        </w:rPr>
      </w:pPr>
    </w:p>
    <w:p>
      <w:pPr>
        <w:jc w:val="both"/>
        <w:ind w:left="4"/>
        <w:spacing w:after="0" w:line="249" w:lineRule="auto"/>
        <w:rPr>
          <w:sz w:val="20"/>
          <w:szCs w:val="20"/>
          <w:color w:val="auto"/>
        </w:rPr>
      </w:pPr>
      <w:r>
        <w:rPr>
          <w:rFonts w:ascii="Arial" w:cs="Arial" w:eastAsia="Arial" w:hAnsi="Arial"/>
          <w:sz w:val="17"/>
          <w:szCs w:val="17"/>
          <w:color w:val="auto"/>
        </w:rPr>
        <w:t>The measurement of the existing stock option plans was based on the Monte Carlo Simulation model or the Binomial model, considering the terms and conditions for the options. The table below shows the inputs used for valuing the stock options granted during the six months ended June 30, 2022, correspondingly:</w:t>
      </w:r>
    </w:p>
    <w:p>
      <w:pPr>
        <w:spacing w:after="0" w:line="96" w:lineRule="exact"/>
        <w:rPr>
          <w:sz w:val="20"/>
          <w:szCs w:val="20"/>
          <w:color w:val="auto"/>
        </w:rPr>
      </w:pPr>
    </w:p>
    <w:tbl>
      <w:tblPr>
        <w:tblLayout w:type="fixed"/>
        <w:tblInd w:w="4" w:type="dxa"/>
        <w:tblCellMar>
          <w:top w:w="0" w:type="dxa"/>
          <w:left w:w="0" w:type="dxa"/>
          <w:bottom w:w="0" w:type="dxa"/>
          <w:right w:w="0" w:type="dxa"/>
        </w:tblCellMar>
      </w:tblPr>
      <w:tr>
        <w:trPr>
          <w:trHeight w:val="249"/>
        </w:trPr>
        <w:tc>
          <w:tcPr>
            <w:tcW w:w="3620" w:type="dxa"/>
            <w:vAlign w:val="bottom"/>
            <w:shd w:val="clear" w:color="auto" w:fill="BDBEBD"/>
          </w:tcPr>
          <w:p>
            <w:pPr>
              <w:spacing w:after="0"/>
              <w:rPr>
                <w:sz w:val="21"/>
                <w:szCs w:val="21"/>
                <w:color w:val="auto"/>
              </w:rPr>
            </w:pPr>
          </w:p>
        </w:tc>
        <w:tc>
          <w:tcPr>
            <w:tcW w:w="1880" w:type="dxa"/>
            <w:vAlign w:val="bottom"/>
            <w:shd w:val="clear" w:color="auto" w:fill="BDBEBD"/>
          </w:tcPr>
          <w:p>
            <w:pPr>
              <w:jc w:val="right"/>
              <w:ind w:right="155"/>
              <w:spacing w:after="0"/>
              <w:rPr>
                <w:sz w:val="20"/>
                <w:szCs w:val="20"/>
                <w:color w:val="auto"/>
              </w:rPr>
            </w:pPr>
            <w:r>
              <w:rPr>
                <w:rFonts w:ascii="Arial" w:cs="Arial" w:eastAsia="Arial" w:hAnsi="Arial"/>
                <w:sz w:val="17"/>
                <w:szCs w:val="17"/>
                <w:b w:val="1"/>
                <w:bCs w:val="1"/>
                <w:color w:val="auto"/>
              </w:rPr>
              <w:t>Tranche 2019 X</w:t>
            </w:r>
          </w:p>
        </w:tc>
      </w:tr>
      <w:tr>
        <w:trPr>
          <w:trHeight w:val="237"/>
        </w:trPr>
        <w:tc>
          <w:tcPr>
            <w:tcW w:w="3620" w:type="dxa"/>
            <w:vAlign w:val="bottom"/>
            <w:tcBorders>
              <w:bottom w:val="single" w:sz="8" w:color="F7F3F7"/>
            </w:tcBorders>
            <w:shd w:val="clear" w:color="auto" w:fill="F7F3F7"/>
          </w:tcPr>
          <w:p>
            <w:pPr>
              <w:ind w:left="100"/>
              <w:spacing w:after="0"/>
              <w:rPr>
                <w:sz w:val="20"/>
                <w:szCs w:val="20"/>
                <w:color w:val="auto"/>
              </w:rPr>
            </w:pPr>
            <w:r>
              <w:rPr>
                <w:rFonts w:ascii="Arial" w:cs="Arial" w:eastAsia="Arial" w:hAnsi="Arial"/>
                <w:sz w:val="17"/>
                <w:szCs w:val="17"/>
                <w:color w:val="auto"/>
              </w:rPr>
              <w:t xml:space="preserve">Exercise price (in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1880" w:type="dxa"/>
            <w:vAlign w:val="bottom"/>
            <w:tcBorders>
              <w:bottom w:val="single" w:sz="8" w:color="F7F3F7"/>
            </w:tcBorders>
            <w:shd w:val="clear" w:color="auto" w:fill="F7F3F7"/>
          </w:tcPr>
          <w:p>
            <w:pPr>
              <w:jc w:val="right"/>
              <w:ind w:right="55"/>
              <w:spacing w:after="0"/>
              <w:rPr>
                <w:sz w:val="20"/>
                <w:szCs w:val="20"/>
                <w:color w:val="auto"/>
              </w:rPr>
            </w:pPr>
            <w:r>
              <w:rPr>
                <w:rFonts w:ascii="Arial" w:cs="Arial" w:eastAsia="Arial" w:hAnsi="Arial"/>
                <w:sz w:val="17"/>
                <w:szCs w:val="17"/>
                <w:color w:val="auto"/>
              </w:rPr>
              <w:t>37.31</w:t>
            </w:r>
          </w:p>
        </w:tc>
      </w:tr>
      <w:tr>
        <w:trPr>
          <w:trHeight w:val="234"/>
        </w:trPr>
        <w:tc>
          <w:tcPr>
            <w:tcW w:w="3620" w:type="dxa"/>
            <w:vAlign w:val="bottom"/>
          </w:tcPr>
          <w:p>
            <w:pPr>
              <w:ind w:left="80"/>
              <w:spacing w:after="0"/>
              <w:rPr>
                <w:sz w:val="20"/>
                <w:szCs w:val="20"/>
                <w:color w:val="auto"/>
              </w:rPr>
            </w:pPr>
            <w:r>
              <w:rPr>
                <w:rFonts w:ascii="Arial" w:cs="Arial" w:eastAsia="Arial" w:hAnsi="Arial"/>
                <w:sz w:val="17"/>
                <w:szCs w:val="17"/>
                <w:color w:val="auto"/>
              </w:rPr>
              <w:t>Term in years</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7</w:t>
            </w:r>
          </w:p>
        </w:tc>
      </w:tr>
      <w:tr>
        <w:trPr>
          <w:trHeight w:val="252"/>
        </w:trPr>
        <w:tc>
          <w:tcPr>
            <w:tcW w:w="3620" w:type="dxa"/>
            <w:vAlign w:val="bottom"/>
            <w:shd w:val="clear" w:color="auto" w:fill="F7F3F7"/>
          </w:tcPr>
          <w:p>
            <w:pPr>
              <w:ind w:left="100"/>
              <w:spacing w:after="0"/>
              <w:rPr>
                <w:sz w:val="20"/>
                <w:szCs w:val="20"/>
                <w:color w:val="auto"/>
              </w:rPr>
            </w:pPr>
            <w:r>
              <w:rPr>
                <w:rFonts w:ascii="Arial" w:cs="Arial" w:eastAsia="Arial" w:hAnsi="Arial"/>
                <w:sz w:val="17"/>
                <w:szCs w:val="17"/>
                <w:color w:val="auto"/>
              </w:rPr>
              <w:t>Remaining term in years</w:t>
            </w:r>
          </w:p>
        </w:tc>
        <w:tc>
          <w:tcPr>
            <w:tcW w:w="1880" w:type="dxa"/>
            <w:vAlign w:val="bottom"/>
            <w:shd w:val="clear" w:color="auto" w:fill="F7F3F7"/>
          </w:tcPr>
          <w:p>
            <w:pPr>
              <w:jc w:val="right"/>
              <w:ind w:right="55"/>
              <w:spacing w:after="0"/>
              <w:rPr>
                <w:sz w:val="20"/>
                <w:szCs w:val="20"/>
                <w:color w:val="auto"/>
              </w:rPr>
            </w:pPr>
            <w:r>
              <w:rPr>
                <w:rFonts w:ascii="Arial" w:cs="Arial" w:eastAsia="Arial" w:hAnsi="Arial"/>
                <w:sz w:val="17"/>
                <w:szCs w:val="17"/>
                <w:color w:val="auto"/>
              </w:rPr>
              <w:t>7</w:t>
            </w:r>
          </w:p>
        </w:tc>
      </w:tr>
      <w:tr>
        <w:trPr>
          <w:trHeight w:val="225"/>
        </w:trPr>
        <w:tc>
          <w:tcPr>
            <w:tcW w:w="3620" w:type="dxa"/>
            <w:vAlign w:val="bottom"/>
          </w:tcPr>
          <w:p>
            <w:pPr>
              <w:ind w:left="100"/>
              <w:spacing w:after="0"/>
              <w:rPr>
                <w:sz w:val="20"/>
                <w:szCs w:val="20"/>
                <w:color w:val="auto"/>
              </w:rPr>
            </w:pPr>
            <w:r>
              <w:rPr>
                <w:rFonts w:ascii="Arial" w:cs="Arial" w:eastAsia="Arial" w:hAnsi="Arial"/>
                <w:sz w:val="17"/>
                <w:szCs w:val="17"/>
                <w:color w:val="auto"/>
              </w:rPr>
              <w:t xml:space="preserve">Share price as of the valuation date (in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27.55</w:t>
            </w:r>
          </w:p>
        </w:tc>
      </w:tr>
      <w:tr>
        <w:trPr>
          <w:trHeight w:val="32"/>
        </w:trPr>
        <w:tc>
          <w:tcPr>
            <w:tcW w:w="36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3620" w:type="dxa"/>
            <w:vAlign w:val="bottom"/>
            <w:shd w:val="clear" w:color="auto" w:fill="F7F3F7"/>
          </w:tcPr>
          <w:p>
            <w:pPr>
              <w:ind w:left="100"/>
              <w:spacing w:after="0"/>
              <w:rPr>
                <w:sz w:val="20"/>
                <w:szCs w:val="20"/>
                <w:color w:val="auto"/>
              </w:rPr>
            </w:pPr>
            <w:r>
              <w:rPr>
                <w:rFonts w:ascii="Arial" w:cs="Arial" w:eastAsia="Arial" w:hAnsi="Arial"/>
                <w:sz w:val="17"/>
                <w:szCs w:val="17"/>
                <w:color w:val="auto"/>
              </w:rPr>
              <w:t>Expected dividend yield (in %)</w:t>
            </w:r>
          </w:p>
        </w:tc>
        <w:tc>
          <w:tcPr>
            <w:tcW w:w="1880" w:type="dxa"/>
            <w:vAlign w:val="bottom"/>
            <w:shd w:val="clear" w:color="auto" w:fill="F7F3F7"/>
          </w:tcPr>
          <w:p>
            <w:pPr>
              <w:jc w:val="right"/>
              <w:ind w:right="55"/>
              <w:spacing w:after="0"/>
              <w:rPr>
                <w:sz w:val="20"/>
                <w:szCs w:val="20"/>
                <w:color w:val="auto"/>
              </w:rPr>
            </w:pPr>
            <w:r>
              <w:rPr>
                <w:rFonts w:ascii="Arial" w:cs="Arial" w:eastAsia="Arial" w:hAnsi="Arial"/>
                <w:sz w:val="17"/>
                <w:szCs w:val="17"/>
                <w:color w:val="auto"/>
              </w:rPr>
              <w:t>0.00</w:t>
            </w:r>
          </w:p>
        </w:tc>
      </w:tr>
      <w:tr>
        <w:trPr>
          <w:trHeight w:val="234"/>
        </w:trPr>
        <w:tc>
          <w:tcPr>
            <w:tcW w:w="3620" w:type="dxa"/>
            <w:vAlign w:val="bottom"/>
          </w:tcPr>
          <w:p>
            <w:pPr>
              <w:ind w:left="100"/>
              <w:spacing w:after="0"/>
              <w:rPr>
                <w:sz w:val="20"/>
                <w:szCs w:val="20"/>
                <w:color w:val="auto"/>
              </w:rPr>
            </w:pPr>
            <w:r>
              <w:rPr>
                <w:rFonts w:ascii="Arial" w:cs="Arial" w:eastAsia="Arial" w:hAnsi="Arial"/>
                <w:sz w:val="17"/>
                <w:szCs w:val="17"/>
                <w:color w:val="auto"/>
              </w:rPr>
              <w:t>Expected volatility (in %)</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38.46</w:t>
            </w:r>
          </w:p>
        </w:tc>
      </w:tr>
      <w:tr>
        <w:trPr>
          <w:trHeight w:val="252"/>
        </w:trPr>
        <w:tc>
          <w:tcPr>
            <w:tcW w:w="3620" w:type="dxa"/>
            <w:vAlign w:val="bottom"/>
            <w:shd w:val="clear" w:color="auto" w:fill="F7F3F7"/>
          </w:tcPr>
          <w:p>
            <w:pPr>
              <w:ind w:left="100"/>
              <w:spacing w:after="0"/>
              <w:rPr>
                <w:sz w:val="20"/>
                <w:szCs w:val="20"/>
                <w:color w:val="auto"/>
              </w:rPr>
            </w:pPr>
            <w:r>
              <w:rPr>
                <w:rFonts w:ascii="Arial" w:cs="Arial" w:eastAsia="Arial" w:hAnsi="Arial"/>
                <w:sz w:val="17"/>
                <w:szCs w:val="17"/>
                <w:color w:val="auto"/>
              </w:rPr>
              <w:t>Risk-free interest rate (in %)</w:t>
            </w:r>
          </w:p>
        </w:tc>
        <w:tc>
          <w:tcPr>
            <w:tcW w:w="1880" w:type="dxa"/>
            <w:vAlign w:val="bottom"/>
            <w:shd w:val="clear" w:color="auto" w:fill="F7F3F7"/>
          </w:tcPr>
          <w:p>
            <w:pPr>
              <w:jc w:val="right"/>
              <w:ind w:right="55"/>
              <w:spacing w:after="0"/>
              <w:rPr>
                <w:sz w:val="20"/>
                <w:szCs w:val="20"/>
                <w:color w:val="auto"/>
              </w:rPr>
            </w:pPr>
            <w:r>
              <w:rPr>
                <w:rFonts w:ascii="Arial" w:cs="Arial" w:eastAsia="Arial" w:hAnsi="Arial"/>
                <w:sz w:val="17"/>
                <w:szCs w:val="17"/>
                <w:color w:val="auto"/>
              </w:rPr>
              <w:t>1.12</w:t>
            </w:r>
          </w:p>
        </w:tc>
      </w:tr>
      <w:tr>
        <w:trPr>
          <w:trHeight w:val="225"/>
        </w:trPr>
        <w:tc>
          <w:tcPr>
            <w:tcW w:w="3620" w:type="dxa"/>
            <w:vAlign w:val="bottom"/>
          </w:tcPr>
          <w:p>
            <w:pPr>
              <w:ind w:left="100"/>
              <w:spacing w:after="0"/>
              <w:rPr>
                <w:sz w:val="20"/>
                <w:szCs w:val="20"/>
                <w:color w:val="auto"/>
              </w:rPr>
            </w:pPr>
            <w:r>
              <w:rPr>
                <w:rFonts w:ascii="Arial" w:cs="Arial" w:eastAsia="Arial" w:hAnsi="Arial"/>
                <w:sz w:val="17"/>
                <w:szCs w:val="17"/>
                <w:color w:val="auto"/>
              </w:rPr>
              <w:t xml:space="preserve">Option value (in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5.72</w:t>
            </w:r>
          </w:p>
        </w:tc>
      </w:tr>
    </w:tbl>
    <w:p>
      <w:pPr>
        <w:spacing w:after="0" w:line="200" w:lineRule="exact"/>
        <w:rPr>
          <w:sz w:val="20"/>
          <w:szCs w:val="20"/>
          <w:color w:val="auto"/>
        </w:rPr>
      </w:pPr>
    </w:p>
    <w:p>
      <w:pPr>
        <w:spacing w:after="0" w:line="242"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17"/>
          <w:szCs w:val="17"/>
          <w:color w:val="auto"/>
        </w:rPr>
        <w:t xml:space="preserve">The total expense for share-based payments recognized during the six months ended June 30, 2022, under the Stock Option Plans is </w:t>
      </w:r>
      <w:r>
        <w:rPr>
          <w:rFonts w:ascii="Times New Roman" w:cs="Times New Roman" w:eastAsia="Times New Roman" w:hAnsi="Times New Roman"/>
          <w:sz w:val="17"/>
          <w:szCs w:val="17"/>
          <w:color w:val="auto"/>
        </w:rPr>
        <w:t>€</w:t>
      </w:r>
      <w:r>
        <w:rPr>
          <w:rFonts w:ascii="Arial" w:cs="Arial" w:eastAsia="Arial" w:hAnsi="Arial"/>
          <w:sz w:val="17"/>
          <w:szCs w:val="17"/>
          <w:color w:val="auto"/>
        </w:rPr>
        <w:t>762 thousand (six months ended June 30, 2021:</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278 thousand). The share-based payments recognized in the capital reserve amount to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3,578 thousand as of June 30, 2022 (December 31, 2021:</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2,815 thousand).</w:t>
      </w:r>
    </w:p>
    <w:p>
      <w:pPr>
        <w:spacing w:after="0" w:line="331" w:lineRule="exact"/>
        <w:rPr>
          <w:sz w:val="20"/>
          <w:szCs w:val="20"/>
          <w:color w:val="auto"/>
        </w:rPr>
      </w:pPr>
    </w:p>
    <w:p>
      <w:pPr>
        <w:ind w:left="4" w:right="5460" w:firstLine="91"/>
        <w:spacing w:after="0" w:line="372" w:lineRule="auto"/>
        <w:tabs>
          <w:tab w:leader="none" w:pos="35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payments under Restricted Stock Unit Plan (RSUP) </w:t>
      </w:r>
      <w:r>
        <w:rPr>
          <w:rFonts w:ascii="Arial" w:cs="Arial" w:eastAsia="Arial" w:hAnsi="Arial"/>
          <w:sz w:val="17"/>
          <w:szCs w:val="17"/>
          <w:b w:val="1"/>
          <w:bCs w:val="1"/>
          <w:i w:val="1"/>
          <w:iCs w:val="1"/>
          <w:color w:val="auto"/>
        </w:rPr>
        <w:t>RSUP 2021</w:t>
      </w:r>
    </w:p>
    <w:p>
      <w:pPr>
        <w:spacing w:after="0" w:line="2"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During the six months ended June 30, 2022, Mynaric granted 54,444 stocks options to selected employees under the 2021 Restricted Stock Unit Plan. The conditions remain the same as described in the financial statements as of December 31, 2021.</w:t>
      </w:r>
    </w:p>
    <w:p>
      <w:pPr>
        <w:spacing w:after="0" w:line="51" w:lineRule="exact"/>
        <w:rPr>
          <w:sz w:val="20"/>
          <w:szCs w:val="20"/>
          <w:color w:val="auto"/>
        </w:rPr>
      </w:pPr>
    </w:p>
    <w:p>
      <w:pPr>
        <w:jc w:val="both"/>
        <w:ind w:left="4"/>
        <w:spacing w:after="0" w:line="249" w:lineRule="auto"/>
        <w:rPr>
          <w:sz w:val="20"/>
          <w:szCs w:val="20"/>
          <w:color w:val="auto"/>
        </w:rPr>
      </w:pPr>
      <w:r>
        <w:rPr>
          <w:rFonts w:ascii="Arial" w:cs="Arial" w:eastAsia="Arial" w:hAnsi="Arial"/>
          <w:sz w:val="17"/>
          <w:szCs w:val="17"/>
          <w:color w:val="auto"/>
        </w:rPr>
        <w:t>The stock option grants under the 2021 Restricted Stock Unit Plan are classified and measured as equity-settled share-based payments in accordance with IFRS 2. Accordingly, the fair value is determined only once on the grant date. The determined expense must then be amortized over the vesting period.</w:t>
      </w:r>
    </w:p>
    <w:p>
      <w:pPr>
        <w:spacing w:after="0" w:line="67"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The valuation of the present RSU program was performed using a binomial model considering the option terms. The table below shows the inputs used for valuing the stock options granted during the six months ended June 30, 2022, correspondingly:</w:t>
      </w:r>
    </w:p>
    <w:p>
      <w:pPr>
        <w:sectPr>
          <w:pgSz w:w="11900" w:h="16838" w:orient="portrait"/>
          <w:cols w:equalWidth="0" w:num="1">
            <w:col w:w="11024"/>
          </w:cols>
          <w:pgMar w:left="436" w:top="1359" w:right="439" w:bottom="1440" w:gutter="0" w:footer="0" w:header="0"/>
        </w:sectPr>
      </w:pPr>
    </w:p>
    <w:p>
      <w:pPr>
        <w:spacing w:after="0" w:line="10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868A9C"/>
        </w:rPr>
        <w:t>Page 26/33</w:t>
      </w:r>
    </w:p>
    <w:p>
      <w:pPr>
        <w:sectPr>
          <w:pgSz w:w="11900" w:h="16838" w:orient="portrait"/>
          <w:cols w:equalWidth="0" w:num="2">
            <w:col w:w="9564" w:space="720"/>
            <w:col w:w="740"/>
          </w:cols>
          <w:pgMar w:left="436" w:top="1359" w:right="439" w:bottom="1440" w:gutter="0" w:footer="0" w:header="0"/>
          <w:type w:val="continuous"/>
        </w:sectPr>
      </w:pPr>
    </w:p>
    <w:bookmarkStart w:id="31" w:name="page32"/>
    <w:bookmarkEnd w:id="31"/>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49"/>
        </w:trPr>
        <w:tc>
          <w:tcPr>
            <w:tcW w:w="3740" w:type="dxa"/>
            <w:vAlign w:val="bottom"/>
            <w:shd w:val="clear" w:color="auto" w:fill="BDBEBD"/>
          </w:tcPr>
          <w:p>
            <w:pPr>
              <w:spacing w:after="0"/>
              <w:rPr>
                <w:sz w:val="21"/>
                <w:szCs w:val="21"/>
                <w:color w:val="auto"/>
              </w:rPr>
            </w:pPr>
          </w:p>
        </w:tc>
        <w:tc>
          <w:tcPr>
            <w:tcW w:w="2220" w:type="dxa"/>
            <w:vAlign w:val="bottom"/>
            <w:shd w:val="clear" w:color="auto" w:fill="BDBEBD"/>
          </w:tcPr>
          <w:p>
            <w:pPr>
              <w:jc w:val="right"/>
              <w:ind w:right="335"/>
              <w:spacing w:after="0"/>
              <w:rPr>
                <w:sz w:val="20"/>
                <w:szCs w:val="20"/>
                <w:color w:val="auto"/>
              </w:rPr>
            </w:pPr>
            <w:r>
              <w:rPr>
                <w:rFonts w:ascii="Arial" w:cs="Arial" w:eastAsia="Arial" w:hAnsi="Arial"/>
                <w:sz w:val="17"/>
                <w:szCs w:val="17"/>
                <w:b w:val="1"/>
                <w:bCs w:val="1"/>
                <w:color w:val="auto"/>
              </w:rPr>
              <w:t>Tranche 2021 III</w:t>
            </w:r>
          </w:p>
        </w:tc>
        <w:tc>
          <w:tcPr>
            <w:tcW w:w="1740" w:type="dxa"/>
            <w:vAlign w:val="bottom"/>
            <w:shd w:val="clear" w:color="auto" w:fill="BDBEBD"/>
          </w:tcPr>
          <w:p>
            <w:pPr>
              <w:jc w:val="right"/>
              <w:ind w:right="55"/>
              <w:spacing w:after="0"/>
              <w:rPr>
                <w:sz w:val="20"/>
                <w:szCs w:val="20"/>
                <w:color w:val="auto"/>
              </w:rPr>
            </w:pPr>
            <w:r>
              <w:rPr>
                <w:rFonts w:ascii="Arial" w:cs="Arial" w:eastAsia="Arial" w:hAnsi="Arial"/>
                <w:sz w:val="17"/>
                <w:szCs w:val="17"/>
                <w:b w:val="1"/>
                <w:bCs w:val="1"/>
                <w:color w:val="auto"/>
              </w:rPr>
              <w:t>Tranche 2021 IV</w:t>
            </w:r>
          </w:p>
        </w:tc>
      </w:tr>
      <w:tr>
        <w:trPr>
          <w:trHeight w:val="237"/>
        </w:trPr>
        <w:tc>
          <w:tcPr>
            <w:tcW w:w="3740" w:type="dxa"/>
            <w:vAlign w:val="bottom"/>
            <w:tcBorders>
              <w:bottom w:val="single" w:sz="8" w:color="F7F3F7"/>
            </w:tcBorders>
            <w:shd w:val="clear" w:color="auto" w:fill="F7F3F7"/>
          </w:tcPr>
          <w:p>
            <w:pPr>
              <w:ind w:left="100"/>
              <w:spacing w:after="0"/>
              <w:rPr>
                <w:sz w:val="20"/>
                <w:szCs w:val="20"/>
                <w:color w:val="auto"/>
              </w:rPr>
            </w:pPr>
            <w:r>
              <w:rPr>
                <w:rFonts w:ascii="Arial" w:cs="Arial" w:eastAsia="Arial" w:hAnsi="Arial"/>
                <w:sz w:val="17"/>
                <w:szCs w:val="17"/>
                <w:color w:val="auto"/>
              </w:rPr>
              <w:t xml:space="preserve">Exercise price (in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2220" w:type="dxa"/>
            <w:vAlign w:val="bottom"/>
            <w:tcBorders>
              <w:bottom w:val="single" w:sz="8" w:color="F7F3F7"/>
            </w:tcBorders>
            <w:shd w:val="clear" w:color="auto" w:fill="F7F3F7"/>
          </w:tcPr>
          <w:p>
            <w:pPr>
              <w:jc w:val="right"/>
              <w:ind w:right="235"/>
              <w:spacing w:after="0"/>
              <w:rPr>
                <w:sz w:val="20"/>
                <w:szCs w:val="20"/>
                <w:color w:val="auto"/>
              </w:rPr>
            </w:pPr>
            <w:r>
              <w:rPr>
                <w:rFonts w:ascii="Arial" w:cs="Arial" w:eastAsia="Arial" w:hAnsi="Arial"/>
                <w:sz w:val="17"/>
                <w:szCs w:val="17"/>
                <w:color w:val="auto"/>
              </w:rPr>
              <w:t>0.00</w:t>
            </w:r>
          </w:p>
        </w:tc>
        <w:tc>
          <w:tcPr>
            <w:tcW w:w="1740" w:type="dxa"/>
            <w:vAlign w:val="bottom"/>
            <w:tcBorders>
              <w:bottom w:val="single" w:sz="8" w:color="F7F3F7"/>
            </w:tcBorders>
            <w:shd w:val="clear" w:color="auto" w:fill="F7F3F7"/>
          </w:tcPr>
          <w:p>
            <w:pPr>
              <w:jc w:val="right"/>
              <w:spacing w:after="0"/>
              <w:rPr>
                <w:sz w:val="20"/>
                <w:szCs w:val="20"/>
                <w:color w:val="auto"/>
              </w:rPr>
            </w:pPr>
            <w:r>
              <w:rPr>
                <w:rFonts w:ascii="Arial" w:cs="Arial" w:eastAsia="Arial" w:hAnsi="Arial"/>
                <w:sz w:val="17"/>
                <w:szCs w:val="17"/>
                <w:color w:val="auto"/>
              </w:rPr>
              <w:t>0.00</w:t>
            </w:r>
          </w:p>
        </w:tc>
      </w:tr>
      <w:tr>
        <w:trPr>
          <w:trHeight w:val="234"/>
        </w:trPr>
        <w:tc>
          <w:tcPr>
            <w:tcW w:w="3740" w:type="dxa"/>
            <w:vAlign w:val="bottom"/>
          </w:tcPr>
          <w:p>
            <w:pPr>
              <w:ind w:left="80"/>
              <w:spacing w:after="0"/>
              <w:rPr>
                <w:sz w:val="20"/>
                <w:szCs w:val="20"/>
                <w:color w:val="auto"/>
              </w:rPr>
            </w:pPr>
            <w:r>
              <w:rPr>
                <w:rFonts w:ascii="Arial" w:cs="Arial" w:eastAsia="Arial" w:hAnsi="Arial"/>
                <w:sz w:val="17"/>
                <w:szCs w:val="17"/>
                <w:color w:val="auto"/>
              </w:rPr>
              <w:t>Term in years</w:t>
            </w:r>
          </w:p>
        </w:tc>
        <w:tc>
          <w:tcPr>
            <w:tcW w:w="2220" w:type="dxa"/>
            <w:vAlign w:val="bottom"/>
          </w:tcPr>
          <w:p>
            <w:pPr>
              <w:jc w:val="right"/>
              <w:ind w:right="235"/>
              <w:spacing w:after="0"/>
              <w:rPr>
                <w:sz w:val="20"/>
                <w:szCs w:val="20"/>
                <w:color w:val="auto"/>
              </w:rPr>
            </w:pPr>
            <w:r>
              <w:rPr>
                <w:rFonts w:ascii="Arial" w:cs="Arial" w:eastAsia="Arial" w:hAnsi="Arial"/>
                <w:sz w:val="17"/>
                <w:szCs w:val="17"/>
                <w:color w:val="auto"/>
              </w:rPr>
              <w:t>5,26</w:t>
            </w:r>
          </w:p>
        </w:tc>
        <w:tc>
          <w:tcPr>
            <w:tcW w:w="1740" w:type="dxa"/>
            <w:vAlign w:val="bottom"/>
          </w:tcPr>
          <w:p>
            <w:pPr>
              <w:jc w:val="right"/>
              <w:spacing w:after="0"/>
              <w:rPr>
                <w:sz w:val="20"/>
                <w:szCs w:val="20"/>
                <w:color w:val="auto"/>
              </w:rPr>
            </w:pPr>
            <w:r>
              <w:rPr>
                <w:rFonts w:ascii="Arial" w:cs="Arial" w:eastAsia="Arial" w:hAnsi="Arial"/>
                <w:sz w:val="17"/>
                <w:szCs w:val="17"/>
                <w:color w:val="auto"/>
              </w:rPr>
              <w:t>5.02</w:t>
            </w:r>
          </w:p>
        </w:tc>
      </w:tr>
      <w:tr>
        <w:trPr>
          <w:trHeight w:val="252"/>
        </w:trPr>
        <w:tc>
          <w:tcPr>
            <w:tcW w:w="3740" w:type="dxa"/>
            <w:vAlign w:val="bottom"/>
            <w:shd w:val="clear" w:color="auto" w:fill="F7F3F7"/>
          </w:tcPr>
          <w:p>
            <w:pPr>
              <w:ind w:left="100"/>
              <w:spacing w:after="0"/>
              <w:rPr>
                <w:sz w:val="20"/>
                <w:szCs w:val="20"/>
                <w:color w:val="auto"/>
              </w:rPr>
            </w:pPr>
            <w:r>
              <w:rPr>
                <w:rFonts w:ascii="Arial" w:cs="Arial" w:eastAsia="Arial" w:hAnsi="Arial"/>
                <w:sz w:val="17"/>
                <w:szCs w:val="17"/>
                <w:color w:val="auto"/>
              </w:rPr>
              <w:t>Remaining term in years</w:t>
            </w:r>
          </w:p>
        </w:tc>
        <w:tc>
          <w:tcPr>
            <w:tcW w:w="2220" w:type="dxa"/>
            <w:vAlign w:val="bottom"/>
            <w:shd w:val="clear" w:color="auto" w:fill="F7F3F7"/>
          </w:tcPr>
          <w:p>
            <w:pPr>
              <w:jc w:val="right"/>
              <w:ind w:right="235"/>
              <w:spacing w:after="0"/>
              <w:rPr>
                <w:sz w:val="20"/>
                <w:szCs w:val="20"/>
                <w:color w:val="auto"/>
              </w:rPr>
            </w:pPr>
            <w:r>
              <w:rPr>
                <w:rFonts w:ascii="Arial" w:cs="Arial" w:eastAsia="Arial" w:hAnsi="Arial"/>
                <w:sz w:val="17"/>
                <w:szCs w:val="17"/>
                <w:color w:val="auto"/>
              </w:rPr>
              <w:t>4,77</w:t>
            </w:r>
          </w:p>
        </w:tc>
        <w:tc>
          <w:tcPr>
            <w:tcW w:w="1740" w:type="dxa"/>
            <w:vAlign w:val="bottom"/>
            <w:shd w:val="clear" w:color="auto" w:fill="F7F3F7"/>
          </w:tcPr>
          <w:p>
            <w:pPr>
              <w:jc w:val="right"/>
              <w:spacing w:after="0"/>
              <w:rPr>
                <w:sz w:val="20"/>
                <w:szCs w:val="20"/>
                <w:color w:val="auto"/>
              </w:rPr>
            </w:pPr>
            <w:r>
              <w:rPr>
                <w:rFonts w:ascii="Arial" w:cs="Arial" w:eastAsia="Arial" w:hAnsi="Arial"/>
                <w:sz w:val="17"/>
                <w:szCs w:val="17"/>
                <w:color w:val="auto"/>
              </w:rPr>
              <w:t>4,77</w:t>
            </w:r>
          </w:p>
        </w:tc>
      </w:tr>
      <w:tr>
        <w:trPr>
          <w:trHeight w:val="225"/>
        </w:trPr>
        <w:tc>
          <w:tcPr>
            <w:tcW w:w="3740" w:type="dxa"/>
            <w:vAlign w:val="bottom"/>
          </w:tcPr>
          <w:p>
            <w:pPr>
              <w:ind w:left="100"/>
              <w:spacing w:after="0"/>
              <w:rPr>
                <w:sz w:val="20"/>
                <w:szCs w:val="20"/>
                <w:color w:val="auto"/>
              </w:rPr>
            </w:pPr>
            <w:r>
              <w:rPr>
                <w:rFonts w:ascii="Arial" w:cs="Arial" w:eastAsia="Arial" w:hAnsi="Arial"/>
                <w:sz w:val="17"/>
                <w:szCs w:val="17"/>
                <w:color w:val="auto"/>
              </w:rPr>
              <w:t xml:space="preserve">Share price as of the valuation date (in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2220" w:type="dxa"/>
            <w:vAlign w:val="bottom"/>
          </w:tcPr>
          <w:p>
            <w:pPr>
              <w:jc w:val="right"/>
              <w:ind w:right="235"/>
              <w:spacing w:after="0"/>
              <w:rPr>
                <w:sz w:val="20"/>
                <w:szCs w:val="20"/>
                <w:color w:val="auto"/>
              </w:rPr>
            </w:pPr>
            <w:r>
              <w:rPr>
                <w:rFonts w:ascii="Arial" w:cs="Arial" w:eastAsia="Arial" w:hAnsi="Arial"/>
                <w:sz w:val="17"/>
                <w:szCs w:val="17"/>
                <w:color w:val="auto"/>
              </w:rPr>
              <w:t>46,35</w:t>
            </w:r>
          </w:p>
        </w:tc>
        <w:tc>
          <w:tcPr>
            <w:tcW w:w="1740" w:type="dxa"/>
            <w:vAlign w:val="bottom"/>
          </w:tcPr>
          <w:p>
            <w:pPr>
              <w:jc w:val="right"/>
              <w:spacing w:after="0"/>
              <w:rPr>
                <w:sz w:val="20"/>
                <w:szCs w:val="20"/>
                <w:color w:val="auto"/>
              </w:rPr>
            </w:pPr>
            <w:r>
              <w:rPr>
                <w:rFonts w:ascii="Arial" w:cs="Arial" w:eastAsia="Arial" w:hAnsi="Arial"/>
                <w:sz w:val="17"/>
                <w:szCs w:val="17"/>
                <w:color w:val="auto"/>
              </w:rPr>
              <w:t>40,65</w:t>
            </w:r>
          </w:p>
        </w:tc>
      </w:tr>
      <w:tr>
        <w:trPr>
          <w:trHeight w:val="32"/>
        </w:trPr>
        <w:tc>
          <w:tcPr>
            <w:tcW w:w="3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3740" w:type="dxa"/>
            <w:vAlign w:val="bottom"/>
            <w:shd w:val="clear" w:color="auto" w:fill="F7F3F7"/>
          </w:tcPr>
          <w:p>
            <w:pPr>
              <w:ind w:left="100"/>
              <w:spacing w:after="0"/>
              <w:rPr>
                <w:sz w:val="20"/>
                <w:szCs w:val="20"/>
                <w:color w:val="auto"/>
              </w:rPr>
            </w:pPr>
            <w:r>
              <w:rPr>
                <w:rFonts w:ascii="Arial" w:cs="Arial" w:eastAsia="Arial" w:hAnsi="Arial"/>
                <w:sz w:val="17"/>
                <w:szCs w:val="17"/>
                <w:color w:val="auto"/>
              </w:rPr>
              <w:t>Expected dividend yield (in %)</w:t>
            </w:r>
          </w:p>
        </w:tc>
        <w:tc>
          <w:tcPr>
            <w:tcW w:w="2220" w:type="dxa"/>
            <w:vAlign w:val="bottom"/>
            <w:shd w:val="clear" w:color="auto" w:fill="F7F3F7"/>
          </w:tcPr>
          <w:p>
            <w:pPr>
              <w:jc w:val="right"/>
              <w:ind w:right="235"/>
              <w:spacing w:after="0"/>
              <w:rPr>
                <w:sz w:val="20"/>
                <w:szCs w:val="20"/>
                <w:color w:val="auto"/>
              </w:rPr>
            </w:pPr>
            <w:r>
              <w:rPr>
                <w:rFonts w:ascii="Arial" w:cs="Arial" w:eastAsia="Arial" w:hAnsi="Arial"/>
                <w:sz w:val="17"/>
                <w:szCs w:val="17"/>
                <w:color w:val="auto"/>
              </w:rPr>
              <w:t>0,00</w:t>
            </w:r>
          </w:p>
        </w:tc>
        <w:tc>
          <w:tcPr>
            <w:tcW w:w="1740" w:type="dxa"/>
            <w:vAlign w:val="bottom"/>
            <w:shd w:val="clear" w:color="auto" w:fill="F7F3F7"/>
          </w:tcPr>
          <w:p>
            <w:pPr>
              <w:jc w:val="right"/>
              <w:spacing w:after="0"/>
              <w:rPr>
                <w:sz w:val="20"/>
                <w:szCs w:val="20"/>
                <w:color w:val="auto"/>
              </w:rPr>
            </w:pPr>
            <w:r>
              <w:rPr>
                <w:rFonts w:ascii="Arial" w:cs="Arial" w:eastAsia="Arial" w:hAnsi="Arial"/>
                <w:sz w:val="17"/>
                <w:szCs w:val="17"/>
                <w:color w:val="auto"/>
              </w:rPr>
              <w:t>0,00</w:t>
            </w:r>
          </w:p>
        </w:tc>
      </w:tr>
      <w:tr>
        <w:trPr>
          <w:trHeight w:val="234"/>
        </w:trPr>
        <w:tc>
          <w:tcPr>
            <w:tcW w:w="3740" w:type="dxa"/>
            <w:vAlign w:val="bottom"/>
          </w:tcPr>
          <w:p>
            <w:pPr>
              <w:ind w:left="100"/>
              <w:spacing w:after="0"/>
              <w:rPr>
                <w:sz w:val="20"/>
                <w:szCs w:val="20"/>
                <w:color w:val="auto"/>
              </w:rPr>
            </w:pPr>
            <w:r>
              <w:rPr>
                <w:rFonts w:ascii="Arial" w:cs="Arial" w:eastAsia="Arial" w:hAnsi="Arial"/>
                <w:sz w:val="17"/>
                <w:szCs w:val="17"/>
                <w:color w:val="auto"/>
              </w:rPr>
              <w:t>Expected volatility (in %)</w:t>
            </w:r>
          </w:p>
        </w:tc>
        <w:tc>
          <w:tcPr>
            <w:tcW w:w="2220" w:type="dxa"/>
            <w:vAlign w:val="bottom"/>
          </w:tcPr>
          <w:p>
            <w:pPr>
              <w:jc w:val="right"/>
              <w:ind w:right="235"/>
              <w:spacing w:after="0"/>
              <w:rPr>
                <w:sz w:val="20"/>
                <w:szCs w:val="20"/>
                <w:color w:val="auto"/>
              </w:rPr>
            </w:pPr>
            <w:r>
              <w:rPr>
                <w:rFonts w:ascii="Arial" w:cs="Arial" w:eastAsia="Arial" w:hAnsi="Arial"/>
                <w:sz w:val="17"/>
                <w:szCs w:val="17"/>
                <w:color w:val="auto"/>
              </w:rPr>
              <w:t>38,89</w:t>
            </w:r>
          </w:p>
        </w:tc>
        <w:tc>
          <w:tcPr>
            <w:tcW w:w="1740" w:type="dxa"/>
            <w:vAlign w:val="bottom"/>
          </w:tcPr>
          <w:p>
            <w:pPr>
              <w:jc w:val="right"/>
              <w:spacing w:after="0"/>
              <w:rPr>
                <w:sz w:val="20"/>
                <w:szCs w:val="20"/>
                <w:color w:val="auto"/>
              </w:rPr>
            </w:pPr>
            <w:r>
              <w:rPr>
                <w:rFonts w:ascii="Arial" w:cs="Arial" w:eastAsia="Arial" w:hAnsi="Arial"/>
                <w:sz w:val="17"/>
                <w:szCs w:val="17"/>
                <w:color w:val="auto"/>
              </w:rPr>
              <w:t>39,14</w:t>
            </w:r>
          </w:p>
        </w:tc>
      </w:tr>
      <w:tr>
        <w:trPr>
          <w:trHeight w:val="252"/>
        </w:trPr>
        <w:tc>
          <w:tcPr>
            <w:tcW w:w="3740" w:type="dxa"/>
            <w:vAlign w:val="bottom"/>
            <w:shd w:val="clear" w:color="auto" w:fill="F7F3F7"/>
          </w:tcPr>
          <w:p>
            <w:pPr>
              <w:ind w:left="100"/>
              <w:spacing w:after="0"/>
              <w:rPr>
                <w:sz w:val="20"/>
                <w:szCs w:val="20"/>
                <w:color w:val="auto"/>
              </w:rPr>
            </w:pPr>
            <w:r>
              <w:rPr>
                <w:rFonts w:ascii="Arial" w:cs="Arial" w:eastAsia="Arial" w:hAnsi="Arial"/>
                <w:sz w:val="17"/>
                <w:szCs w:val="17"/>
                <w:color w:val="auto"/>
              </w:rPr>
              <w:t>Risk-free interest rate (in %)</w:t>
            </w:r>
          </w:p>
        </w:tc>
        <w:tc>
          <w:tcPr>
            <w:tcW w:w="2220" w:type="dxa"/>
            <w:vAlign w:val="bottom"/>
            <w:shd w:val="clear" w:color="auto" w:fill="F7F3F7"/>
          </w:tcPr>
          <w:p>
            <w:pPr>
              <w:jc w:val="right"/>
              <w:ind w:right="235"/>
              <w:spacing w:after="0"/>
              <w:rPr>
                <w:sz w:val="20"/>
                <w:szCs w:val="20"/>
                <w:color w:val="auto"/>
              </w:rPr>
            </w:pPr>
            <w:r>
              <w:rPr>
                <w:rFonts w:ascii="Arial" w:cs="Arial" w:eastAsia="Arial" w:hAnsi="Arial"/>
                <w:sz w:val="17"/>
                <w:szCs w:val="17"/>
                <w:color w:val="auto"/>
              </w:rPr>
              <w:t>-0,45</w:t>
            </w:r>
          </w:p>
        </w:tc>
        <w:tc>
          <w:tcPr>
            <w:tcW w:w="1740" w:type="dxa"/>
            <w:vAlign w:val="bottom"/>
            <w:shd w:val="clear" w:color="auto" w:fill="F7F3F7"/>
          </w:tcPr>
          <w:p>
            <w:pPr>
              <w:jc w:val="right"/>
              <w:spacing w:after="0"/>
              <w:rPr>
                <w:sz w:val="20"/>
                <w:szCs w:val="20"/>
                <w:color w:val="auto"/>
              </w:rPr>
            </w:pPr>
            <w:r>
              <w:rPr>
                <w:rFonts w:ascii="Arial" w:cs="Arial" w:eastAsia="Arial" w:hAnsi="Arial"/>
                <w:sz w:val="17"/>
                <w:szCs w:val="17"/>
                <w:color w:val="auto"/>
              </w:rPr>
              <w:t>0,37</w:t>
            </w:r>
          </w:p>
        </w:tc>
      </w:tr>
      <w:tr>
        <w:trPr>
          <w:trHeight w:val="225"/>
        </w:trPr>
        <w:tc>
          <w:tcPr>
            <w:tcW w:w="3740" w:type="dxa"/>
            <w:vAlign w:val="bottom"/>
          </w:tcPr>
          <w:p>
            <w:pPr>
              <w:ind w:left="100"/>
              <w:spacing w:after="0"/>
              <w:rPr>
                <w:sz w:val="20"/>
                <w:szCs w:val="20"/>
                <w:color w:val="auto"/>
              </w:rPr>
            </w:pPr>
            <w:r>
              <w:rPr>
                <w:rFonts w:ascii="Arial" w:cs="Arial" w:eastAsia="Arial" w:hAnsi="Arial"/>
                <w:sz w:val="17"/>
                <w:szCs w:val="17"/>
                <w:color w:val="auto"/>
              </w:rPr>
              <w:t xml:space="preserve">RSU-value (in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c>
          <w:tcPr>
            <w:tcW w:w="2220" w:type="dxa"/>
            <w:vAlign w:val="bottom"/>
          </w:tcPr>
          <w:p>
            <w:pPr>
              <w:jc w:val="right"/>
              <w:ind w:right="235"/>
              <w:spacing w:after="0"/>
              <w:rPr>
                <w:sz w:val="20"/>
                <w:szCs w:val="20"/>
                <w:color w:val="auto"/>
              </w:rPr>
            </w:pPr>
            <w:r>
              <w:rPr>
                <w:rFonts w:ascii="Arial" w:cs="Arial" w:eastAsia="Arial" w:hAnsi="Arial"/>
                <w:sz w:val="17"/>
                <w:szCs w:val="17"/>
                <w:color w:val="auto"/>
              </w:rPr>
              <w:t>46,35</w:t>
            </w:r>
          </w:p>
        </w:tc>
        <w:tc>
          <w:tcPr>
            <w:tcW w:w="1740" w:type="dxa"/>
            <w:vAlign w:val="bottom"/>
          </w:tcPr>
          <w:p>
            <w:pPr>
              <w:jc w:val="right"/>
              <w:spacing w:after="0"/>
              <w:rPr>
                <w:sz w:val="20"/>
                <w:szCs w:val="20"/>
                <w:color w:val="auto"/>
              </w:rPr>
            </w:pPr>
            <w:r>
              <w:rPr>
                <w:rFonts w:ascii="Arial" w:cs="Arial" w:eastAsia="Arial" w:hAnsi="Arial"/>
                <w:sz w:val="17"/>
                <w:szCs w:val="17"/>
                <w:color w:val="auto"/>
              </w:rPr>
              <w:t>40,65</w:t>
            </w:r>
          </w:p>
        </w:tc>
      </w:tr>
    </w:tbl>
    <w:p>
      <w:pPr>
        <w:spacing w:after="0" w:line="200" w:lineRule="exact"/>
        <w:rPr>
          <w:sz w:val="20"/>
          <w:szCs w:val="20"/>
          <w:color w:val="auto"/>
        </w:rPr>
      </w:pPr>
    </w:p>
    <w:p>
      <w:pPr>
        <w:spacing w:after="0" w:line="242" w:lineRule="exact"/>
        <w:rPr>
          <w:sz w:val="20"/>
          <w:szCs w:val="20"/>
          <w:color w:val="auto"/>
        </w:rPr>
      </w:pPr>
    </w:p>
    <w:p>
      <w:pPr>
        <w:jc w:val="both"/>
        <w:ind w:left="4"/>
        <w:spacing w:after="0" w:line="256" w:lineRule="auto"/>
        <w:rPr>
          <w:sz w:val="20"/>
          <w:szCs w:val="20"/>
          <w:color w:val="auto"/>
        </w:rPr>
      </w:pPr>
      <w:r>
        <w:rPr>
          <w:rFonts w:ascii="Arial" w:cs="Arial" w:eastAsia="Arial" w:hAnsi="Arial"/>
          <w:sz w:val="17"/>
          <w:szCs w:val="17"/>
          <w:color w:val="auto"/>
        </w:rPr>
        <w:t xml:space="preserve">The total expense for share-based payments recognized during the six months ended June 30, 2022, under the RSU-Program is </w:t>
      </w:r>
      <w:r>
        <w:rPr>
          <w:rFonts w:ascii="Times New Roman" w:cs="Times New Roman" w:eastAsia="Times New Roman" w:hAnsi="Times New Roman"/>
          <w:sz w:val="17"/>
          <w:szCs w:val="17"/>
          <w:color w:val="auto"/>
        </w:rPr>
        <w:t>€</w:t>
      </w:r>
      <w:r>
        <w:rPr>
          <w:rFonts w:ascii="Arial" w:cs="Arial" w:eastAsia="Arial" w:hAnsi="Arial"/>
          <w:sz w:val="17"/>
          <w:szCs w:val="17"/>
          <w:color w:val="auto"/>
        </w:rPr>
        <w:t>2,210 thousand (six months ended June 30, 2021:</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0thousand). The share-based payments recognized in the capital reserve amount to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3,639 thousand as of June 30, 2022 (December 31, 2021:</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1,429 thousand).</w:t>
      </w:r>
    </w:p>
    <w:p>
      <w:pPr>
        <w:spacing w:after="0" w:line="331" w:lineRule="exact"/>
        <w:rPr>
          <w:sz w:val="20"/>
          <w:szCs w:val="20"/>
          <w:color w:val="auto"/>
        </w:rPr>
      </w:pPr>
    </w:p>
    <w:p>
      <w:pPr>
        <w:ind w:left="324" w:hanging="324"/>
        <w:spacing w:after="0"/>
        <w:tabs>
          <w:tab w:leader="none" w:pos="324"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Inventories of Finished Goods and Work in Progress</w:t>
      </w:r>
    </w:p>
    <w:p>
      <w:pPr>
        <w:spacing w:after="0" w:line="102"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color w:val="auto"/>
        </w:rPr>
        <w:t>The increase in inventories of finished goods and work in progress primarily results from the Space terminals, and Air terminals currently in the production phase. Changes in inventories are as follows:</w:t>
      </w:r>
    </w:p>
    <w:p>
      <w:pPr>
        <w:sectPr>
          <w:pgSz w:w="11900" w:h="16838" w:orient="portrait"/>
          <w:cols w:equalWidth="0" w:num="1">
            <w:col w:w="11024"/>
          </w:cols>
          <w:pgMar w:left="436" w:top="1440" w:right="439" w:bottom="1440" w:gutter="0" w:footer="0" w:header="0"/>
        </w:sectPr>
      </w:pPr>
    </w:p>
    <w:p>
      <w:pPr>
        <w:spacing w:after="0" w:line="294" w:lineRule="exact"/>
        <w:rPr>
          <w:sz w:val="20"/>
          <w:szCs w:val="20"/>
          <w:color w:val="auto"/>
        </w:rPr>
      </w:pPr>
    </w:p>
    <w:p>
      <w:pPr>
        <w:ind w:left="224" w:hanging="129"/>
        <w:spacing w:after="0"/>
        <w:tabs>
          <w:tab w:leader="none" w:pos="224"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thousand</w:t>
      </w:r>
    </w:p>
    <w:p>
      <w:pPr>
        <w:spacing w:after="0" w:line="276" w:lineRule="exact"/>
        <w:rPr>
          <w:sz w:val="20"/>
          <w:szCs w:val="20"/>
          <w:color w:val="auto"/>
        </w:rPr>
      </w:pPr>
    </w:p>
    <w:p>
      <w:pPr>
        <w:ind w:left="164" w:right="560" w:hanging="75"/>
        <w:spacing w:after="0" w:line="267" w:lineRule="auto"/>
        <w:rPr>
          <w:sz w:val="20"/>
          <w:szCs w:val="20"/>
          <w:color w:val="auto"/>
        </w:rPr>
      </w:pPr>
      <w:r>
        <w:rPr>
          <w:rFonts w:ascii="Arial" w:cs="Arial" w:eastAsia="Arial" w:hAnsi="Arial"/>
          <w:sz w:val="17"/>
          <w:szCs w:val="17"/>
          <w:color w:val="auto"/>
        </w:rPr>
        <w:t>Increase in inventories of work in progress</w:t>
      </w:r>
    </w:p>
    <w:p>
      <w:pPr>
        <w:spacing w:after="0" w:line="159" w:lineRule="exact"/>
        <w:rPr>
          <w:sz w:val="20"/>
          <w:szCs w:val="20"/>
          <w:color w:val="auto"/>
        </w:rPr>
      </w:pPr>
    </w:p>
    <w:p>
      <w:pPr>
        <w:ind w:left="104"/>
        <w:spacing w:after="0"/>
        <w:rPr>
          <w:sz w:val="20"/>
          <w:szCs w:val="20"/>
          <w:color w:val="auto"/>
        </w:rPr>
      </w:pPr>
      <w:r>
        <w:rPr>
          <w:rFonts w:ascii="Arial" w:cs="Arial" w:eastAsia="Arial" w:hAnsi="Arial"/>
          <w:sz w:val="17"/>
          <w:szCs w:val="17"/>
          <w:color w:val="auto"/>
        </w:rPr>
        <w:t>Increase in inventories of finished goods</w:t>
      </w:r>
    </w:p>
    <w:p>
      <w:pPr>
        <w:spacing w:after="0" w:line="210" w:lineRule="exact"/>
        <w:rPr>
          <w:sz w:val="20"/>
          <w:szCs w:val="20"/>
          <w:color w:val="auto"/>
        </w:rPr>
      </w:pPr>
    </w:p>
    <w:p>
      <w:pPr>
        <w:ind w:left="104"/>
        <w:spacing w:after="0"/>
        <w:rPr>
          <w:sz w:val="20"/>
          <w:szCs w:val="20"/>
          <w:color w:val="auto"/>
        </w:rPr>
      </w:pPr>
      <w:r>
        <w:rPr>
          <w:rFonts w:ascii="Arial" w:cs="Arial" w:eastAsia="Arial" w:hAnsi="Arial"/>
          <w:sz w:val="17"/>
          <w:szCs w:val="17"/>
          <w:color w:val="auto"/>
        </w:rPr>
        <w:t>Write-downs</w:t>
      </w:r>
    </w:p>
    <w:p>
      <w:pPr>
        <w:spacing w:after="0" w:line="102" w:lineRule="exact"/>
        <w:rPr>
          <w:sz w:val="20"/>
          <w:szCs w:val="20"/>
          <w:color w:val="auto"/>
        </w:rPr>
      </w:pPr>
    </w:p>
    <w:p>
      <w:pPr>
        <w:ind w:left="104"/>
        <w:spacing w:after="0"/>
        <w:rPr>
          <w:sz w:val="20"/>
          <w:szCs w:val="20"/>
          <w:color w:val="auto"/>
        </w:rPr>
      </w:pPr>
      <w:r>
        <w:rPr>
          <w:rFonts w:ascii="Arial" w:cs="Arial" w:eastAsia="Arial" w:hAnsi="Arial"/>
          <w:sz w:val="17"/>
          <w:szCs w:val="17"/>
          <w:b w:val="1"/>
          <w:bCs w:val="1"/>
          <w:color w:val="auto"/>
        </w:rPr>
        <w:t>Total changes in inventories</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Arial" w:cs="Arial" w:eastAsia="Arial" w:hAnsi="Arial"/>
          <w:sz w:val="17"/>
          <w:szCs w:val="17"/>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-109220</wp:posOffset>
            </wp:positionV>
            <wp:extent cx="4543425" cy="480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43425" cy="4800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360" w:type="dxa"/>
            <w:vAlign w:val="bottom"/>
            <w:shd w:val="clear" w:color="auto" w:fill="BDBEBD"/>
          </w:tcPr>
          <w:p>
            <w:pPr>
              <w:ind w:left="480"/>
              <w:spacing w:after="0" w:line="183" w:lineRule="exact"/>
              <w:rPr>
                <w:sz w:val="20"/>
                <w:szCs w:val="20"/>
                <w:color w:val="auto"/>
              </w:rPr>
            </w:pPr>
            <w:r>
              <w:rPr>
                <w:rFonts w:ascii="Arial" w:cs="Arial" w:eastAsia="Arial" w:hAnsi="Arial"/>
                <w:sz w:val="17"/>
                <w:szCs w:val="17"/>
                <w:color w:val="auto"/>
              </w:rPr>
              <w:t>June 30,</w:t>
            </w:r>
          </w:p>
        </w:tc>
        <w:tc>
          <w:tcPr>
            <w:tcW w:w="1600" w:type="dxa"/>
            <w:vAlign w:val="bottom"/>
            <w:shd w:val="clear" w:color="auto" w:fill="BDBEBD"/>
          </w:tcPr>
          <w:p>
            <w:pPr>
              <w:spacing w:after="0"/>
              <w:rPr>
                <w:sz w:val="15"/>
                <w:szCs w:val="15"/>
                <w:color w:val="auto"/>
              </w:rPr>
            </w:pPr>
          </w:p>
        </w:tc>
      </w:tr>
      <w:tr>
        <w:trPr>
          <w:trHeight w:val="225"/>
        </w:trPr>
        <w:tc>
          <w:tcPr>
            <w:tcW w:w="2360" w:type="dxa"/>
            <w:vAlign w:val="bottom"/>
            <w:shd w:val="clear" w:color="auto" w:fill="BDBEBD"/>
          </w:tcPr>
          <w:p>
            <w:pPr>
              <w:ind w:left="480"/>
              <w:spacing w:after="0"/>
              <w:rPr>
                <w:sz w:val="20"/>
                <w:szCs w:val="20"/>
                <w:color w:val="auto"/>
              </w:rPr>
            </w:pPr>
            <w:r>
              <w:rPr>
                <w:rFonts w:ascii="Arial" w:cs="Arial" w:eastAsia="Arial" w:hAnsi="Arial"/>
                <w:sz w:val="17"/>
                <w:szCs w:val="17"/>
                <w:color w:val="auto"/>
              </w:rPr>
              <w:t>2022</w:t>
            </w:r>
          </w:p>
        </w:tc>
        <w:tc>
          <w:tcPr>
            <w:tcW w:w="1600" w:type="dxa"/>
            <w:vAlign w:val="bottom"/>
            <w:shd w:val="clear" w:color="auto" w:fill="BDBEBD"/>
          </w:tcPr>
          <w:p>
            <w:pPr>
              <w:jc w:val="right"/>
              <w:ind w:right="175"/>
              <w:spacing w:after="0"/>
              <w:rPr>
                <w:sz w:val="20"/>
                <w:szCs w:val="20"/>
                <w:color w:val="auto"/>
              </w:rPr>
            </w:pPr>
            <w:r>
              <w:rPr>
                <w:rFonts w:ascii="Arial" w:cs="Arial" w:eastAsia="Arial" w:hAnsi="Arial"/>
                <w:sz w:val="17"/>
                <w:szCs w:val="17"/>
                <w:color w:val="auto"/>
              </w:rPr>
              <w:t>June 30, 2021</w:t>
            </w:r>
          </w:p>
        </w:tc>
      </w:tr>
      <w:tr>
        <w:trPr>
          <w:trHeight w:val="175"/>
        </w:trPr>
        <w:tc>
          <w:tcPr>
            <w:tcW w:w="2360" w:type="dxa"/>
            <w:vAlign w:val="bottom"/>
            <w:shd w:val="clear" w:color="auto" w:fill="BDBEBD"/>
          </w:tcPr>
          <w:p>
            <w:pPr>
              <w:spacing w:after="0"/>
              <w:rPr>
                <w:sz w:val="15"/>
                <w:szCs w:val="15"/>
                <w:color w:val="auto"/>
              </w:rPr>
            </w:pPr>
          </w:p>
        </w:tc>
        <w:tc>
          <w:tcPr>
            <w:tcW w:w="1600" w:type="dxa"/>
            <w:vAlign w:val="bottom"/>
            <w:shd w:val="clear" w:color="auto" w:fill="BDBEBD"/>
          </w:tcPr>
          <w:p>
            <w:pPr>
              <w:spacing w:after="0"/>
              <w:rPr>
                <w:sz w:val="15"/>
                <w:szCs w:val="15"/>
                <w:color w:val="auto"/>
              </w:rPr>
            </w:pPr>
          </w:p>
        </w:tc>
      </w:tr>
      <w:tr>
        <w:trPr>
          <w:trHeight w:val="392"/>
        </w:trPr>
        <w:tc>
          <w:tcPr>
            <w:tcW w:w="2360" w:type="dxa"/>
            <w:vAlign w:val="bottom"/>
          </w:tcPr>
          <w:p>
            <w:pPr>
              <w:jc w:val="right"/>
              <w:ind w:right="195"/>
              <w:spacing w:after="0"/>
              <w:rPr>
                <w:sz w:val="20"/>
                <w:szCs w:val="20"/>
                <w:color w:val="auto"/>
              </w:rPr>
            </w:pPr>
            <w:r>
              <w:rPr>
                <w:rFonts w:ascii="Arial" w:cs="Arial" w:eastAsia="Arial" w:hAnsi="Arial"/>
                <w:sz w:val="17"/>
                <w:szCs w:val="17"/>
                <w:color w:val="auto"/>
              </w:rPr>
              <w:t>2,095</w:t>
            </w:r>
          </w:p>
        </w:tc>
        <w:tc>
          <w:tcPr>
            <w:tcW w:w="16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3"/>
        </w:trPr>
        <w:tc>
          <w:tcPr>
            <w:tcW w:w="23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5"/>
        </w:trPr>
        <w:tc>
          <w:tcPr>
            <w:tcW w:w="2360" w:type="dxa"/>
            <w:vAlign w:val="bottom"/>
            <w:shd w:val="clear" w:color="auto" w:fill="F7F3F7"/>
          </w:tcPr>
          <w:p>
            <w:pPr>
              <w:jc w:val="right"/>
              <w:ind w:right="195"/>
              <w:spacing w:after="0"/>
              <w:rPr>
                <w:sz w:val="20"/>
                <w:szCs w:val="20"/>
                <w:color w:val="auto"/>
              </w:rPr>
            </w:pPr>
            <w:r>
              <w:rPr>
                <w:rFonts w:ascii="Arial" w:cs="Arial" w:eastAsia="Arial" w:hAnsi="Arial"/>
                <w:sz w:val="17"/>
                <w:szCs w:val="17"/>
                <w:color w:val="auto"/>
              </w:rPr>
              <w:t>237</w:t>
            </w:r>
          </w:p>
        </w:tc>
        <w:tc>
          <w:tcPr>
            <w:tcW w:w="1600" w:type="dxa"/>
            <w:vAlign w:val="bottom"/>
            <w:shd w:val="clear" w:color="auto" w:fill="F7F3F7"/>
          </w:tcPr>
          <w:p>
            <w:pPr>
              <w:jc w:val="right"/>
              <w:spacing w:after="0"/>
              <w:rPr>
                <w:sz w:val="20"/>
                <w:szCs w:val="20"/>
                <w:color w:val="auto"/>
              </w:rPr>
            </w:pPr>
            <w:r>
              <w:rPr>
                <w:rFonts w:ascii="Arial" w:cs="Arial" w:eastAsia="Arial" w:hAnsi="Arial"/>
                <w:sz w:val="17"/>
                <w:szCs w:val="17"/>
                <w:color w:val="auto"/>
              </w:rPr>
              <w:t>970</w:t>
            </w:r>
          </w:p>
        </w:tc>
      </w:tr>
      <w:tr>
        <w:trPr>
          <w:trHeight w:val="72"/>
        </w:trPr>
        <w:tc>
          <w:tcPr>
            <w:tcW w:w="2360" w:type="dxa"/>
            <w:vAlign w:val="bottom"/>
            <w:shd w:val="clear" w:color="auto" w:fill="F7F3F7"/>
          </w:tcPr>
          <w:p>
            <w:pPr>
              <w:spacing w:after="0"/>
              <w:rPr>
                <w:sz w:val="6"/>
                <w:szCs w:val="6"/>
                <w:color w:val="auto"/>
              </w:rPr>
            </w:pPr>
          </w:p>
        </w:tc>
        <w:tc>
          <w:tcPr>
            <w:tcW w:w="1600" w:type="dxa"/>
            <w:vAlign w:val="bottom"/>
            <w:shd w:val="clear" w:color="auto" w:fill="F7F3F7"/>
          </w:tcPr>
          <w:p>
            <w:pPr>
              <w:spacing w:after="0"/>
              <w:rPr>
                <w:sz w:val="6"/>
                <w:szCs w:val="6"/>
                <w:color w:val="auto"/>
              </w:rPr>
            </w:pPr>
          </w:p>
        </w:tc>
      </w:tr>
      <w:tr>
        <w:trPr>
          <w:trHeight w:val="311"/>
        </w:trPr>
        <w:tc>
          <w:tcPr>
            <w:tcW w:w="2360" w:type="dxa"/>
            <w:vAlign w:val="bottom"/>
          </w:tcPr>
          <w:p>
            <w:pPr>
              <w:jc w:val="right"/>
              <w:ind w:right="195"/>
              <w:spacing w:after="0"/>
              <w:rPr>
                <w:sz w:val="20"/>
                <w:szCs w:val="20"/>
                <w:color w:val="auto"/>
              </w:rPr>
            </w:pPr>
            <w:r>
              <w:rPr>
                <w:rFonts w:ascii="Arial" w:cs="Arial" w:eastAsia="Arial" w:hAnsi="Arial"/>
                <w:sz w:val="17"/>
                <w:szCs w:val="17"/>
                <w:color w:val="auto"/>
              </w:rPr>
              <w:t>-265</w:t>
            </w:r>
          </w:p>
        </w:tc>
        <w:tc>
          <w:tcPr>
            <w:tcW w:w="160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307"/>
        </w:trPr>
        <w:tc>
          <w:tcPr>
            <w:tcW w:w="2360" w:type="dxa"/>
            <w:vAlign w:val="bottom"/>
          </w:tcPr>
          <w:p>
            <w:pPr>
              <w:jc w:val="right"/>
              <w:ind w:right="195"/>
              <w:spacing w:after="0"/>
              <w:rPr>
                <w:sz w:val="20"/>
                <w:szCs w:val="20"/>
                <w:color w:val="auto"/>
              </w:rPr>
            </w:pPr>
            <w:r>
              <w:rPr>
                <w:rFonts w:ascii="Arial" w:cs="Arial" w:eastAsia="Arial" w:hAnsi="Arial"/>
                <w:sz w:val="17"/>
                <w:szCs w:val="17"/>
                <w:b w:val="1"/>
                <w:bCs w:val="1"/>
                <w:color w:val="auto"/>
              </w:rPr>
              <w:t>2,067</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-648970</wp:posOffset>
            </wp:positionV>
            <wp:extent cx="4543425"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43425" cy="257175"/>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-134620</wp:posOffset>
            </wp:positionV>
            <wp:extent cx="454342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4342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4" w:space="60"/>
            <w:col w:w="7820"/>
          </w:cols>
          <w:pgMar w:left="436" w:top="1440" w:right="439" w:bottom="1440" w:gutter="0" w:footer="0" w:header="0"/>
          <w:type w:val="continuous"/>
        </w:sectPr>
      </w:pPr>
    </w:p>
    <w:p>
      <w:pPr>
        <w:spacing w:after="0" w:line="2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write-downs in the six months ended June 30, 2022, presented refer to Condor terminals that were written down to their net realizable value.</w:t>
      </w:r>
    </w:p>
    <w:p>
      <w:pPr>
        <w:spacing w:after="0" w:line="34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10. Own Work Capitalized</w:t>
      </w:r>
    </w:p>
    <w:p>
      <w:pPr>
        <w:spacing w:after="0" w:line="102"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color w:val="auto"/>
        </w:rPr>
        <w:t>Own work capitalized consists of expenses that are used to construct property, plant and equipment or develop intangible assets. Own work capitalized are as follows:</w:t>
      </w:r>
    </w:p>
    <w:p>
      <w:pPr>
        <w:spacing w:after="0" w:line="186" w:lineRule="exact"/>
        <w:rPr>
          <w:sz w:val="20"/>
          <w:szCs w:val="20"/>
          <w:color w:val="auto"/>
        </w:rPr>
      </w:pPr>
    </w:p>
    <w:p>
      <w:pPr>
        <w:ind w:left="5184"/>
        <w:spacing w:after="0"/>
        <w:rPr>
          <w:sz w:val="20"/>
          <w:szCs w:val="20"/>
          <w:color w:val="auto"/>
        </w:rPr>
      </w:pPr>
      <w:r>
        <w:rPr>
          <w:rFonts w:ascii="Arial" w:cs="Arial" w:eastAsia="Arial" w:hAnsi="Arial"/>
          <w:sz w:val="17"/>
          <w:szCs w:val="17"/>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4543425" cy="531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43425" cy="53149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25"/>
        </w:trPr>
        <w:tc>
          <w:tcPr>
            <w:tcW w:w="4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100" w:type="dxa"/>
            <w:vAlign w:val="bottom"/>
            <w:shd w:val="clear" w:color="auto" w:fill="BDBEBD"/>
          </w:tcPr>
          <w:p>
            <w:pPr>
              <w:spacing w:after="0"/>
              <w:rPr>
                <w:sz w:val="19"/>
                <w:szCs w:val="19"/>
                <w:color w:val="auto"/>
              </w:rPr>
            </w:pPr>
          </w:p>
        </w:tc>
        <w:tc>
          <w:tcPr>
            <w:tcW w:w="1260" w:type="dxa"/>
            <w:vAlign w:val="bottom"/>
            <w:vMerge w:val="restart"/>
            <w:shd w:val="clear" w:color="auto" w:fill="BDBEBD"/>
          </w:tcPr>
          <w:p>
            <w:pPr>
              <w:jc w:val="right"/>
              <w:ind w:right="35"/>
              <w:spacing w:after="0"/>
              <w:rPr>
                <w:sz w:val="20"/>
                <w:szCs w:val="20"/>
                <w:color w:val="auto"/>
              </w:rPr>
            </w:pPr>
            <w:r>
              <w:rPr>
                <w:rFonts w:ascii="Arial" w:cs="Arial" w:eastAsia="Arial" w:hAnsi="Arial"/>
                <w:sz w:val="17"/>
                <w:szCs w:val="17"/>
                <w:color w:val="auto"/>
              </w:rPr>
              <w:t>June 30, 2021</w:t>
            </w:r>
          </w:p>
        </w:tc>
        <w:tc>
          <w:tcPr>
            <w:tcW w:w="1260" w:type="dxa"/>
            <w:vAlign w:val="bottom"/>
            <w:vMerge w:val="restart"/>
            <w:shd w:val="clear" w:color="auto" w:fill="BDBEBD"/>
          </w:tcPr>
          <w:p>
            <w:pPr>
              <w:jc w:val="right"/>
              <w:spacing w:after="0"/>
              <w:rPr>
                <w:sz w:val="20"/>
                <w:szCs w:val="20"/>
                <w:color w:val="auto"/>
              </w:rPr>
            </w:pPr>
            <w:r>
              <w:rPr>
                <w:rFonts w:ascii="Arial" w:cs="Arial" w:eastAsia="Arial" w:hAnsi="Arial"/>
                <w:sz w:val="17"/>
                <w:szCs w:val="17"/>
                <w:color w:val="auto"/>
              </w:rPr>
              <w:t>June 30, 2021</w:t>
            </w:r>
          </w:p>
        </w:tc>
        <w:tc>
          <w:tcPr>
            <w:tcW w:w="0" w:type="dxa"/>
            <w:vAlign w:val="bottom"/>
          </w:tcPr>
          <w:p>
            <w:pPr>
              <w:spacing w:after="0"/>
              <w:rPr>
                <w:sz w:val="1"/>
                <w:szCs w:val="1"/>
                <w:color w:val="auto"/>
              </w:rPr>
            </w:pPr>
          </w:p>
        </w:tc>
      </w:tr>
      <w:tr>
        <w:trPr>
          <w:trHeight w:val="254"/>
        </w:trPr>
        <w:tc>
          <w:tcPr>
            <w:tcW w:w="4540" w:type="dxa"/>
            <w:vAlign w:val="bottom"/>
          </w:tcPr>
          <w:p>
            <w:pPr>
              <w:spacing w:after="0"/>
              <w:rPr>
                <w:sz w:val="22"/>
                <w:szCs w:val="22"/>
                <w:color w:val="auto"/>
              </w:rPr>
            </w:pPr>
          </w:p>
        </w:tc>
        <w:tc>
          <w:tcPr>
            <w:tcW w:w="100" w:type="dxa"/>
            <w:vAlign w:val="bottom"/>
            <w:shd w:val="clear" w:color="auto" w:fill="BDBEBD"/>
          </w:tcPr>
          <w:p>
            <w:pPr>
              <w:spacing w:after="0"/>
              <w:rPr>
                <w:sz w:val="22"/>
                <w:szCs w:val="22"/>
                <w:color w:val="auto"/>
              </w:rPr>
            </w:pPr>
          </w:p>
        </w:tc>
        <w:tc>
          <w:tcPr>
            <w:tcW w:w="1260" w:type="dxa"/>
            <w:vAlign w:val="bottom"/>
            <w:vMerge w:val="continue"/>
            <w:shd w:val="clear" w:color="auto" w:fill="BDBEBD"/>
          </w:tcPr>
          <w:p>
            <w:pPr>
              <w:spacing w:after="0"/>
              <w:rPr>
                <w:sz w:val="22"/>
                <w:szCs w:val="22"/>
                <w:color w:val="auto"/>
              </w:rPr>
            </w:pPr>
          </w:p>
        </w:tc>
        <w:tc>
          <w:tcPr>
            <w:tcW w:w="1260" w:type="dxa"/>
            <w:vAlign w:val="bottom"/>
            <w:vMerge w:val="continue"/>
            <w:shd w:val="clear" w:color="auto" w:fill="BDBEBD"/>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00" w:type="dxa"/>
            <w:vAlign w:val="bottom"/>
            <w:shd w:val="clear" w:color="auto" w:fill="BDBEBD"/>
          </w:tcPr>
          <w:p>
            <w:pPr>
              <w:spacing w:after="0"/>
              <w:rPr>
                <w:sz w:val="15"/>
                <w:szCs w:val="15"/>
                <w:color w:val="auto"/>
              </w:rPr>
            </w:pPr>
          </w:p>
        </w:tc>
        <w:tc>
          <w:tcPr>
            <w:tcW w:w="1260" w:type="dxa"/>
            <w:vAlign w:val="bottom"/>
            <w:shd w:val="clear" w:color="auto" w:fill="BDBEBD"/>
          </w:tcPr>
          <w:p>
            <w:pPr>
              <w:spacing w:after="0"/>
              <w:rPr>
                <w:sz w:val="15"/>
                <w:szCs w:val="15"/>
                <w:color w:val="auto"/>
              </w:rPr>
            </w:pPr>
          </w:p>
        </w:tc>
        <w:tc>
          <w:tcPr>
            <w:tcW w:w="1260" w:type="dxa"/>
            <w:vAlign w:val="bottom"/>
            <w:shd w:val="clear" w:color="auto" w:fill="BDBEBD"/>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F7F3F7"/>
          </w:tcPr>
          <w:p>
            <w:pPr>
              <w:ind w:left="100"/>
              <w:spacing w:after="0"/>
              <w:rPr>
                <w:sz w:val="20"/>
                <w:szCs w:val="20"/>
                <w:color w:val="auto"/>
              </w:rPr>
            </w:pPr>
            <w:r>
              <w:rPr>
                <w:rFonts w:ascii="Arial" w:cs="Arial" w:eastAsia="Arial" w:hAnsi="Arial"/>
                <w:sz w:val="17"/>
                <w:szCs w:val="17"/>
                <w:color w:val="auto"/>
              </w:rPr>
              <w:t>Development costs</w:t>
            </w:r>
          </w:p>
        </w:tc>
        <w:tc>
          <w:tcPr>
            <w:tcW w:w="100" w:type="dxa"/>
            <w:vAlign w:val="bottom"/>
            <w:shd w:val="clear" w:color="auto" w:fill="F7F3F7"/>
          </w:tcPr>
          <w:p>
            <w:pPr>
              <w:spacing w:after="0"/>
              <w:rPr>
                <w:sz w:val="21"/>
                <w:szCs w:val="21"/>
                <w:color w:val="auto"/>
              </w:rPr>
            </w:pPr>
          </w:p>
        </w:tc>
        <w:tc>
          <w:tcPr>
            <w:tcW w:w="1260" w:type="dxa"/>
            <w:vAlign w:val="bottom"/>
            <w:shd w:val="clear" w:color="auto" w:fill="F7F3F7"/>
          </w:tcPr>
          <w:p>
            <w:pPr>
              <w:jc w:val="right"/>
              <w:ind w:right="35"/>
              <w:spacing w:after="0"/>
              <w:rPr>
                <w:sz w:val="20"/>
                <w:szCs w:val="20"/>
                <w:color w:val="auto"/>
              </w:rPr>
            </w:pPr>
            <w:r>
              <w:rPr>
                <w:rFonts w:ascii="Arial" w:cs="Arial" w:eastAsia="Arial" w:hAnsi="Arial"/>
                <w:sz w:val="17"/>
                <w:szCs w:val="17"/>
                <w:color w:val="auto"/>
              </w:rPr>
              <w:t>881</w:t>
            </w:r>
          </w:p>
        </w:tc>
        <w:tc>
          <w:tcPr>
            <w:tcW w:w="1260" w:type="dxa"/>
            <w:vAlign w:val="bottom"/>
            <w:shd w:val="clear" w:color="auto" w:fill="F7F3F7"/>
          </w:tcPr>
          <w:p>
            <w:pPr>
              <w:jc w:val="right"/>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310"/>
        </w:trPr>
        <w:tc>
          <w:tcPr>
            <w:tcW w:w="4540" w:type="dxa"/>
            <w:vAlign w:val="bottom"/>
          </w:tcPr>
          <w:p>
            <w:pPr>
              <w:ind w:left="100"/>
              <w:spacing w:after="0"/>
              <w:rPr>
                <w:sz w:val="20"/>
                <w:szCs w:val="20"/>
                <w:color w:val="auto"/>
              </w:rPr>
            </w:pPr>
            <w:r>
              <w:rPr>
                <w:rFonts w:ascii="Arial" w:cs="Arial" w:eastAsia="Arial" w:hAnsi="Arial"/>
                <w:sz w:val="17"/>
                <w:szCs w:val="17"/>
                <w:color w:val="auto"/>
              </w:rPr>
              <w:t>Property, plant and equipment</w:t>
            </w:r>
          </w:p>
        </w:tc>
        <w:tc>
          <w:tcPr>
            <w:tcW w:w="1360" w:type="dxa"/>
            <w:vAlign w:val="bottom"/>
            <w:gridSpan w:val="2"/>
          </w:tcPr>
          <w:p>
            <w:pPr>
              <w:jc w:val="right"/>
              <w:ind w:right="35"/>
              <w:spacing w:after="0"/>
              <w:rPr>
                <w:sz w:val="20"/>
                <w:szCs w:val="20"/>
                <w:color w:val="auto"/>
              </w:rPr>
            </w:pPr>
            <w:r>
              <w:rPr>
                <w:rFonts w:ascii="Arial" w:cs="Arial" w:eastAsia="Arial" w:hAnsi="Arial"/>
                <w:sz w:val="17"/>
                <w:szCs w:val="17"/>
                <w:color w:val="auto"/>
              </w:rPr>
              <w:t>612</w:t>
            </w:r>
          </w:p>
        </w:tc>
        <w:tc>
          <w:tcPr>
            <w:tcW w:w="126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307"/>
        </w:trPr>
        <w:tc>
          <w:tcPr>
            <w:tcW w:w="4540" w:type="dxa"/>
            <w:vAlign w:val="bottom"/>
          </w:tcPr>
          <w:p>
            <w:pPr>
              <w:ind w:left="100"/>
              <w:spacing w:after="0"/>
              <w:rPr>
                <w:sz w:val="20"/>
                <w:szCs w:val="20"/>
                <w:color w:val="auto"/>
              </w:rPr>
            </w:pPr>
            <w:r>
              <w:rPr>
                <w:rFonts w:ascii="Arial" w:cs="Arial" w:eastAsia="Arial" w:hAnsi="Arial"/>
                <w:sz w:val="17"/>
                <w:szCs w:val="17"/>
                <w:b w:val="1"/>
                <w:bCs w:val="1"/>
                <w:color w:val="auto"/>
              </w:rPr>
              <w:t>Total</w:t>
            </w:r>
          </w:p>
        </w:tc>
        <w:tc>
          <w:tcPr>
            <w:tcW w:w="136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1.493</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2.471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4"/>
          <w:szCs w:val="14"/>
          <w:color w:val="868A9C"/>
        </w:rPr>
        <w:t>www.mynaric.com</w:t>
      </w:r>
      <w:r>
        <w:rPr>
          <w:sz w:val="20"/>
          <w:szCs w:val="20"/>
          <w:color w:val="auto"/>
        </w:rPr>
        <w:tab/>
      </w:r>
      <w:r>
        <w:rPr>
          <w:rFonts w:ascii="Arial" w:cs="Arial" w:eastAsia="Arial" w:hAnsi="Arial"/>
          <w:sz w:val="14"/>
          <w:szCs w:val="14"/>
          <w:color w:val="868A9C"/>
        </w:rPr>
        <w:t>Page 27/33</w:t>
      </w:r>
    </w:p>
    <w:p>
      <w:pPr>
        <w:sectPr>
          <w:pgSz w:w="11900" w:h="16838" w:orient="portrait"/>
          <w:cols w:equalWidth="0" w:num="1">
            <w:col w:w="11024"/>
          </w:cols>
          <w:pgMar w:left="436" w:top="1440" w:right="439" w:bottom="1440" w:gutter="0" w:footer="0" w:header="0"/>
          <w:type w:val="continuous"/>
        </w:sectPr>
      </w:pPr>
    </w:p>
    <w:bookmarkStart w:id="32" w:name="page33"/>
    <w:bookmarkEnd w:id="32"/>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p>
      <w:pPr>
        <w:ind w:left="4"/>
        <w:spacing w:after="0"/>
        <w:rPr>
          <w:sz w:val="20"/>
          <w:szCs w:val="20"/>
          <w:color w:val="auto"/>
        </w:rPr>
      </w:pPr>
      <w:r>
        <w:rPr>
          <w:rFonts w:ascii="Arial" w:cs="Arial" w:eastAsia="Arial" w:hAnsi="Arial"/>
          <w:sz w:val="17"/>
          <w:szCs w:val="17"/>
          <w:b w:val="1"/>
          <w:bCs w:val="1"/>
          <w:color w:val="auto"/>
        </w:rPr>
        <w:t>11. Intangible Assets</w:t>
      </w:r>
    </w:p>
    <w:p>
      <w:pPr>
        <w:spacing w:after="0" w:line="15"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Development Costs</w:t>
      </w:r>
    </w:p>
    <w:p>
      <w:pPr>
        <w:spacing w:after="0" w:line="82" w:lineRule="exact"/>
        <w:rPr>
          <w:sz w:val="20"/>
          <w:szCs w:val="20"/>
          <w:color w:val="auto"/>
        </w:rPr>
      </w:pPr>
    </w:p>
    <w:p>
      <w:pPr>
        <w:ind w:left="4" w:right="20"/>
        <w:spacing w:after="0" w:line="249" w:lineRule="auto"/>
        <w:rPr>
          <w:sz w:val="20"/>
          <w:szCs w:val="20"/>
          <w:color w:val="auto"/>
        </w:rPr>
      </w:pPr>
      <w:r>
        <w:rPr>
          <w:rFonts w:ascii="Arial" w:cs="Arial" w:eastAsia="Arial" w:hAnsi="Arial"/>
          <w:sz w:val="17"/>
          <w:szCs w:val="17"/>
          <w:color w:val="auto"/>
        </w:rPr>
        <w:t xml:space="preserve">During the six months ended June 30, 2022, Mynaric capitalized development costs for the development of a variant of the CONDOR product of </w:t>
      </w:r>
      <w:r>
        <w:rPr>
          <w:rFonts w:ascii="Times New Roman" w:cs="Times New Roman" w:eastAsia="Times New Roman" w:hAnsi="Times New Roman"/>
          <w:sz w:val="17"/>
          <w:szCs w:val="17"/>
          <w:color w:val="auto"/>
        </w:rPr>
        <w:t>€</w:t>
      </w:r>
      <w:r>
        <w:rPr>
          <w:rFonts w:ascii="Arial" w:cs="Arial" w:eastAsia="Arial" w:hAnsi="Arial"/>
          <w:sz w:val="17"/>
          <w:szCs w:val="17"/>
          <w:color w:val="auto"/>
        </w:rPr>
        <w:t>898 thousand. In 2021,</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2,345 thousand were capitalized for the general</w:t>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color w:val="auto"/>
        </w:rPr>
        <w:t>Space Technology.</w:t>
      </w:r>
    </w:p>
    <w:p>
      <w:pPr>
        <w:spacing w:after="0" w:line="86" w:lineRule="exact"/>
        <w:rPr>
          <w:sz w:val="20"/>
          <w:szCs w:val="20"/>
          <w:color w:val="auto"/>
        </w:rPr>
      </w:pPr>
    </w:p>
    <w:p>
      <w:pPr>
        <w:ind w:left="4" w:right="20"/>
        <w:spacing w:after="0" w:line="283" w:lineRule="auto"/>
        <w:rPr>
          <w:sz w:val="20"/>
          <w:szCs w:val="20"/>
          <w:color w:val="auto"/>
        </w:rPr>
      </w:pPr>
      <w:r>
        <w:rPr>
          <w:rFonts w:ascii="Arial" w:cs="Arial" w:eastAsia="Arial" w:hAnsi="Arial"/>
          <w:sz w:val="17"/>
          <w:szCs w:val="17"/>
          <w:color w:val="auto"/>
        </w:rPr>
        <w:t xml:space="preserve">In the first six months of 2022, finance expenses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16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71 thousand) were capitalized as cost of the development projects in accordance with IAS 23.</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12. Property, Plant, and Equipment</w:t>
      </w:r>
    </w:p>
    <w:p>
      <w:pPr>
        <w:spacing w:after="0" w:line="15"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Disposals</w:t>
      </w:r>
    </w:p>
    <w:p>
      <w:pPr>
        <w:spacing w:after="0" w:line="82" w:lineRule="exact"/>
        <w:rPr>
          <w:sz w:val="20"/>
          <w:szCs w:val="20"/>
          <w:color w:val="auto"/>
        </w:rPr>
      </w:pPr>
    </w:p>
    <w:p>
      <w:pPr>
        <w:jc w:val="both"/>
        <w:ind w:left="4"/>
        <w:spacing w:after="0" w:line="244" w:lineRule="auto"/>
        <w:rPr>
          <w:sz w:val="20"/>
          <w:szCs w:val="20"/>
          <w:color w:val="auto"/>
        </w:rPr>
      </w:pPr>
      <w:r>
        <w:rPr>
          <w:rFonts w:ascii="Arial" w:cs="Arial" w:eastAsia="Arial" w:hAnsi="Arial"/>
          <w:sz w:val="17"/>
          <w:szCs w:val="17"/>
          <w:color w:val="auto"/>
        </w:rPr>
        <w:t xml:space="preserve">Investments in property, plant and equipment amount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5,605 thousand in the first six months of 2022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3,478 thousand). The investments included primarily investments in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invested in the expansion of the Mynaric USA site in Los Angeles, USA.</w:t>
      </w:r>
    </w:p>
    <w:p>
      <w:pPr>
        <w:spacing w:after="0" w:line="72" w:lineRule="exact"/>
        <w:rPr>
          <w:sz w:val="20"/>
          <w:szCs w:val="20"/>
          <w:color w:val="auto"/>
        </w:rPr>
      </w:pPr>
    </w:p>
    <w:p>
      <w:pPr>
        <w:jc w:val="both"/>
        <w:ind w:left="4"/>
        <w:spacing w:after="0" w:line="265" w:lineRule="auto"/>
        <w:rPr>
          <w:sz w:val="20"/>
          <w:szCs w:val="20"/>
          <w:color w:val="auto"/>
        </w:rPr>
      </w:pPr>
      <w:r>
        <w:rPr>
          <w:rFonts w:ascii="Arial" w:cs="Arial" w:eastAsia="Arial" w:hAnsi="Arial"/>
          <w:sz w:val="17"/>
          <w:szCs w:val="17"/>
          <w:color w:val="auto"/>
        </w:rPr>
        <w:t xml:space="preserve">In the first six months of 2022, finance expenses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31 thousand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7 thousand) were recorded as cost of property, plant, and equipment in accordance with IAS 23. Assets with a carrying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35 thousand were disposed of during the six months ended June 30, 2022 (six months ended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22 thousand).</w:t>
      </w:r>
    </w:p>
    <w:p>
      <w:pPr>
        <w:spacing w:after="0" w:line="177"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Outstanding Purchase Orders for Property, Plant, and Equipment</w:t>
      </w:r>
    </w:p>
    <w:p>
      <w:pPr>
        <w:spacing w:after="0" w:line="168" w:lineRule="exact"/>
        <w:rPr>
          <w:sz w:val="20"/>
          <w:szCs w:val="20"/>
          <w:color w:val="auto"/>
        </w:rPr>
      </w:pPr>
    </w:p>
    <w:p>
      <w:pPr>
        <w:ind w:left="4" w:right="20"/>
        <w:spacing w:after="0" w:line="266" w:lineRule="auto"/>
        <w:rPr>
          <w:sz w:val="20"/>
          <w:szCs w:val="20"/>
          <w:color w:val="auto"/>
        </w:rPr>
      </w:pPr>
      <w:r>
        <w:rPr>
          <w:rFonts w:ascii="Arial" w:cs="Arial" w:eastAsia="Arial" w:hAnsi="Arial"/>
          <w:sz w:val="17"/>
          <w:szCs w:val="17"/>
          <w:color w:val="auto"/>
        </w:rPr>
        <w:t xml:space="preserve">As of June 30, 2022, the group has open financial obligations from outstanding purchase orders for property, plant, and equipment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3,293 thousand (June 30,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536 thousand).</w:t>
      </w:r>
    </w:p>
    <w:p>
      <w:pPr>
        <w:spacing w:after="0" w:line="379"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and non-financial assets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Other current financial and non-financial assets include </w:t>
      </w:r>
      <w:r>
        <w:rPr>
          <w:rFonts w:ascii="Times New Roman" w:cs="Times New Roman" w:eastAsia="Times New Roman" w:hAnsi="Times New Roman"/>
          <w:sz w:val="17"/>
          <w:szCs w:val="17"/>
          <w:color w:val="auto"/>
        </w:rPr>
        <w:t>€</w:t>
      </w:r>
      <w:r>
        <w:rPr>
          <w:rFonts w:ascii="Arial" w:cs="Arial" w:eastAsia="Arial" w:hAnsi="Arial"/>
          <w:sz w:val="17"/>
          <w:szCs w:val="17"/>
          <w:color w:val="auto"/>
        </w:rPr>
        <w:t>130 thousand of capital increase preparation costs.</w:t>
      </w:r>
    </w:p>
    <w:p>
      <w:pPr>
        <w:spacing w:after="0" w:line="200" w:lineRule="exact"/>
        <w:rPr>
          <w:sz w:val="20"/>
          <w:szCs w:val="20"/>
          <w:color w:val="auto"/>
        </w:rPr>
      </w:pPr>
    </w:p>
    <w:p>
      <w:pPr>
        <w:spacing w:after="0" w:line="228"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liabilities</w:t>
      </w:r>
    </w:p>
    <w:p>
      <w:pPr>
        <w:spacing w:after="0" w:line="100" w:lineRule="exact"/>
        <w:rPr>
          <w:sz w:val="20"/>
          <w:szCs w:val="20"/>
          <w:color w:val="auto"/>
        </w:rPr>
      </w:pPr>
    </w:p>
    <w:p>
      <w:pPr>
        <w:ind w:left="4"/>
        <w:spacing w:after="0"/>
        <w:rPr>
          <w:sz w:val="20"/>
          <w:szCs w:val="20"/>
          <w:color w:val="auto"/>
        </w:rPr>
      </w:pPr>
      <w:r>
        <w:rPr>
          <w:rFonts w:ascii="Arial" w:cs="Arial" w:eastAsia="Arial" w:hAnsi="Arial"/>
          <w:sz w:val="17"/>
          <w:szCs w:val="17"/>
          <w:color w:val="auto"/>
        </w:rPr>
        <w:t>Current financial liabilities comprise the following:</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31"/>
        </w:trPr>
        <w:tc>
          <w:tcPr>
            <w:tcW w:w="3060" w:type="dxa"/>
            <w:vAlign w:val="bottom"/>
            <w:shd w:val="clear" w:color="auto" w:fill="BDBEBD"/>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1740" w:type="dxa"/>
            <w:vAlign w:val="bottom"/>
            <w:shd w:val="clear" w:color="auto" w:fill="BDBEBD"/>
          </w:tcPr>
          <w:p>
            <w:pPr>
              <w:jc w:val="right"/>
              <w:ind w:right="155"/>
              <w:spacing w:after="0"/>
              <w:rPr>
                <w:sz w:val="20"/>
                <w:szCs w:val="20"/>
                <w:color w:val="auto"/>
              </w:rPr>
            </w:pPr>
            <w:r>
              <w:rPr>
                <w:rFonts w:ascii="Arial" w:cs="Arial" w:eastAsia="Arial" w:hAnsi="Arial"/>
                <w:sz w:val="17"/>
                <w:szCs w:val="17"/>
                <w:color w:val="auto"/>
              </w:rPr>
              <w:t>June 30, 2022</w:t>
            </w:r>
          </w:p>
        </w:tc>
        <w:tc>
          <w:tcPr>
            <w:tcW w:w="1800" w:type="dxa"/>
            <w:vAlign w:val="bottom"/>
            <w:shd w:val="clear" w:color="auto" w:fill="BDBEBD"/>
          </w:tcPr>
          <w:p>
            <w:pPr>
              <w:jc w:val="right"/>
              <w:spacing w:after="0"/>
              <w:rPr>
                <w:sz w:val="20"/>
                <w:szCs w:val="20"/>
                <w:color w:val="auto"/>
              </w:rPr>
            </w:pPr>
            <w:r>
              <w:rPr>
                <w:rFonts w:ascii="Arial" w:cs="Arial" w:eastAsia="Arial" w:hAnsi="Arial"/>
                <w:sz w:val="17"/>
                <w:szCs w:val="17"/>
                <w:color w:val="auto"/>
              </w:rPr>
              <w:t>December 31, 2021</w:t>
            </w:r>
          </w:p>
        </w:tc>
      </w:tr>
      <w:tr>
        <w:trPr>
          <w:trHeight w:val="72"/>
        </w:trPr>
        <w:tc>
          <w:tcPr>
            <w:tcW w:w="3060" w:type="dxa"/>
            <w:vAlign w:val="bottom"/>
            <w:shd w:val="clear" w:color="auto" w:fill="BDBEBD"/>
          </w:tcPr>
          <w:p>
            <w:pPr>
              <w:spacing w:after="0"/>
              <w:rPr>
                <w:sz w:val="6"/>
                <w:szCs w:val="6"/>
                <w:color w:val="auto"/>
              </w:rPr>
            </w:pPr>
          </w:p>
        </w:tc>
        <w:tc>
          <w:tcPr>
            <w:tcW w:w="1740" w:type="dxa"/>
            <w:vAlign w:val="bottom"/>
            <w:shd w:val="clear" w:color="auto" w:fill="BDBEBD"/>
          </w:tcPr>
          <w:p>
            <w:pPr>
              <w:spacing w:after="0"/>
              <w:rPr>
                <w:sz w:val="6"/>
                <w:szCs w:val="6"/>
                <w:color w:val="auto"/>
              </w:rPr>
            </w:pPr>
          </w:p>
        </w:tc>
        <w:tc>
          <w:tcPr>
            <w:tcW w:w="1800" w:type="dxa"/>
            <w:vAlign w:val="bottom"/>
            <w:shd w:val="clear" w:color="auto" w:fill="BDBEBD"/>
          </w:tcPr>
          <w:p>
            <w:pPr>
              <w:spacing w:after="0"/>
              <w:rPr>
                <w:sz w:val="6"/>
                <w:szCs w:val="6"/>
                <w:color w:val="auto"/>
              </w:rPr>
            </w:pPr>
          </w:p>
        </w:tc>
      </w:tr>
      <w:tr>
        <w:trPr>
          <w:trHeight w:val="310"/>
        </w:trPr>
        <w:tc>
          <w:tcPr>
            <w:tcW w:w="3060" w:type="dxa"/>
            <w:vAlign w:val="bottom"/>
            <w:shd w:val="clear" w:color="auto" w:fill="F7F3F7"/>
          </w:tcPr>
          <w:p>
            <w:pPr>
              <w:ind w:left="100"/>
              <w:spacing w:after="0"/>
              <w:rPr>
                <w:sz w:val="20"/>
                <w:szCs w:val="20"/>
                <w:color w:val="auto"/>
              </w:rPr>
            </w:pPr>
            <w:r>
              <w:rPr>
                <w:rFonts w:ascii="Arial" w:cs="Arial" w:eastAsia="Arial" w:hAnsi="Arial"/>
                <w:sz w:val="17"/>
                <w:szCs w:val="17"/>
                <w:color w:val="auto"/>
              </w:rPr>
              <w:t>Financial Liabilities</w:t>
            </w:r>
          </w:p>
        </w:tc>
        <w:tc>
          <w:tcPr>
            <w:tcW w:w="1740" w:type="dxa"/>
            <w:vAlign w:val="bottom"/>
            <w:shd w:val="clear" w:color="auto" w:fill="F7F3F7"/>
          </w:tcPr>
          <w:p>
            <w:pPr>
              <w:spacing w:after="0"/>
              <w:rPr>
                <w:sz w:val="24"/>
                <w:szCs w:val="24"/>
                <w:color w:val="auto"/>
              </w:rPr>
            </w:pPr>
          </w:p>
        </w:tc>
        <w:tc>
          <w:tcPr>
            <w:tcW w:w="1800" w:type="dxa"/>
            <w:vAlign w:val="bottom"/>
            <w:shd w:val="clear" w:color="auto" w:fill="F7F3F7"/>
          </w:tcPr>
          <w:p>
            <w:pPr>
              <w:spacing w:after="0"/>
              <w:rPr>
                <w:sz w:val="24"/>
                <w:szCs w:val="24"/>
                <w:color w:val="auto"/>
              </w:rPr>
            </w:pPr>
          </w:p>
        </w:tc>
      </w:tr>
      <w:tr>
        <w:trPr>
          <w:trHeight w:val="81"/>
        </w:trPr>
        <w:tc>
          <w:tcPr>
            <w:tcW w:w="3060" w:type="dxa"/>
            <w:vAlign w:val="bottom"/>
            <w:shd w:val="clear" w:color="auto" w:fill="F7F3F7"/>
          </w:tcPr>
          <w:p>
            <w:pPr>
              <w:spacing w:after="0"/>
              <w:rPr>
                <w:sz w:val="7"/>
                <w:szCs w:val="7"/>
                <w:color w:val="auto"/>
              </w:rPr>
            </w:pPr>
          </w:p>
        </w:tc>
        <w:tc>
          <w:tcPr>
            <w:tcW w:w="1740" w:type="dxa"/>
            <w:vAlign w:val="bottom"/>
            <w:shd w:val="clear" w:color="auto" w:fill="F7F3F7"/>
          </w:tcPr>
          <w:p>
            <w:pPr>
              <w:spacing w:after="0"/>
              <w:rPr>
                <w:sz w:val="7"/>
                <w:szCs w:val="7"/>
                <w:color w:val="auto"/>
              </w:rPr>
            </w:pPr>
          </w:p>
        </w:tc>
        <w:tc>
          <w:tcPr>
            <w:tcW w:w="1800" w:type="dxa"/>
            <w:vAlign w:val="bottom"/>
            <w:shd w:val="clear" w:color="auto" w:fill="F7F3F7"/>
          </w:tcPr>
          <w:p>
            <w:pPr>
              <w:spacing w:after="0"/>
              <w:rPr>
                <w:sz w:val="7"/>
                <w:szCs w:val="7"/>
                <w:color w:val="auto"/>
              </w:rPr>
            </w:pPr>
          </w:p>
        </w:tc>
      </w:tr>
      <w:tr>
        <w:trPr>
          <w:trHeight w:val="311"/>
        </w:trPr>
        <w:tc>
          <w:tcPr>
            <w:tcW w:w="3060" w:type="dxa"/>
            <w:vAlign w:val="bottom"/>
          </w:tcPr>
          <w:p>
            <w:pPr>
              <w:ind w:left="100"/>
              <w:spacing w:after="0"/>
              <w:rPr>
                <w:sz w:val="20"/>
                <w:szCs w:val="20"/>
                <w:color w:val="auto"/>
              </w:rPr>
            </w:pPr>
            <w:r>
              <w:rPr>
                <w:rFonts w:ascii="Arial" w:cs="Arial" w:eastAsia="Arial" w:hAnsi="Arial"/>
                <w:sz w:val="17"/>
                <w:szCs w:val="17"/>
                <w:color w:val="auto"/>
              </w:rPr>
              <w:t>Loan</w:t>
            </w:r>
          </w:p>
        </w:tc>
        <w:tc>
          <w:tcPr>
            <w:tcW w:w="1740" w:type="dxa"/>
            <w:vAlign w:val="bottom"/>
          </w:tcPr>
          <w:p>
            <w:pPr>
              <w:jc w:val="right"/>
              <w:ind w:right="155"/>
              <w:spacing w:after="0"/>
              <w:rPr>
                <w:sz w:val="20"/>
                <w:szCs w:val="20"/>
                <w:color w:val="auto"/>
              </w:rPr>
            </w:pPr>
            <w:r>
              <w:rPr>
                <w:rFonts w:ascii="Arial" w:cs="Arial" w:eastAsia="Arial" w:hAnsi="Arial"/>
                <w:sz w:val="17"/>
                <w:szCs w:val="17"/>
                <w:color w:val="auto"/>
              </w:rPr>
              <w:t>10.248</w:t>
            </w:r>
          </w:p>
        </w:tc>
        <w:tc>
          <w:tcPr>
            <w:tcW w:w="180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81"/>
        </w:trPr>
        <w:tc>
          <w:tcPr>
            <w:tcW w:w="30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0" w:type="dxa"/>
            <w:vAlign w:val="bottom"/>
          </w:tcPr>
          <w:p>
            <w:pPr>
              <w:spacing w:after="0"/>
              <w:rPr>
                <w:sz w:val="7"/>
                <w:szCs w:val="7"/>
                <w:color w:val="auto"/>
              </w:rPr>
            </w:pPr>
          </w:p>
        </w:tc>
      </w:tr>
      <w:tr>
        <w:trPr>
          <w:trHeight w:val="310"/>
        </w:trPr>
        <w:tc>
          <w:tcPr>
            <w:tcW w:w="3060" w:type="dxa"/>
            <w:vAlign w:val="bottom"/>
            <w:shd w:val="clear" w:color="auto" w:fill="F7F3F7"/>
          </w:tcPr>
          <w:p>
            <w:pPr>
              <w:ind w:left="100"/>
              <w:spacing w:after="0"/>
              <w:rPr>
                <w:sz w:val="20"/>
                <w:szCs w:val="20"/>
                <w:color w:val="auto"/>
              </w:rPr>
            </w:pPr>
            <w:r>
              <w:rPr>
                <w:rFonts w:ascii="Arial" w:cs="Arial" w:eastAsia="Arial" w:hAnsi="Arial"/>
                <w:sz w:val="17"/>
                <w:szCs w:val="17"/>
                <w:color w:val="auto"/>
              </w:rPr>
              <w:t>Other financial liabilities</w:t>
            </w:r>
          </w:p>
        </w:tc>
        <w:tc>
          <w:tcPr>
            <w:tcW w:w="1740" w:type="dxa"/>
            <w:vAlign w:val="bottom"/>
            <w:shd w:val="clear" w:color="auto" w:fill="F7F3F7"/>
          </w:tcPr>
          <w:p>
            <w:pPr>
              <w:jc w:val="right"/>
              <w:ind w:right="155"/>
              <w:spacing w:after="0"/>
              <w:rPr>
                <w:sz w:val="20"/>
                <w:szCs w:val="20"/>
                <w:color w:val="auto"/>
              </w:rPr>
            </w:pPr>
            <w:r>
              <w:rPr>
                <w:rFonts w:ascii="Arial" w:cs="Arial" w:eastAsia="Arial" w:hAnsi="Arial"/>
                <w:sz w:val="17"/>
                <w:szCs w:val="17"/>
                <w:color w:val="auto"/>
              </w:rPr>
              <w:t>31</w:t>
            </w:r>
          </w:p>
        </w:tc>
        <w:tc>
          <w:tcPr>
            <w:tcW w:w="1800" w:type="dxa"/>
            <w:vAlign w:val="bottom"/>
            <w:shd w:val="clear" w:color="auto" w:fill="F7F3F7"/>
          </w:tcPr>
          <w:p>
            <w:pPr>
              <w:jc w:val="right"/>
              <w:spacing w:after="0"/>
              <w:rPr>
                <w:sz w:val="20"/>
                <w:szCs w:val="20"/>
                <w:color w:val="auto"/>
              </w:rPr>
            </w:pPr>
            <w:r>
              <w:rPr>
                <w:rFonts w:ascii="Arial" w:cs="Arial" w:eastAsia="Arial" w:hAnsi="Arial"/>
                <w:sz w:val="17"/>
                <w:szCs w:val="17"/>
                <w:color w:val="auto"/>
              </w:rPr>
              <w:t>37</w:t>
            </w:r>
          </w:p>
        </w:tc>
      </w:tr>
      <w:tr>
        <w:trPr>
          <w:trHeight w:val="81"/>
        </w:trPr>
        <w:tc>
          <w:tcPr>
            <w:tcW w:w="3060" w:type="dxa"/>
            <w:vAlign w:val="bottom"/>
            <w:shd w:val="clear" w:color="auto" w:fill="F7F3F7"/>
          </w:tcPr>
          <w:p>
            <w:pPr>
              <w:spacing w:after="0"/>
              <w:rPr>
                <w:sz w:val="7"/>
                <w:szCs w:val="7"/>
                <w:color w:val="auto"/>
              </w:rPr>
            </w:pPr>
          </w:p>
        </w:tc>
        <w:tc>
          <w:tcPr>
            <w:tcW w:w="1740" w:type="dxa"/>
            <w:vAlign w:val="bottom"/>
            <w:shd w:val="clear" w:color="auto" w:fill="F7F3F7"/>
          </w:tcPr>
          <w:p>
            <w:pPr>
              <w:spacing w:after="0"/>
              <w:rPr>
                <w:sz w:val="7"/>
                <w:szCs w:val="7"/>
                <w:color w:val="auto"/>
              </w:rPr>
            </w:pPr>
          </w:p>
        </w:tc>
        <w:tc>
          <w:tcPr>
            <w:tcW w:w="1800" w:type="dxa"/>
            <w:vAlign w:val="bottom"/>
            <w:shd w:val="clear" w:color="auto" w:fill="F7F3F7"/>
          </w:tcPr>
          <w:p>
            <w:pPr>
              <w:spacing w:after="0"/>
              <w:rPr>
                <w:sz w:val="7"/>
                <w:szCs w:val="7"/>
                <w:color w:val="auto"/>
              </w:rPr>
            </w:pPr>
          </w:p>
        </w:tc>
      </w:tr>
      <w:tr>
        <w:trPr>
          <w:trHeight w:val="321"/>
        </w:trPr>
        <w:tc>
          <w:tcPr>
            <w:tcW w:w="3060" w:type="dxa"/>
            <w:vAlign w:val="bottom"/>
          </w:tcPr>
          <w:p>
            <w:pPr>
              <w:ind w:left="100"/>
              <w:spacing w:after="0"/>
              <w:rPr>
                <w:sz w:val="20"/>
                <w:szCs w:val="20"/>
                <w:color w:val="auto"/>
              </w:rPr>
            </w:pPr>
            <w:r>
              <w:rPr>
                <w:rFonts w:ascii="Arial" w:cs="Arial" w:eastAsia="Arial" w:hAnsi="Arial"/>
                <w:sz w:val="17"/>
                <w:szCs w:val="17"/>
                <w:b w:val="1"/>
                <w:bCs w:val="1"/>
                <w:color w:val="auto"/>
              </w:rPr>
              <w:t>Total</w:t>
            </w:r>
          </w:p>
        </w:tc>
        <w:tc>
          <w:tcPr>
            <w:tcW w:w="1740" w:type="dxa"/>
            <w:vAlign w:val="bottom"/>
          </w:tcPr>
          <w:p>
            <w:pPr>
              <w:jc w:val="right"/>
              <w:ind w:right="155"/>
              <w:spacing w:after="0"/>
              <w:rPr>
                <w:sz w:val="20"/>
                <w:szCs w:val="20"/>
                <w:color w:val="auto"/>
              </w:rPr>
            </w:pPr>
            <w:r>
              <w:rPr>
                <w:rFonts w:ascii="Arial" w:cs="Arial" w:eastAsia="Arial" w:hAnsi="Arial"/>
                <w:sz w:val="17"/>
                <w:szCs w:val="17"/>
                <w:b w:val="1"/>
                <w:bCs w:val="1"/>
                <w:color w:val="auto"/>
              </w:rPr>
              <w:t>10.279</w:t>
            </w:r>
          </w:p>
        </w:tc>
        <w:tc>
          <w:tcPr>
            <w:tcW w:w="1800" w:type="dxa"/>
            <w:vAlign w:val="bottom"/>
          </w:tcPr>
          <w:p>
            <w:pPr>
              <w:jc w:val="right"/>
              <w:spacing w:after="0"/>
              <w:rPr>
                <w:sz w:val="20"/>
                <w:szCs w:val="20"/>
                <w:color w:val="auto"/>
              </w:rPr>
            </w:pPr>
            <w:r>
              <w:rPr>
                <w:rFonts w:ascii="Arial" w:cs="Arial" w:eastAsia="Arial" w:hAnsi="Arial"/>
                <w:sz w:val="17"/>
                <w:szCs w:val="17"/>
                <w:b w:val="1"/>
                <w:bCs w:val="1"/>
                <w:color w:val="auto"/>
              </w:rPr>
              <w:t>37</w:t>
            </w:r>
          </w:p>
        </w:tc>
      </w:tr>
    </w:tbl>
    <w:p>
      <w:pPr>
        <w:spacing w:after="0" w:line="400" w:lineRule="exact"/>
        <w:rPr>
          <w:sz w:val="20"/>
          <w:szCs w:val="20"/>
          <w:color w:val="auto"/>
        </w:rPr>
      </w:pPr>
    </w:p>
    <w:p>
      <w:pPr>
        <w:jc w:val="both"/>
        <w:ind w:left="4"/>
        <w:spacing w:after="0" w:line="246" w:lineRule="auto"/>
        <w:rPr>
          <w:sz w:val="20"/>
          <w:szCs w:val="20"/>
          <w:color w:val="auto"/>
        </w:rPr>
      </w:pPr>
      <w:r>
        <w:rPr>
          <w:rFonts w:ascii="Arial" w:cs="Arial" w:eastAsia="Arial" w:hAnsi="Arial"/>
          <w:sz w:val="17"/>
          <w:szCs w:val="17"/>
          <w:color w:val="auto"/>
        </w:rPr>
        <w:t xml:space="preserve">On May 02, 2022, the company entered into a credit agreement with Formue Nord Fokus A/S, Modelio Equity AB (publ) and Munkekullen 5 förvaltning AB as lenders for a credit line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25 million until June 30, 2023. A loan in a nominal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10 million has been disbursed hereunder on May 3, 2022, which is presented together with accrued interest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294 thousand as financial liability. The loan contains a prepayment option which enables the group to prepay the loan early. This option needed to be bifurcated from the debt host contract. The prepayment option is recognized as a derivative asset under other financial assets in the balance sheet and is measured at fair value through profit or loss. The initial option value amounts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403 thousand. As of June 30, 2020, the fair value amounts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338 thousand. The fair value change of </w:t>
      </w:r>
      <w:r>
        <w:rPr>
          <w:rFonts w:ascii="Times New Roman" w:cs="Times New Roman" w:eastAsia="Times New Roman" w:hAnsi="Times New Roman"/>
          <w:sz w:val="17"/>
          <w:szCs w:val="17"/>
          <w:color w:val="auto"/>
        </w:rPr>
        <w:t>€</w:t>
      </w:r>
      <w:r>
        <w:rPr>
          <w:rFonts w:ascii="Arial" w:cs="Arial" w:eastAsia="Arial" w:hAnsi="Arial"/>
          <w:sz w:val="17"/>
          <w:szCs w:val="17"/>
          <w:color w:val="auto"/>
        </w:rPr>
        <w:t>65 thousand is recognized under interest and similar expenses. For further information regarding the valuation methodology see section 14.</w:t>
      </w:r>
    </w:p>
    <w:p>
      <w:pPr>
        <w:sectPr>
          <w:pgSz w:w="11900" w:h="16838" w:orient="portrait"/>
          <w:cols w:equalWidth="0" w:num="1">
            <w:col w:w="11024"/>
          </w:cols>
          <w:pgMar w:left="436" w:top="1440" w:right="439" w:bottom="1440" w:gutter="0" w:footer="0" w:header="0"/>
        </w:sectPr>
      </w:pPr>
    </w:p>
    <w:p>
      <w:pPr>
        <w:spacing w:after="0" w:line="12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868A9C"/>
        </w:rPr>
        <w:t>Page 28/33</w:t>
      </w:r>
    </w:p>
    <w:p>
      <w:pPr>
        <w:sectPr>
          <w:pgSz w:w="11900" w:h="16838" w:orient="portrait"/>
          <w:cols w:equalWidth="0" w:num="2">
            <w:col w:w="9564" w:space="720"/>
            <w:col w:w="740"/>
          </w:cols>
          <w:pgMar w:left="436" w:top="1440" w:right="439" w:bottom="1440" w:gutter="0" w:footer="0" w:header="0"/>
          <w:type w:val="continuous"/>
        </w:sectPr>
      </w:pPr>
    </w:p>
    <w:bookmarkStart w:id="33" w:name="page34"/>
    <w:bookmarkEnd w:id="33"/>
    <w:tbl>
      <w:tblPr>
        <w:tblLayout w:type="fixed"/>
        <w:tblInd w:w="4"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r>
              <w:rPr>
                <w:rFonts w:ascii="Arial" w:cs="Arial" w:eastAsia="Arial" w:hAnsi="Arial"/>
                <w:sz w:val="17"/>
                <w:szCs w:val="17"/>
                <w:b w:val="1"/>
                <w:bCs w:val="1"/>
                <w:color w:val="auto"/>
              </w:rPr>
              <w:t>15. Other non-financial Liabilities</w:t>
            </w: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7"/>
        </w:trPr>
        <w:tc>
          <w:tcPr>
            <w:tcW w:w="7200" w:type="dxa"/>
            <w:vAlign w:val="bottom"/>
          </w:tcPr>
          <w:p>
            <w:pPr>
              <w:spacing w:after="0"/>
              <w:rPr>
                <w:sz w:val="20"/>
                <w:szCs w:val="20"/>
                <w:color w:val="auto"/>
              </w:rPr>
            </w:pPr>
            <w:r>
              <w:rPr>
                <w:rFonts w:ascii="Arial" w:cs="Arial" w:eastAsia="Arial" w:hAnsi="Arial"/>
                <w:sz w:val="17"/>
                <w:szCs w:val="17"/>
                <w:color w:val="auto"/>
              </w:rPr>
              <w:t>Current non-financial liabilities comprise the following:</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7200" w:type="dxa"/>
            <w:vAlign w:val="bottom"/>
          </w:tcPr>
          <w:p>
            <w:pPr>
              <w:spacing w:after="0"/>
              <w:rPr>
                <w:sz w:val="11"/>
                <w:szCs w:val="11"/>
                <w:color w:val="auto"/>
              </w:rPr>
            </w:pPr>
          </w:p>
        </w:tc>
        <w:tc>
          <w:tcPr>
            <w:tcW w:w="3020" w:type="dxa"/>
            <w:vAlign w:val="bottom"/>
            <w:gridSpan w:val="2"/>
          </w:tcPr>
          <w:p>
            <w:pPr>
              <w:spacing w:after="0"/>
              <w:rPr>
                <w:sz w:val="11"/>
                <w:szCs w:val="11"/>
                <w:color w:val="auto"/>
              </w:rPr>
            </w:pPr>
          </w:p>
        </w:tc>
      </w:tr>
      <w:tr>
        <w:trPr>
          <w:trHeight w:val="203"/>
        </w:trPr>
        <w:tc>
          <w:tcPr>
            <w:tcW w:w="7200" w:type="dxa"/>
            <w:vAlign w:val="bottom"/>
            <w:shd w:val="clear" w:color="auto" w:fill="BDBEBD"/>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3020" w:type="dxa"/>
            <w:vAlign w:val="bottom"/>
            <w:gridSpan w:val="2"/>
            <w:shd w:val="clear" w:color="auto" w:fill="BDBEBD"/>
          </w:tcPr>
          <w:p>
            <w:pPr>
              <w:jc w:val="right"/>
              <w:spacing w:after="0"/>
              <w:rPr>
                <w:sz w:val="20"/>
                <w:szCs w:val="20"/>
                <w:color w:val="auto"/>
              </w:rPr>
            </w:pPr>
            <w:r>
              <w:rPr>
                <w:rFonts w:ascii="Arial" w:cs="Arial" w:eastAsia="Arial" w:hAnsi="Arial"/>
                <w:sz w:val="17"/>
                <w:szCs w:val="17"/>
                <w:color w:val="auto"/>
              </w:rPr>
              <w:t>June 30, 2022   December 31, 2021</w:t>
            </w:r>
          </w:p>
        </w:tc>
      </w:tr>
      <w:tr>
        <w:trPr>
          <w:trHeight w:val="310"/>
        </w:trPr>
        <w:tc>
          <w:tcPr>
            <w:tcW w:w="7200" w:type="dxa"/>
            <w:vAlign w:val="bottom"/>
            <w:shd w:val="clear" w:color="auto" w:fill="F7F3F7"/>
          </w:tcPr>
          <w:p>
            <w:pPr>
              <w:ind w:left="100"/>
              <w:spacing w:after="0"/>
              <w:rPr>
                <w:sz w:val="20"/>
                <w:szCs w:val="20"/>
                <w:color w:val="auto"/>
              </w:rPr>
            </w:pPr>
            <w:r>
              <w:rPr>
                <w:rFonts w:ascii="Arial" w:cs="Arial" w:eastAsia="Arial" w:hAnsi="Arial"/>
                <w:sz w:val="18"/>
                <w:szCs w:val="18"/>
                <w:color w:val="auto"/>
              </w:rPr>
              <w:t>Liabilities due to customers</w:t>
            </w:r>
          </w:p>
        </w:tc>
        <w:tc>
          <w:tcPr>
            <w:tcW w:w="1880" w:type="dxa"/>
            <w:vAlign w:val="bottom"/>
            <w:shd w:val="clear" w:color="auto" w:fill="F7F3F7"/>
          </w:tcPr>
          <w:p>
            <w:pPr>
              <w:jc w:val="right"/>
              <w:ind w:right="551"/>
              <w:spacing w:after="0"/>
              <w:rPr>
                <w:sz w:val="20"/>
                <w:szCs w:val="20"/>
                <w:color w:val="auto"/>
              </w:rPr>
            </w:pPr>
            <w:r>
              <w:rPr>
                <w:rFonts w:ascii="Arial" w:cs="Arial" w:eastAsia="Arial" w:hAnsi="Arial"/>
                <w:sz w:val="18"/>
                <w:szCs w:val="18"/>
                <w:color w:val="auto"/>
              </w:rPr>
              <w:t>9.422</w:t>
            </w:r>
          </w:p>
        </w:tc>
        <w:tc>
          <w:tcPr>
            <w:tcW w:w="1140" w:type="dxa"/>
            <w:vAlign w:val="bottom"/>
            <w:shd w:val="clear" w:color="auto" w:fill="F7F3F7"/>
          </w:tcPr>
          <w:p>
            <w:pPr>
              <w:jc w:val="right"/>
              <w:spacing w:after="0"/>
              <w:rPr>
                <w:sz w:val="20"/>
                <w:szCs w:val="20"/>
                <w:color w:val="auto"/>
              </w:rPr>
            </w:pPr>
            <w:r>
              <w:rPr>
                <w:rFonts w:ascii="Arial" w:cs="Arial" w:eastAsia="Arial" w:hAnsi="Arial"/>
                <w:sz w:val="18"/>
                <w:szCs w:val="18"/>
                <w:color w:val="auto"/>
              </w:rPr>
              <w:t>1.888</w:t>
            </w:r>
          </w:p>
        </w:tc>
      </w:tr>
      <w:tr>
        <w:trPr>
          <w:trHeight w:val="311"/>
        </w:trPr>
        <w:tc>
          <w:tcPr>
            <w:tcW w:w="7200" w:type="dxa"/>
            <w:vAlign w:val="bottom"/>
          </w:tcPr>
          <w:p>
            <w:pPr>
              <w:ind w:left="100"/>
              <w:spacing w:after="0"/>
              <w:rPr>
                <w:sz w:val="20"/>
                <w:szCs w:val="20"/>
                <w:color w:val="auto"/>
              </w:rPr>
            </w:pPr>
            <w:r>
              <w:rPr>
                <w:rFonts w:ascii="Arial" w:cs="Arial" w:eastAsia="Arial" w:hAnsi="Arial"/>
                <w:sz w:val="18"/>
                <w:szCs w:val="18"/>
                <w:color w:val="auto"/>
              </w:rPr>
              <w:t>Liabilities for payroll, social security and payroll tax</w:t>
            </w:r>
          </w:p>
        </w:tc>
        <w:tc>
          <w:tcPr>
            <w:tcW w:w="1880" w:type="dxa"/>
            <w:vAlign w:val="bottom"/>
          </w:tcPr>
          <w:p>
            <w:pPr>
              <w:jc w:val="right"/>
              <w:ind w:right="551"/>
              <w:spacing w:after="0"/>
              <w:rPr>
                <w:sz w:val="20"/>
                <w:szCs w:val="20"/>
                <w:color w:val="auto"/>
              </w:rPr>
            </w:pPr>
            <w:r>
              <w:rPr>
                <w:rFonts w:ascii="Arial" w:cs="Arial" w:eastAsia="Arial" w:hAnsi="Arial"/>
                <w:sz w:val="18"/>
                <w:szCs w:val="18"/>
                <w:color w:val="auto"/>
              </w:rPr>
              <w:t>612</w:t>
            </w:r>
          </w:p>
        </w:tc>
        <w:tc>
          <w:tcPr>
            <w:tcW w:w="11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310"/>
        </w:trPr>
        <w:tc>
          <w:tcPr>
            <w:tcW w:w="7200" w:type="dxa"/>
            <w:vAlign w:val="bottom"/>
            <w:shd w:val="clear" w:color="auto" w:fill="F7F3F7"/>
          </w:tcPr>
          <w:p>
            <w:pPr>
              <w:ind w:left="10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F7F3F7"/>
          </w:tcPr>
          <w:p>
            <w:pPr>
              <w:jc w:val="right"/>
              <w:ind w:right="551"/>
              <w:spacing w:after="0"/>
              <w:rPr>
                <w:sz w:val="20"/>
                <w:szCs w:val="20"/>
                <w:color w:val="auto"/>
              </w:rPr>
            </w:pPr>
            <w:r>
              <w:rPr>
                <w:rFonts w:ascii="Arial" w:cs="Arial" w:eastAsia="Arial" w:hAnsi="Arial"/>
                <w:sz w:val="18"/>
                <w:szCs w:val="18"/>
                <w:color w:val="auto"/>
              </w:rPr>
              <w:t>1,045</w:t>
            </w:r>
          </w:p>
        </w:tc>
        <w:tc>
          <w:tcPr>
            <w:tcW w:w="1140" w:type="dxa"/>
            <w:vAlign w:val="bottom"/>
            <w:shd w:val="clear" w:color="auto" w:fill="F7F3F7"/>
          </w:tcPr>
          <w:p>
            <w:pPr>
              <w:jc w:val="right"/>
              <w:spacing w:after="0"/>
              <w:rPr>
                <w:sz w:val="20"/>
                <w:szCs w:val="20"/>
                <w:color w:val="auto"/>
              </w:rPr>
            </w:pPr>
            <w:r>
              <w:rPr>
                <w:rFonts w:ascii="Arial" w:cs="Arial" w:eastAsia="Arial" w:hAnsi="Arial"/>
                <w:sz w:val="18"/>
                <w:szCs w:val="18"/>
                <w:color w:val="auto"/>
              </w:rPr>
              <w:t>37</w:t>
            </w:r>
          </w:p>
        </w:tc>
      </w:tr>
      <w:tr>
        <w:trPr>
          <w:trHeight w:val="336"/>
        </w:trPr>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880" w:type="dxa"/>
            <w:vAlign w:val="bottom"/>
          </w:tcPr>
          <w:p>
            <w:pPr>
              <w:jc w:val="right"/>
              <w:ind w:right="551"/>
              <w:spacing w:after="0"/>
              <w:rPr>
                <w:sz w:val="20"/>
                <w:szCs w:val="20"/>
                <w:color w:val="auto"/>
              </w:rPr>
            </w:pPr>
            <w:r>
              <w:rPr>
                <w:rFonts w:ascii="Arial" w:cs="Arial" w:eastAsia="Arial" w:hAnsi="Arial"/>
                <w:sz w:val="18"/>
                <w:szCs w:val="18"/>
                <w:b w:val="1"/>
                <w:bCs w:val="1"/>
                <w:color w:val="auto"/>
              </w:rPr>
              <w:t>11.079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2.360</w:t>
            </w:r>
          </w:p>
        </w:tc>
      </w:tr>
    </w:tbl>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p>
      <w:pPr>
        <w:jc w:val="both"/>
        <w:ind w:left="4"/>
        <w:spacing w:after="0" w:line="244" w:lineRule="auto"/>
        <w:rPr>
          <w:sz w:val="20"/>
          <w:szCs w:val="20"/>
          <w:color w:val="auto"/>
        </w:rPr>
      </w:pPr>
      <w:r>
        <w:rPr>
          <w:rFonts w:ascii="Arial" w:cs="Arial" w:eastAsia="Arial" w:hAnsi="Arial"/>
          <w:sz w:val="17"/>
          <w:szCs w:val="17"/>
          <w:color w:val="auto"/>
        </w:rPr>
        <w:t xml:space="preserve">The Company recognizes liabilities in the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9,422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1,888 thousand) for cash in from customers where the underlying agreement does not constitute a contract within the meaning of IFRS 15, as it is only a framework agreement regarding the future ordering of terminals. Thus, a presentation of the agreement based on the specific requirements of IFRS 15 for contracts is not appropriate. Mynaric has therefore recognized the payment received from the customer as other liability. The liability is recognized as other liabilities until a contract exists or the requirements of IFRS 15.15 for recognition in profit or loss are met.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16. Financial Instruments and Financial Risk Management</w:t>
      </w:r>
    </w:p>
    <w:p>
      <w:pPr>
        <w:spacing w:after="0" w:line="15"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financial instruments were allocated to the following categories:</w:t>
      </w:r>
    </w:p>
    <w:p>
      <w:pPr>
        <w:spacing w:after="0" w:line="91" w:lineRule="exact"/>
        <w:rPr>
          <w:sz w:val="20"/>
          <w:szCs w:val="20"/>
          <w:color w:val="auto"/>
        </w:rPr>
      </w:pPr>
    </w:p>
    <w:tbl>
      <w:tblPr>
        <w:tblLayout w:type="fixed"/>
        <w:tblInd w:w="4" w:type="dxa"/>
        <w:tblCellMar>
          <w:top w:w="0" w:type="dxa"/>
          <w:left w:w="0" w:type="dxa"/>
          <w:bottom w:w="0" w:type="dxa"/>
          <w:right w:w="0" w:type="dxa"/>
        </w:tblCellMar>
      </w:tblPr>
      <w:tr>
        <w:trPr>
          <w:trHeight w:val="231"/>
        </w:trPr>
        <w:tc>
          <w:tcPr>
            <w:tcW w:w="4500" w:type="dxa"/>
            <w:vAlign w:val="bottom"/>
            <w:vMerge w:val="restart"/>
            <w:shd w:val="clear" w:color="auto" w:fill="BDBEBD"/>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620" w:type="dxa"/>
            <w:vAlign w:val="bottom"/>
            <w:shd w:val="clear" w:color="auto" w:fill="BDBEBD"/>
          </w:tcPr>
          <w:p>
            <w:pPr>
              <w:spacing w:after="0"/>
              <w:rPr>
                <w:sz w:val="20"/>
                <w:szCs w:val="20"/>
                <w:color w:val="auto"/>
              </w:rPr>
            </w:pPr>
          </w:p>
        </w:tc>
        <w:tc>
          <w:tcPr>
            <w:tcW w:w="900" w:type="dxa"/>
            <w:vAlign w:val="bottom"/>
            <w:shd w:val="clear" w:color="auto" w:fill="BDBEBD"/>
          </w:tcPr>
          <w:p>
            <w:pPr>
              <w:spacing w:after="0"/>
              <w:rPr>
                <w:sz w:val="20"/>
                <w:szCs w:val="20"/>
                <w:color w:val="auto"/>
              </w:rPr>
            </w:pPr>
          </w:p>
        </w:tc>
        <w:tc>
          <w:tcPr>
            <w:tcW w:w="1720" w:type="dxa"/>
            <w:vAlign w:val="bottom"/>
            <w:shd w:val="clear" w:color="auto" w:fill="BDBEBD"/>
          </w:tcPr>
          <w:p>
            <w:pPr>
              <w:jc w:val="right"/>
              <w:ind w:right="231"/>
              <w:spacing w:after="0"/>
              <w:rPr>
                <w:sz w:val="20"/>
                <w:szCs w:val="20"/>
                <w:color w:val="auto"/>
              </w:rPr>
            </w:pPr>
            <w:r>
              <w:rPr>
                <w:rFonts w:ascii="Arial" w:cs="Arial" w:eastAsia="Arial" w:hAnsi="Arial"/>
                <w:sz w:val="17"/>
                <w:szCs w:val="17"/>
                <w:color w:val="auto"/>
              </w:rPr>
              <w:t>June 30, 2022</w:t>
            </w:r>
          </w:p>
        </w:tc>
        <w:tc>
          <w:tcPr>
            <w:tcW w:w="920" w:type="dxa"/>
            <w:vAlign w:val="bottom"/>
            <w:shd w:val="clear" w:color="auto" w:fill="BDBEBD"/>
          </w:tcPr>
          <w:p>
            <w:pPr>
              <w:spacing w:after="0"/>
              <w:rPr>
                <w:sz w:val="20"/>
                <w:szCs w:val="20"/>
                <w:color w:val="auto"/>
              </w:rPr>
            </w:pPr>
          </w:p>
        </w:tc>
        <w:tc>
          <w:tcPr>
            <w:tcW w:w="1560" w:type="dxa"/>
            <w:vAlign w:val="bottom"/>
            <w:shd w:val="clear" w:color="auto" w:fill="BDBEBD"/>
          </w:tcPr>
          <w:p>
            <w:pPr>
              <w:jc w:val="right"/>
              <w:spacing w:after="0"/>
              <w:rPr>
                <w:sz w:val="20"/>
                <w:szCs w:val="20"/>
                <w:color w:val="auto"/>
              </w:rPr>
            </w:pPr>
            <w:r>
              <w:rPr>
                <w:rFonts w:ascii="Arial" w:cs="Arial" w:eastAsia="Arial" w:hAnsi="Arial"/>
                <w:sz w:val="17"/>
                <w:szCs w:val="17"/>
                <w:color w:val="auto"/>
              </w:rPr>
              <w:t>December 31, 2021</w:t>
            </w:r>
          </w:p>
        </w:tc>
        <w:tc>
          <w:tcPr>
            <w:tcW w:w="0" w:type="dxa"/>
            <w:vAlign w:val="bottom"/>
          </w:tcPr>
          <w:p>
            <w:pPr>
              <w:spacing w:after="0"/>
              <w:rPr>
                <w:sz w:val="1"/>
                <w:szCs w:val="1"/>
                <w:color w:val="auto"/>
              </w:rPr>
            </w:pPr>
          </w:p>
        </w:tc>
      </w:tr>
      <w:tr>
        <w:trPr>
          <w:trHeight w:val="113"/>
        </w:trPr>
        <w:tc>
          <w:tcPr>
            <w:tcW w:w="4500" w:type="dxa"/>
            <w:vAlign w:val="bottom"/>
            <w:vMerge w:val="continue"/>
            <w:shd w:val="clear" w:color="auto" w:fill="BDBEBD"/>
          </w:tcPr>
          <w:p>
            <w:pPr>
              <w:spacing w:after="0"/>
              <w:rPr>
                <w:sz w:val="9"/>
                <w:szCs w:val="9"/>
                <w:color w:val="auto"/>
              </w:rPr>
            </w:pPr>
          </w:p>
        </w:tc>
        <w:tc>
          <w:tcPr>
            <w:tcW w:w="620" w:type="dxa"/>
            <w:vAlign w:val="bottom"/>
            <w:shd w:val="clear" w:color="auto" w:fill="BDBEBD"/>
          </w:tcPr>
          <w:p>
            <w:pPr>
              <w:spacing w:after="0"/>
              <w:rPr>
                <w:sz w:val="9"/>
                <w:szCs w:val="9"/>
                <w:color w:val="auto"/>
              </w:rPr>
            </w:pPr>
          </w:p>
        </w:tc>
        <w:tc>
          <w:tcPr>
            <w:tcW w:w="900" w:type="dxa"/>
            <w:vAlign w:val="bottom"/>
            <w:vMerge w:val="restart"/>
            <w:shd w:val="clear" w:color="auto" w:fill="BDBEBD"/>
          </w:tcPr>
          <w:p>
            <w:pPr>
              <w:jc w:val="right"/>
              <w:ind w:right="235"/>
              <w:spacing w:after="0"/>
              <w:rPr>
                <w:sz w:val="20"/>
                <w:szCs w:val="20"/>
                <w:color w:val="auto"/>
              </w:rPr>
            </w:pPr>
            <w:r>
              <w:rPr>
                <w:rFonts w:ascii="Arial" w:cs="Arial" w:eastAsia="Arial" w:hAnsi="Arial"/>
                <w:sz w:val="17"/>
                <w:szCs w:val="17"/>
                <w:color w:val="auto"/>
                <w:w w:val="98"/>
              </w:rPr>
              <w:t>Current</w:t>
            </w:r>
          </w:p>
        </w:tc>
        <w:tc>
          <w:tcPr>
            <w:tcW w:w="1720" w:type="dxa"/>
            <w:vAlign w:val="bottom"/>
            <w:vMerge w:val="restart"/>
            <w:shd w:val="clear" w:color="auto" w:fill="BDBEBD"/>
          </w:tcPr>
          <w:p>
            <w:pPr>
              <w:jc w:val="right"/>
              <w:ind w:right="231"/>
              <w:spacing w:after="0"/>
              <w:rPr>
                <w:sz w:val="20"/>
                <w:szCs w:val="20"/>
                <w:color w:val="auto"/>
              </w:rPr>
            </w:pPr>
            <w:r>
              <w:rPr>
                <w:rFonts w:ascii="Arial" w:cs="Arial" w:eastAsia="Arial" w:hAnsi="Arial"/>
                <w:sz w:val="17"/>
                <w:szCs w:val="17"/>
                <w:color w:val="auto"/>
              </w:rPr>
              <w:t>Non-current</w:t>
            </w:r>
          </w:p>
        </w:tc>
        <w:tc>
          <w:tcPr>
            <w:tcW w:w="920" w:type="dxa"/>
            <w:vAlign w:val="bottom"/>
            <w:vMerge w:val="restart"/>
            <w:shd w:val="clear" w:color="auto" w:fill="BDBEBD"/>
          </w:tcPr>
          <w:p>
            <w:pPr>
              <w:jc w:val="right"/>
              <w:spacing w:after="0"/>
              <w:rPr>
                <w:sz w:val="20"/>
                <w:szCs w:val="20"/>
                <w:color w:val="auto"/>
              </w:rPr>
            </w:pPr>
            <w:r>
              <w:rPr>
                <w:rFonts w:ascii="Arial" w:cs="Arial" w:eastAsia="Arial" w:hAnsi="Arial"/>
                <w:sz w:val="17"/>
                <w:szCs w:val="17"/>
                <w:color w:val="auto"/>
              </w:rPr>
              <w:t>Current</w:t>
            </w:r>
          </w:p>
        </w:tc>
        <w:tc>
          <w:tcPr>
            <w:tcW w:w="1560" w:type="dxa"/>
            <w:vAlign w:val="bottom"/>
            <w:vMerge w:val="restart"/>
            <w:shd w:val="clear" w:color="auto" w:fill="BDBEBD"/>
          </w:tcPr>
          <w:p>
            <w:pPr>
              <w:jc w:val="right"/>
              <w:spacing w:after="0"/>
              <w:rPr>
                <w:sz w:val="20"/>
                <w:szCs w:val="20"/>
                <w:color w:val="auto"/>
              </w:rPr>
            </w:pPr>
            <w:r>
              <w:rPr>
                <w:rFonts w:ascii="Arial" w:cs="Arial" w:eastAsia="Arial" w:hAnsi="Arial"/>
                <w:sz w:val="17"/>
                <w:szCs w:val="17"/>
                <w:color w:val="auto"/>
              </w:rPr>
              <w:t>Non-current</w:t>
            </w:r>
          </w:p>
        </w:tc>
        <w:tc>
          <w:tcPr>
            <w:tcW w:w="0" w:type="dxa"/>
            <w:vAlign w:val="bottom"/>
          </w:tcPr>
          <w:p>
            <w:pPr>
              <w:spacing w:after="0"/>
              <w:rPr>
                <w:sz w:val="1"/>
                <w:szCs w:val="1"/>
                <w:color w:val="auto"/>
              </w:rPr>
            </w:pPr>
          </w:p>
        </w:tc>
      </w:tr>
      <w:tr>
        <w:trPr>
          <w:trHeight w:val="135"/>
        </w:trPr>
        <w:tc>
          <w:tcPr>
            <w:tcW w:w="4500" w:type="dxa"/>
            <w:vAlign w:val="bottom"/>
            <w:shd w:val="clear" w:color="auto" w:fill="BDBEBD"/>
          </w:tcPr>
          <w:p>
            <w:pPr>
              <w:spacing w:after="0"/>
              <w:rPr>
                <w:sz w:val="11"/>
                <w:szCs w:val="11"/>
                <w:color w:val="auto"/>
              </w:rPr>
            </w:pPr>
          </w:p>
        </w:tc>
        <w:tc>
          <w:tcPr>
            <w:tcW w:w="620" w:type="dxa"/>
            <w:vAlign w:val="bottom"/>
            <w:shd w:val="clear" w:color="auto" w:fill="BDBEBD"/>
          </w:tcPr>
          <w:p>
            <w:pPr>
              <w:spacing w:after="0"/>
              <w:rPr>
                <w:sz w:val="11"/>
                <w:szCs w:val="11"/>
                <w:color w:val="auto"/>
              </w:rPr>
            </w:pPr>
          </w:p>
        </w:tc>
        <w:tc>
          <w:tcPr>
            <w:tcW w:w="900" w:type="dxa"/>
            <w:vAlign w:val="bottom"/>
            <w:vMerge w:val="continue"/>
            <w:shd w:val="clear" w:color="auto" w:fill="BDBEBD"/>
          </w:tcPr>
          <w:p>
            <w:pPr>
              <w:spacing w:after="0"/>
              <w:rPr>
                <w:sz w:val="11"/>
                <w:szCs w:val="11"/>
                <w:color w:val="auto"/>
              </w:rPr>
            </w:pPr>
          </w:p>
        </w:tc>
        <w:tc>
          <w:tcPr>
            <w:tcW w:w="1720" w:type="dxa"/>
            <w:vAlign w:val="bottom"/>
            <w:vMerge w:val="continue"/>
            <w:shd w:val="clear" w:color="auto" w:fill="BDBEBD"/>
          </w:tcPr>
          <w:p>
            <w:pPr>
              <w:spacing w:after="0"/>
              <w:rPr>
                <w:sz w:val="11"/>
                <w:szCs w:val="11"/>
                <w:color w:val="auto"/>
              </w:rPr>
            </w:pPr>
          </w:p>
        </w:tc>
        <w:tc>
          <w:tcPr>
            <w:tcW w:w="920" w:type="dxa"/>
            <w:vAlign w:val="bottom"/>
            <w:vMerge w:val="continue"/>
            <w:shd w:val="clear" w:color="auto" w:fill="BDBEBD"/>
          </w:tcPr>
          <w:p>
            <w:pPr>
              <w:spacing w:after="0"/>
              <w:rPr>
                <w:sz w:val="11"/>
                <w:szCs w:val="11"/>
                <w:color w:val="auto"/>
              </w:rPr>
            </w:pPr>
          </w:p>
        </w:tc>
        <w:tc>
          <w:tcPr>
            <w:tcW w:w="1560" w:type="dxa"/>
            <w:vAlign w:val="bottom"/>
            <w:vMerge w:val="continue"/>
            <w:shd w:val="clear" w:color="auto" w:fill="BDBEBD"/>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4500" w:type="dxa"/>
            <w:vAlign w:val="bottom"/>
            <w:shd w:val="clear" w:color="auto" w:fill="F7F3F7"/>
          </w:tcPr>
          <w:p>
            <w:pPr>
              <w:ind w:left="80"/>
              <w:spacing w:after="0"/>
              <w:rPr>
                <w:sz w:val="20"/>
                <w:szCs w:val="20"/>
                <w:color w:val="auto"/>
              </w:rPr>
            </w:pPr>
            <w:r>
              <w:rPr>
                <w:rFonts w:ascii="Arial" w:cs="Arial" w:eastAsia="Arial" w:hAnsi="Arial"/>
                <w:sz w:val="18"/>
                <w:szCs w:val="18"/>
                <w:b w:val="1"/>
                <w:bCs w:val="1"/>
                <w:color w:val="auto"/>
              </w:rPr>
              <w:t>Amortized cost (AmC)</w:t>
            </w:r>
          </w:p>
        </w:tc>
        <w:tc>
          <w:tcPr>
            <w:tcW w:w="620" w:type="dxa"/>
            <w:vAlign w:val="bottom"/>
            <w:shd w:val="clear" w:color="auto" w:fill="F7F3F7"/>
          </w:tcPr>
          <w:p>
            <w:pPr>
              <w:spacing w:after="0"/>
              <w:rPr>
                <w:sz w:val="24"/>
                <w:szCs w:val="24"/>
                <w:color w:val="auto"/>
              </w:rPr>
            </w:pPr>
          </w:p>
        </w:tc>
        <w:tc>
          <w:tcPr>
            <w:tcW w:w="900" w:type="dxa"/>
            <w:vAlign w:val="bottom"/>
            <w:shd w:val="clear" w:color="auto" w:fill="F7F3F7"/>
          </w:tcPr>
          <w:p>
            <w:pPr>
              <w:spacing w:after="0"/>
              <w:rPr>
                <w:sz w:val="24"/>
                <w:szCs w:val="24"/>
                <w:color w:val="auto"/>
              </w:rPr>
            </w:pPr>
          </w:p>
        </w:tc>
        <w:tc>
          <w:tcPr>
            <w:tcW w:w="1720" w:type="dxa"/>
            <w:vAlign w:val="bottom"/>
            <w:shd w:val="clear" w:color="auto" w:fill="F7F3F7"/>
          </w:tcPr>
          <w:p>
            <w:pPr>
              <w:spacing w:after="0"/>
              <w:rPr>
                <w:sz w:val="24"/>
                <w:szCs w:val="24"/>
                <w:color w:val="auto"/>
              </w:rPr>
            </w:pPr>
          </w:p>
        </w:tc>
        <w:tc>
          <w:tcPr>
            <w:tcW w:w="920" w:type="dxa"/>
            <w:vAlign w:val="bottom"/>
            <w:shd w:val="clear" w:color="auto" w:fill="F7F3F7"/>
          </w:tcPr>
          <w:p>
            <w:pPr>
              <w:spacing w:after="0"/>
              <w:rPr>
                <w:sz w:val="24"/>
                <w:szCs w:val="24"/>
                <w:color w:val="auto"/>
              </w:rPr>
            </w:pPr>
          </w:p>
        </w:tc>
        <w:tc>
          <w:tcPr>
            <w:tcW w:w="1560" w:type="dxa"/>
            <w:vAlign w:val="bottom"/>
            <w:shd w:val="clear" w:color="auto" w:fill="F7F3F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500" w:type="dxa"/>
            <w:vAlign w:val="bottom"/>
          </w:tcPr>
          <w:p>
            <w:pPr>
              <w:ind w:left="100"/>
              <w:spacing w:after="0"/>
              <w:rPr>
                <w:sz w:val="20"/>
                <w:szCs w:val="20"/>
                <w:color w:val="auto"/>
              </w:rPr>
            </w:pPr>
            <w:r>
              <w:rPr>
                <w:rFonts w:ascii="Arial" w:cs="Arial" w:eastAsia="Arial" w:hAnsi="Arial"/>
                <w:sz w:val="18"/>
                <w:szCs w:val="18"/>
                <w:color w:val="auto"/>
              </w:rPr>
              <w:t>Other financial assets</w:t>
            </w:r>
          </w:p>
        </w:tc>
        <w:tc>
          <w:tcPr>
            <w:tcW w:w="1520" w:type="dxa"/>
            <w:vAlign w:val="bottom"/>
            <w:gridSpan w:val="2"/>
          </w:tcPr>
          <w:p>
            <w:pPr>
              <w:jc w:val="right"/>
              <w:ind w:right="235"/>
              <w:spacing w:after="0"/>
              <w:rPr>
                <w:sz w:val="20"/>
                <w:szCs w:val="20"/>
                <w:color w:val="auto"/>
              </w:rPr>
            </w:pPr>
            <w:r>
              <w:rPr>
                <w:rFonts w:ascii="Arial" w:cs="Arial" w:eastAsia="Arial" w:hAnsi="Arial"/>
                <w:sz w:val="18"/>
                <w:szCs w:val="18"/>
                <w:color w:val="auto"/>
              </w:rPr>
              <w:t>684</w:t>
            </w:r>
          </w:p>
        </w:tc>
        <w:tc>
          <w:tcPr>
            <w:tcW w:w="1720" w:type="dxa"/>
            <w:vAlign w:val="bottom"/>
          </w:tcPr>
          <w:p>
            <w:pPr>
              <w:jc w:val="right"/>
              <w:ind w:right="231"/>
              <w:spacing w:after="0"/>
              <w:rPr>
                <w:sz w:val="20"/>
                <w:szCs w:val="20"/>
                <w:color w:val="auto"/>
              </w:rPr>
            </w:pPr>
            <w:r>
              <w:rPr>
                <w:rFonts w:ascii="Arial" w:cs="Arial" w:eastAsia="Arial" w:hAnsi="Arial"/>
                <w:sz w:val="18"/>
                <w:szCs w:val="18"/>
                <w:color w:val="auto"/>
              </w:rPr>
              <w:t>425</w:t>
            </w: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156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310"/>
        </w:trPr>
        <w:tc>
          <w:tcPr>
            <w:tcW w:w="4500" w:type="dxa"/>
            <w:vAlign w:val="bottom"/>
            <w:shd w:val="clear" w:color="auto" w:fill="F7F3F7"/>
          </w:tcPr>
          <w:p>
            <w:pPr>
              <w:ind w:left="10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F7F3F7"/>
          </w:tcPr>
          <w:p>
            <w:pPr>
              <w:jc w:val="right"/>
              <w:ind w:right="235"/>
              <w:spacing w:after="0"/>
              <w:rPr>
                <w:sz w:val="20"/>
                <w:szCs w:val="20"/>
                <w:color w:val="auto"/>
              </w:rPr>
            </w:pPr>
            <w:r>
              <w:rPr>
                <w:rFonts w:ascii="Arial" w:cs="Arial" w:eastAsia="Arial" w:hAnsi="Arial"/>
                <w:sz w:val="18"/>
                <w:szCs w:val="18"/>
                <w:color w:val="auto"/>
              </w:rPr>
              <w:t>25.508</w:t>
            </w:r>
          </w:p>
        </w:tc>
        <w:tc>
          <w:tcPr>
            <w:tcW w:w="1720" w:type="dxa"/>
            <w:vAlign w:val="bottom"/>
            <w:shd w:val="clear" w:color="auto" w:fill="F7F3F7"/>
          </w:tcPr>
          <w:p>
            <w:pPr>
              <w:jc w:val="right"/>
              <w:ind w:right="231"/>
              <w:spacing w:after="0"/>
              <w:rPr>
                <w:sz w:val="20"/>
                <w:szCs w:val="20"/>
                <w:color w:val="auto"/>
              </w:rPr>
            </w:pPr>
            <w:r>
              <w:rPr>
                <w:rFonts w:ascii="Arial" w:cs="Arial" w:eastAsia="Arial" w:hAnsi="Arial"/>
                <w:sz w:val="18"/>
                <w:szCs w:val="18"/>
                <w:color w:val="auto"/>
              </w:rPr>
              <w:t>0</w:t>
            </w:r>
          </w:p>
        </w:tc>
        <w:tc>
          <w:tcPr>
            <w:tcW w:w="920" w:type="dxa"/>
            <w:vAlign w:val="bottom"/>
            <w:shd w:val="clear" w:color="auto" w:fill="F7F3F7"/>
          </w:tcPr>
          <w:p>
            <w:pPr>
              <w:jc w:val="right"/>
              <w:spacing w:after="0"/>
              <w:rPr>
                <w:sz w:val="20"/>
                <w:szCs w:val="20"/>
                <w:color w:val="auto"/>
              </w:rPr>
            </w:pPr>
            <w:r>
              <w:rPr>
                <w:rFonts w:ascii="Arial" w:cs="Arial" w:eastAsia="Arial" w:hAnsi="Arial"/>
                <w:sz w:val="18"/>
                <w:szCs w:val="18"/>
                <w:color w:val="auto"/>
              </w:rPr>
              <w:t>48.143</w:t>
            </w:r>
          </w:p>
        </w:tc>
        <w:tc>
          <w:tcPr>
            <w:tcW w:w="1560" w:type="dxa"/>
            <w:vAlign w:val="bottom"/>
            <w:shd w:val="clear" w:color="auto" w:fill="F7F3F7"/>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9"/>
        </w:trPr>
        <w:tc>
          <w:tcPr>
            <w:tcW w:w="450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520" w:type="dxa"/>
            <w:vAlign w:val="bottom"/>
            <w:gridSpan w:val="2"/>
          </w:tcPr>
          <w:p>
            <w:pPr>
              <w:jc w:val="right"/>
              <w:ind w:right="235"/>
              <w:spacing w:after="0"/>
              <w:rPr>
                <w:sz w:val="20"/>
                <w:szCs w:val="20"/>
                <w:color w:val="auto"/>
              </w:rPr>
            </w:pPr>
            <w:r>
              <w:rPr>
                <w:rFonts w:ascii="Arial" w:cs="Arial" w:eastAsia="Arial" w:hAnsi="Arial"/>
                <w:sz w:val="18"/>
                <w:szCs w:val="18"/>
                <w:b w:val="1"/>
                <w:bCs w:val="1"/>
                <w:color w:val="auto"/>
              </w:rPr>
              <w:t>26.192</w:t>
            </w:r>
          </w:p>
        </w:tc>
        <w:tc>
          <w:tcPr>
            <w:tcW w:w="1720" w:type="dxa"/>
            <w:vAlign w:val="bottom"/>
          </w:tcPr>
          <w:p>
            <w:pPr>
              <w:jc w:val="right"/>
              <w:ind w:right="231"/>
              <w:spacing w:after="0"/>
              <w:rPr>
                <w:sz w:val="20"/>
                <w:szCs w:val="20"/>
                <w:color w:val="auto"/>
              </w:rPr>
            </w:pPr>
            <w:r>
              <w:rPr>
                <w:rFonts w:ascii="Arial" w:cs="Arial" w:eastAsia="Arial" w:hAnsi="Arial"/>
                <w:sz w:val="18"/>
                <w:szCs w:val="18"/>
                <w:b w:val="1"/>
                <w:bCs w:val="1"/>
                <w:color w:val="auto"/>
              </w:rPr>
              <w:t>425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48.286</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310"/>
        </w:trPr>
        <w:tc>
          <w:tcPr>
            <w:tcW w:w="4500" w:type="dxa"/>
            <w:vAlign w:val="bottom"/>
            <w:shd w:val="clear" w:color="auto" w:fill="F7F3F7"/>
          </w:tcPr>
          <w:p>
            <w:pPr>
              <w:ind w:left="100"/>
              <w:spacing w:after="0"/>
              <w:rPr>
                <w:sz w:val="20"/>
                <w:szCs w:val="20"/>
                <w:color w:val="auto"/>
              </w:rPr>
            </w:pPr>
            <w:r>
              <w:rPr>
                <w:rFonts w:ascii="Arial" w:cs="Arial" w:eastAsia="Arial" w:hAnsi="Arial"/>
                <w:sz w:val="18"/>
                <w:szCs w:val="18"/>
                <w:b w:val="1"/>
                <w:bCs w:val="1"/>
                <w:color w:val="auto"/>
              </w:rPr>
              <w:t>Cost (FLAC)</w:t>
            </w:r>
          </w:p>
        </w:tc>
        <w:tc>
          <w:tcPr>
            <w:tcW w:w="620" w:type="dxa"/>
            <w:vAlign w:val="bottom"/>
            <w:shd w:val="clear" w:color="auto" w:fill="F7F3F7"/>
          </w:tcPr>
          <w:p>
            <w:pPr>
              <w:spacing w:after="0"/>
              <w:rPr>
                <w:sz w:val="24"/>
                <w:szCs w:val="24"/>
                <w:color w:val="auto"/>
              </w:rPr>
            </w:pPr>
          </w:p>
        </w:tc>
        <w:tc>
          <w:tcPr>
            <w:tcW w:w="900" w:type="dxa"/>
            <w:vAlign w:val="bottom"/>
            <w:shd w:val="clear" w:color="auto" w:fill="F7F3F7"/>
          </w:tcPr>
          <w:p>
            <w:pPr>
              <w:spacing w:after="0"/>
              <w:rPr>
                <w:sz w:val="24"/>
                <w:szCs w:val="24"/>
                <w:color w:val="auto"/>
              </w:rPr>
            </w:pPr>
          </w:p>
        </w:tc>
        <w:tc>
          <w:tcPr>
            <w:tcW w:w="1720" w:type="dxa"/>
            <w:vAlign w:val="bottom"/>
            <w:shd w:val="clear" w:color="auto" w:fill="F7F3F7"/>
          </w:tcPr>
          <w:p>
            <w:pPr>
              <w:spacing w:after="0"/>
              <w:rPr>
                <w:sz w:val="24"/>
                <w:szCs w:val="24"/>
                <w:color w:val="auto"/>
              </w:rPr>
            </w:pPr>
          </w:p>
        </w:tc>
        <w:tc>
          <w:tcPr>
            <w:tcW w:w="920" w:type="dxa"/>
            <w:vAlign w:val="bottom"/>
            <w:shd w:val="clear" w:color="auto" w:fill="F7F3F7"/>
          </w:tcPr>
          <w:p>
            <w:pPr>
              <w:spacing w:after="0"/>
              <w:rPr>
                <w:sz w:val="24"/>
                <w:szCs w:val="24"/>
                <w:color w:val="auto"/>
              </w:rPr>
            </w:pPr>
          </w:p>
        </w:tc>
        <w:tc>
          <w:tcPr>
            <w:tcW w:w="1560" w:type="dxa"/>
            <w:vAlign w:val="bottom"/>
            <w:shd w:val="clear" w:color="auto" w:fill="F7F3F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500" w:type="dxa"/>
            <w:vAlign w:val="bottom"/>
          </w:tcPr>
          <w:p>
            <w:pPr>
              <w:ind w:left="100"/>
              <w:spacing w:after="0"/>
              <w:rPr>
                <w:sz w:val="20"/>
                <w:szCs w:val="20"/>
                <w:color w:val="auto"/>
              </w:rPr>
            </w:pPr>
            <w:r>
              <w:rPr>
                <w:rFonts w:ascii="Arial" w:cs="Arial" w:eastAsia="Arial" w:hAnsi="Arial"/>
                <w:sz w:val="18"/>
                <w:szCs w:val="18"/>
                <w:color w:val="auto"/>
              </w:rPr>
              <w:t>Trade and other payables</w:t>
            </w:r>
          </w:p>
        </w:tc>
        <w:tc>
          <w:tcPr>
            <w:tcW w:w="1520" w:type="dxa"/>
            <w:vAlign w:val="bottom"/>
            <w:gridSpan w:val="2"/>
          </w:tcPr>
          <w:p>
            <w:pPr>
              <w:jc w:val="right"/>
              <w:ind w:right="235"/>
              <w:spacing w:after="0"/>
              <w:rPr>
                <w:sz w:val="20"/>
                <w:szCs w:val="20"/>
                <w:color w:val="auto"/>
              </w:rPr>
            </w:pPr>
            <w:r>
              <w:rPr>
                <w:rFonts w:ascii="Arial" w:cs="Arial" w:eastAsia="Arial" w:hAnsi="Arial"/>
                <w:sz w:val="18"/>
                <w:szCs w:val="18"/>
                <w:color w:val="auto"/>
              </w:rPr>
              <w:t>10.200</w:t>
            </w:r>
          </w:p>
        </w:tc>
        <w:tc>
          <w:tcPr>
            <w:tcW w:w="172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8.396</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0"/>
        </w:trPr>
        <w:tc>
          <w:tcPr>
            <w:tcW w:w="4500" w:type="dxa"/>
            <w:vAlign w:val="bottom"/>
            <w:shd w:val="clear" w:color="auto" w:fill="F7F3F7"/>
          </w:tcPr>
          <w:p>
            <w:pPr>
              <w:ind w:left="100"/>
              <w:spacing w:after="0"/>
              <w:rPr>
                <w:sz w:val="20"/>
                <w:szCs w:val="20"/>
                <w:color w:val="auto"/>
              </w:rPr>
            </w:pPr>
            <w:r>
              <w:rPr>
                <w:rFonts w:ascii="Arial" w:cs="Arial" w:eastAsia="Arial" w:hAnsi="Arial"/>
                <w:sz w:val="18"/>
                <w:szCs w:val="18"/>
                <w:color w:val="auto"/>
              </w:rPr>
              <w:t>Lease liabilities</w:t>
            </w:r>
          </w:p>
        </w:tc>
        <w:tc>
          <w:tcPr>
            <w:tcW w:w="1520" w:type="dxa"/>
            <w:vAlign w:val="bottom"/>
            <w:gridSpan w:val="2"/>
            <w:shd w:val="clear" w:color="auto" w:fill="F7F3F7"/>
          </w:tcPr>
          <w:p>
            <w:pPr>
              <w:jc w:val="right"/>
              <w:ind w:right="235"/>
              <w:spacing w:after="0"/>
              <w:rPr>
                <w:sz w:val="20"/>
                <w:szCs w:val="20"/>
                <w:color w:val="auto"/>
              </w:rPr>
            </w:pPr>
            <w:r>
              <w:rPr>
                <w:rFonts w:ascii="Arial" w:cs="Arial" w:eastAsia="Arial" w:hAnsi="Arial"/>
                <w:sz w:val="18"/>
                <w:szCs w:val="18"/>
                <w:color w:val="auto"/>
              </w:rPr>
              <w:t>1.656</w:t>
            </w:r>
          </w:p>
        </w:tc>
        <w:tc>
          <w:tcPr>
            <w:tcW w:w="1720" w:type="dxa"/>
            <w:vAlign w:val="bottom"/>
            <w:shd w:val="clear" w:color="auto" w:fill="F7F3F7"/>
          </w:tcPr>
          <w:p>
            <w:pPr>
              <w:jc w:val="right"/>
              <w:ind w:right="231"/>
              <w:spacing w:after="0"/>
              <w:rPr>
                <w:sz w:val="20"/>
                <w:szCs w:val="20"/>
                <w:color w:val="auto"/>
              </w:rPr>
            </w:pPr>
            <w:r>
              <w:rPr>
                <w:rFonts w:ascii="Arial" w:cs="Arial" w:eastAsia="Arial" w:hAnsi="Arial"/>
                <w:sz w:val="18"/>
                <w:szCs w:val="18"/>
                <w:color w:val="auto"/>
              </w:rPr>
              <w:t>6.881</w:t>
            </w:r>
          </w:p>
        </w:tc>
        <w:tc>
          <w:tcPr>
            <w:tcW w:w="920" w:type="dxa"/>
            <w:vAlign w:val="bottom"/>
            <w:shd w:val="clear" w:color="auto" w:fill="F7F3F7"/>
          </w:tcPr>
          <w:p>
            <w:pPr>
              <w:jc w:val="right"/>
              <w:spacing w:after="0"/>
              <w:rPr>
                <w:sz w:val="20"/>
                <w:szCs w:val="20"/>
                <w:color w:val="auto"/>
              </w:rPr>
            </w:pPr>
            <w:r>
              <w:rPr>
                <w:rFonts w:ascii="Arial" w:cs="Arial" w:eastAsia="Arial" w:hAnsi="Arial"/>
                <w:sz w:val="18"/>
                <w:szCs w:val="18"/>
                <w:color w:val="auto"/>
              </w:rPr>
              <w:t>1.638</w:t>
            </w:r>
          </w:p>
        </w:tc>
        <w:tc>
          <w:tcPr>
            <w:tcW w:w="1560" w:type="dxa"/>
            <w:vAlign w:val="bottom"/>
            <w:shd w:val="clear" w:color="auto" w:fill="F7F3F7"/>
          </w:tcPr>
          <w:p>
            <w:pPr>
              <w:jc w:val="right"/>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310"/>
        </w:trPr>
        <w:tc>
          <w:tcPr>
            <w:tcW w:w="4500" w:type="dxa"/>
            <w:vAlign w:val="bottom"/>
          </w:tcPr>
          <w:p>
            <w:pPr>
              <w:ind w:left="100"/>
              <w:spacing w:after="0"/>
              <w:rPr>
                <w:sz w:val="20"/>
                <w:szCs w:val="20"/>
                <w:color w:val="auto"/>
              </w:rPr>
            </w:pPr>
            <w:r>
              <w:rPr>
                <w:rFonts w:ascii="Arial" w:cs="Arial" w:eastAsia="Arial" w:hAnsi="Arial"/>
                <w:sz w:val="18"/>
                <w:szCs w:val="18"/>
                <w:color w:val="auto"/>
              </w:rPr>
              <w:t>Other financial liabilities</w:t>
            </w:r>
          </w:p>
        </w:tc>
        <w:tc>
          <w:tcPr>
            <w:tcW w:w="1520" w:type="dxa"/>
            <w:vAlign w:val="bottom"/>
            <w:gridSpan w:val="2"/>
          </w:tcPr>
          <w:p>
            <w:pPr>
              <w:jc w:val="right"/>
              <w:ind w:right="235"/>
              <w:spacing w:after="0"/>
              <w:rPr>
                <w:sz w:val="20"/>
                <w:szCs w:val="20"/>
                <w:color w:val="auto"/>
              </w:rPr>
            </w:pPr>
            <w:r>
              <w:rPr>
                <w:rFonts w:ascii="Arial" w:cs="Arial" w:eastAsia="Arial" w:hAnsi="Arial"/>
                <w:sz w:val="18"/>
                <w:szCs w:val="18"/>
                <w:color w:val="auto"/>
              </w:rPr>
              <w:t>10.279</w:t>
            </w:r>
          </w:p>
        </w:tc>
        <w:tc>
          <w:tcPr>
            <w:tcW w:w="172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0"/>
        </w:trPr>
        <w:tc>
          <w:tcPr>
            <w:tcW w:w="4500" w:type="dxa"/>
            <w:vAlign w:val="bottom"/>
            <w:shd w:val="clear" w:color="auto" w:fill="F7F3F7"/>
          </w:tcPr>
          <w:p>
            <w:pPr>
              <w:ind w:left="100"/>
              <w:spacing w:after="0"/>
              <w:rPr>
                <w:sz w:val="20"/>
                <w:szCs w:val="20"/>
                <w:color w:val="auto"/>
              </w:rPr>
            </w:pPr>
            <w:r>
              <w:rPr>
                <w:rFonts w:ascii="Arial" w:cs="Arial" w:eastAsia="Arial" w:hAnsi="Arial"/>
                <w:sz w:val="18"/>
                <w:szCs w:val="18"/>
                <w:b w:val="1"/>
                <w:bCs w:val="1"/>
                <w:color w:val="auto"/>
              </w:rPr>
              <w:t>Total</w:t>
            </w:r>
          </w:p>
        </w:tc>
        <w:tc>
          <w:tcPr>
            <w:tcW w:w="1520" w:type="dxa"/>
            <w:vAlign w:val="bottom"/>
            <w:gridSpan w:val="2"/>
            <w:shd w:val="clear" w:color="auto" w:fill="F7F3F7"/>
          </w:tcPr>
          <w:p>
            <w:pPr>
              <w:jc w:val="right"/>
              <w:ind w:right="235"/>
              <w:spacing w:after="0"/>
              <w:rPr>
                <w:sz w:val="20"/>
                <w:szCs w:val="20"/>
                <w:color w:val="auto"/>
              </w:rPr>
            </w:pPr>
            <w:r>
              <w:rPr>
                <w:rFonts w:ascii="Arial" w:cs="Arial" w:eastAsia="Arial" w:hAnsi="Arial"/>
                <w:sz w:val="18"/>
                <w:szCs w:val="18"/>
                <w:color w:val="auto"/>
              </w:rPr>
              <w:t>22.135</w:t>
            </w:r>
          </w:p>
        </w:tc>
        <w:tc>
          <w:tcPr>
            <w:tcW w:w="1720" w:type="dxa"/>
            <w:vAlign w:val="bottom"/>
            <w:shd w:val="clear" w:color="auto" w:fill="F7F3F7"/>
          </w:tcPr>
          <w:p>
            <w:pPr>
              <w:jc w:val="right"/>
              <w:ind w:right="231"/>
              <w:spacing w:after="0"/>
              <w:rPr>
                <w:sz w:val="20"/>
                <w:szCs w:val="20"/>
                <w:color w:val="auto"/>
              </w:rPr>
            </w:pPr>
            <w:r>
              <w:rPr>
                <w:rFonts w:ascii="Arial" w:cs="Arial" w:eastAsia="Arial" w:hAnsi="Arial"/>
                <w:sz w:val="18"/>
                <w:szCs w:val="18"/>
                <w:b w:val="1"/>
                <w:bCs w:val="1"/>
                <w:color w:val="auto"/>
              </w:rPr>
              <w:t>6.881</w:t>
            </w:r>
          </w:p>
        </w:tc>
        <w:tc>
          <w:tcPr>
            <w:tcW w:w="920" w:type="dxa"/>
            <w:vAlign w:val="bottom"/>
            <w:shd w:val="clear" w:color="auto" w:fill="F7F3F7"/>
          </w:tcPr>
          <w:p>
            <w:pPr>
              <w:jc w:val="right"/>
              <w:spacing w:after="0"/>
              <w:rPr>
                <w:sz w:val="20"/>
                <w:szCs w:val="20"/>
                <w:color w:val="auto"/>
              </w:rPr>
            </w:pPr>
            <w:r>
              <w:rPr>
                <w:rFonts w:ascii="Arial" w:cs="Arial" w:eastAsia="Arial" w:hAnsi="Arial"/>
                <w:sz w:val="18"/>
                <w:szCs w:val="18"/>
                <w:b w:val="1"/>
                <w:bCs w:val="1"/>
                <w:color w:val="auto"/>
              </w:rPr>
              <w:t>10.071</w:t>
            </w:r>
          </w:p>
        </w:tc>
        <w:tc>
          <w:tcPr>
            <w:tcW w:w="1560" w:type="dxa"/>
            <w:vAlign w:val="bottom"/>
            <w:shd w:val="clear" w:color="auto" w:fill="F7F3F7"/>
          </w:tcPr>
          <w:p>
            <w:pPr>
              <w:jc w:val="right"/>
              <w:spacing w:after="0"/>
              <w:rPr>
                <w:sz w:val="20"/>
                <w:szCs w:val="20"/>
                <w:color w:val="auto"/>
              </w:rPr>
            </w:pPr>
            <w:r>
              <w:rPr>
                <w:rFonts w:ascii="Arial" w:cs="Arial" w:eastAsia="Arial" w:hAnsi="Arial"/>
                <w:sz w:val="18"/>
                <w:szCs w:val="18"/>
                <w:b w:val="1"/>
                <w:bCs w:val="1"/>
                <w:color w:val="auto"/>
              </w:rPr>
              <w:t>7.389</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
        <w:spacing w:after="0" w:line="267" w:lineRule="auto"/>
        <w:rPr>
          <w:sz w:val="20"/>
          <w:szCs w:val="20"/>
          <w:color w:val="auto"/>
        </w:rPr>
      </w:pPr>
      <w:r>
        <w:rPr>
          <w:rFonts w:ascii="Arial" w:cs="Arial" w:eastAsia="Arial" w:hAnsi="Arial"/>
          <w:sz w:val="17"/>
          <w:szCs w:val="17"/>
          <w:color w:val="auto"/>
        </w:rPr>
        <w:t>For other financial assets, trade receivables, and cash and cash equivalents, it is assumed that their carrying amounts correspond to their fair values due to their short terms.</w:t>
      </w:r>
    </w:p>
    <w:p>
      <w:pPr>
        <w:spacing w:after="0" w:line="51"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The carrying amount of non-current financial assets of the AmC category approximates the fair value. These include bank balances and non-interest-bearing security deposits. The carrying amount approximates fair value due to the current low interest rate level.</w:t>
      </w:r>
    </w:p>
    <w:p>
      <w:pPr>
        <w:spacing w:after="0" w:line="51"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51"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7"/>
          <w:szCs w:val="17"/>
          <w:color w:val="auto"/>
        </w:rPr>
        <w:t xml:space="preserve">AS of 30.06.2022 the fair value of the prepayment option of the loan amounts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338 thousand (December 31, 2021: </w:t>
      </w:r>
      <w:r>
        <w:rPr>
          <w:rFonts w:ascii="Times New Roman" w:cs="Times New Roman" w:eastAsia="Times New Roman" w:hAnsi="Times New Roman"/>
          <w:sz w:val="17"/>
          <w:szCs w:val="17"/>
          <w:color w:val="auto"/>
        </w:rPr>
        <w:t>€</w:t>
      </w:r>
      <w:r>
        <w:rPr>
          <w:rFonts w:ascii="Arial" w:cs="Arial" w:eastAsia="Arial" w:hAnsi="Arial"/>
          <w:sz w:val="17"/>
          <w:szCs w:val="17"/>
          <w:color w:val="auto"/>
        </w:rPr>
        <w:t>0). The prepayment option is recognized as other financial asset at FVTPL and was calculated by applying an option pricing model. This model uses the risk-free interest rate, the credit spread of the group</w:t>
      </w:r>
    </w:p>
    <w:p>
      <w:pPr>
        <w:sectPr>
          <w:pgSz w:w="11900" w:h="16838" w:orient="portrait"/>
          <w:cols w:equalWidth="0" w:num="1">
            <w:col w:w="11024"/>
          </w:cols>
          <w:pgMar w:left="436" w:top="1359" w:right="439" w:bottom="1440" w:gutter="0" w:footer="0" w:header="0"/>
        </w:sectPr>
      </w:pPr>
    </w:p>
    <w:p>
      <w:pPr>
        <w:spacing w:after="0" w:line="113"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868A9C"/>
        </w:rPr>
        <w:t>Page 29/33</w:t>
      </w:r>
    </w:p>
    <w:p>
      <w:pPr>
        <w:sectPr>
          <w:pgSz w:w="11900" w:h="16838" w:orient="portrait"/>
          <w:cols w:equalWidth="0" w:num="2">
            <w:col w:w="9564" w:space="720"/>
            <w:col w:w="740"/>
          </w:cols>
          <w:pgMar w:left="436" w:top="1359" w:right="439" w:bottom="1440" w:gutter="0" w:footer="0" w:header="0"/>
          <w:type w:val="continuous"/>
        </w:sectPr>
      </w:pPr>
    </w:p>
    <w:bookmarkStart w:id="34" w:name="page35"/>
    <w:bookmarkEnd w:id="34"/>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and the interest rate volatility as material input factors. The volatility is considered as material unobservable input factor (Level 3).</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impact on the fair values of Level 3 instruments by changing the significant unobservable input factors.</w:t>
      </w:r>
    </w:p>
    <w:p>
      <w:pPr>
        <w:spacing w:after="0" w:line="237" w:lineRule="exact"/>
        <w:rPr>
          <w:sz w:val="20"/>
          <w:szCs w:val="20"/>
          <w:color w:val="auto"/>
        </w:rPr>
      </w:pPr>
    </w:p>
    <w:p>
      <w:pPr>
        <w:jc w:val="center"/>
        <w:ind w:left="1220"/>
        <w:spacing w:after="0"/>
        <w:rPr>
          <w:sz w:val="20"/>
          <w:szCs w:val="20"/>
          <w:color w:val="auto"/>
        </w:rPr>
      </w:pPr>
      <w:r>
        <w:rPr>
          <w:rFonts w:ascii="Arial" w:cs="Arial" w:eastAsia="Arial" w:hAnsi="Arial"/>
          <w:sz w:val="17"/>
          <w:szCs w:val="17"/>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4543425" cy="531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43425" cy="531495"/>
                    </a:xfrm>
                    <a:prstGeom prst="rect">
                      <a:avLst/>
                    </a:prstGeom>
                    <a:noFill/>
                  </pic:spPr>
                </pic:pic>
              </a:graphicData>
            </a:graphic>
          </wp:anchor>
        </w:drawing>
      </w:r>
    </w:p>
    <w:p>
      <w:pPr>
        <w:jc w:val="center"/>
        <w:ind w:left="1220"/>
        <w:spacing w:after="0"/>
        <w:rPr>
          <w:sz w:val="20"/>
          <w:szCs w:val="20"/>
          <w:color w:val="auto"/>
        </w:rPr>
      </w:pPr>
      <w:r>
        <w:rPr>
          <w:rFonts w:ascii="Arial" w:cs="Arial" w:eastAsia="Arial" w:hAnsi="Arial"/>
          <w:sz w:val="17"/>
          <w:szCs w:val="17"/>
          <w:color w:val="auto"/>
        </w:rPr>
        <w:t>Profit or loss</w:t>
      </w:r>
    </w:p>
    <w:p>
      <w:pPr>
        <w:ind w:left="220" w:hanging="129"/>
        <w:spacing w:after="0"/>
        <w:tabs>
          <w:tab w:leader="none" w:pos="2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thousand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2180" w:type="dxa"/>
            <w:vAlign w:val="bottom"/>
          </w:tcPr>
          <w:p>
            <w:pPr>
              <w:jc w:val="right"/>
              <w:ind w:right="215"/>
              <w:spacing w:after="0"/>
              <w:rPr>
                <w:sz w:val="20"/>
                <w:szCs w:val="20"/>
                <w:color w:val="auto"/>
              </w:rPr>
            </w:pPr>
            <w:r>
              <w:rPr>
                <w:rFonts w:ascii="Arial" w:cs="Arial" w:eastAsia="Arial" w:hAnsi="Arial"/>
                <w:sz w:val="17"/>
                <w:szCs w:val="17"/>
                <w:color w:val="auto"/>
              </w:rPr>
              <w:t>increase</w:t>
            </w:r>
          </w:p>
        </w:tc>
        <w:tc>
          <w:tcPr>
            <w:tcW w:w="1080" w:type="dxa"/>
            <w:vAlign w:val="bottom"/>
          </w:tcPr>
          <w:p>
            <w:pPr>
              <w:jc w:val="right"/>
              <w:spacing w:after="0"/>
              <w:rPr>
                <w:sz w:val="20"/>
                <w:szCs w:val="20"/>
                <w:color w:val="auto"/>
              </w:rPr>
            </w:pPr>
            <w:r>
              <w:rPr>
                <w:rFonts w:ascii="Arial" w:cs="Arial" w:eastAsia="Arial" w:hAnsi="Arial"/>
                <w:sz w:val="17"/>
                <w:szCs w:val="17"/>
                <w:color w:val="auto"/>
              </w:rPr>
              <w:t>decrease</w:t>
            </w:r>
          </w:p>
        </w:tc>
      </w:tr>
      <w:tr>
        <w:trPr>
          <w:trHeight w:val="349"/>
        </w:trPr>
        <w:tc>
          <w:tcPr>
            <w:tcW w:w="3900" w:type="dxa"/>
            <w:vAlign w:val="bottom"/>
          </w:tcPr>
          <w:p>
            <w:pPr>
              <w:ind w:left="100"/>
              <w:spacing w:after="0"/>
              <w:rPr>
                <w:sz w:val="20"/>
                <w:szCs w:val="20"/>
                <w:color w:val="auto"/>
              </w:rPr>
            </w:pPr>
            <w:r>
              <w:rPr>
                <w:rFonts w:ascii="Arial" w:cs="Arial" w:eastAsia="Arial" w:hAnsi="Arial"/>
                <w:sz w:val="17"/>
                <w:szCs w:val="17"/>
                <w:color w:val="auto"/>
              </w:rPr>
              <w:t>Volatility (movement +/- 5%)</w:t>
            </w:r>
          </w:p>
        </w:tc>
        <w:tc>
          <w:tcPr>
            <w:tcW w:w="2180" w:type="dxa"/>
            <w:vAlign w:val="bottom"/>
          </w:tcPr>
          <w:p>
            <w:pPr>
              <w:jc w:val="right"/>
              <w:ind w:right="215"/>
              <w:spacing w:after="0"/>
              <w:rPr>
                <w:sz w:val="20"/>
                <w:szCs w:val="20"/>
                <w:color w:val="auto"/>
              </w:rPr>
            </w:pPr>
            <w:r>
              <w:rPr>
                <w:rFonts w:ascii="Arial" w:cs="Arial" w:eastAsia="Arial" w:hAnsi="Arial"/>
                <w:sz w:val="17"/>
                <w:szCs w:val="17"/>
                <w:color w:val="auto"/>
              </w:rPr>
              <w:t>9</w:t>
            </w:r>
          </w:p>
        </w:tc>
        <w:tc>
          <w:tcPr>
            <w:tcW w:w="10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94"/>
        </w:trPr>
        <w:tc>
          <w:tcPr>
            <w:tcW w:w="39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25"/>
        </w:trPr>
        <w:tc>
          <w:tcPr>
            <w:tcW w:w="3900" w:type="dxa"/>
            <w:vAlign w:val="bottom"/>
            <w:shd w:val="clear" w:color="auto" w:fill="F7F3F7"/>
          </w:tcPr>
          <w:p>
            <w:pPr>
              <w:ind w:left="100"/>
              <w:spacing w:after="0"/>
              <w:rPr>
                <w:sz w:val="20"/>
                <w:szCs w:val="20"/>
                <w:color w:val="auto"/>
              </w:rPr>
            </w:pPr>
            <w:r>
              <w:rPr>
                <w:rFonts w:ascii="Arial" w:cs="Arial" w:eastAsia="Arial" w:hAnsi="Arial"/>
                <w:sz w:val="17"/>
                <w:szCs w:val="17"/>
                <w:color w:val="auto"/>
              </w:rPr>
              <w:t>Credit Spread (movement +/- 1%)</w:t>
            </w:r>
          </w:p>
        </w:tc>
        <w:tc>
          <w:tcPr>
            <w:tcW w:w="2180" w:type="dxa"/>
            <w:vAlign w:val="bottom"/>
            <w:shd w:val="clear" w:color="auto" w:fill="F7F3F7"/>
          </w:tcPr>
          <w:p>
            <w:pPr>
              <w:jc w:val="right"/>
              <w:ind w:right="215"/>
              <w:spacing w:after="0"/>
              <w:rPr>
                <w:sz w:val="20"/>
                <w:szCs w:val="20"/>
                <w:color w:val="auto"/>
              </w:rPr>
            </w:pPr>
            <w:r>
              <w:rPr>
                <w:rFonts w:ascii="Arial" w:cs="Arial" w:eastAsia="Arial" w:hAnsi="Arial"/>
                <w:sz w:val="17"/>
                <w:szCs w:val="17"/>
                <w:color w:val="auto"/>
              </w:rPr>
              <w:t>-52</w:t>
            </w:r>
          </w:p>
        </w:tc>
        <w:tc>
          <w:tcPr>
            <w:tcW w:w="1080" w:type="dxa"/>
            <w:vAlign w:val="bottom"/>
            <w:shd w:val="clear" w:color="auto" w:fill="F7F3F7"/>
          </w:tcPr>
          <w:p>
            <w:pPr>
              <w:jc w:val="right"/>
              <w:spacing w:after="0"/>
              <w:rPr>
                <w:sz w:val="20"/>
                <w:szCs w:val="20"/>
                <w:color w:val="auto"/>
              </w:rPr>
            </w:pPr>
            <w:r>
              <w:rPr>
                <w:rFonts w:ascii="Arial" w:cs="Arial" w:eastAsia="Arial" w:hAnsi="Arial"/>
                <w:sz w:val="17"/>
                <w:szCs w:val="17"/>
                <w:color w:val="auto"/>
              </w:rPr>
              <w:t>69</w:t>
            </w:r>
          </w:p>
        </w:tc>
      </w:tr>
      <w:tr>
        <w:trPr>
          <w:trHeight w:val="72"/>
        </w:trPr>
        <w:tc>
          <w:tcPr>
            <w:tcW w:w="3900" w:type="dxa"/>
            <w:vAlign w:val="bottom"/>
            <w:shd w:val="clear" w:color="auto" w:fill="F7F3F7"/>
          </w:tcPr>
          <w:p>
            <w:pPr>
              <w:spacing w:after="0"/>
              <w:rPr>
                <w:sz w:val="6"/>
                <w:szCs w:val="6"/>
                <w:color w:val="auto"/>
              </w:rPr>
            </w:pPr>
          </w:p>
        </w:tc>
        <w:tc>
          <w:tcPr>
            <w:tcW w:w="2180" w:type="dxa"/>
            <w:vAlign w:val="bottom"/>
            <w:shd w:val="clear" w:color="auto" w:fill="F7F3F7"/>
          </w:tcPr>
          <w:p>
            <w:pPr>
              <w:spacing w:after="0"/>
              <w:rPr>
                <w:sz w:val="6"/>
                <w:szCs w:val="6"/>
                <w:color w:val="auto"/>
              </w:rPr>
            </w:pPr>
          </w:p>
        </w:tc>
        <w:tc>
          <w:tcPr>
            <w:tcW w:w="1080" w:type="dxa"/>
            <w:vAlign w:val="bottom"/>
            <w:shd w:val="clear" w:color="auto" w:fill="F7F3F7"/>
          </w:tcPr>
          <w:p>
            <w:pPr>
              <w:spacing w:after="0"/>
              <w:rPr>
                <w:sz w:val="6"/>
                <w:szCs w:val="6"/>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80" w:type="dxa"/>
            <w:vAlign w:val="bottom"/>
            <w:gridSpan w:val="4"/>
          </w:tcPr>
          <w:p>
            <w:pPr>
              <w:spacing w:after="0"/>
              <w:rPr>
                <w:sz w:val="20"/>
                <w:szCs w:val="20"/>
                <w:color w:val="auto"/>
              </w:rPr>
            </w:pPr>
            <w:r>
              <w:rPr>
                <w:rFonts w:ascii="Arial" w:cs="Arial" w:eastAsia="Arial" w:hAnsi="Arial"/>
                <w:sz w:val="17"/>
                <w:szCs w:val="17"/>
                <w:color w:val="auto"/>
              </w:rPr>
              <w:t>Changes in level 3 financial instruments in 2022 are shown in the following table:</w:t>
            </w:r>
          </w:p>
        </w:tc>
        <w:tc>
          <w:tcPr>
            <w:tcW w:w="2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40" w:type="dxa"/>
            <w:vAlign w:val="bottom"/>
            <w:vMerge w:val="restart"/>
            <w:shd w:val="clear" w:color="auto" w:fill="BDBEBD"/>
          </w:tcPr>
          <w:p>
            <w:pPr>
              <w:ind w:left="10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thousand</w:t>
            </w:r>
          </w:p>
        </w:tc>
        <w:tc>
          <w:tcPr>
            <w:tcW w:w="1360" w:type="dxa"/>
            <w:vAlign w:val="bottom"/>
            <w:shd w:val="clear" w:color="auto" w:fill="BDBEBD"/>
          </w:tcPr>
          <w:p>
            <w:pPr>
              <w:ind w:left="260"/>
              <w:spacing w:after="0" w:line="167" w:lineRule="exact"/>
              <w:rPr>
                <w:sz w:val="20"/>
                <w:szCs w:val="20"/>
                <w:color w:val="auto"/>
              </w:rPr>
            </w:pPr>
            <w:r>
              <w:rPr>
                <w:rFonts w:ascii="Arial" w:cs="Arial" w:eastAsia="Arial" w:hAnsi="Arial"/>
                <w:sz w:val="17"/>
                <w:szCs w:val="17"/>
                <w:color w:val="auto"/>
              </w:rPr>
              <w:t>Fair value</w:t>
            </w:r>
          </w:p>
        </w:tc>
        <w:tc>
          <w:tcPr>
            <w:tcW w:w="1120" w:type="dxa"/>
            <w:vAlign w:val="bottom"/>
            <w:vMerge w:val="restart"/>
            <w:shd w:val="clear" w:color="auto" w:fill="BDBEBD"/>
          </w:tcPr>
          <w:p>
            <w:pPr>
              <w:jc w:val="right"/>
              <w:ind w:right="175"/>
              <w:spacing w:after="0"/>
              <w:rPr>
                <w:sz w:val="20"/>
                <w:szCs w:val="20"/>
                <w:color w:val="auto"/>
              </w:rPr>
            </w:pPr>
            <w:r>
              <w:rPr>
                <w:rFonts w:ascii="Arial" w:cs="Arial" w:eastAsia="Arial" w:hAnsi="Arial"/>
                <w:sz w:val="17"/>
                <w:szCs w:val="17"/>
                <w:color w:val="auto"/>
              </w:rPr>
              <w:t>Additions</w:t>
            </w:r>
          </w:p>
        </w:tc>
        <w:tc>
          <w:tcPr>
            <w:tcW w:w="1260" w:type="dxa"/>
            <w:vAlign w:val="bottom"/>
            <w:vMerge w:val="restart"/>
            <w:shd w:val="clear" w:color="auto" w:fill="BDBEBD"/>
          </w:tcPr>
          <w:p>
            <w:pPr>
              <w:jc w:val="right"/>
              <w:ind w:right="175"/>
              <w:spacing w:after="0"/>
              <w:rPr>
                <w:sz w:val="20"/>
                <w:szCs w:val="20"/>
                <w:color w:val="auto"/>
              </w:rPr>
            </w:pPr>
            <w:r>
              <w:rPr>
                <w:rFonts w:ascii="Arial" w:cs="Arial" w:eastAsia="Arial" w:hAnsi="Arial"/>
                <w:sz w:val="17"/>
                <w:szCs w:val="17"/>
                <w:color w:val="auto"/>
              </w:rPr>
              <w:t>Disposals</w:t>
            </w:r>
          </w:p>
        </w:tc>
        <w:tc>
          <w:tcPr>
            <w:tcW w:w="2680" w:type="dxa"/>
            <w:vAlign w:val="bottom"/>
            <w:shd w:val="clear" w:color="auto" w:fill="BDBEBD"/>
          </w:tcPr>
          <w:p>
            <w:pPr>
              <w:ind w:left="260"/>
              <w:spacing w:after="0" w:line="167" w:lineRule="exact"/>
              <w:rPr>
                <w:sz w:val="20"/>
                <w:szCs w:val="20"/>
                <w:color w:val="auto"/>
              </w:rPr>
            </w:pPr>
            <w:r>
              <w:rPr>
                <w:rFonts w:ascii="Arial" w:cs="Arial" w:eastAsia="Arial" w:hAnsi="Arial"/>
                <w:sz w:val="17"/>
                <w:szCs w:val="17"/>
                <w:color w:val="auto"/>
              </w:rPr>
              <w:t>Gains/(losses) recognized in</w:t>
            </w:r>
          </w:p>
        </w:tc>
        <w:tc>
          <w:tcPr>
            <w:tcW w:w="1260" w:type="dxa"/>
            <w:vAlign w:val="bottom"/>
            <w:shd w:val="clear" w:color="auto" w:fill="BDBEBD"/>
          </w:tcPr>
          <w:p>
            <w:pPr>
              <w:ind w:left="260"/>
              <w:spacing w:after="0" w:line="167" w:lineRule="exact"/>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225"/>
        </w:trPr>
        <w:tc>
          <w:tcPr>
            <w:tcW w:w="3340" w:type="dxa"/>
            <w:vAlign w:val="bottom"/>
            <w:vMerge w:val="continue"/>
            <w:shd w:val="clear" w:color="auto" w:fill="BDBEBD"/>
          </w:tcPr>
          <w:p>
            <w:pPr>
              <w:spacing w:after="0"/>
              <w:rPr>
                <w:sz w:val="19"/>
                <w:szCs w:val="19"/>
                <w:color w:val="auto"/>
              </w:rPr>
            </w:pPr>
          </w:p>
        </w:tc>
        <w:tc>
          <w:tcPr>
            <w:tcW w:w="1360" w:type="dxa"/>
            <w:vAlign w:val="bottom"/>
            <w:shd w:val="clear" w:color="auto" w:fill="BDBEBD"/>
          </w:tcPr>
          <w:p>
            <w:pPr>
              <w:ind w:left="260"/>
              <w:spacing w:after="0"/>
              <w:rPr>
                <w:sz w:val="20"/>
                <w:szCs w:val="20"/>
                <w:color w:val="auto"/>
              </w:rPr>
            </w:pPr>
            <w:r>
              <w:rPr>
                <w:rFonts w:ascii="Arial" w:cs="Arial" w:eastAsia="Arial" w:hAnsi="Arial"/>
                <w:sz w:val="17"/>
                <w:szCs w:val="17"/>
                <w:color w:val="auto"/>
              </w:rPr>
              <w:t>January 1</w:t>
            </w:r>
          </w:p>
        </w:tc>
        <w:tc>
          <w:tcPr>
            <w:tcW w:w="1120" w:type="dxa"/>
            <w:vAlign w:val="bottom"/>
            <w:vMerge w:val="continue"/>
            <w:shd w:val="clear" w:color="auto" w:fill="BDBEBD"/>
          </w:tcPr>
          <w:p>
            <w:pPr>
              <w:spacing w:after="0"/>
              <w:rPr>
                <w:sz w:val="19"/>
                <w:szCs w:val="19"/>
                <w:color w:val="auto"/>
              </w:rPr>
            </w:pPr>
          </w:p>
        </w:tc>
        <w:tc>
          <w:tcPr>
            <w:tcW w:w="1260" w:type="dxa"/>
            <w:vAlign w:val="bottom"/>
            <w:vMerge w:val="continue"/>
            <w:shd w:val="clear" w:color="auto" w:fill="BDBEBD"/>
          </w:tcPr>
          <w:p>
            <w:pPr>
              <w:spacing w:after="0"/>
              <w:rPr>
                <w:sz w:val="19"/>
                <w:szCs w:val="19"/>
                <w:color w:val="auto"/>
              </w:rPr>
            </w:pPr>
          </w:p>
        </w:tc>
        <w:tc>
          <w:tcPr>
            <w:tcW w:w="2680" w:type="dxa"/>
            <w:vAlign w:val="bottom"/>
            <w:shd w:val="clear" w:color="auto" w:fill="BDBEBD"/>
          </w:tcPr>
          <w:p>
            <w:pPr>
              <w:ind w:left="260"/>
              <w:spacing w:after="0"/>
              <w:rPr>
                <w:sz w:val="20"/>
                <w:szCs w:val="20"/>
                <w:color w:val="auto"/>
              </w:rPr>
            </w:pPr>
            <w:r>
              <w:rPr>
                <w:rFonts w:ascii="Arial" w:cs="Arial" w:eastAsia="Arial" w:hAnsi="Arial"/>
                <w:sz w:val="17"/>
                <w:szCs w:val="17"/>
                <w:color w:val="auto"/>
              </w:rPr>
              <w:t>financial income / expenses</w:t>
            </w:r>
          </w:p>
        </w:tc>
        <w:tc>
          <w:tcPr>
            <w:tcW w:w="1260" w:type="dxa"/>
            <w:vAlign w:val="bottom"/>
            <w:vMerge w:val="restart"/>
            <w:shd w:val="clear" w:color="auto" w:fill="BDBEBD"/>
          </w:tcPr>
          <w:p>
            <w:pPr>
              <w:ind w:left="260"/>
              <w:spacing w:after="0"/>
              <w:rPr>
                <w:sz w:val="20"/>
                <w:szCs w:val="20"/>
                <w:color w:val="auto"/>
              </w:rPr>
            </w:pPr>
            <w:r>
              <w:rPr>
                <w:rFonts w:ascii="Arial" w:cs="Arial" w:eastAsia="Arial" w:hAnsi="Arial"/>
                <w:sz w:val="17"/>
                <w:szCs w:val="17"/>
                <w:color w:val="auto"/>
              </w:rPr>
              <w:t>June 30</w:t>
            </w:r>
          </w:p>
        </w:tc>
        <w:tc>
          <w:tcPr>
            <w:tcW w:w="0" w:type="dxa"/>
            <w:vAlign w:val="bottom"/>
          </w:tcPr>
          <w:p>
            <w:pPr>
              <w:spacing w:after="0"/>
              <w:rPr>
                <w:sz w:val="1"/>
                <w:szCs w:val="1"/>
                <w:color w:val="auto"/>
              </w:rPr>
            </w:pPr>
          </w:p>
        </w:tc>
      </w:tr>
      <w:tr>
        <w:trPr>
          <w:trHeight w:val="121"/>
        </w:trPr>
        <w:tc>
          <w:tcPr>
            <w:tcW w:w="3340" w:type="dxa"/>
            <w:vAlign w:val="bottom"/>
            <w:shd w:val="clear" w:color="auto" w:fill="BDBEBD"/>
          </w:tcPr>
          <w:p>
            <w:pPr>
              <w:spacing w:after="0"/>
              <w:rPr>
                <w:sz w:val="10"/>
                <w:szCs w:val="10"/>
                <w:color w:val="auto"/>
              </w:rPr>
            </w:pPr>
          </w:p>
        </w:tc>
        <w:tc>
          <w:tcPr>
            <w:tcW w:w="1360" w:type="dxa"/>
            <w:vAlign w:val="bottom"/>
            <w:shd w:val="clear" w:color="auto" w:fill="BDBEBD"/>
          </w:tcPr>
          <w:p>
            <w:pPr>
              <w:spacing w:after="0"/>
              <w:rPr>
                <w:sz w:val="10"/>
                <w:szCs w:val="10"/>
                <w:color w:val="auto"/>
              </w:rPr>
            </w:pPr>
          </w:p>
        </w:tc>
        <w:tc>
          <w:tcPr>
            <w:tcW w:w="1120" w:type="dxa"/>
            <w:vAlign w:val="bottom"/>
            <w:shd w:val="clear" w:color="auto" w:fill="BDBEBD"/>
          </w:tcPr>
          <w:p>
            <w:pPr>
              <w:spacing w:after="0"/>
              <w:rPr>
                <w:sz w:val="10"/>
                <w:szCs w:val="10"/>
                <w:color w:val="auto"/>
              </w:rPr>
            </w:pPr>
          </w:p>
        </w:tc>
        <w:tc>
          <w:tcPr>
            <w:tcW w:w="1260" w:type="dxa"/>
            <w:vAlign w:val="bottom"/>
            <w:shd w:val="clear" w:color="auto" w:fill="BDBEBD"/>
          </w:tcPr>
          <w:p>
            <w:pPr>
              <w:spacing w:after="0"/>
              <w:rPr>
                <w:sz w:val="10"/>
                <w:szCs w:val="10"/>
                <w:color w:val="auto"/>
              </w:rPr>
            </w:pPr>
          </w:p>
        </w:tc>
        <w:tc>
          <w:tcPr>
            <w:tcW w:w="2680" w:type="dxa"/>
            <w:vAlign w:val="bottom"/>
            <w:shd w:val="clear" w:color="auto" w:fill="BDBEBD"/>
          </w:tcPr>
          <w:p>
            <w:pPr>
              <w:spacing w:after="0"/>
              <w:rPr>
                <w:sz w:val="10"/>
                <w:szCs w:val="10"/>
                <w:color w:val="auto"/>
              </w:rPr>
            </w:pPr>
          </w:p>
        </w:tc>
        <w:tc>
          <w:tcPr>
            <w:tcW w:w="1260" w:type="dxa"/>
            <w:vAlign w:val="bottom"/>
            <w:vMerge w:val="continue"/>
            <w:shd w:val="clear" w:color="auto" w:fill="BDBEBD"/>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100"/>
              <w:spacing w:after="0"/>
              <w:rPr>
                <w:sz w:val="20"/>
                <w:szCs w:val="20"/>
                <w:color w:val="auto"/>
              </w:rPr>
            </w:pPr>
            <w:r>
              <w:rPr>
                <w:rFonts w:ascii="Arial" w:cs="Arial" w:eastAsia="Arial" w:hAnsi="Arial"/>
                <w:sz w:val="17"/>
                <w:szCs w:val="17"/>
                <w:color w:val="auto"/>
              </w:rPr>
              <w:t>Other financial and non-financial assets</w:t>
            </w: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403</w:t>
            </w: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680" w:type="dxa"/>
            <w:vAlign w:val="bottom"/>
          </w:tcPr>
          <w:p>
            <w:pPr>
              <w:jc w:val="right"/>
              <w:ind w:right="175"/>
              <w:spacing w:after="0"/>
              <w:rPr>
                <w:sz w:val="20"/>
                <w:szCs w:val="20"/>
                <w:color w:val="auto"/>
              </w:rPr>
            </w:pPr>
            <w:r>
              <w:rPr>
                <w:rFonts w:ascii="Arial" w:cs="Arial" w:eastAsia="Arial" w:hAnsi="Arial"/>
                <w:sz w:val="17"/>
                <w:szCs w:val="17"/>
                <w:color w:val="auto"/>
              </w:rPr>
              <w:t>-65</w:t>
            </w:r>
          </w:p>
        </w:tc>
        <w:tc>
          <w:tcPr>
            <w:tcW w:w="1260" w:type="dxa"/>
            <w:vAlign w:val="bottom"/>
          </w:tcPr>
          <w:p>
            <w:pPr>
              <w:jc w:val="right"/>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Governing bodies of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Management Board consists of the following members:</w:t>
      </w:r>
    </w:p>
    <w:p>
      <w:pPr>
        <w:spacing w:after="0" w:line="118" w:lineRule="exact"/>
        <w:rPr>
          <w:sz w:val="20"/>
          <w:szCs w:val="20"/>
          <w:color w:val="auto"/>
        </w:rPr>
      </w:pPr>
    </w:p>
    <w:p>
      <w:pPr>
        <w:ind w:left="860" w:hanging="432"/>
        <w:spacing w:after="0"/>
        <w:tabs>
          <w:tab w:leader="none" w:pos="8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Bulent Altan, CEO, Master of Science in Aerospace, Playa Vista, California</w:t>
      </w:r>
    </w:p>
    <w:p>
      <w:pPr>
        <w:spacing w:after="0" w:line="129"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Stefan Berndt-von Bülow, CFO, graduate in business administration, Tutzing</w:t>
      </w:r>
    </w:p>
    <w:p>
      <w:pPr>
        <w:spacing w:after="0" w:line="129"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Joachim Horwath, CTO, Dipl.-Ing, Gilching (since February 17, 2021)</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The Supervisory Board consists of the following members:</w:t>
      </w:r>
    </w:p>
    <w:p>
      <w:pPr>
        <w:spacing w:after="0" w:line="118" w:lineRule="exact"/>
        <w:rPr>
          <w:sz w:val="20"/>
          <w:szCs w:val="20"/>
          <w:color w:val="auto"/>
        </w:rPr>
      </w:pPr>
    </w:p>
    <w:p>
      <w:pPr>
        <w:ind w:left="860" w:hanging="432"/>
        <w:spacing w:after="0"/>
        <w:tabs>
          <w:tab w:leader="none" w:pos="8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Dr. Manfred Krischke, Chairman, CEO of Cloudeo AG</w:t>
      </w:r>
    </w:p>
    <w:p>
      <w:pPr>
        <w:spacing w:after="0" w:line="129"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Peter Müller-Brühl, Deputy Chairman, COO of GreenCom Networks AG</w:t>
      </w:r>
    </w:p>
    <w:p>
      <w:pPr>
        <w:spacing w:after="0" w:line="129"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Steve Geskos, member of the Supervisory Board, Managing Director Rose Park Advisors</w:t>
      </w:r>
    </w:p>
    <w:p>
      <w:pPr>
        <w:spacing w:after="0" w:line="129"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Hans Königsmann, member of the Supervisory Board, Former vice president of flight reliability at SpaceX</w:t>
      </w:r>
    </w:p>
    <w:p>
      <w:pPr>
        <w:spacing w:after="0" w:line="129"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Vincent Wobbe, member of the Supervisory Board, Head of Public Markets Investments Apeiron Investment Group</w:t>
      </w:r>
    </w:p>
    <w:p>
      <w:pPr>
        <w:sectPr>
          <w:pgSz w:w="11900" w:h="16838" w:orient="portrait"/>
          <w:cols w:equalWidth="0" w:num="1">
            <w:col w:w="11020"/>
          </w:cols>
          <w:pgMar w:left="440" w:top="1440" w:right="4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868A9C"/>
        </w:rPr>
        <w:t>Page 30/33</w:t>
      </w:r>
    </w:p>
    <w:p>
      <w:pPr>
        <w:sectPr>
          <w:pgSz w:w="11900" w:h="16838" w:orient="portrait"/>
          <w:cols w:equalWidth="0" w:num="2">
            <w:col w:w="9560" w:space="720"/>
            <w:col w:w="740"/>
          </w:cols>
          <w:pgMar w:left="440" w:top="1440" w:right="439" w:bottom="1440" w:gutter="0" w:footer="0" w:header="0"/>
          <w:type w:val="continuous"/>
        </w:sectPr>
      </w:pPr>
    </w:p>
    <w:bookmarkStart w:id="35" w:name="page36"/>
    <w:bookmarkEnd w:id="35"/>
    <w:p>
      <w:pPr>
        <w:ind w:left="4" w:right="8120" w:hanging="4"/>
        <w:spacing w:after="0" w:line="358" w:lineRule="auto"/>
        <w:tabs>
          <w:tab w:leader="none" w:pos="30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 xml:space="preserve">Events after the reporting date </w:t>
      </w:r>
      <w:r>
        <w:rPr>
          <w:rFonts w:ascii="Arial" w:cs="Arial" w:eastAsia="Arial" w:hAnsi="Arial"/>
          <w:sz w:val="18"/>
          <w:szCs w:val="18"/>
          <w:b w:val="1"/>
          <w:bCs w:val="1"/>
          <w:i w:val="1"/>
          <w:iCs w:val="1"/>
          <w:color w:val="auto"/>
        </w:rPr>
        <w:t>L3Harris</w:t>
      </w:r>
    </w:p>
    <w:p>
      <w:pPr>
        <w:jc w:val="both"/>
        <w:ind w:left="4" w:right="20"/>
        <w:spacing w:after="0" w:line="283" w:lineRule="auto"/>
        <w:rPr>
          <w:sz w:val="20"/>
          <w:szCs w:val="20"/>
          <w:color w:val="auto"/>
        </w:rPr>
      </w:pPr>
      <w:r>
        <w:rPr>
          <w:rFonts w:ascii="Arial" w:cs="Arial" w:eastAsia="Arial" w:hAnsi="Arial"/>
          <w:sz w:val="17"/>
          <w:szCs w:val="17"/>
          <w:color w:val="auto"/>
        </w:rPr>
        <w:t xml:space="preserve">In July 2022, Harris Communications GmbH, a wholly owned subsidiary of L3Harris invested approximately </w:t>
      </w:r>
      <w:r>
        <w:rPr>
          <w:rFonts w:ascii="Times New Roman" w:cs="Times New Roman" w:eastAsia="Times New Roman" w:hAnsi="Times New Roman"/>
          <w:sz w:val="17"/>
          <w:szCs w:val="17"/>
          <w:color w:val="auto"/>
        </w:rPr>
        <w:t>€</w:t>
      </w:r>
      <w:r>
        <w:rPr>
          <w:rFonts w:ascii="Arial" w:cs="Arial" w:eastAsia="Arial" w:hAnsi="Arial"/>
          <w:sz w:val="17"/>
          <w:szCs w:val="17"/>
          <w:color w:val="auto"/>
        </w:rPr>
        <w:t>11.2 million by means of a capital increase from authorized capital in exchange for 409,294 new ordinary shares, which corresponds to 7.2% of the share capital of Mynaric AG.</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Due to this transaction the share capital increased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409,294.00 and the capital reserve by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10,792,059.50.</w:t>
      </w:r>
    </w:p>
    <w:p>
      <w:pPr>
        <w:spacing w:after="0" w:line="33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UNIO Enterprise GmbH</w:t>
      </w:r>
    </w:p>
    <w:p>
      <w:pPr>
        <w:spacing w:after="0" w:line="98"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In July 2022, Mynaric AG established together with Isar Aerospace Technologies GmbH, REFLEX aerospace GmbH, SES Astra Services Europe S.a.r.l. the UNIO Enterprise GmbH. The share capital amounted to EUR 25.000 and the shareholding is 25% for each shareholder.</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New member of the management board</w:t>
      </w:r>
    </w:p>
    <w:p>
      <w:pPr>
        <w:spacing w:after="0" w:line="98" w:lineRule="exact"/>
        <w:rPr>
          <w:sz w:val="20"/>
          <w:szCs w:val="20"/>
          <w:color w:val="auto"/>
        </w:rPr>
      </w:pPr>
    </w:p>
    <w:p>
      <w:pPr>
        <w:ind w:left="4"/>
        <w:spacing w:after="0"/>
        <w:rPr>
          <w:sz w:val="20"/>
          <w:szCs w:val="20"/>
          <w:color w:val="auto"/>
        </w:rPr>
      </w:pPr>
      <w:r>
        <w:rPr>
          <w:rFonts w:ascii="Arial" w:cs="Arial" w:eastAsia="Arial" w:hAnsi="Arial"/>
          <w:sz w:val="17"/>
          <w:szCs w:val="17"/>
          <w:color w:val="auto"/>
        </w:rPr>
        <w:t>Mustafa Veziroglu was appointed to the Management Board in August 2022.</w:t>
      </w:r>
    </w:p>
    <w:p>
      <w:pPr>
        <w:spacing w:after="0" w:line="3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Conditional capital</w:t>
      </w:r>
    </w:p>
    <w:p>
      <w:pPr>
        <w:spacing w:after="0" w:line="98"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On July 14, 2022, the Annual General Meeting resolved to create 2022/I Conditional Capital and an additional 2022/II Conditional Capital and to rescind the 2017 Conditional Capital and the 2021/I Conditional Capital.</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2022/I Conditional Capital</w:t>
      </w:r>
    </w:p>
    <w:p>
      <w:pPr>
        <w:spacing w:after="0" w:line="98"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7"/>
          <w:szCs w:val="17"/>
          <w:color w:val="auto"/>
        </w:rPr>
        <w:t xml:space="preserve">Based on an authorization of the Annual General Meeting on July 14, 2022, 2022/I Conditional Capital was created, which led to a contingent increase in the Company’s share capital by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917,501.00 through the issue of up to 917,501new shares.</w:t>
      </w:r>
    </w:p>
    <w:p>
      <w:pPr>
        <w:spacing w:after="0" w:line="65" w:lineRule="exact"/>
        <w:rPr>
          <w:sz w:val="20"/>
          <w:szCs w:val="20"/>
          <w:color w:val="auto"/>
        </w:rPr>
      </w:pPr>
    </w:p>
    <w:p>
      <w:pPr>
        <w:jc w:val="both"/>
        <w:ind w:left="4" w:right="20"/>
        <w:spacing w:after="0" w:line="249" w:lineRule="auto"/>
        <w:rPr>
          <w:sz w:val="20"/>
          <w:szCs w:val="20"/>
          <w:color w:val="auto"/>
        </w:rPr>
      </w:pPr>
      <w:r>
        <w:rPr>
          <w:rFonts w:ascii="Arial" w:cs="Arial" w:eastAsia="Arial" w:hAnsi="Arial"/>
          <w:sz w:val="17"/>
          <w:szCs w:val="17"/>
          <w:color w:val="auto"/>
        </w:rPr>
        <w:t xml:space="preserve">The Management Board is authorized, subject to the consent of the Supervisory Board, to issue on one or more occasions until July 13, 2027 convertible bonds and/or bonds with warrants issued to the bearer with a term of not more than 20 years, and to grant to the bondholders conversion and/or option rights to new shares of the Company with a pro rata amount in the share capital of up to a total of </w:t>
      </w:r>
      <w:r>
        <w:rPr>
          <w:rFonts w:ascii="Times New Roman" w:cs="Times New Roman" w:eastAsia="Times New Roman" w:hAnsi="Times New Roman"/>
          <w:sz w:val="17"/>
          <w:szCs w:val="17"/>
          <w:color w:val="auto"/>
        </w:rPr>
        <w:t>€</w:t>
      </w:r>
      <w:r>
        <w:rPr>
          <w:rFonts w:ascii="Arial" w:cs="Arial" w:eastAsia="Arial" w:hAnsi="Arial"/>
          <w:sz w:val="17"/>
          <w:szCs w:val="17"/>
          <w:color w:val="auto"/>
        </w:rPr>
        <w:t>917,501.00 pursuant to the terms and conditions of the convertible bonds and/or bonds with warrants.</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2022/II Conditional Capital</w:t>
      </w:r>
    </w:p>
    <w:p>
      <w:pPr>
        <w:spacing w:after="0" w:line="98"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7"/>
          <w:szCs w:val="17"/>
          <w:color w:val="auto"/>
        </w:rPr>
        <w:t xml:space="preserve">Based on an authorization of the Annual General Meeting on July 14, 2022, 2022/II Conditional Capital was created which led to a contingent increase in the Company’s share capital by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115,000.00 through the issue of up to 115,000 new no-par-value bearer or registered shares.</w:t>
      </w:r>
    </w:p>
    <w:p>
      <w:pPr>
        <w:spacing w:after="0" w:line="65"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7"/>
          <w:szCs w:val="17"/>
          <w:color w:val="auto"/>
        </w:rPr>
        <w:t>The Supervisory Board is authorized to grant stock option rights for shares to members of the Management Board of the Company on one or more occasions until July 14, 2027.</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Authorized Capital</w:t>
      </w:r>
    </w:p>
    <w:p>
      <w:pPr>
        <w:spacing w:after="0" w:line="100" w:lineRule="exact"/>
        <w:rPr>
          <w:sz w:val="20"/>
          <w:szCs w:val="20"/>
          <w:color w:val="auto"/>
        </w:rPr>
      </w:pPr>
    </w:p>
    <w:p>
      <w:pPr>
        <w:jc w:val="both"/>
        <w:ind w:left="4"/>
        <w:spacing w:after="0" w:line="267" w:lineRule="auto"/>
        <w:rPr>
          <w:sz w:val="20"/>
          <w:szCs w:val="20"/>
          <w:color w:val="auto"/>
        </w:rPr>
      </w:pPr>
      <w:r>
        <w:rPr>
          <w:rFonts w:ascii="Arial" w:cs="Arial" w:eastAsia="Arial" w:hAnsi="Arial"/>
          <w:sz w:val="17"/>
          <w:szCs w:val="17"/>
          <w:color w:val="auto"/>
        </w:rPr>
        <w:t>On July 14, 2022, the Annual General Meeting resolved to create 2022/I Authorized Capital and an additional 2022/II Authorized Capital and to rescind the Authorized Capital 2021/I.</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2022/I Authorized Capital</w:t>
      </w:r>
    </w:p>
    <w:p>
      <w:pPr>
        <w:spacing w:after="0" w:line="98" w:lineRule="exact"/>
        <w:rPr>
          <w:sz w:val="20"/>
          <w:szCs w:val="20"/>
          <w:color w:val="auto"/>
        </w:rPr>
      </w:pPr>
    </w:p>
    <w:p>
      <w:pPr>
        <w:jc w:val="both"/>
        <w:ind w:left="4"/>
        <w:spacing w:after="0" w:line="257" w:lineRule="auto"/>
        <w:rPr>
          <w:sz w:val="20"/>
          <w:szCs w:val="20"/>
          <w:color w:val="auto"/>
        </w:rPr>
      </w:pPr>
      <w:r>
        <w:rPr>
          <w:rFonts w:ascii="Arial" w:cs="Arial" w:eastAsia="Arial" w:hAnsi="Arial"/>
          <w:sz w:val="17"/>
          <w:szCs w:val="17"/>
          <w:color w:val="auto"/>
        </w:rPr>
        <w:t xml:space="preserve">The Management Board is authorized, subject to the consent of the Supervisory Board, to increase the Company’s share capital on one or more occasions until July 13, 2027, by up to a total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2,154,680.00 through the issue of up to 2,154,680 new no-par-value bearer or registered shares against cash contributions and/or contributions in kind.</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2022/II Authorized Capita</w:t>
      </w:r>
      <w:r>
        <w:rPr>
          <w:rFonts w:ascii="Arial" w:cs="Arial" w:eastAsia="Arial" w:hAnsi="Arial"/>
          <w:sz w:val="18"/>
          <w:szCs w:val="18"/>
          <w:i w:val="1"/>
          <w:iCs w:val="1"/>
          <w:color w:val="auto"/>
        </w:rPr>
        <w:t>l</w:t>
      </w:r>
    </w:p>
    <w:p>
      <w:pPr>
        <w:spacing w:after="0" w:line="98" w:lineRule="exact"/>
        <w:rPr>
          <w:sz w:val="20"/>
          <w:szCs w:val="20"/>
          <w:color w:val="auto"/>
        </w:rPr>
      </w:pPr>
    </w:p>
    <w:p>
      <w:pPr>
        <w:jc w:val="both"/>
        <w:ind w:left="4"/>
        <w:spacing w:after="0" w:line="266" w:lineRule="auto"/>
        <w:rPr>
          <w:sz w:val="20"/>
          <w:szCs w:val="20"/>
          <w:color w:val="auto"/>
        </w:rPr>
      </w:pPr>
      <w:r>
        <w:rPr>
          <w:rFonts w:ascii="Arial" w:cs="Arial" w:eastAsia="Arial" w:hAnsi="Arial"/>
          <w:sz w:val="17"/>
          <w:szCs w:val="17"/>
          <w:color w:val="auto"/>
        </w:rPr>
        <w:t xml:space="preserve">The Management Board is authorized, subject to the consent of the Supervisory Board, to increase the Company’s share capital on one or more occasions until July 13, 2027, by up to a total amount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262,147.00</w:t>
      </w:r>
    </w:p>
    <w:p>
      <w:pPr>
        <w:sectPr>
          <w:pgSz w:w="11900" w:h="16838" w:orient="portrait"/>
          <w:cols w:equalWidth="0" w:num="1">
            <w:col w:w="11024"/>
          </w:cols>
          <w:pgMar w:left="436" w:top="1363" w:right="4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4"/>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868A9C"/>
        </w:rPr>
        <w:t>Page 31/33</w:t>
      </w:r>
    </w:p>
    <w:p>
      <w:pPr>
        <w:sectPr>
          <w:pgSz w:w="11900" w:h="16838" w:orient="portrait"/>
          <w:cols w:equalWidth="0" w:num="2">
            <w:col w:w="9564" w:space="720"/>
            <w:col w:w="740"/>
          </w:cols>
          <w:pgMar w:left="436" w:top="1363" w:right="439" w:bottom="1440" w:gutter="0" w:footer="0" w:header="0"/>
          <w:type w:val="continuous"/>
        </w:sectPr>
      </w:pPr>
    </w:p>
    <w:bookmarkStart w:id="36" w:name="page37"/>
    <w:bookmarkEnd w:id="36"/>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through the issue of up to 262.147 new no-par-value bearer or registered shares against cash contributions and/or contributions in kind.</w:t>
      </w:r>
    </w:p>
    <w:p>
      <w:pPr>
        <w:spacing w:after="0" w:line="102"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Shareholders’ subscription rights are excluded. Authorized Capital 2022/II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Gilching, October 31, 2022</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The Management Board</w:t>
      </w:r>
    </w:p>
    <w:p>
      <w:pPr>
        <w:sectPr>
          <w:pgSz w:w="11900" w:h="16838" w:orient="portrait"/>
          <w:cols w:equalWidth="0" w:num="1">
            <w:col w:w="11020"/>
          </w:cols>
          <w:pgMar w:left="44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Bulent Altan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Stefan Berndt-von Bülow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Joachim Horwath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Mustafa Veziroglu</w:t>
      </w:r>
    </w:p>
    <w:p>
      <w:pPr>
        <w:spacing w:after="0" w:line="113" w:lineRule="exact"/>
        <w:rPr>
          <w:sz w:val="20"/>
          <w:szCs w:val="20"/>
          <w:color w:val="auto"/>
        </w:rPr>
      </w:pPr>
    </w:p>
    <w:p>
      <w:pPr>
        <w:sectPr>
          <w:pgSz w:w="11900" w:h="16838" w:orient="portrait"/>
          <w:cols w:equalWidth="0" w:num="4">
            <w:col w:w="3380" w:space="720"/>
            <w:col w:w="2080" w:space="720"/>
            <w:col w:w="1500" w:space="720"/>
            <w:col w:w="1900"/>
          </w:cols>
          <w:pgMar w:left="440" w:top="1440" w:right="439" w:bottom="1440" w:gutter="0" w:footer="0" w:header="0"/>
          <w:type w:val="continuous"/>
        </w:sectPr>
      </w:pPr>
    </w:p>
    <w:p>
      <w:pPr>
        <w:ind w:left="1680"/>
        <w:spacing w:after="0"/>
        <w:rPr>
          <w:sz w:val="20"/>
          <w:szCs w:val="20"/>
          <w:color w:val="auto"/>
        </w:rPr>
      </w:pP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w:t>
      </w:r>
    </w:p>
    <w:p>
      <w:pPr>
        <w:spacing w:after="0" w:line="155" w:lineRule="exact"/>
        <w:rPr>
          <w:sz w:val="20"/>
          <w:szCs w:val="20"/>
          <w:color w:val="auto"/>
        </w:rPr>
      </w:pPr>
    </w:p>
    <w:p>
      <w:pPr>
        <w:sectPr>
          <w:pgSz w:w="11900" w:h="16838" w:orient="portrait"/>
          <w:cols w:equalWidth="0" w:num="4">
            <w:col w:w="4160" w:space="720"/>
            <w:col w:w="1800" w:space="720"/>
            <w:col w:w="1300" w:space="720"/>
            <w:col w:w="1600"/>
          </w:cols>
          <w:pgMar w:left="440" w:top="1440" w:right="439" w:bottom="1440" w:gutter="0" w:footer="0" w:header="0"/>
          <w:type w:val="continuous"/>
        </w:sect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868A9C"/>
        </w:rPr>
        <w:t>Page 32/33</w:t>
      </w:r>
    </w:p>
    <w:p>
      <w:pPr>
        <w:sectPr>
          <w:pgSz w:w="11900" w:h="16838" w:orient="portrait"/>
          <w:cols w:equalWidth="0" w:num="2">
            <w:col w:w="9560" w:space="720"/>
            <w:col w:w="740"/>
          </w:cols>
          <w:pgMar w:left="440" w:top="1440" w:right="439" w:bottom="1440" w:gutter="0" w:footer="0" w:header="0"/>
          <w:type w:val="continuous"/>
        </w:sectPr>
      </w:pPr>
    </w:p>
    <w:bookmarkStart w:id="37" w:name="page38"/>
    <w:bookmarkEnd w:id="37"/>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69405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auto"/>
        </w:rPr>
        <w:t>6. Responsibility Statement</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Responsibility statement by the company’s legal representatives</w:t>
      </w:r>
    </w:p>
    <w:p>
      <w:pPr>
        <w:spacing w:after="0" w:line="200" w:lineRule="exact"/>
        <w:rPr>
          <w:sz w:val="20"/>
          <w:szCs w:val="20"/>
          <w:color w:val="auto"/>
        </w:rPr>
      </w:pPr>
    </w:p>
    <w:p>
      <w:pPr>
        <w:spacing w:after="0" w:line="226"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“To the best of our knowledge, and in accordance with the applicable accounting principles for interim financial reporting, the Interim Group Financial Statements give a true and fair view of the net assets, financial position and results of operations of the Group, and the Interim Group Management Report includes a true and fair review of the development and performance of the business and the position of the Group, together with a description of the principal opportunities and risks associated with the expected development of the Group for the remaining months of the financial year.”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Gilching, October 31, 2022</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The Management Board</w:t>
      </w:r>
    </w:p>
    <w:p>
      <w:pPr>
        <w:sectPr>
          <w:pgSz w:w="11900" w:h="16838" w:orient="portrait"/>
          <w:cols w:equalWidth="0" w:num="1">
            <w:col w:w="11020"/>
          </w:cols>
          <w:pgMar w:left="44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Bulent Altan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Stefan Berndt-von Bülow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Joachim Horwath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Mustafa Veziroglu</w:t>
      </w:r>
    </w:p>
    <w:p>
      <w:pPr>
        <w:spacing w:after="0" w:line="113" w:lineRule="exact"/>
        <w:rPr>
          <w:sz w:val="20"/>
          <w:szCs w:val="20"/>
          <w:color w:val="auto"/>
        </w:rPr>
      </w:pPr>
    </w:p>
    <w:p>
      <w:pPr>
        <w:sectPr>
          <w:pgSz w:w="11900" w:h="16838" w:orient="portrait"/>
          <w:cols w:equalWidth="0" w:num="4">
            <w:col w:w="3380" w:space="720"/>
            <w:col w:w="2080" w:space="720"/>
            <w:col w:w="1500" w:space="720"/>
            <w:col w:w="1900"/>
          </w:cols>
          <w:pgMar w:left="440" w:top="1440" w:right="439" w:bottom="1440" w:gutter="0" w:footer="0" w:header="0"/>
          <w:type w:val="continuous"/>
        </w:sectPr>
      </w:pPr>
    </w:p>
    <w:p>
      <w:pPr>
        <w:ind w:left="1680"/>
        <w:spacing w:after="0"/>
        <w:rPr>
          <w:sz w:val="20"/>
          <w:szCs w:val="20"/>
          <w:color w:val="auto"/>
        </w:rPr>
      </w:pP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w:t>
      </w:r>
    </w:p>
    <w:p>
      <w:pPr>
        <w:spacing w:after="0" w:line="155" w:lineRule="exact"/>
        <w:rPr>
          <w:sz w:val="20"/>
          <w:szCs w:val="20"/>
          <w:color w:val="auto"/>
        </w:rPr>
      </w:pPr>
    </w:p>
    <w:p>
      <w:pPr>
        <w:sectPr>
          <w:pgSz w:w="11900" w:h="16838" w:orient="portrait"/>
          <w:cols w:equalWidth="0" w:num="4">
            <w:col w:w="4160" w:space="720"/>
            <w:col w:w="1800" w:space="720"/>
            <w:col w:w="1300" w:space="720"/>
            <w:col w:w="1600"/>
          </w:cols>
          <w:pgMar w:left="440" w:top="1440" w:right="439" w:bottom="1440" w:gutter="0" w:footer="0" w:header="0"/>
          <w:type w:val="continuous"/>
        </w:sectPr>
      </w:pPr>
    </w:p>
    <w:p>
      <w:pPr>
        <w:spacing w:after="0"/>
        <w:rPr>
          <w:sz w:val="20"/>
          <w:szCs w:val="20"/>
          <w:color w:val="auto"/>
        </w:rPr>
      </w:pPr>
      <w:r>
        <w:rPr>
          <w:rFonts w:ascii="Arial" w:cs="Arial" w:eastAsia="Arial" w:hAnsi="Arial"/>
          <w:sz w:val="14"/>
          <w:szCs w:val="14"/>
          <w:color w:val="868A9C"/>
        </w:rPr>
        <w:t>H1 2022 Half Year Report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868A9C"/>
        </w:rPr>
        <w:t>Mynaric (NASDAQ: MYNA)(FRA: M0YN)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68A9C"/>
        </w:rPr>
        <w:t>www.mynaric.com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868A9C"/>
        </w:rPr>
        <w:t>Page 33/33</w:t>
      </w:r>
    </w:p>
    <w:sectPr>
      <w:pgSz w:w="11900" w:h="16838" w:orient="portrait"/>
      <w:cols w:equalWidth="0" w:num="2">
        <w:col w:w="9560" w:space="720"/>
        <w:col w:w="740"/>
      </w:cols>
      <w:pgMar w:left="440" w:top="144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3"/>
      <w:numFmt w:val="bullet"/>
      <w:start w:val="1"/>
    </w:lvl>
  </w:abstractNum>
  <w:abstractNum w:abstractNumId="2">
    <w:nsid w:val="3352255A"/>
    <w:multiLevelType w:val="hybridMultilevel"/>
    <w:lvl w:ilvl="0">
      <w:lvlJc w:val="left"/>
      <w:lvlText w:val="8"/>
      <w:numFmt w:val="bullet"/>
      <w:start w:val="1"/>
    </w:lvl>
  </w:abstractNum>
  <w:abstractNum w:abstractNumId="3">
    <w:nsid w:val="109CF92E"/>
    <w:multiLevelType w:val="hybridMultilevel"/>
    <w:lvl w:ilvl="0">
      <w:lvlJc w:val="left"/>
      <w:lvlText w:val="9"/>
      <w:numFmt w:val="bullet"/>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13"/>
    </w:lvl>
  </w:abstractNum>
  <w:abstractNum w:abstractNumId="6">
    <w:nsid w:val="1BEFD79F"/>
    <w:multiLevelType w:val="hybridMultilevel"/>
    <w:lvl w:ilvl="0">
      <w:lvlJc w:val="left"/>
      <w:lvlText w:val="%1"/>
      <w:numFmt w:val="decimal"/>
      <w:start w:val="17"/>
    </w:lvl>
  </w:abstractNum>
  <w:abstractNum w:abstractNumId="7">
    <w:nsid w:val="41A7C4C9"/>
    <w:multiLevelType w:val="hybridMultilevel"/>
    <w:lvl w:ilvl="0">
      <w:lvlJc w:val="left"/>
      <w:lvlText w:val="%1"/>
      <w:numFmt w:val="decimal"/>
      <w:start w:val="18"/>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decimal"/>
      <w:start w:val="8"/>
    </w:lvl>
    <w:lvl w:ilvl="1">
      <w:lvlJc w:val="left"/>
      <w:lvlText w:val="%2)"/>
      <w:numFmt w:val="lowerLetter"/>
      <w:start w:val="1"/>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2"/>
    </w:lvl>
  </w:abstractNum>
  <w:abstractNum w:abstractNumId="16">
    <w:nsid w:val="62BBD95A"/>
    <w:multiLevelType w:val="hybridMultilevel"/>
    <w:lvl w:ilvl="0">
      <w:lvlJc w:val="left"/>
      <w:lvlText w:val="%1."/>
      <w:numFmt w:val="decimal"/>
      <w:start w:val="13"/>
    </w:lvl>
  </w:abstractNum>
  <w:abstractNum w:abstractNumId="17">
    <w:nsid w:val="436C6125"/>
    <w:multiLevelType w:val="hybridMultilevel"/>
    <w:lvl w:ilvl="0">
      <w:lvlJc w:val="left"/>
      <w:lvlText w:val="%1."/>
      <w:numFmt w:val="decimal"/>
      <w:start w:val="14"/>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2022-10-31T15:46:50Z</dcterms:created>
  <dcterms:modified xsi:type="dcterms:W3CDTF">2022-10-31T15:46:50Z</dcterms:modified>
</cp:coreProperties>
</file>