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April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tabs>
          <w:tab w:leader="none" w:pos="960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April 27, 2023,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00" w:type="dxa"/>
            <w:vAlign w:val="bottom"/>
            <w:gridSpan w:val="2"/>
          </w:tcPr>
          <w:p>
            <w:pPr>
              <w:jc w:val="center"/>
              <w:ind w:right="282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190"/>
        </w:trPr>
        <w:tc>
          <w:tcPr>
            <w:tcW w:w="1220" w:type="dxa"/>
            <w:vAlign w:val="bottom"/>
            <w:gridSpan w:val="3"/>
          </w:tcPr>
          <w:p>
            <w:pPr>
              <w:spacing w:after="0" w:line="190" w:lineRule="exact"/>
              <w:rPr>
                <w:sz w:val="20"/>
                <w:szCs w:val="20"/>
                <w:color w:val="auto"/>
              </w:rPr>
            </w:pPr>
            <w:r>
              <w:rPr>
                <w:rFonts w:ascii="Arial" w:cs="Arial" w:eastAsia="Arial" w:hAnsi="Arial"/>
                <w:sz w:val="18"/>
                <w:szCs w:val="18"/>
                <w:color w:val="auto"/>
              </w:rPr>
              <w:t>Exhibit</w:t>
            </w:r>
          </w:p>
        </w:tc>
        <w:tc>
          <w:tcPr>
            <w:tcW w:w="10020" w:type="dxa"/>
            <w:vAlign w:val="bottom"/>
            <w:gridSpan w:val="3"/>
          </w:tcPr>
          <w:p>
            <w:pPr>
              <w:spacing w:after="0" w:line="190" w:lineRule="exact"/>
              <w:rPr>
                <w:sz w:val="20"/>
                <w:szCs w:val="20"/>
                <w:color w:val="auto"/>
              </w:rPr>
            </w:pPr>
            <w:r>
              <w:rPr>
                <w:rFonts w:ascii="Arial" w:cs="Arial" w:eastAsia="Arial" w:hAnsi="Arial"/>
                <w:sz w:val="18"/>
                <w:szCs w:val="18"/>
                <w:color w:val="auto"/>
              </w:rPr>
              <w:t>Description of Exhibit</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6"/>
        </w:trPr>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680" w:type="dxa"/>
            <w:vAlign w:val="bottom"/>
            <w:shd w:val="clear" w:color="auto" w:fill="CCEEFF"/>
          </w:tcPr>
          <w:p>
            <w:pPr>
              <w:spacing w:after="0"/>
              <w:rPr>
                <w:sz w:val="17"/>
                <w:szCs w:val="17"/>
                <w:color w:val="auto"/>
              </w:rPr>
            </w:pPr>
          </w:p>
        </w:tc>
        <w:tc>
          <w:tcPr>
            <w:tcW w:w="100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Mynaric Announces Preliminary Unaudited Full-Year 2022 Results</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3</w:t>
            </w:r>
          </w:p>
        </w:tc>
        <w:tc>
          <w:tcPr>
            <w:tcW w:w="516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854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Name: Stefan Berndt-von Bülow</w:t>
      </w:r>
    </w:p>
    <w:p>
      <w:pPr>
        <w:spacing w:after="0" w:line="23" w:lineRule="exact"/>
        <w:rPr>
          <w:sz w:val="24"/>
          <w:szCs w:val="24"/>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By  /s/ Sven Meyer-Brunswick</w:t>
      </w:r>
    </w:p>
    <w:p>
      <w:pPr>
        <w:spacing w:after="0" w:line="23"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Name: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3434080</wp:posOffset>
            </wp:positionH>
            <wp:positionV relativeFrom="paragraph">
              <wp:posOffset>-130810</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4"/>
          <w:szCs w:val="24"/>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April 27, 2023</w:t>
      </w:r>
    </w:p>
    <w:p>
      <w:pPr>
        <w:sectPr>
          <w:pgSz w:w="11900" w:h="16838" w:orient="portrait"/>
          <w:cols w:equalWidth="0" w:num="1">
            <w:col w:w="11240"/>
          </w:cols>
          <w:pgMar w:left="320" w:top="666" w:right="339" w:bottom="79"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auto"/>
        </w:rPr>
        <w:t>Mynaric Announces Preliminary Unaudited Full-Year 2022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traction on key performance indicators as company prepares for serial production and shipments to key customers in 2H23</w:t>
      </w:r>
    </w:p>
    <w:p>
      <w:pPr>
        <w:spacing w:after="0" w:line="221" w:lineRule="exact"/>
        <w:rPr>
          <w:sz w:val="20"/>
          <w:szCs w:val="20"/>
          <w:color w:val="auto"/>
        </w:rPr>
      </w:pPr>
    </w:p>
    <w:p>
      <w:pPr>
        <w:ind w:right="780"/>
        <w:spacing w:after="0" w:line="312" w:lineRule="auto"/>
        <w:rPr>
          <w:sz w:val="20"/>
          <w:szCs w:val="20"/>
          <w:color w:val="auto"/>
        </w:rPr>
      </w:pPr>
      <w:r>
        <w:rPr>
          <w:rFonts w:ascii="Arial" w:cs="Arial" w:eastAsia="Arial" w:hAnsi="Arial"/>
          <w:sz w:val="17"/>
          <w:szCs w:val="17"/>
          <w:b w:val="1"/>
          <w:bCs w:val="1"/>
          <w:color w:val="auto"/>
        </w:rPr>
        <w:t xml:space="preserve">MUNICH, April 27, 2023 – </w:t>
      </w:r>
      <w:r>
        <w:rPr>
          <w:rFonts w:ascii="Arial" w:cs="Arial" w:eastAsia="Arial" w:hAnsi="Arial"/>
          <w:sz w:val="17"/>
          <w:szCs w:val="17"/>
          <w:color w:val="auto"/>
        </w:rPr>
        <w:t>Mynaric (NASDAQ: MYNA) (FRA: M0YN), a leading provider of industrialized, cost-effective and scalable laser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products, today announces preliminary unaudited results for the fiscal year ending December 31, 2022.</w:t>
      </w:r>
    </w:p>
    <w:p>
      <w:pPr>
        <w:spacing w:after="0" w:line="14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“Mynaric finished 2022 with a solid terminal order backlog and is well positioned to capitalize on the significant opportunity ahead of us as the adoption of laser communications accelerates in both the space and airborne domains,” said Bulent Altan and Mustafa Veziroglu, Co-CEOs of Mynaric. “2023 will be a defining year for Mynaric as we further focus on scaling up our production of optical communications terminals and new business growth opportunities.”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2022 and 2023 Highlights</w:t>
      </w:r>
    </w:p>
    <w:p>
      <w:pPr>
        <w:spacing w:after="0" w:line="229" w:lineRule="exact"/>
        <w:rPr>
          <w:sz w:val="20"/>
          <w:szCs w:val="20"/>
          <w:color w:val="auto"/>
        </w:rPr>
      </w:pPr>
    </w:p>
    <w:p>
      <w:pPr>
        <w:ind w:left="920" w:right="360" w:hanging="467"/>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Optical Communications Terminal Backlog at December 31, 2022 of 256 units (40 units as of December 31, 2021) and 348 as of April 27, 2023</w:t>
      </w:r>
    </w:p>
    <w:p>
      <w:pPr>
        <w:spacing w:after="0" w:line="170" w:lineRule="exact"/>
        <w:rPr>
          <w:rFonts w:ascii="Arial" w:cs="Arial" w:eastAsia="Arial" w:hAnsi="Arial"/>
          <w:sz w:val="18"/>
          <w:szCs w:val="18"/>
          <w:color w:val="auto"/>
        </w:rPr>
      </w:pPr>
    </w:p>
    <w:p>
      <w:pPr>
        <w:ind w:left="920" w:right="440" w:hanging="467"/>
        <w:spacing w:after="0" w:line="308" w:lineRule="auto"/>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Cash-in from Customer Contracts of EUR 18.3 million in 2022 (EUR 3.9 million as of 2021) exclusive of approximately EUR 11 million invoiced in December 2022 and received in January 2023. EUR 18.8 million received in 2023 to date as of April 27, 2023</w:t>
      </w:r>
    </w:p>
    <w:p>
      <w:pPr>
        <w:spacing w:after="0" w:line="146" w:lineRule="exact"/>
        <w:rPr>
          <w:rFonts w:ascii="Arial" w:cs="Arial" w:eastAsia="Arial" w:hAnsi="Arial"/>
          <w:sz w:val="17"/>
          <w:szCs w:val="17"/>
          <w:color w:val="auto"/>
        </w:rPr>
      </w:pPr>
    </w:p>
    <w:p>
      <w:pPr>
        <w:ind w:left="920" w:right="200" w:hanging="467"/>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Multiple wins with Northrop Grumman for CONDOR Mk3 terminals, key contract with DARPA and a contract with commercial U.S.-based energy customer for HAWK terminals all signed in 2022</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L3Harris strategic partnership agreement and equity ownership stake</w:t>
      </w:r>
    </w:p>
    <w:p>
      <w:pPr>
        <w:spacing w:after="0" w:line="225" w:lineRule="exact"/>
        <w:rPr>
          <w:rFonts w:ascii="Arial" w:cs="Arial" w:eastAsia="Arial" w:hAnsi="Arial"/>
          <w:sz w:val="18"/>
          <w:szCs w:val="18"/>
          <w:color w:val="auto"/>
        </w:rPr>
      </w:pPr>
    </w:p>
    <w:p>
      <w:pPr>
        <w:ind w:left="920" w:right="240" w:hanging="467"/>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Subsequent wins with an unnamed U.S.-based customer for CONDOR Mk3 Terminals, Japan-based WARPSPACE and selected by German government for multiple projects to develop quantum communication capabilities</w:t>
      </w:r>
    </w:p>
    <w:p>
      <w:pPr>
        <w:spacing w:after="0" w:line="170" w:lineRule="exact"/>
        <w:rPr>
          <w:rFonts w:ascii="Arial" w:cs="Arial" w:eastAsia="Arial" w:hAnsi="Arial"/>
          <w:sz w:val="18"/>
          <w:szCs w:val="18"/>
          <w:color w:val="auto"/>
        </w:rPr>
      </w:pPr>
    </w:p>
    <w:p>
      <w:pPr>
        <w:ind w:left="920" w:right="580" w:hanging="467"/>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Raised EUR 80.6 million growth capital in April 2023 via a $75 million 5-year term loan debt and equity issuance to U.S.-based global investment management firm</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recent closing of our new credit facility and equity investment, we have the capital needed to support our near-to-medium term delivery commitments and we are well-positioned to capitalize on the long-term opportunity for laser communications we see ahead of us” said Stefan Berndt von-Bülow, CFO of Mynaric.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Mynaric is providing the following key performance indicators outlook for 2023:</w:t>
      </w:r>
    </w:p>
    <w:p>
      <w:pPr>
        <w:spacing w:after="0" w:line="225" w:lineRule="exact"/>
        <w:rPr>
          <w:sz w:val="20"/>
          <w:szCs w:val="20"/>
          <w:color w:val="auto"/>
        </w:rPr>
      </w:pPr>
    </w:p>
    <w:p>
      <w:pPr>
        <w:ind w:left="920" w:hanging="467"/>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increase in Optical Communications Terminal Backlog compared to 2022 year-end level</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increase in Cash-in from Customer Contracts compared to 2022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details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Mynaric has scheduled a webcast to discuss its preliminary unaudited full-year 2022 financial results to be held today, Thursday, April 27, 2023, at 12:00 p.m. Eastern Daylight Time (6:00 p.m. Central European Summer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conference call and webcast will include a presentation of these results along with a Q&amp;A session with Mynaric executives including Co-CEOs, Bulent Altan and Mustafa Veziroglu, and CFO, Stefan Berndt-von Bülow.</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Interested parties may listen to the webcast on the Investor Relations section of mynaric.com by pre-registering at the following registration link: </w:t>
      </w:r>
      <w:r>
        <w:rPr>
          <w:rFonts w:ascii="Arial" w:cs="Arial" w:eastAsia="Arial" w:hAnsi="Arial"/>
          <w:sz w:val="18"/>
          <w:szCs w:val="18"/>
          <w:u w:val="single" w:color="auto"/>
          <w:color w:val="auto"/>
        </w:rPr>
        <w:t>Mynaric</w:t>
      </w:r>
      <w:r>
        <w:rPr>
          <w:rFonts w:ascii="Arial" w:cs="Arial" w:eastAsia="Arial" w:hAnsi="Arial"/>
          <w:sz w:val="18"/>
          <w:szCs w:val="18"/>
          <w:color w:val="auto"/>
        </w:rPr>
        <w:t xml:space="preserve"> </w:t>
      </w:r>
      <w:r>
        <w:rPr>
          <w:rFonts w:ascii="Arial" w:cs="Arial" w:eastAsia="Arial" w:hAnsi="Arial"/>
          <w:sz w:val="18"/>
          <w:szCs w:val="18"/>
          <w:u w:val="single" w:color="auto"/>
          <w:color w:val="auto"/>
        </w:rPr>
        <w:t>FY2022 Earnings Webcast Registration</w:t>
      </w:r>
      <w:r>
        <w:rPr>
          <w:rFonts w:ascii="Arial" w:cs="Arial" w:eastAsia="Arial" w:hAnsi="Arial"/>
          <w:sz w:val="18"/>
          <w:szCs w:val="18"/>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archived version of the webcast along with corresponding slides will be available on the Investor Relations section of mynaric.com.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241"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2023-04-27T13:39:29Z</dcterms:created>
  <dcterms:modified xsi:type="dcterms:W3CDTF">2023-04-27T13:39:29Z</dcterms:modified>
</cp:coreProperties>
</file>