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ind w:right="-7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1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36195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Bertha-Kipfmüller Straße 2-8</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81249 München</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+49 (0) 89 5589 4280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October 8, 2024, Mynaric AG issued a corporate news. A copy of the corporate news is furnished as Exhibit 99.1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1633220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89"/>
        </w:trPr>
        <w:tc>
          <w:tcPr>
            <w:tcW w:w="9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NASDAQ Deficiency Letter</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0000FF"/>
            </w:tcBorders>
            <w:shd w:val="clear" w:color="auto" w:fill="CCEEFF"/>
          </w:tcPr>
          <w:p>
            <w:pPr>
              <w:spacing w:after="0"/>
              <w:rPr>
                <w:sz w:val="2"/>
                <w:szCs w:val="2"/>
                <w:color w:val="auto"/>
              </w:rPr>
            </w:pPr>
          </w:p>
        </w:tc>
        <w:tc>
          <w:tcPr>
            <w:tcW w:w="806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Joachim Horwath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Joachim Horwath</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Technology Officer</w:t>
      </w:r>
    </w:p>
    <w:p>
      <w:pPr>
        <w:spacing w:after="0" w:line="27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Andreas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Name:</w:t>
        <w:tab/>
        <w:t>Andreas Reif</w:t>
      </w:r>
    </w:p>
    <w:p>
      <w:pPr>
        <w:spacing w:after="0" w:line="36" w:lineRule="exact"/>
        <w:rPr>
          <w:sz w:val="20"/>
          <w:szCs w:val="20"/>
          <w:color w:val="auto"/>
        </w:rPr>
      </w:pPr>
    </w:p>
    <w:p>
      <w:pPr>
        <w:ind w:left="59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Restructuring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Mynaric Announces Receipt of Deficiency Letter from Nasdaq</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MUNICH, October 8, 2024 – Mynaric (NASDAQ: MYNA) (FRA: M0YN), a leading provider of industrialized, cost-effective and scalable laser communications products, today announced that it received a notification letter dated October 2, 2024 (the “Deficiency Letter”) from the Listing Qualifications Department of The Nasdaq Stock Market Inc. (the “Nasdaq”) notifying that Mynaric is no longer in compliance with the Nasdaq continued listing criteria, including the Nasdaq Listing Rule 5450(b)(2)(A) due to its failure to maintain a minimum of $50 million in market value of listed securities (the “MVLS Requirement”). Nasdaq also determined that Mynaric does not meet the alternatives of total assets and total revenue for continued listing.</w:t>
      </w:r>
    </w:p>
    <w:p>
      <w:pPr>
        <w:spacing w:after="0" w:line="7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Deficiency Letter has no immediate effect on the listing of Mynaric’s American Depositary Shares representing its ordinary shares (the “ADS”), which continue to trade under the symbol “MYNA.”</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Deficiency Letter provided that, in accordance with Nasdaq Listing Rule 5810(c)(3)(C), Mynaric has a period of 180 calendar days from the date of the Deficiency Letter, or until March 31, 2025, to regain compliance with the MVLS Requirement. During this period, the ADS will continue to trade on Nasdaq. Nasdaq will deem Mynaric to have regained compliance with the MVLS Requirement if at any time during this compliance period Mynaric’s MVLS closes at $50,000,000 or more for a minimum of ten consecutive business days.</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Mynaric does not regain compliance with the MVLS Requirement by March 31, 2025, Mynaric will receive written notification from Nasdaq that Mynaric’s ADS are subject to delisting. At that time, Mynaric may appeal the relevant delisting determination to a hearings panel pursuant to the procedures set forth in the applicable Nasdaq Listing Rules. However, there can be no assurance, if Mynaric does appeal the delisting determination by Nasdaq to the hearings panel, that such appeal would be successful. In such event, Mynaric may also seek to apply for a transfer to The Nasdaq Capital Market if it meets the requirements for continued listing thereon.</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Mynaric is reviewing its options for regaining compliance with the MVLS Requirement and for remedying other future potential non-compliances with Nasdaq continued listing requirements. There can be no assurance that Mynaric will be able to regain compliance with the MVLS Requirement or other Nasdaq continued listing requirements in a timely fashion, in which case its securities would be delisted from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Mynaric</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visit mynaric.com.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“predict,” “project,” “should,” “target” “will,” “would” and/or the negative of these terms or other similar expressions that are intended to identify forward-looking statements.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w:t>
      </w:r>
    </w:p>
    <w:p>
      <w:pPr>
        <w:spacing w:after="0" w:line="11" w:lineRule="exact"/>
        <w:rPr>
          <w:sz w:val="20"/>
          <w:szCs w:val="20"/>
          <w:color w:val="auto"/>
        </w:rPr>
      </w:pPr>
    </w:p>
    <w:p>
      <w:pPr>
        <w:jc w:val="both"/>
        <w:ind w:firstLine="8"/>
        <w:spacing w:after="0"/>
        <w:tabs>
          <w:tab w:leader="none" w:pos="344"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2024-10-08T07:20:49Z</dcterms:created>
  <dcterms:modified xsi:type="dcterms:W3CDTF">2024-10-08T07:20:49Z</dcterms:modified>
</cp:coreProperties>
</file>