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left="1020" w:right="228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JULY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Mynaric AG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Dornierstraße 19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+49 (0) 8105 79990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Form 20-F or Form 40-F: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189865</wp:posOffset>
            </wp:positionV>
            <wp:extent cx="69951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233045</wp:posOffset>
            </wp:positionV>
            <wp:extent cx="699516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440"/>
          </w:cols>
          <w:pgMar w:left="440" w:top="376" w:right="1019" w:bottom="1440" w:gutter="0" w:footer="0" w:header="0"/>
        </w:sectPr>
      </w:pPr>
    </w:p>
    <w:bookmarkStart w:id="1" w:name="page2"/>
    <w:bookmarkEnd w:id="1"/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DOCUMENTS INCLUDED AS PART OF THIS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Report on Form 6-K is being furnished by Mynaric AG (the “Company”) to the Securities and Exchange Commission for the sole purpose of furnishing, as Exhibit 99.1 to this Form 6-K,the translation of the voting results of its annual shareholders meeting held on July 14, 2022.</w:t>
      </w:r>
    </w:p>
    <w:p>
      <w:pPr>
        <w:sectPr>
          <w:pgSz w:w="11900" w:h="16838" w:orient="portrait"/>
          <w:cols w:equalWidth="0" w:num="1">
            <w:col w:w="10520"/>
          </w:cols>
          <w:pgMar w:left="440" w:top="266" w:right="93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DOCUMENTS INCLUDED AS PART OF THIS FORM 6-K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Description of Exhibit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840" w:hanging="849"/>
        <w:spacing w:after="0" w:line="282" w:lineRule="auto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On July 14, 2022, Mynaric AG held its annual shareholders meeting. An English translation of the voting results is furnished as Exhibit 99.1 hereto.</w:t>
      </w:r>
    </w:p>
    <w:p>
      <w:pPr>
        <w:sectPr>
          <w:pgSz w:w="11900" w:h="16838" w:orient="portrait"/>
          <w:cols w:equalWidth="0" w:num="1">
            <w:col w:w="10980"/>
          </w:cols>
          <w:pgMar w:left="440" w:top="266" w:right="479" w:bottom="1440" w:gutter="0" w:footer="0" w:header="0"/>
        </w:sectPr>
      </w:pPr>
    </w:p>
    <w:bookmarkStart w:id="3" w:name="page4"/>
    <w:bookmarkEnd w:id="3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 /s/ Stefan Berndt-von Bülow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4369435</wp:posOffset>
            </wp:positionH>
            <wp:positionV relativeFrom="paragraph">
              <wp:posOffset>17145</wp:posOffset>
            </wp:positionV>
            <wp:extent cx="262318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Stefan Berndt-von Bülow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 /s/ Sven Meyer-Brunswick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4369435</wp:posOffset>
            </wp:positionH>
            <wp:positionV relativeFrom="paragraph">
              <wp:posOffset>17145</wp:posOffset>
            </wp:positionV>
            <wp:extent cx="262318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Sven Meyer-Brunswick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Authorized Representative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July 14, 2022</w:t>
      </w:r>
    </w:p>
    <w:p>
      <w:pPr>
        <w:sectPr>
          <w:pgSz w:w="11900" w:h="16838" w:orient="portrait"/>
          <w:cols w:equalWidth="0" w:num="1">
            <w:col w:w="10700"/>
          </w:cols>
          <w:pgMar w:left="440" w:top="266" w:right="759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Annual General Meeting of Mynaric AG of July 14, 2022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Declared Voting Results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Valid Votes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In % of the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Votes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In % of the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Votes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In % of the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Cast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40" w:type="dxa"/>
            <w:vAlign w:val="bottom"/>
            <w:vMerge w:val="restart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Agenda item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8"/>
              </w:rPr>
              <w:t>(for/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Share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For the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Share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Against the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Share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Decision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against)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Capital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Resolution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Capital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Resolution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Capital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1"/>
              </w:rPr>
              <w:t>2</w:t>
            </w:r>
          </w:p>
        </w:tc>
        <w:tc>
          <w:tcPr>
            <w:tcW w:w="140" w:type="dxa"/>
            <w:vAlign w:val="bottom"/>
            <w:vMerge w:val="restart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CCEEFF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CCEEFF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Resolution on the discharge of the members of the Management</w:t>
            </w:r>
          </w:p>
        </w:tc>
        <w:tc>
          <w:tcPr>
            <w:tcW w:w="2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1,252,639</w:t>
            </w:r>
          </w:p>
        </w:tc>
        <w:tc>
          <w:tcPr>
            <w:tcW w:w="240" w:type="dxa"/>
            <w:vAlign w:val="bottom"/>
            <w:vMerge w:val="restart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22.16</w:t>
            </w:r>
          </w:p>
        </w:tc>
        <w:tc>
          <w:tcPr>
            <w:tcW w:w="240" w:type="dxa"/>
            <w:vAlign w:val="bottom"/>
            <w:vMerge w:val="restart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  <w:shd w:val="clear" w:color="auto" w:fill="CCEEFF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1,068,119</w:t>
            </w:r>
          </w:p>
        </w:tc>
        <w:tc>
          <w:tcPr>
            <w:tcW w:w="1060" w:type="dxa"/>
            <w:vAlign w:val="bottom"/>
            <w:gridSpan w:val="2"/>
            <w:vMerge w:val="restart"/>
            <w:shd w:val="clear" w:color="auto" w:fill="CCEEFF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85.27%</w:t>
            </w:r>
          </w:p>
        </w:tc>
        <w:tc>
          <w:tcPr>
            <w:tcW w:w="940" w:type="dxa"/>
            <w:vAlign w:val="bottom"/>
            <w:gridSpan w:val="2"/>
            <w:vMerge w:val="restart"/>
            <w:shd w:val="clear" w:color="auto" w:fill="CCEEFF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184,520</w:t>
            </w:r>
          </w:p>
        </w:tc>
        <w:tc>
          <w:tcPr>
            <w:tcW w:w="940" w:type="dxa"/>
            <w:vAlign w:val="bottom"/>
            <w:gridSpan w:val="2"/>
            <w:vMerge w:val="restart"/>
            <w:shd w:val="clear" w:color="auto" w:fill="CCEEFF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14.73</w:t>
            </w:r>
          </w:p>
        </w:tc>
        <w:tc>
          <w:tcPr>
            <w:tcW w:w="720" w:type="dxa"/>
            <w:vAlign w:val="bottom"/>
            <w:tcBorders>
              <w:right w:val="single" w:sz="8" w:color="CCEEFF"/>
            </w:tcBorders>
            <w:vMerge w:val="restart"/>
            <w:shd w:val="clear" w:color="auto" w:fill="CCEEFF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0" w:type="dxa"/>
            <w:vAlign w:val="bottom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shd w:val="clear" w:color="auto" w:fill="CCEEFF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Board for the financial year 2021</w:t>
            </w:r>
          </w:p>
        </w:tc>
        <w:tc>
          <w:tcPr>
            <w:tcW w:w="7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CCEEFF"/>
            </w:tcBorders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1"/>
              </w:rPr>
              <w:t>3</w:t>
            </w:r>
          </w:p>
        </w:tc>
        <w:tc>
          <w:tcPr>
            <w:tcW w:w="4380" w:type="dxa"/>
            <w:vAlign w:val="bottom"/>
            <w:gridSpan w:val="3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Resolution on the discharge of the members of the Supervisory Board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1,511,791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1,280,832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84.72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230,959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15.28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 the financial year 2021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44" w:right="6720" w:hanging="344"/>
        <w:spacing w:after="0" w:line="221" w:lineRule="auto"/>
        <w:tabs>
          <w:tab w:leader="none" w:pos="3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Resolution on the election of the auditor of the annual financial statements and the consolidated financial statements for the financial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-183515</wp:posOffset>
            </wp:positionV>
            <wp:extent cx="6995160" cy="2832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8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1"/>
              </w:rPr>
              <w:t>5</w:t>
            </w:r>
          </w:p>
        </w:tc>
        <w:tc>
          <w:tcPr>
            <w:tcW w:w="42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year 2022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1,512,158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1,469,335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97.17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42,823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2.83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By-elections to the Supervisory Board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60" w:type="dxa"/>
            <w:vAlign w:val="bottom"/>
            <w:shd w:val="clear" w:color="auto" w:fill="CCEEFF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a) Hans Königsmann</w:t>
            </w:r>
          </w:p>
        </w:tc>
        <w:tc>
          <w:tcPr>
            <w:tcW w:w="1120" w:type="dxa"/>
            <w:vAlign w:val="bottom"/>
            <w:shd w:val="clear" w:color="auto" w:fill="CCEEFF"/>
          </w:tcPr>
          <w:p>
            <w:pPr>
              <w:jc w:val="right"/>
              <w:ind w:right="22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1,512,861</w:t>
            </w: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jc w:val="right"/>
              <w:ind w:right="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26.77</w:t>
            </w:r>
          </w:p>
        </w:tc>
        <w:tc>
          <w:tcPr>
            <w:tcW w:w="1060" w:type="dxa"/>
            <w:vAlign w:val="bottom"/>
            <w:shd w:val="clear" w:color="auto" w:fill="CCEEFF"/>
          </w:tcPr>
          <w:p>
            <w:pPr>
              <w:jc w:val="right"/>
              <w:ind w:right="2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1,299,008</w:t>
            </w:r>
          </w:p>
        </w:tc>
        <w:tc>
          <w:tcPr>
            <w:tcW w:w="920" w:type="dxa"/>
            <w:vAlign w:val="bottom"/>
            <w:shd w:val="clear" w:color="auto" w:fill="CCEEFF"/>
          </w:tcPr>
          <w:p>
            <w:pPr>
              <w:jc w:val="right"/>
              <w:ind w:right="22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85.86</w:t>
            </w: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jc w:val="right"/>
              <w:ind w:right="2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213,853</w:t>
            </w: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jc w:val="right"/>
              <w:ind w:right="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14.14</w:t>
            </w: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b) Vincent Wobbe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2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1,511,758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1,018,506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67.37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4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493,252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32.63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shd w:val="clear" w:color="auto" w:fill="CCEEFF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1"/>
              </w:rPr>
              <w:t>6</w:t>
            </w:r>
          </w:p>
        </w:tc>
        <w:tc>
          <w:tcPr>
            <w:tcW w:w="4260" w:type="dxa"/>
            <w:vAlign w:val="bottom"/>
            <w:shd w:val="clear" w:color="auto" w:fill="CCEEFF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Resolution on the approval of the remuneration system for the</w:t>
            </w:r>
          </w:p>
        </w:tc>
        <w:tc>
          <w:tcPr>
            <w:tcW w:w="112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1,506,774</w:t>
            </w:r>
          </w:p>
        </w:tc>
        <w:tc>
          <w:tcPr>
            <w:tcW w:w="80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26.66</w:t>
            </w:r>
          </w:p>
        </w:tc>
        <w:tc>
          <w:tcPr>
            <w:tcW w:w="106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1,015,209</w:t>
            </w:r>
          </w:p>
        </w:tc>
        <w:tc>
          <w:tcPr>
            <w:tcW w:w="92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67.38</w:t>
            </w:r>
          </w:p>
        </w:tc>
        <w:tc>
          <w:tcPr>
            <w:tcW w:w="108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491,565</w:t>
            </w:r>
          </w:p>
        </w:tc>
        <w:tc>
          <w:tcPr>
            <w:tcW w:w="78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32.62</w:t>
            </w:r>
          </w:p>
        </w:tc>
        <w:tc>
          <w:tcPr>
            <w:tcW w:w="800" w:type="dxa"/>
            <w:vAlign w:val="bottom"/>
            <w:vMerge w:val="restart"/>
            <w:shd w:val="clear" w:color="auto" w:fill="CCEEFF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0" w:type="dxa"/>
            <w:vAlign w:val="bottom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60" w:type="dxa"/>
            <w:vAlign w:val="bottom"/>
            <w:shd w:val="clear" w:color="auto" w:fill="CCEEFF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Management Board</w:t>
            </w:r>
          </w:p>
        </w:tc>
        <w:tc>
          <w:tcPr>
            <w:tcW w:w="112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1"/>
              </w:rPr>
              <w:t>7</w:t>
            </w:r>
          </w:p>
        </w:tc>
        <w:tc>
          <w:tcPr>
            <w:tcW w:w="42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Resolution on the confirmation of the remuneration of the members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1,511,917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1,405,948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92.99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105,969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71"/>
              </w:rPr>
              <w:t>8</w:t>
            </w:r>
          </w:p>
        </w:tc>
        <w:tc>
          <w:tcPr>
            <w:tcW w:w="426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the Supervisory Board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Resolution on the approval of the remuneration report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1,511,199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1,408,809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93.22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102,390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6.78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-89535</wp:posOffset>
            </wp:positionV>
            <wp:extent cx="6995160" cy="939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44" w:right="6700" w:hanging="344"/>
        <w:spacing w:after="0" w:line="221" w:lineRule="auto"/>
        <w:tabs>
          <w:tab w:leader="none" w:pos="3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Resolution on an amendment to the Articles of Association in para. 2 and para. 4 of section 9 (Composition and Term of Office) to make</w:t>
      </w:r>
    </w:p>
    <w:tbl>
      <w:tblPr>
        <w:tblLayout w:type="fixed"/>
        <w:tblInd w:w="34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4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flexible the terms of office of Supervisory Board members and to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adjust the majority requirements for by-elections to the Supervisory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1,511,976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1,505,197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99.55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6,779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0.45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Board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44" w:right="6660" w:hanging="344"/>
        <w:spacing w:after="0" w:line="221" w:lineRule="auto"/>
        <w:tabs>
          <w:tab w:leader="none" w:pos="34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Resolution on the conversion of bearer shares to registered shares, the adjustment of conditional capital and authorized capital, and 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-183515</wp:posOffset>
            </wp:positionV>
            <wp:extent cx="6995160" cy="2832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8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44"/>
        <w:spacing w:after="0" w:line="222" w:lineRule="auto"/>
        <w:tabs>
          <w:tab w:leader="none" w:pos="4684" w:val="left"/>
          <w:tab w:leader="none" w:pos="5884" w:val="left"/>
          <w:tab w:leader="none" w:pos="6524" w:val="left"/>
          <w:tab w:leader="none" w:pos="7724" w:val="left"/>
          <w:tab w:leader="none" w:pos="8724" w:val="left"/>
          <w:tab w:leader="none" w:pos="9804" w:val="left"/>
          <w:tab w:leader="none" w:pos="103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corresponding amendments to the Articles of Association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1,511,995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26.75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1,500,807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99.26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11,188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0.74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Approved</w:t>
      </w:r>
    </w:p>
    <w:p>
      <w:pPr>
        <w:ind w:left="344" w:right="6680" w:hanging="344"/>
        <w:spacing w:after="0" w:line="221" w:lineRule="auto"/>
        <w:tabs>
          <w:tab w:leader="none" w:pos="344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Resolution on the cancellation of the Conditional Capital 2017 and a corresponding amendment to section 4 (Share Capital) of the Articles</w:t>
      </w: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44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Association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1,511,854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1,504,802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99.53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7,052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0.47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48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12   Resolution on the cancellation of the existing authorized capital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4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(Authorized Capital 2021/I), the creation of new authorized capital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4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with the option to exclude subscription rights (Authorized Capital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4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2022/I) and a corresponding amendment to section 4 (Share Capital)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1,512,059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1,285,549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226,510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14.98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the Articles of Association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-466725</wp:posOffset>
            </wp:positionV>
            <wp:extent cx="6995160" cy="4711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44" w:right="6660" w:hanging="344"/>
        <w:spacing w:after="0" w:line="221" w:lineRule="auto"/>
        <w:tabs>
          <w:tab w:leader="none" w:pos="344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Resolution on the cancellation of the existing authorization of the Management Board to issue convertible bonds and/or bonds with warrants and the corresponding conditional capital (Conditional Capital 2021/I), the granting of a new authorization to issue convertible bonds and/or bonds with warrants with possible exclusion of subscription rights, on the creation of Conditional Capital 2022/I</w:t>
      </w: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and the corresponding amendment to section 4 (Share Capital) of the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1,512,069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1,288,663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85.23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223,406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14.77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Articles of Association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40" w:type="dxa"/>
            <w:vAlign w:val="bottom"/>
            <w:shd w:val="clear" w:color="auto" w:fill="CCEEFF"/>
          </w:tcPr>
          <w:p>
            <w:pPr>
              <w:jc w:val="right"/>
              <w:ind w:right="2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5"/>
              </w:rPr>
              <w:t>14</w:t>
            </w:r>
          </w:p>
        </w:tc>
        <w:tc>
          <w:tcPr>
            <w:tcW w:w="4300" w:type="dxa"/>
            <w:vAlign w:val="bottom"/>
            <w:shd w:val="clear" w:color="auto" w:fill="CCEEFF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Resolution on the granting of an authorization pursuant to section 71</w:t>
            </w:r>
          </w:p>
        </w:tc>
        <w:tc>
          <w:tcPr>
            <w:tcW w:w="104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shd w:val="clear" w:color="auto" w:fill="CCEEFF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para. 1 no. 8 AktG on the acquisition and on the use of treasury shares</w:t>
            </w:r>
          </w:p>
        </w:tc>
        <w:tc>
          <w:tcPr>
            <w:tcW w:w="104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1,507,035</w:t>
            </w:r>
          </w:p>
        </w:tc>
        <w:tc>
          <w:tcPr>
            <w:tcW w:w="80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26.66</w:t>
            </w:r>
          </w:p>
        </w:tc>
        <w:tc>
          <w:tcPr>
            <w:tcW w:w="106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1,449,447</w:t>
            </w:r>
          </w:p>
        </w:tc>
        <w:tc>
          <w:tcPr>
            <w:tcW w:w="92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96.18</w:t>
            </w:r>
          </w:p>
        </w:tc>
        <w:tc>
          <w:tcPr>
            <w:tcW w:w="108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57,588</w:t>
            </w:r>
          </w:p>
        </w:tc>
        <w:tc>
          <w:tcPr>
            <w:tcW w:w="78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3.82</w:t>
            </w:r>
          </w:p>
        </w:tc>
        <w:tc>
          <w:tcPr>
            <w:tcW w:w="800" w:type="dxa"/>
            <w:vAlign w:val="bottom"/>
            <w:vMerge w:val="restart"/>
            <w:shd w:val="clear" w:color="auto" w:fill="CCEEFF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  <w:shd w:val="clear" w:color="auto" w:fill="CCEEFF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with possible exclusion of offer and subscription rights</w:t>
            </w:r>
          </w:p>
        </w:tc>
        <w:tc>
          <w:tcPr>
            <w:tcW w:w="104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40" w:type="dxa"/>
            <w:vAlign w:val="bottom"/>
          </w:tcPr>
          <w:p>
            <w:pPr>
              <w:jc w:val="right"/>
              <w:ind w:right="2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5"/>
              </w:rPr>
              <w:t>15</w:t>
            </w:r>
          </w:p>
        </w:tc>
        <w:tc>
          <w:tcPr>
            <w:tcW w:w="43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Resolution on a further authorization to grant subscription rights to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members of the Management Board of the Company under a new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stock option plan and creation of a new conditional capital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(Conditional Capital 2022/II and corresponding amendment to section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1,472,921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26.06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1,292,793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87.77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180,128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12.23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 (Share Capital) of the Articles of Association)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40" w:type="dxa"/>
            <w:vAlign w:val="bottom"/>
            <w:shd w:val="clear" w:color="auto" w:fill="CCEEFF"/>
          </w:tcPr>
          <w:p>
            <w:pPr>
              <w:jc w:val="right"/>
              <w:ind w:right="2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5"/>
              </w:rPr>
              <w:t>16</w:t>
            </w:r>
          </w:p>
        </w:tc>
        <w:tc>
          <w:tcPr>
            <w:tcW w:w="4300" w:type="dxa"/>
            <w:vAlign w:val="bottom"/>
            <w:shd w:val="clear" w:color="auto" w:fill="CCEEFF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Resolution on the creation of a new authorized capital with the option</w:t>
            </w:r>
          </w:p>
        </w:tc>
        <w:tc>
          <w:tcPr>
            <w:tcW w:w="104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shd w:val="clear" w:color="auto" w:fill="CCEEFF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to exclude subscription rights (Authorized Capital 2022/II) and a</w:t>
            </w:r>
          </w:p>
        </w:tc>
        <w:tc>
          <w:tcPr>
            <w:tcW w:w="104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shd w:val="clear" w:color="auto" w:fill="CCEEFF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corresponding amendment to section 4 (Share Capital) of the Articles</w:t>
            </w:r>
          </w:p>
        </w:tc>
        <w:tc>
          <w:tcPr>
            <w:tcW w:w="104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1,511,771</w:t>
            </w:r>
          </w:p>
        </w:tc>
        <w:tc>
          <w:tcPr>
            <w:tcW w:w="80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26.75</w:t>
            </w:r>
          </w:p>
        </w:tc>
        <w:tc>
          <w:tcPr>
            <w:tcW w:w="106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1,332,028</w:t>
            </w:r>
          </w:p>
        </w:tc>
        <w:tc>
          <w:tcPr>
            <w:tcW w:w="92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88.11</w:t>
            </w:r>
          </w:p>
        </w:tc>
        <w:tc>
          <w:tcPr>
            <w:tcW w:w="108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179,743</w:t>
            </w:r>
          </w:p>
        </w:tc>
        <w:tc>
          <w:tcPr>
            <w:tcW w:w="780" w:type="dxa"/>
            <w:vAlign w:val="bottom"/>
            <w:vMerge w:val="restart"/>
            <w:shd w:val="clear" w:color="auto" w:fill="CCEEFF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11.89</w:t>
            </w:r>
          </w:p>
        </w:tc>
        <w:tc>
          <w:tcPr>
            <w:tcW w:w="800" w:type="dxa"/>
            <w:vAlign w:val="bottom"/>
            <w:vMerge w:val="restart"/>
            <w:shd w:val="clear" w:color="auto" w:fill="CCEEFF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Approved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  <w:shd w:val="clear" w:color="auto" w:fill="CCEEFF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Association</w:t>
            </w:r>
          </w:p>
        </w:tc>
        <w:tc>
          <w:tcPr>
            <w:tcW w:w="104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CCEEFF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24"/>
      </w:cols>
      <w:pgMar w:left="436" w:top="11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4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9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%1"/>
      <w:numFmt w:val="decimal"/>
      <w:start w:val="10"/>
    </w:lvl>
  </w:abstractNum>
  <w:abstractNum w:abstractNumId="3">
    <w:nsid w:val="238E1F29"/>
    <w:multiLevelType w:val="hybridMultilevel"/>
    <w:lvl w:ilvl="0">
      <w:lvlJc w:val="left"/>
      <w:lvlText w:val="%1"/>
      <w:numFmt w:val="decimal"/>
      <w:start w:val="11"/>
    </w:lvl>
  </w:abstractNum>
  <w:abstractNum w:abstractNumId="4">
    <w:nsid w:val="46E87CCD"/>
    <w:multiLevelType w:val="hybridMultilevel"/>
    <w:lvl w:ilvl="0">
      <w:lvlJc w:val="left"/>
      <w:lvlText w:val="%1"/>
      <w:numFmt w:val="decimal"/>
      <w:start w:val="1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2022-07-14T15:29:26Z</dcterms:created>
  <dcterms:modified xsi:type="dcterms:W3CDTF">2022-07-14T15:29:26Z</dcterms:modified>
</cp:coreProperties>
</file>