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13"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78" w:lineRule="exact"/>
        <w:rPr>
          <w:sz w:val="24"/>
          <w:szCs w:val="24"/>
          <w:color w:val="auto"/>
        </w:rPr>
      </w:pPr>
    </w:p>
    <w:p>
      <w:pPr>
        <w:spacing w:after="0" w:line="207" w:lineRule="exact"/>
        <w:tabs>
          <w:tab w:leader="none" w:pos="9580" w:val="left"/>
        </w:tabs>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Form 40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207010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258445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January 24, 2023, Mynaric AG issued a corporate news. A copy of the corporate news is furnished as Exhibit 99.1 hereto.</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220" w:type="dxa"/>
            <w:vAlign w:val="bottom"/>
            <w:tcBorders>
              <w:bottom w:val="single" w:sz="8" w:color="auto"/>
            </w:tcBorders>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88"/>
              </w:rPr>
              <w:t>2</w:t>
            </w:r>
          </w:p>
        </w:tc>
        <w:tc>
          <w:tcPr>
            <w:tcW w:w="2120" w:type="dxa"/>
            <w:vAlign w:val="bottom"/>
            <w:tcBorders>
              <w:bottom w:val="single" w:sz="8" w:color="auto"/>
            </w:tcBorders>
          </w:tcPr>
          <w:p>
            <w:pPr>
              <w:spacing w:after="0"/>
              <w:rPr>
                <w:sz w:val="20"/>
                <w:szCs w:val="20"/>
                <w:color w:val="auto"/>
              </w:rPr>
            </w:pPr>
          </w:p>
        </w:tc>
      </w:tr>
      <w:tr>
        <w:trPr>
          <w:trHeight w:val="844"/>
        </w:trPr>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4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DOCUMENTS INCLUDED AS PART OF THIS FORM 6-K</w:t>
            </w:r>
          </w:p>
        </w:tc>
      </w:tr>
      <w:tr>
        <w:trPr>
          <w:trHeight w:val="432"/>
        </w:trPr>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00" w:type="dxa"/>
            <w:vAlign w:val="bottom"/>
          </w:tcPr>
          <w:p>
            <w:pPr>
              <w:spacing w:after="0"/>
              <w:rPr>
                <w:sz w:val="24"/>
                <w:szCs w:val="24"/>
                <w:color w:val="auto"/>
              </w:rPr>
            </w:pPr>
          </w:p>
        </w:tc>
        <w:tc>
          <w:tcPr>
            <w:tcW w:w="10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90"/>
        </w:trPr>
        <w:tc>
          <w:tcPr>
            <w:tcW w:w="90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shd w:val="clear" w:color="auto" w:fill="CCEEFF"/>
          </w:tcPr>
          <w:p>
            <w:pPr>
              <w:spacing w:after="0"/>
              <w:rPr>
                <w:sz w:val="16"/>
                <w:szCs w:val="16"/>
                <w:color w:val="auto"/>
              </w:rPr>
            </w:pPr>
          </w:p>
        </w:tc>
        <w:tc>
          <w:tcPr>
            <w:tcW w:w="1024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Mynaric signs order from WARPSPACE for CONDOR terminals and marks first sale in Japanese space industry</w:t>
            </w:r>
          </w:p>
        </w:tc>
      </w:tr>
      <w:tr>
        <w:trPr>
          <w:trHeight w:val="648"/>
        </w:trPr>
        <w:tc>
          <w:tcPr>
            <w:tcW w:w="32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120" w:type="dxa"/>
            <w:vAlign w:val="bottom"/>
            <w:tcBorders>
              <w:top w:val="single" w:sz="8" w:color="0000EE"/>
              <w:bottom w:val="single" w:sz="8" w:color="auto"/>
            </w:tcBorders>
          </w:tcPr>
          <w:p>
            <w:pPr>
              <w:jc w:val="center"/>
              <w:ind w:left="1030"/>
              <w:spacing w:after="0"/>
              <w:rPr>
                <w:sz w:val="20"/>
                <w:szCs w:val="20"/>
                <w:color w:val="auto"/>
              </w:rPr>
            </w:pPr>
            <w:r>
              <w:rPr>
                <w:rFonts w:ascii="Times New Roman" w:cs="Times New Roman" w:eastAsia="Times New Roman" w:hAnsi="Times New Roman"/>
                <w:sz w:val="18"/>
                <w:szCs w:val="18"/>
                <w:color w:val="auto"/>
                <w:w w:val="88"/>
              </w:rPr>
              <w:t>3</w:t>
            </w:r>
          </w:p>
        </w:tc>
        <w:tc>
          <w:tcPr>
            <w:tcW w:w="2120" w:type="dxa"/>
            <w:vAlign w:val="bottom"/>
            <w:tcBorders>
              <w:top w:val="single" w:sz="8" w:color="CCEEFF"/>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00" w:lineRule="exact"/>
        <w:rPr>
          <w:sz w:val="24"/>
          <w:szCs w:val="24"/>
          <w:color w:val="auto"/>
        </w:rPr>
      </w:pPr>
    </w:p>
    <w:p>
      <w:pPr>
        <w:ind w:left="5640"/>
        <w:spacing w:after="0" w:line="207" w:lineRule="exact"/>
        <w:rPr>
          <w:sz w:val="20"/>
          <w:szCs w:val="20"/>
          <w:color w:val="auto"/>
        </w:rPr>
      </w:pPr>
      <w:r>
        <w:rPr>
          <w:rFonts w:ascii="Times New Roman" w:cs="Times New Roman" w:eastAsia="Times New Roman" w:hAnsi="Times New Roman"/>
          <w:sz w:val="18"/>
          <w:szCs w:val="18"/>
          <w:color w:val="auto"/>
        </w:rPr>
        <w:t>By  /s/ Stefan Berndt-von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35560</wp:posOffset>
            </wp:positionV>
            <wp:extent cx="2494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45" w:lineRule="exact"/>
        <w:rPr>
          <w:sz w:val="24"/>
          <w:szCs w:val="24"/>
          <w:color w:val="auto"/>
        </w:rPr>
      </w:pPr>
    </w:p>
    <w:p>
      <w:pPr>
        <w:ind w:left="5980"/>
        <w:spacing w:after="0" w:line="207" w:lineRule="exact"/>
        <w:rPr>
          <w:sz w:val="20"/>
          <w:szCs w:val="20"/>
          <w:color w:val="auto"/>
        </w:rPr>
      </w:pPr>
      <w:r>
        <w:rPr>
          <w:rFonts w:ascii="Times New Roman" w:cs="Times New Roman" w:eastAsia="Times New Roman" w:hAnsi="Times New Roman"/>
          <w:sz w:val="18"/>
          <w:szCs w:val="18"/>
          <w:color w:val="auto"/>
        </w:rPr>
        <w:t>Name: Stefan Berndt-von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low</w:t>
      </w:r>
    </w:p>
    <w:p>
      <w:pPr>
        <w:spacing w:after="0" w:line="16" w:lineRule="exact"/>
        <w:rPr>
          <w:sz w:val="24"/>
          <w:szCs w:val="24"/>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5"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Sven Meyer-Brunswick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Sven Meyer-Brunswick</w:t>
      </w:r>
    </w:p>
    <w:p>
      <w:pPr>
        <w:spacing w:after="0" w:line="23" w:lineRule="exact"/>
        <w:rPr>
          <w:sz w:val="24"/>
          <w:szCs w:val="24"/>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Representative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January 24, 2023</w:t>
      </w:r>
    </w:p>
    <w:p>
      <w:pPr>
        <w:sectPr>
          <w:pgSz w:w="11900" w:h="16838" w:orient="portrait"/>
          <w:cols w:equalWidth="0" w:num="1">
            <w:col w:w="11240"/>
          </w:cols>
          <w:pgMar w:left="320" w:top="662" w:right="33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Mynaric signs order from WARPSPACE for CONDOR terminals and marks first sale in Japanese space industry</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CONDOR Mk3 terminals to be used to establish an optical data relay network for LEO satellites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MUNICH &amp; TOKYO, January 24, 2023 – </w:t>
      </w:r>
      <w:r>
        <w:rPr>
          <w:rFonts w:ascii="Times New Roman" w:cs="Times New Roman" w:eastAsia="Times New Roman" w:hAnsi="Times New Roman"/>
          <w:sz w:val="18"/>
          <w:szCs w:val="18"/>
          <w:color w:val="auto"/>
        </w:rPr>
        <w:t>Mynaric (NASDAQ: MYNA) (FRA: M0YN), a leading provider of industrialized, cost-effective and scalable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laser communications products, today announced an order for a small number of CONDOR Mk3 terminals by Japan-based WARPSPACE. The terminals will be used by WARPSPACE to establish a commercial optical data relay network for Earth observation satellites with product deliveries scheduled for 2023, 2024 and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“WARPSPACE is building a highly capable optical data relay network in space to solve today’s communication bottleneck experienced by Earth observation satellites that need to transmit huge amounts of data to the ground in near real-time,” said Hiromitsu Azuma, COO of WARPSPACE. “We are happy to have found with Mynaric’s CONDOR product a suitable solution for our laser communications needs, as well as the needs of our customers. We look forward to receiving the units for subsequent satellite integration and launch.”</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order marks Mynaric’s first sale in the Japanese space industry, which is expected to grow from $9 billion today to over $30 billion by 2050, according to a market report by the New Zealand Ministry of Foreign Affairs and Trade.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grateful for WARPSPACE to entrust us with the laser communication capabilities needed for their optical data relay satellite network,” said Tina Ghataore, CCO of Mynaric. “With our first customer in Japan signed, we continue to earn the trust of our global customers and expand our commercial market share by delivering on our mission to make industrialized optical communications terminals widely available for a large range of applications.”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Mynaric’s CONDOR family of optical communications terminals is specifically designed for mass deployment as part of government and commercial satellite constellations. It has previously been selected by Northrop Grumman for the Space Development Agency’s (SDA) Tranche 1 Tracking Layer and the Tranche 1 Transport Layer programs, by Capella Space for commercial synthetic aperture radar (SAR) satellites, by Telesat for the DARPA Blackjack program and others. In addition, Mynaric was named a key development partner for Phase 1 of DARPA’s Space-BACN program and was selected by the European Space Agency (ESA) to investigate optical technologies for next generation high-throughput optical inter-satellite links.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mynaric.com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WARPSPACE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WARPSPACE is a space tech startup in Tsukuba, the hometown of Japanese aerospace development, developing an optical inter-satellite data relay service in medium Earth orbit called “WarpHub InterSat”. The main customers are Earth observation satellite operators that need to quickly move large volumes of data from space to the ground at the very time when they need it. Bringing in both heritages from JAXA and OICETS projects and supply chain innovations in NewSpace, WARPSPACE aims to become the world's first private company to provide an optical communication network in space.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warpspace.jp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2023-01-24T10:54:27Z</dcterms:created>
  <dcterms:modified xsi:type="dcterms:W3CDTF">2023-01-24T10:54:27Z</dcterms:modified>
</cp:coreProperties>
</file>