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191770</wp:posOffset>
            </wp:positionV>
            <wp:extent cx="709803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268605</wp:posOffset>
            </wp:positionV>
            <wp:extent cx="709803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8"/>
          <w:szCs w:val="18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8"/>
          <w:szCs w:val="18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July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Mynaric AG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1428115</wp:posOffset>
            </wp:positionH>
            <wp:positionV relativeFrom="paragraph">
              <wp:posOffset>24130</wp:posOffset>
            </wp:positionV>
            <wp:extent cx="428625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Registrant’s name</w:t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Dornierstraße 19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+49 (0) 8105 79990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Address of principal executive offices</w:t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9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F or Form 40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F: Form 20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</w:t>
      </w:r>
      <w:r>
        <w:rPr>
          <w:rFonts w:ascii="MS PGothic" w:cs="MS PGothic" w:eastAsia="MS PGothic" w:hAnsi="MS PGothic"/>
          <w:sz w:val="16"/>
          <w:szCs w:val="16"/>
          <w:color w:val="auto"/>
        </w:rPr>
        <w:t>‑</w:t>
      </w:r>
      <w:r>
        <w:rPr>
          <w:rFonts w:ascii="Arial" w:cs="Arial" w:eastAsia="Arial" w:hAnsi="Arial"/>
          <w:sz w:val="16"/>
          <w:szCs w:val="16"/>
          <w:color w:val="auto"/>
        </w:rPr>
        <w:t xml:space="preserve">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214630</wp:posOffset>
            </wp:positionV>
            <wp:extent cx="709803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266065</wp:posOffset>
            </wp:positionV>
            <wp:extent cx="7098030" cy="43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320" w:top="666" w:right="979" w:bottom="1440" w:gutter="0" w:footer="0" w:header="0"/>
        </w:sectPr>
      </w:pPr>
    </w:p>
    <w:bookmarkStart w:id="1" w:name="page2"/>
    <w:bookmarkEnd w:id="1"/>
    <w:p>
      <w:pPr>
        <w:jc w:val="right"/>
        <w:ind w:right="2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July 13, 2023, Mynaric AG issued a corporate news. A copy is furnished as Exhibit 99.1 hereto.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53" w:right="1440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80" w:type="dxa"/>
            <w:vAlign w:val="bottom"/>
            <w:gridSpan w:val="2"/>
          </w:tcPr>
          <w:p>
            <w:pPr>
              <w:jc w:val="center"/>
              <w:ind w:righ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DOCUMENTS INCLUDED AS PART OF THIS FORM 6-K</w:t>
            </w:r>
          </w:p>
        </w:tc>
      </w:tr>
      <w:tr>
        <w:trPr>
          <w:trHeight w:val="43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1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Description of Exhibit</w:t>
            </w:r>
          </w:p>
        </w:tc>
      </w:tr>
      <w:tr>
        <w:trPr>
          <w:trHeight w:val="190"/>
        </w:trPr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1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80" w:type="dxa"/>
            <w:vAlign w:val="bottom"/>
            <w:tcBorders>
              <w:top w:val="single" w:sz="8" w:color="auto"/>
            </w:tcBorders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Mynaric wins INNOSpace Masters Award from the German Space Agency at the DLR</w:t>
            </w:r>
          </w:p>
        </w:tc>
      </w:tr>
      <w:tr>
        <w:trPr>
          <w:trHeight w:val="648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jc w:val="right"/>
              <w:ind w:right="1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364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553" w:right="33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0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5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Stefan Berndt-von Bülow</w:t>
            </w:r>
          </w:p>
        </w:tc>
      </w:tr>
      <w:tr>
        <w:trPr>
          <w:trHeight w:val="195"/>
        </w:trPr>
        <w:tc>
          <w:tcPr>
            <w:tcW w:w="5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Stefan Berndt-von Bülow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18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Sven Meyer-Brunswick</w:t>
            </w:r>
          </w:p>
        </w:tc>
      </w:tr>
      <w:tr>
        <w:trPr>
          <w:trHeight w:val="195"/>
        </w:trPr>
        <w:tc>
          <w:tcPr>
            <w:tcW w:w="5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Sven Meyer-Brunswick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Authorized Representative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13, 2023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553" w:right="339" w:bottom="1440" w:gutter="0" w:footer="0" w:header="0"/>
        </w:sectPr>
      </w:pPr>
    </w:p>
    <w:bookmarkStart w:id="4" w:name="page5"/>
    <w:bookmarkEnd w:id="4"/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wins INNOSpace Masters Award from the German Space Agency at the DLR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Company receives top honor in the SME/Scale-Up category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MUNICH, July 13, 2023 –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Mynaric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(NASDAQ: MYNA) (FRA: M0YN), a leading provider of industrialized, cost-effective and scalable laser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 xml:space="preserve">communications products, today was awarded the top honor in the “Best Submitted Idea” in the SME/Scale-up category at the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INNOspace Masters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Highlight Conference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hosted by the German Space Agency of the DLR. This award recognizes pioneers and innovative ideas to advance the next generation of space technology.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“Being recognized with this award is a testament to Mynaric’s unwavering commitment to continuous innovation, scalable growth and exceeding customer expectations every day,” said Mustafa Veziroglu, Co-CEO of Mynaric during the acceptance speech. “These core values have been driving us forward since our founding in 2009.”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marks the second time Mynaric has been recognized as part of the INNOspace initiative. In 2015/16, Mynaric received the “Best Submitted Idea” award under its former corporate name Vialight Communications.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spacing w:after="0" w:line="2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Mynaric’s optical communications terminals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are specifically designed for mass deployment as part of government and commercial satellite constellations. The company has previously been selected by Northrop Grumman for the SDA’s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Tranche 1 Transport Layer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and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Tranche 1 Tracking Layer programs</w:t>
      </w:r>
      <w:r>
        <w:rPr>
          <w:rFonts w:ascii="Arial" w:cs="Arial" w:eastAsia="Arial" w:hAnsi="Arial"/>
          <w:sz w:val="17"/>
          <w:szCs w:val="17"/>
          <w:color w:val="auto"/>
        </w:rPr>
        <w:t xml:space="preserve">, by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Raytheon for the SDA’s Tranche 1 Tracking Layer program</w:t>
      </w:r>
      <w:r>
        <w:rPr>
          <w:rFonts w:ascii="Arial" w:cs="Arial" w:eastAsia="Arial" w:hAnsi="Arial"/>
          <w:sz w:val="17"/>
          <w:szCs w:val="17"/>
          <w:color w:val="auto"/>
        </w:rPr>
        <w:t xml:space="preserve">, by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Loft Federal for SDA’s Experimental Testbed NExT</w:t>
      </w:r>
      <w:r>
        <w:rPr>
          <w:rFonts w:ascii="Arial" w:cs="Arial" w:eastAsia="Arial" w:hAnsi="Arial"/>
          <w:sz w:val="17"/>
          <w:szCs w:val="17"/>
          <w:color w:val="auto"/>
        </w:rPr>
        <w:t xml:space="preserve">, by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Telesat for the DARPA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Blackjack program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and others. In addition, Mynaric was named a key development partner for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Phase 1 of DARPA’s Space-BACN program</w:t>
      </w:r>
      <w:r>
        <w:rPr>
          <w:rFonts w:ascii="Arial" w:cs="Arial" w:eastAsia="Arial" w:hAnsi="Arial"/>
          <w:sz w:val="17"/>
          <w:szCs w:val="17"/>
          <w:color w:val="auto"/>
        </w:rPr>
        <w:t xml:space="preserve">, was selected by the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European Space Agency (ESA)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to investigate optical technologies for next generation high-throughput optical inter-satellite links and was selected by the German government for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multiple projects to develop quantum communication capabilities</w:t>
      </w:r>
      <w:r>
        <w:rPr>
          <w:rFonts w:ascii="Arial" w:cs="Arial" w:eastAsia="Arial" w:hAnsi="Arial"/>
          <w:sz w:val="17"/>
          <w:szCs w:val="17"/>
          <w:color w:val="auto"/>
        </w:rPr>
        <w:t>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Mynaric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Mynaric (NASDAQ: MYNA) (FRA: M0YN) is leading the industrial revolution of laser communications by producing optical communications terminals for air, space and mobile applications. Laser communication networks provide connectivity from the sky, allowing for ultra-high data rates and secure, long-distance data transmission between moving objects for wireless terrestrial, mobility, airborne- and space-based applications. The company is headquartered in Munich, Germany, with additional locations in Los Angeles, California, and Washington, D.C.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 more information, visit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mynaric.com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sectPr>
      <w:pgSz w:w="11900" w:h="16838" w:orient="portrait"/>
      <w:cols w:equalWidth="0" w:num="1">
        <w:col w:w="11240"/>
      </w:cols>
      <w:pgMar w:left="320" w:top="12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2023-07-13T09:32:17Z</dcterms:created>
  <dcterms:modified xsi:type="dcterms:W3CDTF">2023-07-13T09:32:17Z</dcterms:modified>
</cp:coreProperties>
</file>