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18"/>
          <w:szCs w:val="18"/>
          <w:color w:val="auto"/>
        </w:rPr>
        <w:t>Mynaric AG</w:t>
      </w:r>
    </w:p>
    <w:p>
      <w:pPr>
        <w:spacing w:after="0" w:line="2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Bertha-Kipfmüller Straße 2-8</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81249 Munich</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Germany</w:t>
      </w:r>
    </w:p>
    <w:p>
      <w:pPr>
        <w:spacing w:after="0" w:line="207" w:lineRule="exact"/>
        <w:rPr>
          <w:sz w:val="24"/>
          <w:szCs w:val="24"/>
          <w:color w:val="auto"/>
        </w:rPr>
      </w:pPr>
    </w:p>
    <w:p>
      <w:pPr>
        <w:ind w:left="8040"/>
        <w:spacing w:after="0"/>
        <w:rPr>
          <w:sz w:val="20"/>
          <w:szCs w:val="20"/>
          <w:color w:val="auto"/>
        </w:rPr>
      </w:pPr>
      <w:r>
        <w:rPr>
          <w:rFonts w:ascii="Times New Roman" w:cs="Times New Roman" w:eastAsia="Times New Roman" w:hAnsi="Times New Roman"/>
          <w:sz w:val="18"/>
          <w:szCs w:val="18"/>
          <w:color w:val="auto"/>
        </w:rPr>
        <w:t>August 2, 2024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    Edwin Kim</w:t>
      </w:r>
    </w:p>
    <w:p>
      <w:pPr>
        <w:spacing w:after="0" w:line="248" w:lineRule="exact"/>
        <w:rPr>
          <w:sz w:val="24"/>
          <w:szCs w:val="24"/>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Re:</w:t>
        <w:tab/>
        <w:t>Mynaric AG</w:t>
      </w:r>
    </w:p>
    <w:p>
      <w:pPr>
        <w:spacing w:after="0" w:line="3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Registration Statement on Form F-3</w:t>
      </w:r>
    </w:p>
    <w:p>
      <w:pPr>
        <w:spacing w:after="0" w:line="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Initially Filed on September 29, 2023</w:t>
      </w:r>
    </w:p>
    <w:p>
      <w:pPr>
        <w:spacing w:after="0" w:line="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File No. 333-274793</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4"/>
          <w:szCs w:val="24"/>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Pursuant to Rule 477 promulgated under the Securities Act of 1933, as amended (the “Securities Act”), Mynaric AG (the “Registrant”) hereby requests that the Securities and Exchange Commission (the “Commission”) consent to the withdrawal, effective as of the date hereof or at the earliest practicable date hereafter, of its Registration Statement on Form F-3 (File No. 333-274793), together with all exhibits and amendments thereto (collectively, the “Registration Statement”). The Registration Statement was originally filed with the Commission on September 29, 2023. The Registrant is seeking withdrawal of the Registration Statement because the Registrant has decided not to proceed with the offering at this time.</w:t>
      </w:r>
    </w:p>
    <w:p>
      <w:pPr>
        <w:spacing w:after="0" w:line="183" w:lineRule="exact"/>
        <w:rPr>
          <w:sz w:val="24"/>
          <w:szCs w:val="24"/>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The Registrant confirms that no securities have been sold or exchanged pursuant to the Registration Statement and that the Registration Statement was not declared effective by the Commission.</w:t>
      </w:r>
    </w:p>
    <w:p>
      <w:pPr>
        <w:spacing w:after="0" w:line="162" w:lineRule="exact"/>
        <w:rPr>
          <w:sz w:val="24"/>
          <w:szCs w:val="24"/>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The Registrant requests that, in accordance with Rule 457(p) under the Securities Act, all fees paid to the Commission in connection with the filing of the Registration Statement be credited for future use.</w:t>
      </w:r>
    </w:p>
    <w:p>
      <w:pPr>
        <w:spacing w:after="0" w:line="162" w:lineRule="exact"/>
        <w:rPr>
          <w:sz w:val="24"/>
          <w:szCs w:val="24"/>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Please send copies of the written order granting withdrawal of the Registration Statement to the above-mentioned address, with a copy to the Registrant’s counsel, Sullivan &amp; Cromwell LLP, Attn: Krystian Czerniecki at czernieckik@sullcrom.com.</w:t>
      </w:r>
    </w:p>
    <w:p>
      <w:pPr>
        <w:sectPr>
          <w:pgSz w:w="11900" w:h="16838" w:orient="portrait"/>
          <w:cols w:equalWidth="0" w:num="1">
            <w:col w:w="10880"/>
          </w:cols>
          <w:pgMar w:left="440" w:top="229" w:right="579" w:bottom="1440"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Securities and Exchange Commission</w:t>
            </w:r>
          </w:p>
        </w:tc>
        <w:tc>
          <w:tcPr>
            <w:tcW w:w="4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right="1360" w:firstLine="991"/>
        <w:spacing w:after="0" w:line="282" w:lineRule="auto"/>
        <w:rPr>
          <w:sz w:val="20"/>
          <w:szCs w:val="20"/>
          <w:color w:val="auto"/>
        </w:rPr>
      </w:pPr>
      <w:r>
        <w:rPr>
          <w:rFonts w:ascii="Times New Roman" w:cs="Times New Roman" w:eastAsia="Times New Roman" w:hAnsi="Times New Roman"/>
          <w:sz w:val="18"/>
          <w:szCs w:val="18"/>
          <w:color w:val="auto"/>
        </w:rPr>
        <w:t>If you have any questions with respect to this matter, please contact Krystian Czerniecki of Sullivan &amp; Cromwell LLP at +49-69-4242-5525 or by email (czernieckik@sullcrom.com).</w:t>
      </w:r>
    </w:p>
    <w:p>
      <w:pPr>
        <w:spacing w:after="0" w:line="18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1"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29" w:lineRule="exact"/>
        <w:rPr>
          <w:sz w:val="20"/>
          <w:szCs w:val="20"/>
          <w:color w:val="auto"/>
        </w:rPr>
      </w:pPr>
    </w:p>
    <w:tbl>
      <w:tblPr>
        <w:tblLayout w:type="fixed"/>
        <w:tblInd w:w="6624"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Mustafa Veziroglu</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Mustafa Veziroglu</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Stefan Berndt-von Bülow</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Stefan Berndt-von Bülow</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25" w:lineRule="exact"/>
        <w:rPr>
          <w:sz w:val="20"/>
          <w:szCs w:val="20"/>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Krystian Czerniecki, Sullivan &amp; Cromwell LLP</w:t>
      </w:r>
    </w:p>
    <w:sectPr>
      <w:pgSz w:w="11900" w:h="16838" w:orient="portrait"/>
      <w:cols w:equalWidth="0" w:num="1">
        <w:col w:w="11024"/>
      </w:cols>
      <w:pgMar w:left="436"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2024-08-02T10:14:41Z</dcterms:created>
  <dcterms:modified xsi:type="dcterms:W3CDTF">2024-08-02T10:14:41Z</dcterms:modified>
</cp:coreProperties>
</file>