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36195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20, 2024, Mynaric AG issued an ad-hoc and corporate news. A copy of the ad-hoc is furnished as Exhibit 99.1 and a copy of the corporate news is furnished as Exhibit 99.2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53"/>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Ad-hoc Financial Guidance Update</w:t>
            </w:r>
          </w:p>
        </w:tc>
        <w:tc>
          <w:tcPr>
            <w:tcW w:w="7520" w:type="dxa"/>
            <w:vAlign w:val="bottom"/>
            <w:tcBorders>
              <w:bottom w:val="single" w:sz="8" w:color="CCEEFF"/>
            </w:tcBorders>
            <w:shd w:val="clear" w:color="auto" w:fill="CCEEFF"/>
          </w:tcPr>
          <w:p>
            <w:pPr>
              <w:spacing w:after="0"/>
              <w:rPr>
                <w:sz w:val="16"/>
                <w:szCs w:val="16"/>
                <w:color w:val="auto"/>
              </w:rPr>
            </w:pPr>
          </w:p>
        </w:tc>
      </w:tr>
      <w:tr>
        <w:trPr>
          <w:trHeight w:val="223"/>
        </w:trPr>
        <w:tc>
          <w:tcPr>
            <w:tcW w:w="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Corporate News CFO Update</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5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Mustafa Veziroglu</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60"/>
        <w:spacing w:after="0" w:line="266" w:lineRule="auto"/>
        <w:rPr>
          <w:sz w:val="20"/>
          <w:szCs w:val="20"/>
          <w:color w:val="auto"/>
        </w:rPr>
      </w:pPr>
      <w:r>
        <w:rPr>
          <w:rFonts w:ascii="Arial" w:cs="Arial" w:eastAsia="Arial" w:hAnsi="Arial"/>
          <w:sz w:val="36"/>
          <w:szCs w:val="36"/>
          <w:b w:val="1"/>
          <w:bCs w:val="1"/>
          <w:color w:val="auto"/>
        </w:rPr>
        <w:t>Mynaric Lowers Revenue, Cash-In from Customer Contracts and Increases Operating Loss Guidance for 2024 Due to Slower than Expected Production Ramp and Higher Production Costs</w:t>
      </w:r>
    </w:p>
    <w:p>
      <w:pPr>
        <w:spacing w:after="0" w:line="312"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b w:val="1"/>
          <w:bCs w:val="1"/>
          <w:color w:val="auto"/>
        </w:rPr>
        <w:t xml:space="preserve">MUNICH, August 20, 2024 </w:t>
      </w:r>
      <w:r>
        <w:rPr>
          <w:rFonts w:ascii="Arial" w:cs="Arial" w:eastAsia="Arial" w:hAnsi="Arial"/>
          <w:sz w:val="20"/>
          <w:szCs w:val="20"/>
          <w:color w:val="auto"/>
        </w:rPr>
        <w:t>– Mynaric AG (NASDAQ: MYNA; ISIN: US62857X1019) (FRA: M0YN; ISIN: DE000A31C305)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has today resolved an update to full-year 2024 guidance published on June 20, 2024, for its key financial performance metrics:</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IFRS-15 revenue: the company now expects full-year 2024 IFRS-15 revenue to range between EUR 16.0 million to EUR 24.0 million compared to previous guidance of a range between EUR 50.0 million to EUR 70.0 million. The guidance decrease is due to production delays of CONDOR Mk3 caused by lower than expected production yields and component supplier shortages of key components.</w:t>
      </w:r>
    </w:p>
    <w:p>
      <w:pPr>
        <w:spacing w:after="0" w:line="2"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color w:val="auto"/>
        </w:rPr>
        <w:t>Operating loss: the company now expects full-year 2024 operating loss to range between a loss of EUR 55.0 million to EUR 50.0 million compared to previous guidance of a range between a loss of EUR 40.0 million to EUR 30.0 million. The guidance decrease is mainly driven by the lower than expected revenue and higher than expected production costs due to lower yields. Cash-In from Customer Contracts(1): the company now expects full-year 2024 guidance to range between EUR 45.0 million to EUR 50.0 million compared to the previously communicated guidance of a range between EUR 65 million to EUR 100 million.</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guidance decrease is mainly driven by lower shipments and delays in the program awards relative to previous expectations. Optical Communications Terminal Backlog(2): the previous company guidance of a range between 800 to 1,000 terminal units in backlog is unchanged.</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As of August 16, 2024, the Company had cash and cash equivalents on hand of EUR 6.3 million. With the lower than previously expected revenue and cash-in from customers for fiscal year 2024, we will need to pursue additional capital sources to secure our on-going operations and production ramp. At this time, we are evaluating a number of different strategic options to address our near-term capital needs.</w:t>
      </w:r>
    </w:p>
    <w:p>
      <w:pPr>
        <w:spacing w:after="0" w:line="173" w:lineRule="exact"/>
        <w:rPr>
          <w:sz w:val="20"/>
          <w:szCs w:val="20"/>
          <w:color w:val="auto"/>
        </w:rPr>
      </w:pPr>
    </w:p>
    <w:p>
      <w:pPr>
        <w:ind w:right="120" w:firstLine="8"/>
        <w:spacing w:after="0" w:line="234" w:lineRule="auto"/>
        <w:tabs>
          <w:tab w:leader="none" w:pos="297" w:val="left"/>
        </w:tabs>
        <w:numPr>
          <w:ilvl w:val="0"/>
          <w:numId w:val="1"/>
        </w:numPr>
        <w:rPr>
          <w:rFonts w:ascii="Arial" w:cs="Arial" w:eastAsia="Arial" w:hAnsi="Arial"/>
          <w:sz w:val="20"/>
          <w:szCs w:val="20"/>
          <w:color w:val="auto"/>
        </w:rPr>
      </w:pPr>
      <w:r>
        <w:rPr>
          <w:rFonts w:ascii="Arial" w:cs="Arial" w:eastAsia="Arial" w:hAnsi="Arial"/>
          <w:sz w:val="20"/>
          <w:szCs w:val="20"/>
          <w:color w:val="auto"/>
        </w:rPr>
        <w:t>Cash-In from Customer Contracts includes payments from customers under purchase orders and other signed agreements, including accrued payment milestones under customer programs.</w:t>
      </w:r>
    </w:p>
    <w:p>
      <w:pPr>
        <w:spacing w:after="0" w:line="1" w:lineRule="exact"/>
        <w:rPr>
          <w:rFonts w:ascii="Arial" w:cs="Arial" w:eastAsia="Arial" w:hAnsi="Arial"/>
          <w:sz w:val="20"/>
          <w:szCs w:val="20"/>
          <w:color w:val="auto"/>
        </w:rPr>
      </w:pPr>
    </w:p>
    <w:p>
      <w:pPr>
        <w:ind w:right="100" w:firstLine="8"/>
        <w:spacing w:after="0" w:line="239" w:lineRule="auto"/>
        <w:tabs>
          <w:tab w:leader="none" w:pos="297" w:val="left"/>
        </w:tabs>
        <w:numPr>
          <w:ilvl w:val="0"/>
          <w:numId w:val="1"/>
        </w:numPr>
        <w:rPr>
          <w:rFonts w:ascii="Arial" w:cs="Arial" w:eastAsia="Arial" w:hAnsi="Arial"/>
          <w:sz w:val="20"/>
          <w:szCs w:val="20"/>
          <w:color w:val="auto"/>
        </w:rPr>
      </w:pPr>
      <w:r>
        <w:rPr>
          <w:rFonts w:ascii="Arial" w:cs="Arial" w:eastAsia="Arial" w:hAnsi="Arial"/>
          <w:sz w:val="20"/>
          <w:szCs w:val="20"/>
          <w:color w:val="auto"/>
        </w:rPr>
        <w:t>Optical communications terminal backlog represents the quantity of all open optical communications terminal deliverables in the context of signed customer programs at the end of a reporting period.</w:t>
      </w:r>
    </w:p>
    <w:p>
      <w:pPr>
        <w:spacing w:after="0" w:line="199"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auto"/>
        </w:rPr>
        <w:t>Further explanations about how Mynaric uses these metrics can be found in Mynaric’s Annual Report 2023, which has been published on Mynaric’s investor relations website.</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31"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Mynaric (NASDAQ: MYNA)(FRA: M0YN) is leading the industrial revolution of laser communications by producing optical communications terminals for air, space and mobile applications. Laser communication networks provide connectivity from the sky, allowing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8" w:right="359" w:bottom="1440" w:gutter="0" w:footer="0" w:header="0"/>
        </w:sectPr>
      </w:pPr>
    </w:p>
    <w:bookmarkStart w:id="3" w:name="page4"/>
    <w:bookmarkEnd w:id="3"/>
    <w:p>
      <w:pPr>
        <w:spacing w:after="0" w:line="217"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 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8"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8"/>
          <w:szCs w:val="18"/>
          <w:i w:val="1"/>
          <w:iCs w:val="1"/>
          <w:color w:val="auto"/>
        </w:rPr>
        <w:t>profitability, liquidity or performance under IFRS. You should be aware that our presentation of these measures may not be comparable to 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1083310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9" w:right="639" w:bottom="1440" w:gutter="0" w:footer="0" w:header="0"/>
        </w:sectPr>
      </w:pPr>
    </w:p>
    <w:bookmarkStart w:id="5" w:name="page6"/>
    <w:bookmarkEnd w:id="5"/>
    <w:p>
      <w:pPr>
        <w:spacing w:after="0" w:line="344" w:lineRule="exact"/>
        <w:rPr>
          <w:sz w:val="20"/>
          <w:szCs w:val="20"/>
          <w:color w:val="auto"/>
        </w:rPr>
      </w:pPr>
    </w:p>
    <w:p>
      <w:pPr>
        <w:jc w:val="center"/>
        <w:ind w:left="380" w:right="360"/>
        <w:spacing w:after="0" w:line="298" w:lineRule="auto"/>
        <w:rPr>
          <w:sz w:val="20"/>
          <w:szCs w:val="20"/>
          <w:color w:val="auto"/>
        </w:rPr>
      </w:pPr>
      <w:r>
        <w:rPr>
          <w:rFonts w:ascii="Arial" w:cs="Arial" w:eastAsia="Arial" w:hAnsi="Arial"/>
          <w:sz w:val="32"/>
          <w:szCs w:val="32"/>
          <w:b w:val="1"/>
          <w:bCs w:val="1"/>
          <w:color w:val="auto"/>
        </w:rPr>
        <w:t>Mynaric Announces Voluntary Departure of CFO Stefan Berndt von-Bülow</w:t>
      </w:r>
    </w:p>
    <w:p>
      <w:pPr>
        <w:spacing w:after="0" w:line="348"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 xml:space="preserve">MUNICH, August 20, 2024 </w:t>
      </w:r>
      <w:r>
        <w:rPr>
          <w:rFonts w:ascii="Arial" w:cs="Arial" w:eastAsia="Arial" w:hAnsi="Arial"/>
          <w:sz w:val="20"/>
          <w:szCs w:val="20"/>
          <w:color w:val="auto"/>
        </w:rPr>
        <w:t>– Today Mynaric (NASDAQ: MYNA) (FRA: M0YN) announces the voluntary departure of CFO</w:t>
      </w:r>
      <w:r>
        <w:rPr>
          <w:rFonts w:ascii="Arial" w:cs="Arial" w:eastAsia="Arial" w:hAnsi="Arial"/>
          <w:sz w:val="20"/>
          <w:szCs w:val="20"/>
          <w:b w:val="1"/>
          <w:bCs w:val="1"/>
          <w:color w:val="auto"/>
        </w:rPr>
        <w:t xml:space="preserve"> </w:t>
      </w:r>
      <w:r>
        <w:rPr>
          <w:rFonts w:ascii="Arial" w:cs="Arial" w:eastAsia="Arial" w:hAnsi="Arial"/>
          <w:sz w:val="20"/>
          <w:szCs w:val="20"/>
          <w:color w:val="auto"/>
        </w:rPr>
        <w:t>Stefan Berndt von-Bülow for personal reasons, effective last week. Berndt von-Bülow has been with Mynaric since 2018 and assumed the role as CFO in 2020. As CFO, Berndt von-Bülow made significant contributions to the company’s financial strategy and operations, investor relations, several capital raises, significant debt financing, and, particularly Mynaric’s listing on Nasdaq in November 2021, during a time of significant growth and transformation.</w:t>
      </w:r>
    </w:p>
    <w:p>
      <w:pPr>
        <w:spacing w:after="0" w:line="105"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color w:val="auto"/>
        </w:rPr>
        <w:t>“Stefan has been a key member of the management team, and we are grateful for his contributions,” said Mustafa Veziroglu, Mynaric CEO. “Under Stefan’s leadership, Mynaric transformed from a start-up company to a leading supplier of free space optical communications technology to both government and commercial organizations. We wish him the best in his future endeavors.”</w:t>
      </w:r>
    </w:p>
    <w:p>
      <w:pPr>
        <w:spacing w:after="0" w:line="91"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“Stefan understood the importance of securing capital allowing us to innovate and improve our free space optical communications technology and products,” said Joachim Horwath, CTO and founder of Mynaric. “With his financial instinct, we were able to invest in the infrastructure and capabilities to develop and manufacture industry-leading laser communications terminals to meet the increased market demand.”</w:t>
      </w:r>
    </w:p>
    <w:p>
      <w:pPr>
        <w:spacing w:after="0" w:line="10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“On behalf of the entire supervisory board, I extend our deepest gratitude to Stefan for his dedication to Mynaric,” said Bulent Altan, Chairman, Mynaric Supervisory Board. “Stefan played a critical role as a member of the management team during a pivotal time as we achieved significant financial and operational milestones.”</w:t>
      </w:r>
    </w:p>
    <w:p>
      <w:pPr>
        <w:spacing w:after="0" w:line="104"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Mynaric has initiated a global search for a new CFO. In the interim, the two remaining members of the management team, Mustafa Veziroglu and Joachim Horwath, will assume the responsibilities of the CFO.</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137"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2024-08-20T10:31:41Z</dcterms:created>
  <dcterms:modified xsi:type="dcterms:W3CDTF">2024-08-20T10:31:41Z</dcterms:modified>
</cp:coreProperties>
</file>