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17, 2024</w:t>
      </w:r>
    </w:p>
    <w:p>
      <w:pPr>
        <w:spacing w:after="0" w:line="31" w:lineRule="exact"/>
        <w:rPr>
          <w:sz w:val="24"/>
          <w:szCs w:val="24"/>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607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34290"/>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MYNARIC AG</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9080"/>
          </w:cols>
          <w:pgMar w:left="1400" w:top="1197" w:right="1419" w:bottom="1440" w:gutter="0" w:footer="0" w:header="0"/>
        </w:sectPr>
      </w:pPr>
    </w:p>
    <w:p>
      <w:pPr>
        <w:spacing w:after="0" w:line="2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The Federal Republic of Germany</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47" w:lineRule="exact"/>
        <w:rPr>
          <w:sz w:val="24"/>
          <w:szCs w:val="24"/>
          <w:color w:val="auto"/>
        </w:rPr>
      </w:pPr>
    </w:p>
    <w:p>
      <w:pPr>
        <w:sectPr>
          <w:pgSz w:w="11900" w:h="16838" w:orient="portrait"/>
          <w:cols w:equalWidth="0" w:num="2">
            <w:col w:w="4060" w:space="720"/>
            <w:col w:w="4300"/>
          </w:cols>
          <w:pgMar w:left="1400" w:top="1197" w:right="141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2">
            <w:col w:w="4060" w:space="720"/>
            <w:col w:w="4300"/>
          </w:cols>
          <w:pgMar w:left="1400" w:top="1197" w:right="141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Bertha-Kipfmüller-Str. 2-8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81249 Munich,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+498955894280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167640</wp:posOffset>
            </wp:positionV>
            <wp:extent cx="164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Program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Program 2022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Program 2023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179070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850 Library Avenue, Suite 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Delaware 19711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(302) 738 6680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167640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Krystian M. Czerniecki</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Sullivan &amp; Cromwell LLP</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Neue Mainzer Straße 52</w:t>
      </w:r>
    </w:p>
    <w:p>
      <w:pPr>
        <w:spacing w:after="0" w:line="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60311 Frankfurt, Germany</w:t>
      </w:r>
    </w:p>
    <w:p>
      <w:pPr>
        <w:spacing w:after="0" w:line="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+49 (69) 4272 5200</w:t>
      </w:r>
    </w:p>
    <w:p>
      <w:pPr>
        <w:spacing w:after="0" w:line="3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80"/>
          </w:cols>
          <w:pgMar w:left="1400" w:top="1197" w:right="1419" w:bottom="1440" w:gutter="0" w:footer="0" w:header="0"/>
          <w:type w:val="continuous"/>
        </w:sectPr>
      </w:pPr>
    </w:p>
    <w:p>
      <w:pPr>
        <w:spacing w:after="0" w:line="149" w:lineRule="exact"/>
        <w:rPr>
          <w:sz w:val="24"/>
          <w:szCs w:val="24"/>
          <w:color w:val="auto"/>
        </w:rPr>
      </w:pPr>
    </w:p>
    <w:p>
      <w:pPr>
        <w:ind w:left="1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840" w:space="720"/>
            <w:col w:w="4520"/>
          </w:cols>
          <w:pgMar w:left="1400" w:top="1197" w:right="1419" w:bottom="1440" w:gutter="0" w:footer="0" w:header="0"/>
          <w:type w:val="continuous"/>
        </w:sectPr>
      </w:pPr>
    </w:p>
    <w:p>
      <w:pPr>
        <w:spacing w:after="0" w:line="64" w:lineRule="exact"/>
        <w:rPr>
          <w:sz w:val="24"/>
          <w:szCs w:val="24"/>
          <w:color w:val="auto"/>
        </w:rPr>
      </w:pPr>
    </w:p>
    <w:p>
      <w:pPr>
        <w:ind w:left="1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840" w:space="720"/>
            <w:col w:w="4520"/>
          </w:cols>
          <w:pgMar w:left="1400" w:top="1197" w:right="1419" w:bottom="1440" w:gutter="0" w:footer="0" w:header="0"/>
          <w:type w:val="continuous"/>
        </w:sectPr>
      </w:pPr>
    </w:p>
    <w:p>
      <w:pPr>
        <w:spacing w:after="0" w:line="64" w:lineRule="exact"/>
        <w:rPr>
          <w:sz w:val="24"/>
          <w:szCs w:val="24"/>
          <w:color w:val="auto"/>
        </w:rPr>
      </w:pPr>
    </w:p>
    <w:p>
      <w:pPr>
        <w:ind w:left="45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9080"/>
          </w:cols>
          <w:pgMar w:left="1400" w:top="1197" w:right="1419" w:bottom="1440" w:gutter="0" w:footer="0" w:header="0"/>
          <w:type w:val="continuous"/>
        </w:sectPr>
      </w:pPr>
    </w:p>
    <w:p>
      <w:pPr>
        <w:spacing w:after="0" w:line="291" w:lineRule="exact"/>
        <w:rPr>
          <w:sz w:val="24"/>
          <w:szCs w:val="24"/>
          <w:color w:val="auto"/>
        </w:rPr>
      </w:pPr>
    </w:p>
    <w:p>
      <w:pPr>
        <w:jc w:val="both"/>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7607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955675</wp:posOffset>
            </wp:positionV>
            <wp:extent cx="57861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6120" cy="42545"/>
                    </a:xfrm>
                    <a:prstGeom prst="rect">
                      <a:avLst/>
                    </a:prstGeom>
                    <a:noFill/>
                  </pic:spPr>
                </pic:pic>
              </a:graphicData>
            </a:graphic>
          </wp:anchor>
        </w:drawing>
      </w:r>
    </w:p>
    <w:p>
      <w:pPr>
        <w:sectPr>
          <w:pgSz w:w="11900" w:h="16838" w:orient="portrait"/>
          <w:cols w:equalWidth="0" w:num="1">
            <w:col w:w="9080"/>
          </w:cols>
          <w:pgMar w:left="1400" w:top="1197" w:right="1419" w:bottom="1440" w:gutter="0" w:footer="0" w:header="0"/>
          <w:type w:val="continuous"/>
        </w:sectPr>
      </w:pPr>
    </w:p>
    <w:bookmarkStart w:id="1" w:name="page2"/>
    <w:bookmarkEnd w:id="1"/>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Registration Statement on Form S-8 (the “Registration Statement”) in accordance with the provisions of Rule 428 under the Securities Act, and the introductory note to Part I of Form S-8.</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provided separately to the participants in the Plans as specified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documents submitted to the Commission by Mynaric AG (the “Registrant”) pursuant to the Securities Act and the Securities Exchange Act of 1934, as amended (the “Exchange Act”), are hereby incorporated by reference in this Registration Statement:</w:t>
      </w:r>
    </w:p>
    <w:p>
      <w:pPr>
        <w:spacing w:after="0" w:line="176"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The Registrant’s annual report (“Annual Report”) on Form 20-F filed with the Commission on May 17, 2024.</w:t>
        </w:r>
      </w:hyperlink>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and, to the extent designated therein, certain Reports of Foreign Private Issuer on Form 6-K, furnished by the Registrant, after the date of this Registration Statement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directors’ and officers’ liability insurance for the members of our management and supervisory boards against civil liabilities, which they may incur in connection with their activities on behalf of our company, including against liabilities under the Securities Act.</w:t>
      </w:r>
    </w:p>
    <w:p>
      <w:pPr>
        <w:spacing w:after="0" w:line="1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57861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786120"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exhibits listed in the Exhibit Index below, which is incorporated into this item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2" w:lineRule="exact"/>
        <w:rPr>
          <w:sz w:val="20"/>
          <w:szCs w:val="20"/>
          <w:color w:val="auto"/>
        </w:rPr>
      </w:pPr>
    </w:p>
    <w:p>
      <w:pPr>
        <w:jc w:val="both"/>
        <w:ind w:left="9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w:t>
      </w:r>
    </w:p>
    <w:p>
      <w:pPr>
        <w:spacing w:after="0" w:line="1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57861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786120" cy="42545"/>
                    </a:xfrm>
                    <a:prstGeom prst="rect">
                      <a:avLst/>
                    </a:prstGeom>
                    <a:noFill/>
                  </pic:spPr>
                </pic:pic>
              </a:graphicData>
            </a:graphic>
          </wp:anchor>
        </w:drawing>
      </w:r>
    </w:p>
    <w:p>
      <w:pPr>
        <w:sectPr>
          <w:pgSz w:w="11900" w:h="16838" w:orient="portrait"/>
          <w:cols w:equalWidth="0" w:num="1">
            <w:col w:w="9080"/>
          </w:cols>
          <w:pgMar w:left="1400" w:top="1413" w:right="1419" w:bottom="1440" w:gutter="0" w:footer="0" w:header="0"/>
        </w:sectPr>
      </w:pPr>
    </w:p>
    <w:bookmarkStart w:id="3" w:name="page4"/>
    <w:bookmarkEnd w:id="3"/>
    <w:p>
      <w:pPr>
        <w:ind w:left="620"/>
        <w:spacing w:after="0" w:line="282" w:lineRule="auto"/>
        <w:rPr>
          <w:sz w:val="20"/>
          <w:szCs w:val="20"/>
          <w:color w:val="auto"/>
        </w:rPr>
      </w:pPr>
      <w:r>
        <w:rPr>
          <w:rFonts w:ascii="Times New Roman" w:cs="Times New Roman" w:eastAsia="Times New Roman" w:hAnsi="Times New Roman"/>
          <w:sz w:val="18"/>
          <w:szCs w:val="18"/>
          <w:color w:val="auto"/>
        </w:rPr>
        <w:t>whether such indemnification by it is against public policy as expressed in the Securities Act and will be governed by the final adjudication of such issue.</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716280</wp:posOffset>
            </wp:positionV>
            <wp:extent cx="5786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786120" cy="42545"/>
                    </a:xfrm>
                    <a:prstGeom prst="rect">
                      <a:avLst/>
                    </a:prstGeom>
                    <a:noFill/>
                  </pic:spPr>
                </pic:pic>
              </a:graphicData>
            </a:graphic>
          </wp:anchor>
        </w:drawing>
      </w:r>
    </w:p>
    <w:p>
      <w:pPr>
        <w:sectPr>
          <w:pgSz w:w="11900" w:h="16838" w:orient="portrait"/>
          <w:cols w:equalWidth="0" w:num="1">
            <w:col w:w="9040"/>
          </w:cols>
          <w:pgMar w:left="1440" w:top="1093" w:right="1419" w:bottom="1440" w:gutter="0" w:footer="0" w:header="0"/>
        </w:sectPr>
      </w:pPr>
    </w:p>
    <w:bookmarkStart w:id="4" w:name="page5"/>
    <w:bookmarkEnd w:id="4"/>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gridSpan w:val="1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2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79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Articles of Association of the Registrant (incorporated herein by reference to Exhibit 1.1 to the current report</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on Form 20-F filed on May 17, 2024)</w:t>
              </w:r>
            </w:hyperlink>
          </w:p>
        </w:tc>
        <w:tc>
          <w:tcPr>
            <w:tcW w:w="52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75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Deposit Agreement between the Registrant, the depositary and holders and beneficial owners of</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American Depositary Shares issued thereunder (incorporated by reference to Exhibit 4.1 to the Registrant’s</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18"/>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Registration Statement on Form F-1 (File No. 333-260357) filed with the SEC on November 3,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79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American Depositary Receipt evidencing American Depositary Shares (incorporated by reference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Exhibit 4.1 to the Registrant’s Registration Statement on Form F-1 (File No. 333-260357) filed with the SEC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on November 3, 2021)</w:t>
              </w:r>
            </w:hyperlink>
          </w:p>
        </w:tc>
        <w:tc>
          <w:tcPr>
            <w:tcW w:w="63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7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Opinion of Sullivan &amp; Cromwell LLP regarding the validity of ordinary shares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7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Mynaric AG, Stock Option Program 2022 (incorporated by reference to Exhibit 4.5 to the Company’s Annual</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18"/>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Report on Form 20-F (File No. 001-41045) filed with the SEC on May 1, 2023)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72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Mynaric AG, Restricted Stock Unit Program 2022 (incorporated by reference to Exhibit 10.6 to the</w:t>
              </w:r>
            </w:hyperlink>
          </w:p>
        </w:tc>
        <w:tc>
          <w:tcPr>
            <w:tcW w:w="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Company’s Registration Statement on Form F-3 (File No. 001-274793) filed with the SEC on September 29,</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21">
              <w:r>
                <w:rPr>
                  <w:rFonts w:ascii="Times New Roman" w:cs="Times New Roman" w:eastAsia="Times New Roman" w:hAnsi="Times New Roman"/>
                  <w:sz w:val="18"/>
                  <w:szCs w:val="18"/>
                  <w:color w:val="0000FF"/>
                  <w:w w:val="95"/>
                </w:rPr>
                <w:t>2023)</w:t>
              </w:r>
            </w:hyperlink>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77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Mynaric AG, Stock Option Program 2023 (incorporated by reference to Exhibit 4.7 to the current report on</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18"/>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20-F filed on May 17, 2024)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40" w:type="dxa"/>
            <w:vAlign w:val="bottom"/>
          </w:tcPr>
          <w:p>
            <w:pPr>
              <w:spacing w:after="0"/>
              <w:rPr>
                <w:sz w:val="24"/>
                <w:szCs w:val="24"/>
                <w:color w:val="auto"/>
              </w:rPr>
            </w:pPr>
          </w:p>
        </w:tc>
        <w:tc>
          <w:tcPr>
            <w:tcW w:w="4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KPMG AG Wirtschaftsprüfungsgesellschaft</w:t>
            </w:r>
          </w:p>
        </w:tc>
        <w:tc>
          <w:tcPr>
            <w:tcW w:w="39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w:t>
            </w:r>
          </w:p>
        </w:tc>
        <w:tc>
          <w:tcPr>
            <w:tcW w:w="140" w:type="dxa"/>
            <w:vAlign w:val="bottom"/>
          </w:tcPr>
          <w:p>
            <w:pPr>
              <w:spacing w:after="0"/>
              <w:rPr>
                <w:sz w:val="24"/>
                <w:szCs w:val="24"/>
                <w:color w:val="auto"/>
              </w:rPr>
            </w:pPr>
          </w:p>
        </w:tc>
        <w:tc>
          <w:tcPr>
            <w:tcW w:w="7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Sullivan &amp; Cromwell LLP (included in Exhibit 5.1)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w:t>
            </w:r>
          </w:p>
        </w:tc>
        <w:tc>
          <w:tcPr>
            <w:tcW w:w="140" w:type="dxa"/>
            <w:vAlign w:val="bottom"/>
          </w:tcPr>
          <w:p>
            <w:pPr>
              <w:spacing w:after="0"/>
              <w:rPr>
                <w:sz w:val="24"/>
                <w:szCs w:val="24"/>
                <w:color w:val="auto"/>
              </w:rPr>
            </w:pPr>
          </w:p>
        </w:tc>
        <w:tc>
          <w:tcPr>
            <w:tcW w:w="5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Powers of Attorney (included on signature page to the registration statement)</w:t>
            </w:r>
          </w:p>
        </w:tc>
        <w:tc>
          <w:tcPr>
            <w:tcW w:w="2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c>
          <w:tcPr>
            <w:tcW w:w="140" w:type="dxa"/>
            <w:vAlign w:val="bottom"/>
          </w:tcPr>
          <w:p>
            <w:pPr>
              <w:spacing w:after="0"/>
              <w:rPr>
                <w:sz w:val="24"/>
                <w:szCs w:val="24"/>
                <w:color w:val="auto"/>
              </w:rPr>
            </w:pPr>
          </w:p>
        </w:tc>
        <w:tc>
          <w:tcPr>
            <w:tcW w:w="2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Calculation of Filing Fee Tables</w:t>
            </w:r>
          </w:p>
        </w:tc>
        <w:tc>
          <w:tcPr>
            <w:tcW w:w="56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0" w:hanging="356"/>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716280</wp:posOffset>
            </wp:positionV>
            <wp:extent cx="5786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5786120" cy="42545"/>
                    </a:xfrm>
                    <a:prstGeom prst="rect">
                      <a:avLst/>
                    </a:prstGeom>
                    <a:noFill/>
                  </pic:spPr>
                </pic:pic>
              </a:graphicData>
            </a:graphic>
          </wp:anchor>
        </w:drawing>
      </w:r>
    </w:p>
    <w:p>
      <w:pPr>
        <w:sectPr>
          <w:pgSz w:w="11900" w:h="16838" w:orient="portrait"/>
          <w:cols w:equalWidth="0" w:num="1">
            <w:col w:w="9040"/>
          </w:cols>
          <w:pgMar w:left="1420" w:top="1440" w:right="1439" w:bottom="1440" w:gutter="0" w:footer="0" w:header="0"/>
        </w:sectPr>
      </w:pPr>
    </w:p>
    <w:bookmarkStart w:id="5" w:name="page6"/>
    <w:bookmarkEnd w:id="5"/>
    <w:p>
      <w:pPr>
        <w:spacing w:after="0" w:line="8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Munich, the Federal Republic of Germany on May 17, 2024.</w:t>
      </w:r>
    </w:p>
    <w:p>
      <w:pPr>
        <w:spacing w:after="0" w:line="1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0"/>
          <w:szCs w:val="20"/>
          <w:color w:val="auto"/>
        </w:rPr>
      </w:pPr>
    </w:p>
    <w:p>
      <w:pPr>
        <w:spacing w:after="0" w:line="326" w:lineRule="exact"/>
        <w:rPr>
          <w:sz w:val="20"/>
          <w:szCs w:val="20"/>
          <w:color w:val="auto"/>
        </w:rPr>
      </w:pPr>
    </w:p>
    <w:tbl>
      <w:tblPr>
        <w:tblLayout w:type="fixed"/>
        <w:tblInd w:w="5120" w:type="dxa"/>
        <w:tblCellMar>
          <w:top w:w="0" w:type="dxa"/>
          <w:left w:w="0" w:type="dxa"/>
          <w:bottom w:w="0" w:type="dxa"/>
          <w:right w:w="0" w:type="dxa"/>
        </w:tblCellMar>
      </w:tblPr>
      <w:tr>
        <w:trPr>
          <w:trHeight w:val="24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Mustafa Veziroglu</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Mustafa Veziroglu</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3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Berndt-von Bülow</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Stefan Berndt-von Bülow</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80" w:firstLine="324"/>
        <w:spacing w:after="0" w:line="269"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does hereby constitute and appoint Mustafa Veziroglu and Stefan Berndt-von Bülow,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82"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64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20" w:type="dxa"/>
            <w:vAlign w:val="bottom"/>
          </w:tcPr>
          <w:p>
            <w:pPr>
              <w:spacing w:after="0"/>
              <w:rPr>
                <w:sz w:val="18"/>
                <w:szCs w:val="18"/>
                <w:color w:val="auto"/>
              </w:rPr>
            </w:pPr>
          </w:p>
        </w:tc>
        <w:tc>
          <w:tcPr>
            <w:tcW w:w="136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63"/>
        </w:trPr>
        <w:tc>
          <w:tcPr>
            <w:tcW w:w="33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w w:val="99"/>
              </w:rPr>
              <w:t>By: /s/ Mustafa Veziroglu</w:t>
            </w:r>
          </w:p>
        </w:tc>
        <w:tc>
          <w:tcPr>
            <w:tcW w:w="3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Executive Officer Member of the</w:t>
            </w: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May 17</w:t>
            </w:r>
            <w:r>
              <w:rPr>
                <w:rFonts w:ascii="Times New Roman" w:cs="Times New Roman" w:eastAsia="Times New Roman" w:hAnsi="Times New Roman"/>
                <w:sz w:val="17"/>
                <w:szCs w:val="17"/>
                <w:color w:val="auto"/>
              </w:rPr>
              <w:t>, 2024</w:t>
            </w:r>
          </w:p>
        </w:tc>
      </w:tr>
      <w:tr>
        <w:trPr>
          <w:trHeight w:val="20"/>
        </w:trPr>
        <w:tc>
          <w:tcPr>
            <w:tcW w:w="9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33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w w:val="98"/>
              </w:rPr>
              <w:t>Name: Mustafa Veziroglu</w:t>
            </w:r>
          </w:p>
        </w:tc>
        <w:tc>
          <w:tcPr>
            <w:tcW w:w="36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Management Board</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742"/>
        </w:trPr>
        <w:tc>
          <w:tcPr>
            <w:tcW w:w="33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rPr>
              <w:t>By: /s/ Stefan Berndt-von Bülow</w:t>
            </w:r>
          </w:p>
        </w:tc>
        <w:tc>
          <w:tcPr>
            <w:tcW w:w="36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Chief Financial Officer and Member of</w:t>
            </w: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May 17</w:t>
            </w:r>
            <w:r>
              <w:rPr>
                <w:rFonts w:ascii="Times New Roman" w:cs="Times New Roman" w:eastAsia="Times New Roman" w:hAnsi="Times New Roman"/>
                <w:sz w:val="17"/>
                <w:szCs w:val="17"/>
                <w:color w:val="auto"/>
              </w:rPr>
              <w:t>, 2024</w:t>
            </w:r>
          </w:p>
        </w:tc>
      </w:tr>
      <w:tr>
        <w:trPr>
          <w:trHeight w:val="20"/>
        </w:trPr>
        <w:tc>
          <w:tcPr>
            <w:tcW w:w="94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6"/>
        </w:trPr>
        <w:tc>
          <w:tcPr>
            <w:tcW w:w="33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rPr>
              <w:t>Name: Stefan Berndt-von Bülow</w:t>
            </w:r>
          </w:p>
        </w:tc>
        <w:tc>
          <w:tcPr>
            <w:tcW w:w="36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the Management Board</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742"/>
        </w:trPr>
        <w:tc>
          <w:tcPr>
            <w:tcW w:w="33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w w:val="99"/>
              </w:rPr>
              <w:t>By: /s/ Joachim Horwath</w:t>
            </w:r>
          </w:p>
        </w:tc>
        <w:tc>
          <w:tcPr>
            <w:tcW w:w="36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Chief Technology Officer and Member</w:t>
            </w:r>
          </w:p>
        </w:tc>
        <w:tc>
          <w:tcPr>
            <w:tcW w:w="2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May 17</w:t>
            </w:r>
            <w:r>
              <w:rPr>
                <w:rFonts w:ascii="Times New Roman" w:cs="Times New Roman" w:eastAsia="Times New Roman" w:hAnsi="Times New Roman"/>
                <w:sz w:val="17"/>
                <w:szCs w:val="17"/>
                <w:color w:val="auto"/>
              </w:rPr>
              <w:t>, 2024</w:t>
            </w:r>
          </w:p>
        </w:tc>
      </w:tr>
      <w:tr>
        <w:trPr>
          <w:trHeight w:val="20"/>
        </w:trPr>
        <w:tc>
          <w:tcPr>
            <w:tcW w:w="1220" w:type="dxa"/>
            <w:vAlign w:val="bottom"/>
            <w:gridSpan w:val="2"/>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6"/>
        </w:trPr>
        <w:tc>
          <w:tcPr>
            <w:tcW w:w="33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w w:val="98"/>
              </w:rPr>
              <w:t>Name: Joachim Horwath</w:t>
            </w:r>
          </w:p>
        </w:tc>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of the Management Board</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702"/>
        </w:trPr>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27"/>
        </w:trPr>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5744210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540"/>
          </w:cols>
          <w:pgMar w:left="1400" w:top="1440" w:right="959" w:bottom="1162" w:gutter="0" w:footer="0" w:header="0"/>
        </w:sectPr>
      </w:pPr>
    </w:p>
    <w:bookmarkStart w:id="6" w:name="page7"/>
    <w:bookmarkEnd w:id="6"/>
    <w:p>
      <w:pPr>
        <w:spacing w:after="0" w:line="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Securities Act of 1933, as amended, the undersigned, the duly appointed representative in the United States of Mynaric AG has signed this registration statement or amendment thereto in the city of Newark, State of Delaware on </w:t>
      </w:r>
      <w:r>
        <w:rPr>
          <w:rFonts w:ascii="Times New Roman" w:cs="Times New Roman" w:eastAsia="Times New Roman" w:hAnsi="Times New Roman"/>
          <w:sz w:val="16"/>
          <w:szCs w:val="16"/>
          <w:color w:val="auto"/>
        </w:rPr>
        <w:t>May 17</w:t>
      </w: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ind w:left="546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20142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57861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5786120" cy="42545"/>
                    </a:xfrm>
                    <a:prstGeom prst="rect">
                      <a:avLst/>
                    </a:prstGeom>
                    <a:noFill/>
                  </pic:spPr>
                </pic:pic>
              </a:graphicData>
            </a:graphic>
          </wp:anchor>
        </w:drawing>
      </w:r>
    </w:p>
    <w:p>
      <w:pPr>
        <w:sectPr>
          <w:pgSz w:w="11900" w:h="16838" w:orient="portrait"/>
          <w:cols w:equalWidth="0" w:num="1">
            <w:col w:w="9059"/>
          </w:cols>
          <w:pgMar w:left="1400" w:top="1440" w:right="1440" w:bottom="1440" w:gutter="0" w:footer="0" w:header="0"/>
        </w:sectPr>
      </w:pPr>
    </w:p>
    <w:bookmarkStart w:id="7" w:name="page8"/>
    <w:bookmarkEnd w:id="7"/>
    <w:p>
      <w:pPr>
        <w:jc w:val="right"/>
        <w:ind w:right="459"/>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[Letterhead of Sullivan &amp; Cromwell LLP]</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2"/>
          <w:szCs w:val="22"/>
          <w:color w:val="auto"/>
        </w:rPr>
        <w:t>May 17,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Mynaric AG</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Bertha-Kipfmüller-Str. 2-8</w:t>
      </w:r>
    </w:p>
    <w:p>
      <w:pPr>
        <w:ind w:left="1080"/>
        <w:spacing w:after="0" w:line="230" w:lineRule="auto"/>
        <w:rPr>
          <w:sz w:val="20"/>
          <w:szCs w:val="20"/>
          <w:color w:val="auto"/>
        </w:rPr>
      </w:pPr>
      <w:r>
        <w:rPr>
          <w:rFonts w:ascii="Times New Roman" w:cs="Times New Roman" w:eastAsia="Times New Roman" w:hAnsi="Times New Roman"/>
          <w:sz w:val="22"/>
          <w:szCs w:val="22"/>
          <w:color w:val="auto"/>
        </w:rPr>
        <w:t>81249 Munich</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0"/>
          <w:szCs w:val="20"/>
          <w:color w:val="auto"/>
        </w:rPr>
      </w:pPr>
    </w:p>
    <w:p>
      <w:pPr>
        <w:jc w:val="both"/>
        <w:ind w:left="1080" w:right="459" w:firstLine="1296"/>
        <w:spacing w:after="0" w:line="247" w:lineRule="exact"/>
        <w:rPr>
          <w:sz w:val="20"/>
          <w:szCs w:val="20"/>
          <w:color w:val="auto"/>
        </w:rPr>
      </w:pPr>
      <w:r>
        <w:rPr>
          <w:rFonts w:ascii="Times New Roman" w:cs="Times New Roman" w:eastAsia="Times New Roman" w:hAnsi="Times New Roman"/>
          <w:sz w:val="22"/>
          <w:szCs w:val="22"/>
          <w:color w:val="auto"/>
        </w:rPr>
        <w:t xml:space="preserve">We are acting as German counsel to Mynaric AG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stock corporation (</w:t>
      </w:r>
      <w:r>
        <w:rPr>
          <w:rFonts w:ascii="Times New Roman" w:cs="Times New Roman" w:eastAsia="Times New Roman" w:hAnsi="Times New Roman"/>
          <w:sz w:val="22"/>
          <w:szCs w:val="22"/>
          <w:i w:val="1"/>
          <w:iCs w:val="1"/>
          <w:color w:val="auto"/>
        </w:rPr>
        <w:t>Aktiengesellschaft</w:t>
      </w:r>
      <w:r>
        <w:rPr>
          <w:rFonts w:ascii="Times New Roman" w:cs="Times New Roman" w:eastAsia="Times New Roman" w:hAnsi="Times New Roman"/>
          <w:sz w:val="22"/>
          <w:szCs w:val="22"/>
          <w:color w:val="auto"/>
        </w:rPr>
        <w:t>) incorporated under the laws of the Federal Republic of Germany (</w:t>
      </w:r>
      <w:r>
        <w:rPr>
          <w:rFonts w:ascii="Times New Roman" w:cs="Times New Roman" w:eastAsia="Times New Roman" w:hAnsi="Times New Roman"/>
          <w:sz w:val="22"/>
          <w:szCs w:val="22"/>
          <w:b w:val="1"/>
          <w:bCs w:val="1"/>
          <w:color w:val="auto"/>
        </w:rPr>
        <w:t>Germany</w:t>
      </w:r>
      <w:r>
        <w:rPr>
          <w:rFonts w:ascii="Times New Roman" w:cs="Times New Roman" w:eastAsia="Times New Roman" w:hAnsi="Times New Roman"/>
          <w:sz w:val="22"/>
          <w:szCs w:val="22"/>
          <w:color w:val="auto"/>
        </w:rPr>
        <w:t>), as to matters of German law in connection with the filing with the Securities and Exchange Commission of a registration statement on Form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8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xml:space="preserve">) on May 17, 2024. The purpose of the Registration Statement is to register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574,464 ordinary shares with no-par value, which, upon a potential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future conversion into American Depositary Shares evidenced by American depositary receipts (the </w:t>
      </w:r>
      <w:r>
        <w:rPr>
          <w:rFonts w:ascii="Times New Roman" w:cs="Times New Roman" w:eastAsia="Times New Roman" w:hAnsi="Times New Roman"/>
          <w:sz w:val="22"/>
          <w:szCs w:val="22"/>
          <w:b w:val="1"/>
          <w:bCs w:val="1"/>
          <w:color w:val="auto"/>
        </w:rPr>
        <w:t>ADSs</w:t>
      </w:r>
      <w:r>
        <w:rPr>
          <w:rFonts w:ascii="Times New Roman" w:cs="Times New Roman" w:eastAsia="Times New Roman" w:hAnsi="Times New Roman"/>
          <w:sz w:val="22"/>
          <w:szCs w:val="22"/>
          <w:color w:val="auto"/>
        </w:rPr>
        <w:t xml:space="preserve">), will represent 2,297,856 ADSs, each representing an ownership interest of one-quarter (1/4) of an ordinary shares of the Company with a notional amount attributable to each ordinary share of € 1.00 per share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xml:space="preserve">). These 574,464 Shares are or may become issuable under the following programs: 115,000 Shares under the Stock Option Program 2022, 262,147 under the Restricted Stock Unit Program 2022, and 197,317 under the Stock Option Program 2023 (together, the </w:t>
      </w:r>
      <w:r>
        <w:rPr>
          <w:rFonts w:ascii="Times New Roman" w:cs="Times New Roman" w:eastAsia="Times New Roman" w:hAnsi="Times New Roman"/>
          <w:sz w:val="22"/>
          <w:szCs w:val="22"/>
          <w:b w:val="1"/>
          <w:bCs w:val="1"/>
          <w:color w:val="auto"/>
        </w:rPr>
        <w:t>Plans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both"/>
        <w:ind w:left="1080" w:right="459" w:firstLine="1296"/>
        <w:spacing w:after="0" w:line="238" w:lineRule="auto"/>
        <w:rPr>
          <w:sz w:val="20"/>
          <w:szCs w:val="20"/>
          <w:color w:val="auto"/>
        </w:rPr>
      </w:pPr>
      <w:r>
        <w:rPr>
          <w:rFonts w:ascii="Times New Roman" w:cs="Times New Roman" w:eastAsia="Times New Roman" w:hAnsi="Times New Roman"/>
          <w:sz w:val="22"/>
          <w:szCs w:val="22"/>
          <w:color w:val="auto"/>
        </w:rPr>
        <w:t>This opinion is being furnished to the Company in connection with the requirements of Item 601(b)(5) of Regulation S-K under the Securities Act, and no opinion is expressed herein as to any matter pertaining to the contents of the Registration Statement other than as expressly stated herein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1034415</wp:posOffset>
            </wp:positionV>
            <wp:extent cx="47745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4774565" cy="42545"/>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 xml:space="preserve">In this context, we examined,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following documents:</w:t>
      </w:r>
    </w:p>
    <w:p>
      <w:pPr>
        <w:spacing w:after="0" w:line="314" w:lineRule="exact"/>
        <w:rPr>
          <w:sz w:val="20"/>
          <w:szCs w:val="20"/>
          <w:color w:val="auto"/>
        </w:rPr>
      </w:pPr>
    </w:p>
    <w:p>
      <w:pPr>
        <w:ind w:left="2380" w:right="459" w:hanging="643"/>
        <w:spacing w:after="0" w:line="262" w:lineRule="auto"/>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current articles of association (</w:t>
      </w:r>
      <w:r>
        <w:rPr>
          <w:rFonts w:ascii="Times New Roman" w:cs="Times New Roman" w:eastAsia="Times New Roman" w:hAnsi="Times New Roman"/>
          <w:sz w:val="22"/>
          <w:szCs w:val="22"/>
          <w:i w:val="1"/>
          <w:iCs w:val="1"/>
          <w:color w:val="auto"/>
        </w:rPr>
        <w:t>Satzung</w:t>
      </w:r>
      <w:r>
        <w:rPr>
          <w:rFonts w:ascii="Times New Roman" w:cs="Times New Roman" w:eastAsia="Times New Roman" w:hAnsi="Times New Roman"/>
          <w:sz w:val="22"/>
          <w:szCs w:val="22"/>
          <w:color w:val="auto"/>
        </w:rPr>
        <w:t xml:space="preserve">) of the Company dated April 2, 2024 (the </w:t>
      </w:r>
      <w:r>
        <w:rPr>
          <w:rFonts w:ascii="Times New Roman" w:cs="Times New Roman" w:eastAsia="Times New Roman" w:hAnsi="Times New Roman"/>
          <w:sz w:val="22"/>
          <w:szCs w:val="22"/>
          <w:b w:val="1"/>
          <w:bCs w:val="1"/>
          <w:color w:val="auto"/>
        </w:rPr>
        <w:t>Articles of Association</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left="2380" w:right="459" w:hanging="643"/>
        <w:spacing w:after="0" w:line="239" w:lineRule="auto"/>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an electronic excerpt from the commercial register (</w:t>
      </w:r>
      <w:r>
        <w:rPr>
          <w:rFonts w:ascii="Times New Roman" w:cs="Times New Roman" w:eastAsia="Times New Roman" w:hAnsi="Times New Roman"/>
          <w:sz w:val="22"/>
          <w:szCs w:val="22"/>
          <w:i w:val="1"/>
          <w:iCs w:val="1"/>
          <w:color w:val="auto"/>
        </w:rPr>
        <w:t>Handelsregister</w:t>
      </w:r>
      <w:r>
        <w:rPr>
          <w:rFonts w:ascii="Times New Roman" w:cs="Times New Roman" w:eastAsia="Times New Roman" w:hAnsi="Times New Roman"/>
          <w:sz w:val="22"/>
          <w:szCs w:val="22"/>
          <w:color w:val="auto"/>
        </w:rPr>
        <w:t>) of the local court (</w:t>
      </w:r>
      <w:r>
        <w:rPr>
          <w:rFonts w:ascii="Times New Roman" w:cs="Times New Roman" w:eastAsia="Times New Roman" w:hAnsi="Times New Roman"/>
          <w:sz w:val="22"/>
          <w:szCs w:val="22"/>
          <w:i w:val="1"/>
          <w:iCs w:val="1"/>
          <w:color w:val="auto"/>
        </w:rPr>
        <w:t>Amtsgericht</w:t>
      </w:r>
      <w:r>
        <w:rPr>
          <w:rFonts w:ascii="Times New Roman" w:cs="Times New Roman" w:eastAsia="Times New Roman" w:hAnsi="Times New Roman"/>
          <w:sz w:val="22"/>
          <w:szCs w:val="22"/>
          <w:color w:val="auto"/>
        </w:rPr>
        <w:t xml:space="preserve">) of Munich, Germany (the </w:t>
      </w:r>
      <w:r>
        <w:rPr>
          <w:rFonts w:ascii="Times New Roman" w:cs="Times New Roman" w:eastAsia="Times New Roman" w:hAnsi="Times New Roman"/>
          <w:sz w:val="22"/>
          <w:szCs w:val="22"/>
          <w:b w:val="1"/>
          <w:bCs w:val="1"/>
          <w:color w:val="auto"/>
        </w:rPr>
        <w:t>Commercial Register</w:t>
      </w:r>
      <w:r>
        <w:rPr>
          <w:rFonts w:ascii="Times New Roman" w:cs="Times New Roman" w:eastAsia="Times New Roman" w:hAnsi="Times New Roman"/>
          <w:sz w:val="22"/>
          <w:szCs w:val="22"/>
          <w:color w:val="auto"/>
        </w:rPr>
        <w:t>), docket number HRB 232763, relating to the Company dated May 7, 2024;</w:t>
      </w:r>
    </w:p>
    <w:p>
      <w:pPr>
        <w:spacing w:after="0" w:line="180" w:lineRule="exact"/>
        <w:rPr>
          <w:rFonts w:ascii="Times New Roman" w:cs="Times New Roman" w:eastAsia="Times New Roman" w:hAnsi="Times New Roman"/>
          <w:sz w:val="22"/>
          <w:szCs w:val="22"/>
          <w:color w:val="auto"/>
        </w:rPr>
      </w:pPr>
    </w:p>
    <w:p>
      <w:pPr>
        <w:ind w:left="2380" w:right="459" w:hanging="643"/>
        <w:spacing w:after="0" w:line="241" w:lineRule="auto"/>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email confirmation by the Company’s Chief Financial Officer, Stefan</w:t>
      </w:r>
    </w:p>
    <w:p>
      <w:pPr>
        <w:spacing w:after="0" w:line="1" w:lineRule="exact"/>
        <w:rPr>
          <w:rFonts w:ascii="Times New Roman" w:cs="Times New Roman" w:eastAsia="Times New Roman" w:hAnsi="Times New Roman"/>
          <w:sz w:val="22"/>
          <w:szCs w:val="22"/>
          <w:color w:val="auto"/>
        </w:rPr>
      </w:pPr>
    </w:p>
    <w:p>
      <w:pPr>
        <w:ind w:left="2380" w:right="57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Berndt-von Bülow, of May 17, 2024, stating that there have been no changes to the information stated in the excerpt from the Commercial Register, under docket number HRB 232763, relating to the Company since May 7, 2024;</w:t>
      </w:r>
    </w:p>
    <w:p>
      <w:pPr>
        <w:spacing w:after="0" w:line="177" w:lineRule="exact"/>
        <w:rPr>
          <w:rFonts w:ascii="Times New Roman" w:cs="Times New Roman" w:eastAsia="Times New Roman" w:hAnsi="Times New Roman"/>
          <w:sz w:val="22"/>
          <w:szCs w:val="22"/>
          <w:color w:val="auto"/>
        </w:rPr>
      </w:pPr>
    </w:p>
    <w:p>
      <w:pPr>
        <w:ind w:left="2380" w:hanging="643"/>
        <w:spacing w:after="0"/>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Plan;</w:t>
      </w:r>
    </w:p>
    <w:p>
      <w:pPr>
        <w:spacing w:after="0" w:line="206" w:lineRule="exact"/>
        <w:rPr>
          <w:rFonts w:ascii="Times New Roman" w:cs="Times New Roman" w:eastAsia="Times New Roman" w:hAnsi="Times New Roman"/>
          <w:sz w:val="22"/>
          <w:szCs w:val="22"/>
          <w:color w:val="auto"/>
        </w:rPr>
      </w:pPr>
    </w:p>
    <w:p>
      <w:pPr>
        <w:jc w:val="both"/>
        <w:ind w:left="2380" w:right="459" w:hanging="643"/>
        <w:spacing w:after="0" w:line="244" w:lineRule="auto"/>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copy of the minutes of the resolutions of the supervisory board of September 30, 2022, regarding,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approval of the Stock Option Program 2022;</w:t>
      </w:r>
    </w:p>
    <w:p>
      <w:pPr>
        <w:spacing w:after="0" w:line="173" w:lineRule="exact"/>
        <w:rPr>
          <w:rFonts w:ascii="Times New Roman" w:cs="Times New Roman" w:eastAsia="Times New Roman" w:hAnsi="Times New Roman"/>
          <w:sz w:val="22"/>
          <w:szCs w:val="22"/>
          <w:color w:val="auto"/>
        </w:rPr>
      </w:pPr>
    </w:p>
    <w:p>
      <w:pPr>
        <w:jc w:val="both"/>
        <w:ind w:left="2380" w:right="459" w:hanging="643"/>
        <w:spacing w:after="0" w:line="244" w:lineRule="auto"/>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copy of the minutes of the resolutions of the supervisory board of March 29, 2023, regarding,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approval of the Restricted Stock Units Program 2022;</w:t>
      </w:r>
    </w:p>
    <w:p>
      <w:pPr>
        <w:spacing w:after="0" w:line="173" w:lineRule="exact"/>
        <w:rPr>
          <w:rFonts w:ascii="Times New Roman" w:cs="Times New Roman" w:eastAsia="Times New Roman" w:hAnsi="Times New Roman"/>
          <w:sz w:val="22"/>
          <w:szCs w:val="22"/>
          <w:color w:val="auto"/>
        </w:rPr>
      </w:pPr>
    </w:p>
    <w:p>
      <w:pPr>
        <w:jc w:val="both"/>
        <w:ind w:left="2380" w:right="459" w:hanging="643"/>
        <w:spacing w:after="0" w:line="244" w:lineRule="auto"/>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minutes of the resolutions of the supervisory board of December 12, 2023, regarding the approval of the Stock Option Program 2023;</w:t>
      </w:r>
    </w:p>
    <w:p>
      <w:pPr>
        <w:spacing w:after="0" w:line="173" w:lineRule="exact"/>
        <w:rPr>
          <w:rFonts w:ascii="Times New Roman" w:cs="Times New Roman" w:eastAsia="Times New Roman" w:hAnsi="Times New Roman"/>
          <w:sz w:val="22"/>
          <w:szCs w:val="22"/>
          <w:color w:val="auto"/>
        </w:rPr>
      </w:pPr>
    </w:p>
    <w:p>
      <w:pPr>
        <w:jc w:val="both"/>
        <w:ind w:left="2380" w:right="459" w:hanging="643"/>
        <w:spacing w:after="0" w:line="261" w:lineRule="auto"/>
        <w:tabs>
          <w:tab w:leader="none" w:pos="23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minutes of the annual general shareholders’ meeting of the Company, held on July 14, 2022, which resolved on the creation of the Authorized Capital 2022/II and the Conditional Capital 2022/II;</w:t>
      </w:r>
    </w:p>
    <w:p>
      <w:pPr>
        <w:spacing w:after="0" w:line="157" w:lineRule="exact"/>
        <w:rPr>
          <w:rFonts w:ascii="Times New Roman" w:cs="Times New Roman" w:eastAsia="Times New Roman" w:hAnsi="Times New Roman"/>
          <w:sz w:val="21"/>
          <w:szCs w:val="21"/>
          <w:color w:val="auto"/>
        </w:rPr>
      </w:pPr>
    </w:p>
    <w:p>
      <w:pPr>
        <w:jc w:val="both"/>
        <w:ind w:left="2380" w:right="459" w:hanging="643"/>
        <w:spacing w:after="0" w:line="239" w:lineRule="auto"/>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copy of the minutes of the annual general shareholders’ meeting of the Company, held on August 8, 2023, which resolved on the creation of the Conditional Capital 2023 (together with the resolutions under D) to H), the </w:t>
      </w:r>
      <w:r>
        <w:rPr>
          <w:rFonts w:ascii="Times New Roman" w:cs="Times New Roman" w:eastAsia="Times New Roman" w:hAnsi="Times New Roman"/>
          <w:sz w:val="22"/>
          <w:szCs w:val="22"/>
          <w:b w:val="1"/>
          <w:bCs w:val="1"/>
          <w:color w:val="auto"/>
        </w:rPr>
        <w:t>Resolutions</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ind w:left="2380" w:hanging="643"/>
        <w:spacing w:after="0"/>
        <w:tabs>
          <w:tab w:leader="none" w:pos="2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Registration Statement.</w:t>
      </w:r>
    </w:p>
    <w:p>
      <w:pPr>
        <w:spacing w:after="0" w:line="314" w:lineRule="exact"/>
        <w:rPr>
          <w:sz w:val="20"/>
          <w:szCs w:val="20"/>
          <w:color w:val="auto"/>
        </w:rPr>
      </w:pPr>
    </w:p>
    <w:p>
      <w:pPr>
        <w:jc w:val="both"/>
        <w:ind w:left="1080" w:right="459" w:firstLine="1296"/>
        <w:spacing w:after="0" w:line="246" w:lineRule="auto"/>
        <w:rPr>
          <w:sz w:val="20"/>
          <w:szCs w:val="20"/>
          <w:color w:val="auto"/>
        </w:rPr>
      </w:pPr>
      <w:r>
        <w:rPr>
          <w:rFonts w:ascii="Times New Roman" w:cs="Times New Roman" w:eastAsia="Times New Roman" w:hAnsi="Times New Roman"/>
          <w:sz w:val="21"/>
          <w:szCs w:val="21"/>
          <w:color w:val="auto"/>
        </w:rPr>
        <w:t>In giving this opinion, we have assumed that all documents submitted to us as a copy correspond to the respective original and that all documents examined by us are within the power of, and have been or will be validly authorized and executed by all parties thereto other than the Company, which is acting on the basis of the Resolutions. We have further assumed (1) that all authorizations, other than those authorizing the Company with respect to which we have received copies of the Resolutions, have been or will be validly issued and that none of these authorizations has been revoked, (2) that all documents, including electronic excerpts from the Commercial Register, submitted to us and made as of a specific date, have not been</w:t>
      </w:r>
    </w:p>
    <w:p>
      <w:pPr>
        <w:spacing w:after="0" w:line="17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555625</wp:posOffset>
            </wp:positionV>
            <wp:extent cx="47745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7745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080" w:right="459"/>
        <w:spacing w:after="0" w:line="232" w:lineRule="auto"/>
        <w:rPr>
          <w:sz w:val="20"/>
          <w:szCs w:val="20"/>
          <w:color w:val="auto"/>
        </w:rPr>
      </w:pPr>
      <w:r>
        <w:rPr>
          <w:rFonts w:ascii="Times New Roman" w:cs="Times New Roman" w:eastAsia="Times New Roman" w:hAnsi="Times New Roman"/>
          <w:sz w:val="22"/>
          <w:szCs w:val="22"/>
          <w:color w:val="auto"/>
        </w:rPr>
        <w:t xml:space="preserve">amended, cancelled, or otherwise been altered since that date until the date hereof, (3) that all documents submitted to us in purported final draft form have been, or will be, executed in the form submitted, (4) that the Company will at all times continue to have sufficient authorized or conditional share capital with the relevant authorization to waive any pre-emptive subscription rights; (5) that the management board and the supervisory board of the Company will duly pass the relevant resolutions for the issue of the Shares (the </w:t>
      </w:r>
      <w:r>
        <w:rPr>
          <w:rFonts w:ascii="Times New Roman" w:cs="Times New Roman" w:eastAsia="Times New Roman" w:hAnsi="Times New Roman"/>
          <w:sz w:val="22"/>
          <w:szCs w:val="22"/>
          <w:b w:val="1"/>
          <w:bCs w:val="1"/>
          <w:color w:val="auto"/>
        </w:rPr>
        <w:t>Board Resolutions</w:t>
      </w:r>
      <w:r>
        <w:rPr>
          <w:rFonts w:ascii="Times New Roman" w:cs="Times New Roman" w:eastAsia="Times New Roman" w:hAnsi="Times New Roman"/>
          <w:sz w:val="22"/>
          <w:szCs w:val="22"/>
          <w:color w:val="auto"/>
        </w:rPr>
        <w:t>) in accordance with the Articles of Association, the terms of the Plans, the Resolutions and applicable law; (6) that upon issue of any Shares, the Company will receive payment in cash of an issue price in accordance with the Plans, the Resolutions and applicable law and (7) that there will be no amendments to the authorized share capital of the Company which would adversely affect the issue of the Shares and the conclusions stated in this opinion. As to any facts relevant to the opinions stated herein that we did not independently establish or verify, we have relied upon statements and representations of officers and other representatives of the Company and others and of public officials. In this opinion, the phrase “non-assessable” means, with respect to the issuance of Shares, that a shareholder shall not, in respect of the relevant Shares, have any obligation to make further contributions to the Company’s assets (except in exceptional circumstances in which a court may be prepared to pierce or lift the corporate veil) (</w:t>
      </w:r>
      <w:r>
        <w:rPr>
          <w:rFonts w:ascii="Times New Roman" w:cs="Times New Roman" w:eastAsia="Times New Roman" w:hAnsi="Times New Roman"/>
          <w:sz w:val="22"/>
          <w:szCs w:val="22"/>
          <w:i w:val="1"/>
          <w:iCs w:val="1"/>
          <w:color w:val="auto"/>
        </w:rPr>
        <w:t>nicht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nachschusspflichtig</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1080" w:right="459" w:firstLine="1296"/>
        <w:spacing w:after="0" w:line="234" w:lineRule="auto"/>
        <w:rPr>
          <w:sz w:val="20"/>
          <w:szCs w:val="20"/>
          <w:color w:val="auto"/>
        </w:rPr>
      </w:pPr>
      <w:r>
        <w:rPr>
          <w:rFonts w:ascii="Times New Roman" w:cs="Times New Roman" w:eastAsia="Times New Roman" w:hAnsi="Times New Roman"/>
          <w:sz w:val="22"/>
          <w:szCs w:val="22"/>
          <w:color w:val="auto"/>
        </w:rPr>
        <w:t>Based upon and subject to the foregoing and the qualifications set out below, we are of the opinion that when the Company as a German stock corporation has issued the Shares against payment therefor under the circumstances contemplated by the Plans, assuming in each case that the individual issuances, grants or awards under the Plans are duly issued, granted or awarded and exercised in accordance with the requirements of law, the Resolutions, the Board Resolutions, the Articles of Association, and the Plans (and the agreements and awards duly adopted thereunder and in accordance therewith), the Shares will be validly issued, fully paid and non-assessable.</w:t>
      </w:r>
    </w:p>
    <w:p>
      <w:pPr>
        <w:spacing w:after="0" w:line="29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The foregoing opinions are subject to the following qualifications:</w:t>
      </w:r>
    </w:p>
    <w:p>
      <w:pPr>
        <w:spacing w:after="0" w:line="310" w:lineRule="exact"/>
        <w:rPr>
          <w:sz w:val="20"/>
          <w:szCs w:val="20"/>
          <w:color w:val="auto"/>
        </w:rPr>
      </w:pPr>
    </w:p>
    <w:p>
      <w:pPr>
        <w:jc w:val="both"/>
        <w:ind w:left="1080" w:right="459" w:firstLine="657"/>
        <w:spacing w:after="0" w:line="237" w:lineRule="auto"/>
        <w:tabs>
          <w:tab w:leader="none" w:pos="2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Sections 57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71a of the German Stock Corporation Act (</w:t>
      </w:r>
      <w:r>
        <w:rPr>
          <w:rFonts w:ascii="Times New Roman" w:cs="Times New Roman" w:eastAsia="Times New Roman" w:hAnsi="Times New Roman"/>
          <w:sz w:val="22"/>
          <w:szCs w:val="22"/>
          <w:i w:val="1"/>
          <w:iCs w:val="1"/>
          <w:color w:val="auto"/>
        </w:rPr>
        <w:t>Aktiengesetz</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AktG</w:t>
      </w:r>
      <w:r>
        <w:rPr>
          <w:rFonts w:ascii="Times New Roman" w:cs="Times New Roman" w:eastAsia="Times New Roman" w:hAnsi="Times New Roman"/>
          <w:sz w:val="22"/>
          <w:szCs w:val="22"/>
          <w:color w:val="auto"/>
        </w:rPr>
        <w:t>), except for dividends or unless explicitly permitted under the AktG, no payments, other distributions, financing arrangements, financial support, or other services of any kind may be made, directly or indirectly, by a stock corporation (</w:t>
      </w:r>
      <w:r>
        <w:rPr>
          <w:rFonts w:ascii="Times New Roman" w:cs="Times New Roman" w:eastAsia="Times New Roman" w:hAnsi="Times New Roman"/>
          <w:sz w:val="22"/>
          <w:szCs w:val="22"/>
          <w:i w:val="1"/>
          <w:iCs w:val="1"/>
          <w:color w:val="auto"/>
        </w:rPr>
        <w:t>Aktiengesellschaft</w:t>
      </w:r>
      <w:r>
        <w:rPr>
          <w:rFonts w:ascii="Times New Roman" w:cs="Times New Roman" w:eastAsia="Times New Roman" w:hAnsi="Times New Roman"/>
          <w:sz w:val="22"/>
          <w:szCs w:val="22"/>
          <w:color w:val="auto"/>
        </w:rPr>
        <w:t>) to current or future shareholders in their capacity as such.</w:t>
      </w:r>
    </w:p>
    <w:p>
      <w:pPr>
        <w:spacing w:after="0" w:line="179" w:lineRule="exact"/>
        <w:rPr>
          <w:rFonts w:ascii="Times New Roman" w:cs="Times New Roman" w:eastAsia="Times New Roman" w:hAnsi="Times New Roman"/>
          <w:sz w:val="22"/>
          <w:szCs w:val="22"/>
          <w:color w:val="auto"/>
        </w:rPr>
      </w:pPr>
    </w:p>
    <w:p>
      <w:pPr>
        <w:jc w:val="both"/>
        <w:ind w:left="1080" w:right="459" w:firstLine="657"/>
        <w:spacing w:after="0" w:line="238" w:lineRule="auto"/>
        <w:tabs>
          <w:tab w:leader="none" w:pos="2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have not verified, do not opine upon, and do not assume any responsibility for the accuracy, completeness, or reasonableness of any statement contained in the Registration Statement (including in documents incorporated into the Registration Statement by reference) or any documents provided to Plan participants with respect to the Shares or the Company.</w:t>
      </w:r>
    </w:p>
    <w:p>
      <w:pPr>
        <w:spacing w:after="0" w:line="176" w:lineRule="exact"/>
        <w:rPr>
          <w:rFonts w:ascii="Times New Roman" w:cs="Times New Roman" w:eastAsia="Times New Roman" w:hAnsi="Times New Roman"/>
          <w:sz w:val="22"/>
          <w:szCs w:val="22"/>
          <w:color w:val="auto"/>
        </w:rPr>
      </w:pPr>
    </w:p>
    <w:p>
      <w:pPr>
        <w:jc w:val="both"/>
        <w:ind w:left="1080" w:right="459" w:firstLine="657"/>
        <w:spacing w:after="0" w:line="239" w:lineRule="auto"/>
        <w:tabs>
          <w:tab w:leader="none" w:pos="2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opinion speaks as of its date and is confined to, and is given on the basis of, the laws of Germany as they exist at the date hereof; it is governed by the laws of Germany. We are expressing no opinion as to the effect of the laws of any other jurisdiction.</w:t>
      </w:r>
    </w:p>
    <w:p>
      <w:pPr>
        <w:spacing w:after="0" w:line="18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555625</wp:posOffset>
            </wp:positionV>
            <wp:extent cx="47745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7745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p>
    <w:p>
      <w:pPr>
        <w:spacing w:after="0" w:line="201" w:lineRule="exact"/>
        <w:rPr>
          <w:sz w:val="20"/>
          <w:szCs w:val="20"/>
          <w:color w:val="auto"/>
        </w:rPr>
      </w:pPr>
    </w:p>
    <w:p>
      <w:pPr>
        <w:jc w:val="both"/>
        <w:ind w:left="1080" w:right="459" w:firstLine="657"/>
        <w:spacing w:after="0" w:line="244" w:lineRule="auto"/>
        <w:tabs>
          <w:tab w:leader="none" w:pos="2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hereby consent to the filing of this opinion as an exhibit to the Registration Statement. In giving such consent, we do not admit that we are in the category of persons whose consent is required under Section 7 of the Securities Act.</w:t>
      </w:r>
    </w:p>
    <w:p>
      <w:pPr>
        <w:spacing w:after="0" w:line="200" w:lineRule="exact"/>
        <w:rPr>
          <w:sz w:val="20"/>
          <w:szCs w:val="20"/>
          <w:color w:val="auto"/>
        </w:rPr>
      </w:pPr>
    </w:p>
    <w:p>
      <w:pPr>
        <w:spacing w:after="0" w:line="24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/s/ Sullivan &amp; Cromwell LLP</w:t>
      </w:r>
    </w:p>
    <w:p>
      <w:pPr>
        <w:spacing w:after="0" w:line="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Sullivan &amp; Cromwell LLP</w:t>
      </w:r>
    </w:p>
    <w:p>
      <w:pPr>
        <w:ind w:left="47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540385</wp:posOffset>
            </wp:positionV>
            <wp:extent cx="47745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7745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440" w:right="539"/>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May 17, 2024, with respect to the consolidated financial statements of Mynaric AG, incorporated herein by reference.</w:t>
      </w: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Munich, Germany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953135</wp:posOffset>
            </wp:positionV>
            <wp:extent cx="518604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53745" cy="711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53745" cy="71120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160" w:type="dxa"/>
            <w:vAlign w:val="bottom"/>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22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94"/>
        </w:trPr>
        <w:tc>
          <w:tcPr>
            <w:tcW w:w="1160" w:type="dxa"/>
            <w:vAlign w:val="bottom"/>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11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 Rate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108"/>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Title</w:t>
            </w:r>
          </w:p>
        </w:tc>
        <w:tc>
          <w:tcPr>
            <w:tcW w:w="11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14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160" w:type="dxa"/>
            <w:vAlign w:val="bottom"/>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Rule</w:t>
            </w: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Offering Price</w:t>
            </w:r>
          </w:p>
        </w:tc>
        <w:tc>
          <w:tcPr>
            <w:tcW w:w="10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98"/>
        </w:trPr>
        <w:tc>
          <w:tcPr>
            <w:tcW w:w="116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w:t>
            </w:r>
          </w:p>
        </w:tc>
        <w:tc>
          <w:tcPr>
            <w:tcW w:w="12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Ordinary</w:t>
            </w:r>
          </w:p>
        </w:tc>
        <w:tc>
          <w:tcPr>
            <w:tcW w:w="11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574,464</w:t>
            </w:r>
            <w:r>
              <w:rPr>
                <w:rFonts w:ascii="Times New Roman" w:cs="Times New Roman" w:eastAsia="Times New Roman" w:hAnsi="Times New Roman"/>
                <w:sz w:val="21"/>
                <w:szCs w:val="21"/>
                <w:color w:val="auto"/>
                <w:w w:val="96"/>
                <w:vertAlign w:val="superscript"/>
              </w:rPr>
              <w:t>(2)</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$21.02</w:t>
            </w:r>
            <w:r>
              <w:rPr>
                <w:rFonts w:ascii="Times New Roman" w:cs="Times New Roman" w:eastAsia="Times New Roman" w:hAnsi="Times New Roman"/>
                <w:sz w:val="21"/>
                <w:szCs w:val="21"/>
                <w:color w:val="auto"/>
                <w:w w:val="92"/>
                <w:vertAlign w:val="superscript"/>
              </w:rPr>
              <w:t>(3)</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$12,075,233.2</w:t>
            </w:r>
          </w:p>
        </w:tc>
        <w:tc>
          <w:tcPr>
            <w:tcW w:w="10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Equity</w:t>
            </w:r>
          </w:p>
        </w:tc>
        <w:tc>
          <w:tcPr>
            <w:tcW w:w="11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shares, no par</w:t>
            </w: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tcPr>
          <w:p>
            <w:pPr>
              <w:jc w:val="right"/>
              <w:ind w:right="119"/>
              <w:spacing w:after="0" w:line="162" w:lineRule="exact"/>
              <w:rPr>
                <w:sz w:val="20"/>
                <w:szCs w:val="20"/>
                <w:color w:val="auto"/>
              </w:rPr>
            </w:pPr>
            <w:r>
              <w:rPr>
                <w:rFonts w:ascii="Times New Roman" w:cs="Times New Roman" w:eastAsia="Times New Roman" w:hAnsi="Times New Roman"/>
                <w:sz w:val="16"/>
                <w:szCs w:val="16"/>
                <w:color w:val="auto"/>
              </w:rPr>
              <w:t>0.0001476</w:t>
            </w:r>
          </w:p>
        </w:tc>
        <w:tc>
          <w:tcPr>
            <w:tcW w:w="11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$1,782.30</w:t>
            </w:r>
          </w:p>
        </w:tc>
        <w:tc>
          <w:tcPr>
            <w:tcW w:w="0" w:type="dxa"/>
            <w:vAlign w:val="bottom"/>
          </w:tcPr>
          <w:p>
            <w:pPr>
              <w:spacing w:after="0"/>
              <w:rPr>
                <w:sz w:val="1"/>
                <w:szCs w:val="1"/>
                <w:color w:val="auto"/>
              </w:rPr>
            </w:pPr>
          </w:p>
        </w:tc>
      </w:tr>
      <w:tr>
        <w:trPr>
          <w:trHeight w:val="270"/>
        </w:trPr>
        <w:tc>
          <w:tcPr>
            <w:tcW w:w="1160" w:type="dxa"/>
            <w:vAlign w:val="bottom"/>
            <w:tcBorders>
              <w:left w:val="single" w:sz="8" w:color="auto"/>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value</w:t>
            </w:r>
            <w:r>
              <w:rPr>
                <w:rFonts w:ascii="Times New Roman" w:cs="Times New Roman" w:eastAsia="Times New Roman" w:hAnsi="Times New Roman"/>
                <w:sz w:val="21"/>
                <w:szCs w:val="21"/>
                <w:color w:val="auto"/>
                <w:w w:val="94"/>
                <w:vertAlign w:val="superscript"/>
              </w:rPr>
              <w:t>(1)</w:t>
            </w:r>
          </w:p>
        </w:tc>
        <w:tc>
          <w:tcPr>
            <w:tcW w:w="112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0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60" w:type="dxa"/>
            <w:vAlign w:val="bottom"/>
            <w:tcBorders>
              <w:left w:val="single" w:sz="8" w:color="auto"/>
            </w:tcBorders>
          </w:tcPr>
          <w:p>
            <w:pPr>
              <w:spacing w:after="0"/>
              <w:rPr>
                <w:sz w:val="17"/>
                <w:szCs w:val="17"/>
                <w:color w:val="auto"/>
              </w:rPr>
            </w:pPr>
          </w:p>
        </w:tc>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Total Offering Amounts</w:t>
            </w: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$12,075,233.2</w:t>
            </w:r>
          </w:p>
        </w:tc>
        <w:tc>
          <w:tcPr>
            <w:tcW w:w="10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$1,782.30</w:t>
            </w: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tcBorders>
          </w:tcPr>
          <w:p>
            <w:pPr>
              <w:spacing w:after="0"/>
              <w:rPr>
                <w:sz w:val="8"/>
                <w:szCs w:val="8"/>
                <w:color w:val="auto"/>
              </w:rPr>
            </w:pPr>
          </w:p>
        </w:tc>
        <w:tc>
          <w:tcPr>
            <w:tcW w:w="2260" w:type="dxa"/>
            <w:vAlign w:val="bottom"/>
            <w:gridSpan w:val="2"/>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0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vMerge w:val="continue"/>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160" w:type="dxa"/>
            <w:vAlign w:val="bottom"/>
            <w:tcBorders>
              <w:left w:val="single" w:sz="8" w:color="auto"/>
              <w:bottom w:val="single" w:sz="8" w:color="auto"/>
            </w:tcBorders>
          </w:tcPr>
          <w:p>
            <w:pPr>
              <w:spacing w:after="0"/>
              <w:rPr>
                <w:sz w:val="19"/>
                <w:szCs w:val="19"/>
                <w:color w:val="auto"/>
              </w:rPr>
            </w:pPr>
          </w:p>
        </w:tc>
        <w:tc>
          <w:tcPr>
            <w:tcW w:w="226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6"/>
                <w:szCs w:val="16"/>
                <w:color w:val="auto"/>
                <w:w w:val="97"/>
              </w:rPr>
              <w:t>Total Fee Offsets</w:t>
            </w:r>
            <w:r>
              <w:rPr>
                <w:rFonts w:ascii="Times New Roman" w:cs="Times New Roman" w:eastAsia="Times New Roman" w:hAnsi="Times New Roman"/>
                <w:sz w:val="21"/>
                <w:szCs w:val="21"/>
                <w:color w:val="auto"/>
                <w:w w:val="97"/>
                <w:vertAlign w:val="superscript"/>
              </w:rPr>
              <w:t>(4)</w:t>
            </w: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$1,782.30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right="20" w:hanging="332"/>
        <w:spacing w:after="0" w:line="281"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American Depositary Shares (“ADSs”) evidenced by American Depositary Receipts (“ADRs”) issuable upon deposit of the ordinary shares have been registered under a separate registration statement on Form F-6 (333-260613). Four ADSs represent one ordinary share.</w:t>
      </w:r>
    </w:p>
    <w:p>
      <w:pPr>
        <w:spacing w:after="0" w:line="69" w:lineRule="exact"/>
        <w:rPr>
          <w:rFonts w:ascii="Times New Roman" w:cs="Times New Roman" w:eastAsia="Times New Roman" w:hAnsi="Times New Roman"/>
          <w:sz w:val="16"/>
          <w:szCs w:val="16"/>
          <w:color w:val="auto"/>
        </w:rPr>
      </w:pPr>
    </w:p>
    <w:p>
      <w:pPr>
        <w:jc w:val="both"/>
        <w:ind w:left="340" w:hanging="332"/>
        <w:spacing w:after="0" w:line="26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ordinary shares issuable upon the exercise of options granted under the Stock Option Program 2022 (“SOP 2022”), the ordinary shares issuable under the Restricted Stock Unit Program 2022 (“RSUP 2022”) and the options granted under the Stock Option Program 2023 (“SOP 2023”) in each case as of the date of this registration statement that may be settled in ordinary shares. The total amount registered represents 115,000 ordinary shares issuable upon the exercise of options granted under the SOP 2022, 197,317 ordinary shares issuable upon the exercise of options granted under the RSUP 2022 and 262,147 ordinary shares issuable upon the exercise of options granted under the SOP 2023. The number of ordinary shares being registered also includes an indeterminate number of ordinary shares that may be issuable as a result of stock splits, stock dividends or similar anti-dilution adjustments of the outstanding ordinary shares in accordance with Rule 416 of the Securities Act of 1933, as amended (the “Securities Act”).</w:t>
      </w:r>
    </w:p>
    <w:p>
      <w:pPr>
        <w:spacing w:after="0" w:line="286" w:lineRule="exact"/>
        <w:rPr>
          <w:rFonts w:ascii="Times New Roman" w:cs="Times New Roman" w:eastAsia="Times New Roman" w:hAnsi="Times New Roman"/>
          <w:sz w:val="16"/>
          <w:szCs w:val="16"/>
          <w:color w:val="auto"/>
        </w:rPr>
      </w:pPr>
    </w:p>
    <w:p>
      <w:pPr>
        <w:jc w:val="both"/>
        <w:ind w:left="340" w:hanging="332"/>
        <w:spacing w:after="0" w:line="281"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proposed maximum offering price per unit, which is estimated solely for the purposes of calculating the registration fee under Rule 457(h) and Rule 457(c) under the Securities Act, is based on $5.17 per ADS, the average of the high and low prices for the registrant’s ADSs as quoted on The Nasdaq Global Select Market on May 10, 2024. Four ADSs represent one ordinary share.</w:t>
      </w:r>
    </w:p>
    <w:p>
      <w:pPr>
        <w:spacing w:after="0" w:line="6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does not have any fee offsets.</w:t>
      </w: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57861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786120" cy="42545"/>
                    </a:xfrm>
                    <a:prstGeom prst="rect">
                      <a:avLst/>
                    </a:prstGeom>
                    <a:noFill/>
                  </pic:spPr>
                </pic:pic>
              </a:graphicData>
            </a:graphic>
          </wp:anchor>
        </w:drawing>
      </w:r>
    </w:p>
    <w:sectPr>
      <w:pgSz w:w="11900" w:h="16838" w:orient="portrait"/>
      <w:cols w:equalWidth="0" w:num="1">
        <w:col w:w="9080"/>
      </w:cols>
      <w:pgMar w:left="1400" w:top="1089"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507ED7AB"/>
    <w:multiLevelType w:val="hybridMultilevel"/>
    <w:lvl w:ilvl="0">
      <w:lvlJc w:val="left"/>
      <w:lvlText w:val="%1"/>
      <w:numFmt w:val="lowerLetter"/>
      <w:start w:val="1"/>
    </w:lvl>
    <w:lvl w:ilvl="1">
      <w:lvlJc w:val="left"/>
      <w:lvlText w:val="(%2)"/>
      <w:numFmt w:val="decimal"/>
      <w:start w:val="2"/>
    </w:lvl>
  </w:abstractNum>
  <w:abstractNum w:abstractNumId="3">
    <w:nsid w:val="2EB141F2"/>
    <w:multiLevelType w:val="hybridMultilevel"/>
    <w:lvl w:ilvl="0">
      <w:lvlJc w:val="left"/>
      <w:lvlText w:val="(%1)"/>
      <w:numFmt w:val="lowerLetter"/>
      <w:start w:val="2"/>
    </w:lvl>
    <w:lvl w:ilvl="1">
      <w:lvlJc w:val="left"/>
      <w:lvlText w:val="%2"/>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Roman"/>
      <w:start w:val="4"/>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14" Type="http://schemas.openxmlformats.org/officeDocument/2006/relationships/hyperlink" Target="https://www.sec.gov/Archives/edgar/data/1850453/000095017024061880/myna-20231231.htm" TargetMode="External"/><Relationship Id="rId18" Type="http://schemas.openxmlformats.org/officeDocument/2006/relationships/hyperlink" Target="https://www.sec.gov/Archives/edgar/data/1850453/000095017024061880/myna-ex1_1.htm" TargetMode="External"/><Relationship Id="rId19" Type="http://schemas.openxmlformats.org/officeDocument/2006/relationships/hyperlink" Target="https://www.sec.gov/Archives/edgar/data/1850453/000119312521317388/d165359dex41.htm" TargetMode="External"/><Relationship Id="rId20" Type="http://schemas.openxmlformats.org/officeDocument/2006/relationships/hyperlink" Target="https://www.sec.gov/Archives/edgar/data/1850453/000119312523130192/d497326dex45.htm" TargetMode="External"/><Relationship Id="rId21" Type="http://schemas.openxmlformats.org/officeDocument/2006/relationships/hyperlink" Target="https://www.sec.gov/Archives/edgar/data/1850453/000121390023081064/ff32023ex10-6_mynaricag.htm" TargetMode="External"/><Relationship Id="rId22" Type="http://schemas.openxmlformats.org/officeDocument/2006/relationships/hyperlink" Target="https://www.sec.gov/Archives/edgar/data/1850453/000095017024061880/myna-ex4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2024-05-20T05:29:05Z</dcterms:created>
  <dcterms:modified xsi:type="dcterms:W3CDTF">2024-05-20T05:29:05Z</dcterms:modified>
</cp:coreProperties>
</file>