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 (Amendment No. __)*</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DE000A0JCY11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Harris Communications GmbH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L3Harris Technologies,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Attn.: Scott T. Mikuen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1025 NASA Boulevard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Melbourne, FL 32919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(321)727-9100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Ivan A. Colao,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Holland &amp; Knight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 North Laura Street, Suite 3900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Jacksonville, FL 32202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(904) 353-2000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240.13d-7(b) for other parties to whom copies are to be sent.</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08"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35"/>
          <w:szCs w:val="35"/>
          <w:b w:val="1"/>
          <w:bCs w:val="1"/>
          <w:color w:val="auto"/>
          <w:vertAlign w:val="subscript"/>
        </w:rPr>
        <w:t>CUSIP No.</w:t>
      </w:r>
      <w:r>
        <w:rPr>
          <w:sz w:val="20"/>
          <w:szCs w:val="20"/>
          <w:color w:val="auto"/>
        </w:rPr>
        <w:tab/>
      </w:r>
      <w:r>
        <w:rPr>
          <w:rFonts w:ascii="Times New Roman" w:cs="Times New Roman" w:eastAsia="Times New Roman" w:hAnsi="Times New Roman"/>
          <w:sz w:val="17"/>
          <w:szCs w:val="17"/>
          <w:b w:val="1"/>
          <w:bCs w:val="1"/>
          <w:color w:val="auto"/>
        </w:rPr>
        <w:t>DE000A0JCY11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5366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366385"/>
                    </a:xfrm>
                    <a:prstGeom prst="rect">
                      <a:avLst/>
                    </a:prstGeom>
                    <a:noFill/>
                  </pic:spPr>
                </pic:pic>
              </a:graphicData>
            </a:graphic>
          </wp:anchor>
        </w:drawing>
      </w:r>
    </w:p>
    <w:p>
      <w:pPr>
        <w:spacing w:after="0" w:line="362" w:lineRule="exact"/>
        <w:rPr>
          <w:sz w:val="20"/>
          <w:szCs w:val="20"/>
          <w:color w:val="auto"/>
        </w:rPr>
      </w:pPr>
    </w:p>
    <w:p>
      <w:pPr>
        <w:ind w:left="720" w:hanging="601"/>
        <w:spacing w:after="0"/>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Harris Communications GmbH; IRS No. 143-144-30485**</w:t>
      </w:r>
    </w:p>
    <w:p>
      <w:pPr>
        <w:spacing w:after="0" w:line="54" w:lineRule="exact"/>
        <w:rPr>
          <w:sz w:val="20"/>
          <w:szCs w:val="20"/>
          <w:color w:val="auto"/>
        </w:rPr>
      </w:pPr>
    </w:p>
    <w:p>
      <w:pPr>
        <w:ind w:left="720" w:hanging="601"/>
        <w:spacing w:after="0"/>
        <w:tabs>
          <w:tab w:leader="none" w:pos="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1320" w:hanging="283"/>
        <w:spacing w:after="0" w:line="207" w:lineRule="exact"/>
        <w:tabs>
          <w:tab w:leader="none" w:pos="13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340" w:hanging="303"/>
        <w:spacing w:after="0" w:line="207" w:lineRule="exact"/>
        <w:tabs>
          <w:tab w:leader="none" w:pos="13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720" w:hanging="601"/>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20" w:lineRule="exact"/>
        <w:rPr>
          <w:sz w:val="20"/>
          <w:szCs w:val="20"/>
          <w:color w:val="auto"/>
        </w:rPr>
      </w:pPr>
    </w:p>
    <w:p>
      <w:pPr>
        <w:ind w:left="720" w:hanging="601"/>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AF</w:t>
      </w:r>
    </w:p>
    <w:p>
      <w:pPr>
        <w:spacing w:after="0" w:line="54" w:lineRule="exact"/>
        <w:rPr>
          <w:sz w:val="20"/>
          <w:szCs w:val="20"/>
          <w:color w:val="auto"/>
        </w:rPr>
      </w:pPr>
    </w:p>
    <w:p>
      <w:pPr>
        <w:ind w:left="720" w:hanging="601"/>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4"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105" w:lineRule="exact"/>
        <w:rPr>
          <w:sz w:val="20"/>
          <w:szCs w:val="20"/>
          <w:color w:val="auto"/>
        </w:rPr>
      </w:pPr>
    </w:p>
    <w:p>
      <w:pPr>
        <w:ind w:left="720" w:hanging="601"/>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8"/>
        </w:trPr>
        <w:tc>
          <w:tcPr>
            <w:tcW w:w="150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bottom w:val="single" w:sz="8" w:color="auto"/>
              <w:right w:val="single" w:sz="8" w:color="auto"/>
            </w:tcBorders>
          </w:tcPr>
          <w:p>
            <w:pPr>
              <w:spacing w:after="0"/>
              <w:rPr>
                <w:sz w:val="12"/>
                <w:szCs w:val="12"/>
                <w:color w:val="auto"/>
              </w:rPr>
            </w:pPr>
          </w:p>
        </w:tc>
        <w:tc>
          <w:tcPr>
            <w:tcW w:w="9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50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2"/>
        </w:trPr>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vMerge w:val="continue"/>
          </w:tcPr>
          <w:p>
            <w:pPr>
              <w:spacing w:after="0"/>
              <w:rPr>
                <w:sz w:val="18"/>
                <w:szCs w:val="18"/>
                <w:color w:val="auto"/>
              </w:rPr>
            </w:pPr>
          </w:p>
        </w:tc>
        <w:tc>
          <w:tcPr>
            <w:tcW w:w="9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409,294 ordinary shares</w:t>
            </w:r>
          </w:p>
        </w:tc>
        <w:tc>
          <w:tcPr>
            <w:tcW w:w="0" w:type="dxa"/>
            <w:vAlign w:val="bottom"/>
          </w:tcPr>
          <w:p>
            <w:pPr>
              <w:spacing w:after="0"/>
              <w:rPr>
                <w:sz w:val="1"/>
                <w:szCs w:val="1"/>
                <w:color w:val="auto"/>
              </w:rPr>
            </w:pPr>
          </w:p>
        </w:tc>
      </w:tr>
      <w:tr>
        <w:trPr>
          <w:trHeight w:val="183"/>
        </w:trPr>
        <w:tc>
          <w:tcPr>
            <w:tcW w:w="15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560" w:type="dxa"/>
            <w:vAlign w:val="bottom"/>
            <w:tcBorders>
              <w:right w:val="single" w:sz="8" w:color="auto"/>
            </w:tcBorders>
          </w:tcPr>
          <w:p>
            <w:pPr>
              <w:spacing w:after="0"/>
              <w:rPr>
                <w:sz w:val="18"/>
                <w:szCs w:val="18"/>
                <w:color w:val="auto"/>
              </w:rPr>
            </w:pP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3"/>
        </w:trPr>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50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right w:val="single" w:sz="8" w:color="auto"/>
            </w:tcBorders>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0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409,294 ordinary shares</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9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720" w:hanging="601"/>
        <w:spacing w:after="0"/>
        <w:tabs>
          <w:tab w:leader="none" w:pos="7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5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409,294 ordinary shares</w:t>
      </w:r>
    </w:p>
    <w:p>
      <w:pPr>
        <w:spacing w:after="0" w:line="53"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34" w:lineRule="exact"/>
        <w:rPr>
          <w:rFonts w:ascii="Times New Roman" w:cs="Times New Roman" w:eastAsia="Times New Roman" w:hAnsi="Times New Roman"/>
          <w:sz w:val="18"/>
          <w:szCs w:val="18"/>
          <w:b w:val="1"/>
          <w:bCs w:val="1"/>
          <w:color w:val="auto"/>
        </w:rPr>
      </w:pPr>
    </w:p>
    <w:p>
      <w:pPr>
        <w:ind w:left="7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5"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5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w:t>
      </w:r>
    </w:p>
    <w:p>
      <w:pPr>
        <w:spacing w:after="0" w:line="53"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5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4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ISIN.</w:t>
      </w:r>
    </w:p>
    <w:p>
      <w:pPr>
        <w:spacing w:after="0" w:line="27"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 tax identification number, or foreign tax identifying number (TIN), as described in Form W-8BEN.</w:t>
      </w:r>
    </w:p>
    <w:p>
      <w:pPr>
        <w:spacing w:after="0" w:line="9" w:lineRule="exact"/>
        <w:rPr>
          <w:rFonts w:ascii="Times New Roman" w:cs="Times New Roman" w:eastAsia="Times New Roman" w:hAnsi="Times New Roman"/>
          <w:sz w:val="18"/>
          <w:szCs w:val="18"/>
          <w:color w:val="auto"/>
        </w:rPr>
      </w:pPr>
    </w:p>
    <w:p>
      <w:pPr>
        <w:ind w:right="180" w:firstLine="8"/>
        <w:spacing w:after="0" w:line="260"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on 5,652,242 ordinary shares outstanding as of July 5, 2022 reported in Exhibit 99.1 to the Report on Form 6-K of the Issuer,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 w:name="page3"/>
    <w:bookmarkEnd w:id="2"/>
    <w:p>
      <w:pPr>
        <w:ind w:left="20"/>
        <w:spacing w:after="0"/>
        <w:tabs>
          <w:tab w:leader="none" w:pos="1620" w:val="left"/>
        </w:tabs>
        <w:rPr>
          <w:sz w:val="20"/>
          <w:szCs w:val="20"/>
          <w:color w:val="auto"/>
        </w:rPr>
      </w:pPr>
      <w:r>
        <w:rPr>
          <w:rFonts w:ascii="Times New Roman" w:cs="Times New Roman" w:eastAsia="Times New Roman" w:hAnsi="Times New Roman"/>
          <w:sz w:val="35"/>
          <w:szCs w:val="35"/>
          <w:b w:val="1"/>
          <w:bCs w:val="1"/>
          <w:color w:val="auto"/>
          <w:vertAlign w:val="subscript"/>
        </w:rPr>
        <w:t>CUSIP No.</w:t>
      </w:r>
      <w:r>
        <w:rPr>
          <w:sz w:val="20"/>
          <w:szCs w:val="20"/>
          <w:color w:val="auto"/>
        </w:rPr>
        <w:tab/>
      </w:r>
      <w:r>
        <w:rPr>
          <w:rFonts w:ascii="Times New Roman" w:cs="Times New Roman" w:eastAsia="Times New Roman" w:hAnsi="Times New Roman"/>
          <w:sz w:val="17"/>
          <w:szCs w:val="17"/>
          <w:color w:val="auto"/>
        </w:rPr>
        <w:t>DE000A0JCY11*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5366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366385"/>
                    </a:xfrm>
                    <a:prstGeom prst="rect">
                      <a:avLst/>
                    </a:prstGeom>
                    <a:noFill/>
                  </pic:spPr>
                </pic:pic>
              </a:graphicData>
            </a:graphic>
          </wp:anchor>
        </w:drawing>
      </w:r>
    </w:p>
    <w:p>
      <w:pPr>
        <w:spacing w:after="0" w:line="362" w:lineRule="exact"/>
        <w:rPr>
          <w:sz w:val="20"/>
          <w:szCs w:val="20"/>
          <w:color w:val="auto"/>
        </w:rPr>
      </w:pPr>
    </w:p>
    <w:p>
      <w:pPr>
        <w:ind w:left="720" w:hanging="601"/>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L3Harris Technologies, Inc.; IRS No. 340276860</w:t>
      </w:r>
    </w:p>
    <w:p>
      <w:pPr>
        <w:spacing w:after="0" w:line="54" w:lineRule="exact"/>
        <w:rPr>
          <w:sz w:val="20"/>
          <w:szCs w:val="20"/>
          <w:color w:val="auto"/>
        </w:rPr>
      </w:pPr>
    </w:p>
    <w:p>
      <w:pPr>
        <w:ind w:left="720" w:hanging="601"/>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1320" w:hanging="283"/>
        <w:spacing w:after="0" w:line="207" w:lineRule="exact"/>
        <w:tabs>
          <w:tab w:leader="none" w:pos="132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340" w:hanging="303"/>
        <w:spacing w:after="0" w:line="207" w:lineRule="exact"/>
        <w:tabs>
          <w:tab w:leader="none" w:pos="13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720" w:hanging="601"/>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20" w:lineRule="exact"/>
        <w:rPr>
          <w:sz w:val="20"/>
          <w:szCs w:val="20"/>
          <w:color w:val="auto"/>
        </w:rPr>
      </w:pPr>
    </w:p>
    <w:p>
      <w:pPr>
        <w:ind w:left="720" w:hanging="601"/>
        <w:spacing w:after="0"/>
        <w:tabs>
          <w:tab w:leader="none" w:pos="7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WC</w:t>
      </w:r>
    </w:p>
    <w:p>
      <w:pPr>
        <w:spacing w:after="0" w:line="54" w:lineRule="exact"/>
        <w:rPr>
          <w:sz w:val="20"/>
          <w:szCs w:val="20"/>
          <w:color w:val="auto"/>
        </w:rPr>
      </w:pPr>
    </w:p>
    <w:p>
      <w:pPr>
        <w:ind w:left="720" w:hanging="601"/>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4"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105" w:lineRule="exact"/>
        <w:rPr>
          <w:sz w:val="20"/>
          <w:szCs w:val="20"/>
          <w:color w:val="auto"/>
        </w:rPr>
      </w:pPr>
    </w:p>
    <w:p>
      <w:pPr>
        <w:ind w:left="720" w:hanging="601"/>
        <w:spacing w:after="0"/>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USA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8"/>
        </w:trPr>
        <w:tc>
          <w:tcPr>
            <w:tcW w:w="150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bottom w:val="single" w:sz="8" w:color="auto"/>
              <w:right w:val="single" w:sz="8" w:color="auto"/>
            </w:tcBorders>
          </w:tcPr>
          <w:p>
            <w:pPr>
              <w:spacing w:after="0"/>
              <w:rPr>
                <w:sz w:val="12"/>
                <w:szCs w:val="12"/>
                <w:color w:val="auto"/>
              </w:rPr>
            </w:pPr>
          </w:p>
        </w:tc>
        <w:tc>
          <w:tcPr>
            <w:tcW w:w="9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50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2"/>
        </w:trPr>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vMerge w:val="continue"/>
          </w:tcPr>
          <w:p>
            <w:pPr>
              <w:spacing w:after="0"/>
              <w:rPr>
                <w:sz w:val="18"/>
                <w:szCs w:val="18"/>
                <w:color w:val="auto"/>
              </w:rPr>
            </w:pPr>
          </w:p>
        </w:tc>
        <w:tc>
          <w:tcPr>
            <w:tcW w:w="9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409,294 ordinary shares</w:t>
            </w:r>
          </w:p>
        </w:tc>
        <w:tc>
          <w:tcPr>
            <w:tcW w:w="0" w:type="dxa"/>
            <w:vAlign w:val="bottom"/>
          </w:tcPr>
          <w:p>
            <w:pPr>
              <w:spacing w:after="0"/>
              <w:rPr>
                <w:sz w:val="1"/>
                <w:szCs w:val="1"/>
                <w:color w:val="auto"/>
              </w:rPr>
            </w:pPr>
          </w:p>
        </w:tc>
      </w:tr>
      <w:tr>
        <w:trPr>
          <w:trHeight w:val="183"/>
        </w:trPr>
        <w:tc>
          <w:tcPr>
            <w:tcW w:w="15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560" w:type="dxa"/>
            <w:vAlign w:val="bottom"/>
            <w:tcBorders>
              <w:right w:val="single" w:sz="8" w:color="auto"/>
            </w:tcBorders>
          </w:tcPr>
          <w:p>
            <w:pPr>
              <w:spacing w:after="0"/>
              <w:rPr>
                <w:sz w:val="18"/>
                <w:szCs w:val="18"/>
                <w:color w:val="auto"/>
              </w:rPr>
            </w:pP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3"/>
        </w:trPr>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50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right w:val="single" w:sz="8" w:color="auto"/>
            </w:tcBorders>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0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409,294 ordinary shares</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9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720" w:hanging="601"/>
        <w:spacing w:after="0"/>
        <w:tabs>
          <w:tab w:leader="none" w:pos="7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5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409,294 ordinary shares</w:t>
      </w:r>
    </w:p>
    <w:p>
      <w:pPr>
        <w:spacing w:after="0" w:line="53"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34" w:lineRule="exact"/>
        <w:rPr>
          <w:rFonts w:ascii="Times New Roman" w:cs="Times New Roman" w:eastAsia="Times New Roman" w:hAnsi="Times New Roman"/>
          <w:sz w:val="18"/>
          <w:szCs w:val="18"/>
          <w:b w:val="1"/>
          <w:bCs w:val="1"/>
          <w:color w:val="auto"/>
        </w:rPr>
      </w:pPr>
    </w:p>
    <w:p>
      <w:pPr>
        <w:ind w:left="7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05"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5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w:t>
      </w:r>
    </w:p>
    <w:p>
      <w:pPr>
        <w:spacing w:after="0" w:line="53" w:lineRule="exact"/>
        <w:rPr>
          <w:rFonts w:ascii="Times New Roman" w:cs="Times New Roman" w:eastAsia="Times New Roman" w:hAnsi="Times New Roman"/>
          <w:sz w:val="18"/>
          <w:szCs w:val="18"/>
          <w:b w:val="1"/>
          <w:bCs w:val="1"/>
          <w:color w:val="auto"/>
        </w:rPr>
      </w:pPr>
    </w:p>
    <w:p>
      <w:pPr>
        <w:ind w:left="720" w:hanging="601"/>
        <w:spacing w:after="0"/>
        <w:tabs>
          <w:tab w:leader="none" w:pos="7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5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4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ISIN.</w:t>
      </w:r>
    </w:p>
    <w:p>
      <w:pPr>
        <w:spacing w:after="0" w:line="27" w:lineRule="exact"/>
        <w:rPr>
          <w:rFonts w:ascii="Times New Roman" w:cs="Times New Roman" w:eastAsia="Times New Roman" w:hAnsi="Times New Roman"/>
          <w:sz w:val="18"/>
          <w:szCs w:val="18"/>
          <w:b w:val="1"/>
          <w:bCs w:val="1"/>
          <w:color w:val="auto"/>
        </w:rPr>
      </w:pPr>
    </w:p>
    <w:p>
      <w:pPr>
        <w:ind w:right="180" w:firstLine="8"/>
        <w:spacing w:after="0" w:line="260" w:lineRule="auto"/>
        <w:tabs>
          <w:tab w:leader="none" w:pos="2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on 5,652,242 ordinary shares outstanding as of July 5, 2022 reported in Exhibit 99.1 to the Report on Form 6-K of the Issuer, filed with the SEC on July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 w:name="page4"/>
    <w:bookmarkEnd w:id="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reporting persons named in Item 2 below are hereby jointly filing this Statement on Schedule 13D because, due to certain affiliates and relationships among the reporting persons, such reporting persons may be deemed to beneficially own some or all of the same securities directly or indirectly acquired from the Issuer (defined below) by one or more of the reporting persons. In accordance with Rule 13d-1(k)(1)(iii) promulgated pursuant to the Securities Exchange Act of 1934, as amended, the reporting persons named in Item 2 below have executed a written agreement relating to the joint filing of this Statement on Schedule 13D, a copy of which is annexed hereto as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Statement on Schedule 13D relates to the ordinary shares, no par value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Mynaric AG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having a principal executive office at Dornierstraße 19, 82205 Gilching, Germany.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Statement on Schedule 13D is being filed by: (i) Harris Communications GmbH, a stock corporation incorporated under the laws of the Germany (“</w:t>
      </w:r>
      <w:r>
        <w:rPr>
          <w:rFonts w:ascii="Times New Roman" w:cs="Times New Roman" w:eastAsia="Times New Roman" w:hAnsi="Times New Roman"/>
          <w:sz w:val="18"/>
          <w:szCs w:val="18"/>
          <w:u w:val="single" w:color="auto"/>
          <w:color w:val="auto"/>
        </w:rPr>
        <w:t>HC GmbH</w:t>
      </w:r>
      <w:r>
        <w:rPr>
          <w:rFonts w:ascii="Times New Roman" w:cs="Times New Roman" w:eastAsia="Times New Roman" w:hAnsi="Times New Roman"/>
          <w:sz w:val="18"/>
          <w:szCs w:val="18"/>
          <w:color w:val="auto"/>
        </w:rPr>
        <w:t>”), with its principal office and principal business at Nymphenburger Str. 1, 80335 Munich, Germany; and (ii) L3Harris Technologies, Inc., a Delaware corporation (“</w:t>
      </w:r>
      <w:r>
        <w:rPr>
          <w:rFonts w:ascii="Times New Roman" w:cs="Times New Roman" w:eastAsia="Times New Roman" w:hAnsi="Times New Roman"/>
          <w:sz w:val="18"/>
          <w:szCs w:val="18"/>
          <w:u w:val="single" w:color="auto"/>
          <w:color w:val="auto"/>
        </w:rPr>
        <w:t>L3Harris</w:t>
      </w:r>
      <w:r>
        <w:rPr>
          <w:rFonts w:ascii="Times New Roman" w:cs="Times New Roman" w:eastAsia="Times New Roman" w:hAnsi="Times New Roman"/>
          <w:sz w:val="18"/>
          <w:szCs w:val="18"/>
          <w:color w:val="auto"/>
        </w:rPr>
        <w:t>,” and, together with HC GmbH,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with its principal office and principal business at 1025 NASA Boulevard, Melbourne, Florida 32919. L3Harris indirectly owns 100% of the capital stock of HC GmbH, and L3Harris is the ultimate parent company of HC GmbH. Accordingly, the Reporting Persons are hereby filing a joint Statement on Schedule 13D.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HC GmbH’s principal business is to serve as a holding company for certain German business interests of L3Harris. L3Harris’ principal business is providing advanced defense and commercial technologies across space, air, land, sea and cyber domains. Schedule I attached hereto lists the executive officers and directors of the Reporting Persons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and their respective principal occupation, address and citizenship.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last five years, neither of the Reporting Persons, and, to the Reporting Persons’ knowledge, none of the Related Parties, have been convicted in a criminal proceeding (excluding traffic violations or similar misdemeanors). During the last five years, neither of the Reporting Persons, and, to the Reporting Persons’ knowledge, none of the Related Parties, have been named 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Reporting Persons may be deemed to beneficially own 409,294 Shares, in aggregate. The amount and source of the funds for the transactions pursuant to which the Reporting Persons may be deemed to beneficially own such Shares were approximately EUR 11,201,353.55 in aggregate purchase price for 409,294 Shares, derived from: (i) in the case of HC GmbH, L3Harris, HC GmbH’s affiliate; and (ii) in the case of L3Harris,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Reporting Persons’ acquisition of the Shares was made for investment purposes. Depending on future evaluations of the business prospects of Issuer and other factors, including, but not limited to, general economic and business conditions, the Reporting Persons may retain or, from time to time, increase its holdings or dispose of all or a portion of its holdings, subject to any applicable legal and contracted restrictions on its ability to do so. The Reporting Persons have no present plan or proposal that would result in or relate to any of the matters set forth in subparagraphs (a) - (j) of Item 4 of Schedule 13D except as set forth herein or such as would occur upon or in connection with completion of, or following, any of the actions discussed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According to Exhibit 99.1 to the Report on Form 6-K of the Issuer, filed with the SEC on July 6, 2022, the Issuer had 5,652,242 Shares outstanding as of July 5, 2022. Each Reporting Person may be deemed to have the following beneficial ownership of Shares of the Issuer: (i) HC GmbH may be deemed to beneficially own 409,294 Shares, in aggregate (or 7.2% of the total number of Shares outstanding); and L3Harris may be deemed to beneficially own 409,294 Shares, in aggregate (or 7.2% of the total number of Shares outstanding). All holdings in this Statement on Schedule 13D are reported as of the closing of business on July 15, 2022.</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0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Reporting Persons have sole power to vote and dispose of 0 Shares, and shared power to vote and dispose of 409,294 Shares held by HC</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GmbH.</w:t>
            </w:r>
          </w:p>
        </w:tc>
        <w:tc>
          <w:tcPr>
            <w:tcW w:w="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24"/>
                <w:szCs w:val="24"/>
                <w:color w:val="auto"/>
              </w:rPr>
            </w:pPr>
          </w:p>
        </w:tc>
        <w:tc>
          <w:tcPr>
            <w:tcW w:w="10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Reporting Persons effected the following transaction in the Shares on the date indicated, and such transaction is the only transaction in the</w:t>
            </w:r>
          </w:p>
        </w:tc>
      </w:tr>
      <w:tr>
        <w:trPr>
          <w:trHeight w:val="234"/>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by the Reporting Persons during the sixty days prior to and including July 15, 2022 (date range: May 17, 2022 through July 15, 2022):</w:t>
            </w:r>
          </w:p>
        </w:tc>
      </w:tr>
      <w:tr>
        <w:trPr>
          <w:trHeight w:val="216"/>
        </w:trPr>
        <w:tc>
          <w:tcPr>
            <w:tcW w:w="3960" w:type="dxa"/>
            <w:vAlign w:val="bottom"/>
            <w:tcBorders>
              <w:bottom w:val="single" w:sz="8" w:color="auto"/>
            </w:tcBorders>
            <w:gridSpan w:val="3"/>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426"/>
        </w:trPr>
        <w:tc>
          <w:tcPr>
            <w:tcW w:w="39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 Purchased</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Price Per Share</w:t>
            </w:r>
          </w:p>
        </w:tc>
      </w:tr>
      <w:tr>
        <w:trPr>
          <w:trHeight w:val="425"/>
        </w:trPr>
        <w:tc>
          <w:tcPr>
            <w:tcW w:w="78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7/6/2022</w:t>
            </w:r>
          </w:p>
        </w:tc>
        <w:tc>
          <w:tcPr>
            <w:tcW w:w="318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409,294</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 27.3675</w:t>
            </w:r>
          </w:p>
        </w:tc>
      </w:tr>
      <w:tr>
        <w:trPr>
          <w:trHeight w:val="4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tcPr>
          <w:p>
            <w:pPr>
              <w:spacing w:after="0"/>
              <w:rPr>
                <w:sz w:val="24"/>
                <w:szCs w:val="24"/>
                <w:color w:val="auto"/>
              </w:rPr>
            </w:pPr>
          </w:p>
        </w:tc>
        <w:tc>
          <w:tcPr>
            <w:tcW w:w="10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 person other than the Reporting Persons are known to have the right to receive or the power to direct the receipt of dividends from, or the</w:t>
            </w:r>
          </w:p>
        </w:tc>
      </w:tr>
      <w:tr>
        <w:trPr>
          <w:trHeight w:val="234"/>
        </w:trPr>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the sale of, the Shares covered by this Statement on Schedule 13D.</w:t>
            </w:r>
          </w:p>
        </w:tc>
        <w:tc>
          <w:tcPr>
            <w:tcW w:w="35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c>
          <w:tcPr>
            <w:tcW w:w="370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described in Items 3, 4 and 5 of this Statement on Schedule 13D, there are no contracts, arrangements, understandings or relationships (legal or otherwise) between the Reporting Persons and any person with respect to any Shares of the Issuer, including, but not limited to, transfer or voting of any of the Shares, finder’s fees, joint ventures, loan or option arrangements, puts or calls, guarantees of profits, division of profits or loss,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03"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Joint Filing Agreement, dated July 15, 2022, by and between Harris Communications GmbH and L3Harris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00"/>
          </w:cols>
          <w:pgMar w:left="320" w:top="900" w:right="12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Harris Communications GmbH</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Kristene Ann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Kristene Ann Schumacher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L3Harris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T. Mikuen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T. Mikuen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present principal occupation or employment and citizenship of each of the executive officers and directors of Harris Communications GmbH and L3Harris Technologies, Inc. are set forth below. The business address of each individual is c/o L3Harris Technologies, Inc., 1025 NASA Boulevard, Melbourne, FL 32919.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Harris Communications GmbH</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51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18"/>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Rene Guenzkofer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w:t>
            </w:r>
          </w:p>
        </w:tc>
      </w:tr>
      <w:tr>
        <w:trPr>
          <w:trHeight w:val="318"/>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Kristene Ann Schumacher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4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169"/>
        </w:trPr>
        <w:tc>
          <w:tcPr>
            <w:tcW w:w="38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Directors of Harris Communications GmbH</w:t>
            </w:r>
          </w:p>
        </w:tc>
        <w:tc>
          <w:tcPr>
            <w:tcW w:w="51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37"/>
        </w:trPr>
        <w:tc>
          <w:tcPr>
            <w:tcW w:w="340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425"/>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18"/>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Rene Guenzkofer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w:t>
            </w:r>
          </w:p>
        </w:tc>
      </w:tr>
      <w:tr>
        <w:trPr>
          <w:trHeight w:val="318"/>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Kristene Ann Schumacher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85"/>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Executive Officers of L3Harris Technologies, Inc.</w:t>
            </w:r>
          </w:p>
        </w:tc>
        <w:tc>
          <w:tcPr>
            <w:tcW w:w="5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7"/>
        </w:trPr>
        <w:tc>
          <w:tcPr>
            <w:tcW w:w="34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425"/>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38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James P. Girard</w:t>
            </w:r>
          </w:p>
        </w:tc>
        <w:tc>
          <w:tcPr>
            <w:tcW w:w="5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Vice President and Chief Human Resources Officer of L3Harris</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34"/>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Technologies, Inc.</w:t>
            </w:r>
          </w:p>
        </w:tc>
        <w:tc>
          <w:tcPr>
            <w:tcW w:w="2240" w:type="dxa"/>
            <w:vAlign w:val="bottom"/>
            <w:tcBorders>
              <w:bottom w:val="single" w:sz="8" w:color="auto"/>
              <w:right w:val="single" w:sz="8" w:color="auto"/>
            </w:tcBorders>
          </w:tcPr>
          <w:p>
            <w:pPr>
              <w:spacing w:after="0"/>
              <w:rPr>
                <w:sz w:val="20"/>
                <w:szCs w:val="20"/>
                <w:color w:val="auto"/>
              </w:rPr>
            </w:pPr>
          </w:p>
        </w:tc>
      </w:tr>
      <w:tr>
        <w:trPr>
          <w:trHeight w:val="209"/>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Christopher E. Kubasik</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 and Chief Executive Officer of L3Harris Technologies, Inc.</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210"/>
        </w:trPr>
        <w:tc>
          <w:tcPr>
            <w:tcW w:w="38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Dana A. Mehnert</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Communication Systems of L3Harris Technologies, Inc.</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191"/>
        </w:trPr>
        <w:tc>
          <w:tcPr>
            <w:tcW w:w="38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Scott T. Mikuen</w:t>
            </w:r>
          </w:p>
        </w:tc>
        <w:tc>
          <w:tcPr>
            <w:tcW w:w="5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Senior Vice President, General Counsel and Secretary of L3Harris</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34"/>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Technologies, Inc.</w:t>
            </w: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38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Corliss J. Montesi</w:t>
            </w:r>
          </w:p>
        </w:tc>
        <w:tc>
          <w:tcPr>
            <w:tcW w:w="5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Vice  President  and  Principal  Accounting  Officer  of  L3Harris</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34"/>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Technologies, Inc.</w:t>
            </w: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38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Sean J. Stackley</w:t>
            </w:r>
          </w:p>
        </w:tc>
        <w:tc>
          <w:tcPr>
            <w:tcW w:w="5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President, Integrated Mission Systems of L3Harris Technologies,</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34"/>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38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Michelle L. Turner</w:t>
            </w:r>
          </w:p>
        </w:tc>
        <w:tc>
          <w:tcPr>
            <w:tcW w:w="5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Senior Vice President and Chief Financial Officer of L3Harris</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34"/>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Technologies, Inc.</w:t>
            </w: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38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Edward J. Zoiss</w:t>
            </w:r>
          </w:p>
        </w:tc>
        <w:tc>
          <w:tcPr>
            <w:tcW w:w="5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President, Space &amp; Airborne Systems of L3Harris Technologies,</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34"/>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2240" w:type="dxa"/>
            <w:vAlign w:val="bottom"/>
            <w:tcBorders>
              <w:bottom w:val="single" w:sz="8" w:color="auto"/>
              <w:right w:val="single" w:sz="8" w:color="auto"/>
            </w:tcBorders>
          </w:tcPr>
          <w:p>
            <w:pPr>
              <w:spacing w:after="0"/>
              <w:rPr>
                <w:sz w:val="20"/>
                <w:szCs w:val="20"/>
                <w:color w:val="auto"/>
              </w:rPr>
            </w:pPr>
          </w:p>
        </w:tc>
      </w:tr>
      <w:tr>
        <w:trPr>
          <w:trHeight w:val="668"/>
        </w:trPr>
        <w:tc>
          <w:tcPr>
            <w:tcW w:w="3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of L3Harris Technologies, Inc.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51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Sallie B. Bailey</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W. Chiarelli</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A. Corcoran</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of Corcoran Enterprises, LLC</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A. Dattilo</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Advisor to various private investment firms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Roger B. Fradin</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Chairman of Resideo Technologies, Inc.</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299"/>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Joanna L. Geraghty</w:t>
            </w: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and  Chief  Operating  Officer  of  JetBlue  Airways</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234"/>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Corporation</w:t>
            </w:r>
          </w:p>
        </w:tc>
        <w:tc>
          <w:tcPr>
            <w:tcW w:w="2240" w:type="dxa"/>
            <w:vAlign w:val="bottom"/>
            <w:tcBorders>
              <w:bottom w:val="single" w:sz="8" w:color="auto"/>
              <w:right w:val="single" w:sz="8" w:color="auto"/>
            </w:tcBorders>
          </w:tcPr>
          <w:p>
            <w:pPr>
              <w:spacing w:after="0"/>
              <w:rPr>
                <w:sz w:val="20"/>
                <w:szCs w:val="20"/>
                <w:color w:val="auto"/>
              </w:rPr>
            </w:pP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Harry B. Harris, Jr.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Lewis Hay III</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Advisor for Clayton, Dubilier &amp; Rice, LLC</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Lewis Kramer</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Christopher E. Kubasik</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 and Chief Executive Officer of L3Harris Technologies, Inc.</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Rita S. Lane</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Robert B. Millard</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318"/>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Lloyd W. Newton</w:t>
            </w: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r>
      <w:tr>
        <w:trPr>
          <w:trHeight w:val="669"/>
        </w:trPr>
        <w:tc>
          <w:tcPr>
            <w:tcW w:w="38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13d-1(k) promulgated under the Securities Exchange Act of 1934, as amended, the undersigned hereby agree to the joint filing of the Statement on Schedule 13D including any amendments thereto with respect to the ordinary shares, no par value, of Mynaric AG, and further agree that this Joint Filing Agreement be included as an Exhibit to such joint filings. This Joint Filing Agreement may be executed in any number of counterparts, each of which shall be deemed an original, but all of which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15,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Harris Communications GmbH</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Kristene Ann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Kristene Ann Schumacher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L3Harris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T. Mikuen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T. Mikuen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lvl w:ilvl="1">
      <w:lvlJc w:val="left"/>
      <w:lvlText w:val="(%2)"/>
      <w:numFmt w:val="lowerLetter"/>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
      <w:numFmt w:val="bullet"/>
      <w:start w:val="1"/>
    </w:lvl>
    <w:lvl w:ilvl="1">
      <w:lvlJc w:val="left"/>
      <w:lvlText w:val="%2"/>
      <w:numFmt w:val="decimal"/>
      <w:start w:val="11"/>
    </w:lvl>
  </w:abstractNum>
  <w:abstractNum w:abstractNumId="7">
    <w:nsid w:val="66EF438D"/>
    <w:multiLevelType w:val="hybridMultilevel"/>
    <w:lvl w:ilvl="0">
      <w:lvlJc w:val="left"/>
      <w:lvlText w:val="**"/>
      <w:numFmt w:val="bullet"/>
      <w:start w:val="1"/>
    </w:lvl>
    <w:lvl w:ilvl="1">
      <w:lvlJc w:val="left"/>
      <w:lvlText w:val="%2"/>
      <w:numFmt w:val="decimal"/>
      <w:start w:val="1"/>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2"/>
      <w:numFmt w:val="bullet"/>
      <w:start w:val="1"/>
    </w:lvl>
    <w:lvl w:ilvl="1">
      <w:lvlJc w:val="left"/>
      <w:lvlText w:val="(%2)"/>
      <w:numFmt w:val="lowerLetter"/>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4"/>
      <w:numFmt w:val="bullet"/>
      <w:start w:val="1"/>
    </w:lvl>
  </w:abstractNum>
  <w:abstractNum w:abstractNumId="12">
    <w:nsid w:val="7FDCC233"/>
    <w:multiLevelType w:val="hybridMultilevel"/>
    <w:lvl w:ilvl="0">
      <w:lvlJc w:val="left"/>
      <w:lvlText w:val="5"/>
      <w:numFmt w:val="bullet"/>
      <w:start w:val="1"/>
    </w:lvl>
  </w:abstractNum>
  <w:abstractNum w:abstractNumId="13">
    <w:nsid w:val="1BEFD79F"/>
    <w:multiLevelType w:val="hybridMultilevel"/>
    <w:lvl w:ilvl="0">
      <w:lvlJc w:val="left"/>
      <w:lvlText w:val="6"/>
      <w:numFmt w:val="bullet"/>
      <w:start w:val="1"/>
    </w:lvl>
  </w:abstractNum>
  <w:abstractNum w:abstractNumId="14">
    <w:nsid w:val="41A7C4C9"/>
    <w:multiLevelType w:val="hybridMultilevel"/>
    <w:lvl w:ilvl="0">
      <w:lvlJc w:val="left"/>
      <w:lvlText w:val="*"/>
      <w:numFmt w:val="bullet"/>
      <w:start w:val="1"/>
    </w:lvl>
    <w:lvl w:ilvl="1">
      <w:lvlJc w:val="left"/>
      <w:lvlText w:val="%2"/>
      <w:numFmt w:val="decimal"/>
      <w:start w:val="11"/>
    </w:lvl>
  </w:abstractNum>
  <w:abstractNum w:abstractNumId="15">
    <w:nsid w:val="6B68079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2022-07-15T16:12:14Z</dcterms:created>
  <dcterms:modified xsi:type="dcterms:W3CDTF">2022-07-15T16:12:14Z</dcterms:modified>
</cp:coreProperties>
</file>