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225425</wp:posOffset>
            </wp:positionH>
            <wp:positionV relativeFrom="page">
              <wp:posOffset>191770</wp:posOffset>
            </wp:positionV>
            <wp:extent cx="709803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98030" cy="43180"/>
                    </a:xfrm>
                    <a:prstGeom prst="rect">
                      <a:avLst/>
                    </a:prstGeom>
                    <a:noFill/>
                  </pic:spPr>
                </pic:pic>
              </a:graphicData>
            </a:graphic>
          </wp:anchor>
        </w:drawing>
        <w:drawing>
          <wp:anchor simplePos="0" relativeHeight="251657728" behindDoc="1" locked="0" layoutInCell="0" allowOverlap="1">
            <wp:simplePos x="0" y="0"/>
            <wp:positionH relativeFrom="page">
              <wp:posOffset>225425</wp:posOffset>
            </wp:positionH>
            <wp:positionV relativeFrom="page">
              <wp:posOffset>268605</wp:posOffset>
            </wp:positionV>
            <wp:extent cx="709803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98030" cy="17145"/>
                    </a:xfrm>
                    <a:prstGeom prst="rect">
                      <a:avLst/>
                    </a:prstGeom>
                    <a:noFill/>
                  </pic:spPr>
                </pic:pic>
              </a:graphicData>
            </a:graphic>
          </wp:anchor>
        </w:drawing>
        <w:t>UNITED STATES</w:t>
      </w:r>
    </w:p>
    <w:p>
      <w:pPr>
        <w:spacing w:after="0" w:line="27" w:lineRule="exact"/>
        <w:rPr>
          <w:sz w:val="24"/>
          <w:szCs w:val="24"/>
          <w:color w:val="auto"/>
        </w:rPr>
      </w:pPr>
    </w:p>
    <w:p>
      <w:pPr>
        <w:jc w:val="center"/>
        <w:ind w:right="-65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659"/>
        <w:spacing w:after="0"/>
        <w:rPr>
          <w:sz w:val="20"/>
          <w:szCs w:val="20"/>
          <w:color w:val="auto"/>
        </w:rPr>
      </w:pPr>
      <w:r>
        <w:rPr>
          <w:rFonts w:ascii="Arial" w:cs="Arial" w:eastAsia="Arial" w:hAnsi="Arial"/>
          <w:sz w:val="18"/>
          <w:szCs w:val="18"/>
          <w:b w:val="1"/>
          <w:bCs w:val="1"/>
          <w:color w:val="auto"/>
        </w:rPr>
        <w:t>Washington, D.C. 20549</w:t>
      </w:r>
    </w:p>
    <w:p>
      <w:pPr>
        <w:spacing w:after="0" w:line="184" w:lineRule="exact"/>
        <w:rPr>
          <w:sz w:val="24"/>
          <w:szCs w:val="24"/>
          <w:color w:val="auto"/>
        </w:rPr>
      </w:pPr>
    </w:p>
    <w:p>
      <w:pPr>
        <w:jc w:val="center"/>
        <w:ind w:right="-659"/>
        <w:spacing w:after="0"/>
        <w:rPr>
          <w:sz w:val="20"/>
          <w:szCs w:val="20"/>
          <w:color w:val="auto"/>
        </w:rPr>
      </w:pPr>
      <w:r>
        <w:rPr>
          <w:rFonts w:ascii="Arial" w:cs="Arial" w:eastAsia="Arial" w:hAnsi="Arial"/>
          <w:sz w:val="32"/>
          <w:szCs w:val="32"/>
          <w:b w:val="1"/>
          <w:bCs w:val="1"/>
          <w:color w:val="auto"/>
        </w:rPr>
        <w:t>FORM 6-K</w:t>
      </w:r>
    </w:p>
    <w:p>
      <w:pPr>
        <w:spacing w:after="0" w:line="235" w:lineRule="exact"/>
        <w:rPr>
          <w:sz w:val="24"/>
          <w:szCs w:val="24"/>
          <w:color w:val="auto"/>
        </w:rPr>
      </w:pPr>
    </w:p>
    <w:p>
      <w:pPr>
        <w:jc w:val="center"/>
        <w:ind w:right="-659"/>
        <w:spacing w:after="0" w:line="207" w:lineRule="exact"/>
        <w:rPr>
          <w:sz w:val="20"/>
          <w:szCs w:val="20"/>
          <w:color w:val="auto"/>
        </w:rPr>
      </w:pPr>
      <w:r>
        <w:rPr>
          <w:rFonts w:ascii="Arial" w:cs="Arial" w:eastAsia="Arial" w:hAnsi="Arial"/>
          <w:sz w:val="18"/>
          <w:szCs w:val="18"/>
          <w:b w:val="1"/>
          <w:bCs w:val="1"/>
          <w:color w:val="auto"/>
        </w:rPr>
        <w:t>REPORT OF FOREIGN PRIVATE ISSUER PURSUANT TO RULE 13a</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16 OR 15d</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16</w:t>
      </w:r>
    </w:p>
    <w:p>
      <w:pPr>
        <w:spacing w:after="0" w:line="27" w:lineRule="exact"/>
        <w:rPr>
          <w:sz w:val="24"/>
          <w:szCs w:val="24"/>
          <w:color w:val="auto"/>
        </w:rPr>
      </w:pPr>
    </w:p>
    <w:p>
      <w:pPr>
        <w:jc w:val="center"/>
        <w:ind w:right="-659"/>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07" w:lineRule="exact"/>
        <w:rPr>
          <w:sz w:val="24"/>
          <w:szCs w:val="24"/>
          <w:color w:val="auto"/>
        </w:rPr>
      </w:pPr>
    </w:p>
    <w:p>
      <w:pPr>
        <w:jc w:val="center"/>
        <w:ind w:right="-659"/>
        <w:spacing w:after="0"/>
        <w:rPr>
          <w:sz w:val="20"/>
          <w:szCs w:val="20"/>
          <w:color w:val="auto"/>
        </w:rPr>
      </w:pPr>
      <w:r>
        <w:rPr>
          <w:rFonts w:ascii="Arial" w:cs="Arial" w:eastAsia="Arial" w:hAnsi="Arial"/>
          <w:sz w:val="18"/>
          <w:szCs w:val="18"/>
          <w:b w:val="1"/>
          <w:bCs w:val="1"/>
          <w:color w:val="auto"/>
        </w:rPr>
        <w:t>FOR THE MONTH OF June 2023</w:t>
      </w:r>
    </w:p>
    <w:p>
      <w:pPr>
        <w:spacing w:after="0" w:line="225" w:lineRule="exact"/>
        <w:rPr>
          <w:sz w:val="24"/>
          <w:szCs w:val="24"/>
          <w:color w:val="auto"/>
        </w:rPr>
      </w:pPr>
    </w:p>
    <w:p>
      <w:pPr>
        <w:jc w:val="center"/>
        <w:ind w:right="-659"/>
        <w:spacing w:after="0"/>
        <w:rPr>
          <w:sz w:val="20"/>
          <w:szCs w:val="20"/>
          <w:color w:val="auto"/>
        </w:rPr>
      </w:pPr>
      <w:r>
        <w:rPr>
          <w:rFonts w:ascii="Arial" w:cs="Arial" w:eastAsia="Arial" w:hAnsi="Arial"/>
          <w:sz w:val="18"/>
          <w:szCs w:val="18"/>
          <w:b w:val="1"/>
          <w:bCs w:val="1"/>
          <w:color w:val="auto"/>
        </w:rPr>
        <w:t>COMMISSION FILE NUMBER 001-41045</w:t>
      </w:r>
    </w:p>
    <w:p>
      <w:pPr>
        <w:spacing w:after="0" w:line="202" w:lineRule="exact"/>
        <w:rPr>
          <w:sz w:val="24"/>
          <w:szCs w:val="24"/>
          <w:color w:val="auto"/>
        </w:rPr>
      </w:pPr>
    </w:p>
    <w:p>
      <w:pPr>
        <w:jc w:val="center"/>
        <w:ind w:right="-659"/>
        <w:spacing w:after="0"/>
        <w:rPr>
          <w:sz w:val="20"/>
          <w:szCs w:val="20"/>
          <w:color w:val="auto"/>
        </w:rPr>
      </w:pPr>
      <w:r>
        <w:rPr>
          <w:rFonts w:ascii="Arial" w:cs="Arial" w:eastAsia="Arial" w:hAnsi="Arial"/>
          <w:sz w:val="32"/>
          <w:szCs w:val="32"/>
          <w:b w:val="1"/>
          <w:bCs w:val="1"/>
          <w:color w:val="auto"/>
        </w:rPr>
        <w:t>Mynaric AG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536575</wp:posOffset>
            </wp:positionH>
            <wp:positionV relativeFrom="paragraph">
              <wp:posOffset>24130</wp:posOffset>
            </wp:positionV>
            <wp:extent cx="6069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69330" cy="8890"/>
                    </a:xfrm>
                    <a:prstGeom prst="rect">
                      <a:avLst/>
                    </a:prstGeom>
                    <a:noFill/>
                  </pic:spPr>
                </pic:pic>
              </a:graphicData>
            </a:graphic>
          </wp:anchor>
        </w:drawing>
      </w:r>
    </w:p>
    <w:p>
      <w:pPr>
        <w:spacing w:after="0" w:line="33" w:lineRule="exact"/>
        <w:rPr>
          <w:sz w:val="24"/>
          <w:szCs w:val="24"/>
          <w:color w:val="auto"/>
        </w:rPr>
      </w:pPr>
    </w:p>
    <w:p>
      <w:pPr>
        <w:ind w:left="4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Registrant’s name</w:t>
      </w:r>
      <w:r>
        <w:rPr>
          <w:rFonts w:ascii="Arial" w:cs="Arial" w:eastAsia="Arial" w:hAnsi="Arial"/>
          <w:sz w:val="18"/>
          <w:szCs w:val="18"/>
          <w:color w:val="auto"/>
        </w:rPr>
        <w:t>)</w:t>
      </w:r>
    </w:p>
    <w:p>
      <w:pPr>
        <w:spacing w:after="0" w:line="205" w:lineRule="exact"/>
        <w:rPr>
          <w:sz w:val="24"/>
          <w:szCs w:val="24"/>
          <w:color w:val="auto"/>
        </w:rPr>
      </w:pPr>
    </w:p>
    <w:p>
      <w:pPr>
        <w:jc w:val="center"/>
        <w:ind w:right="-659"/>
        <w:spacing w:after="0"/>
        <w:rPr>
          <w:sz w:val="20"/>
          <w:szCs w:val="20"/>
          <w:color w:val="auto"/>
        </w:rPr>
      </w:pPr>
      <w:r>
        <w:rPr>
          <w:rFonts w:ascii="Arial" w:cs="Arial" w:eastAsia="Arial" w:hAnsi="Arial"/>
          <w:sz w:val="18"/>
          <w:szCs w:val="18"/>
          <w:b w:val="1"/>
          <w:bCs w:val="1"/>
          <w:color w:val="auto"/>
        </w:rPr>
        <w:t>Dornierstraße 19</w:t>
      </w:r>
    </w:p>
    <w:p>
      <w:pPr>
        <w:spacing w:after="0" w:line="27" w:lineRule="exact"/>
        <w:rPr>
          <w:sz w:val="24"/>
          <w:szCs w:val="24"/>
          <w:color w:val="auto"/>
        </w:rPr>
      </w:pPr>
    </w:p>
    <w:p>
      <w:pPr>
        <w:jc w:val="center"/>
        <w:ind w:right="-659"/>
        <w:spacing w:after="0"/>
        <w:rPr>
          <w:sz w:val="20"/>
          <w:szCs w:val="20"/>
          <w:color w:val="auto"/>
        </w:rPr>
      </w:pPr>
      <w:r>
        <w:rPr>
          <w:rFonts w:ascii="Arial" w:cs="Arial" w:eastAsia="Arial" w:hAnsi="Arial"/>
          <w:sz w:val="18"/>
          <w:szCs w:val="18"/>
          <w:b w:val="1"/>
          <w:bCs w:val="1"/>
          <w:color w:val="auto"/>
        </w:rPr>
        <w:t>82205 Gilching</w:t>
      </w:r>
    </w:p>
    <w:p>
      <w:pPr>
        <w:spacing w:after="0" w:line="9" w:lineRule="exact"/>
        <w:rPr>
          <w:sz w:val="24"/>
          <w:szCs w:val="24"/>
          <w:color w:val="auto"/>
        </w:rPr>
      </w:pPr>
    </w:p>
    <w:p>
      <w:pPr>
        <w:jc w:val="center"/>
        <w:ind w:right="-659"/>
        <w:spacing w:after="0"/>
        <w:rPr>
          <w:sz w:val="20"/>
          <w:szCs w:val="20"/>
          <w:color w:val="auto"/>
        </w:rPr>
      </w:pPr>
      <w:r>
        <w:rPr>
          <w:rFonts w:ascii="Arial" w:cs="Arial" w:eastAsia="Arial" w:hAnsi="Arial"/>
          <w:sz w:val="18"/>
          <w:szCs w:val="18"/>
          <w:b w:val="1"/>
          <w:bCs w:val="1"/>
          <w:color w:val="auto"/>
        </w:rPr>
        <w:t>Germany</w:t>
      </w:r>
    </w:p>
    <w:p>
      <w:pPr>
        <w:spacing w:after="0" w:line="9" w:lineRule="exact"/>
        <w:rPr>
          <w:sz w:val="24"/>
          <w:szCs w:val="24"/>
          <w:color w:val="auto"/>
        </w:rPr>
      </w:pPr>
    </w:p>
    <w:p>
      <w:pPr>
        <w:jc w:val="center"/>
        <w:ind w:right="-659"/>
        <w:spacing w:after="0"/>
        <w:rPr>
          <w:sz w:val="20"/>
          <w:szCs w:val="20"/>
          <w:color w:val="auto"/>
        </w:rPr>
      </w:pPr>
      <w:r>
        <w:rPr>
          <w:rFonts w:ascii="Arial" w:cs="Arial" w:eastAsia="Arial" w:hAnsi="Arial"/>
          <w:sz w:val="18"/>
          <w:szCs w:val="18"/>
          <w:b w:val="1"/>
          <w:bCs w:val="1"/>
          <w:u w:val="single" w:color="auto"/>
          <w:color w:val="auto"/>
        </w:rPr>
        <w:t>+49 (0) 8105 79990</w:t>
      </w:r>
    </w:p>
    <w:p>
      <w:pPr>
        <w:spacing w:after="0" w:line="9" w:lineRule="exact"/>
        <w:rPr>
          <w:sz w:val="24"/>
          <w:szCs w:val="24"/>
          <w:color w:val="auto"/>
        </w:rPr>
      </w:pPr>
    </w:p>
    <w:p>
      <w:pPr>
        <w:jc w:val="center"/>
        <w:ind w:right="-6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Address of principal executive offices</w:t>
      </w:r>
      <w:r>
        <w:rPr>
          <w:rFonts w:ascii="Arial" w:cs="Arial" w:eastAsia="Arial" w:hAnsi="Arial"/>
          <w:sz w:val="18"/>
          <w:szCs w:val="18"/>
          <w:color w:val="auto"/>
        </w:rPr>
        <w:t>)</w:t>
      </w:r>
    </w:p>
    <w:p>
      <w:pPr>
        <w:spacing w:after="0" w:line="166" w:lineRule="exact"/>
        <w:rPr>
          <w:sz w:val="24"/>
          <w:szCs w:val="24"/>
          <w:color w:val="auto"/>
        </w:rPr>
      </w:pPr>
    </w:p>
    <w:p>
      <w:pPr>
        <w:spacing w:after="0" w:line="207" w:lineRule="exact"/>
        <w:tabs>
          <w:tab w:leader="none" w:pos="9600" w:val="left"/>
        </w:tabs>
        <w:rPr>
          <w:sz w:val="20"/>
          <w:szCs w:val="20"/>
          <w:color w:val="auto"/>
        </w:rPr>
      </w:pPr>
      <w:r>
        <w:rPr>
          <w:rFonts w:ascii="Arial" w:cs="Arial" w:eastAsia="Arial" w:hAnsi="Arial"/>
          <w:sz w:val="18"/>
          <w:szCs w:val="18"/>
          <w:color w:val="auto"/>
        </w:rPr>
        <w:t>Indicate by check mark whether the registrant files or will file annual reports under cover Form 20</w:t>
      </w:r>
      <w:r>
        <w:rPr>
          <w:rFonts w:ascii="MS PGothic" w:cs="MS PGothic" w:eastAsia="MS PGothic" w:hAnsi="MS PGothic"/>
          <w:sz w:val="18"/>
          <w:szCs w:val="18"/>
          <w:color w:val="auto"/>
        </w:rPr>
        <w:t>‑</w:t>
      </w:r>
      <w:r>
        <w:rPr>
          <w:rFonts w:ascii="Arial" w:cs="Arial" w:eastAsia="Arial" w:hAnsi="Arial"/>
          <w:sz w:val="18"/>
          <w:szCs w:val="18"/>
          <w:color w:val="auto"/>
        </w:rPr>
        <w:t>F or Form 40</w:t>
      </w:r>
      <w:r>
        <w:rPr>
          <w:rFonts w:ascii="MS PGothic" w:cs="MS PGothic" w:eastAsia="MS PGothic" w:hAnsi="MS PGothic"/>
          <w:sz w:val="18"/>
          <w:szCs w:val="18"/>
          <w:color w:val="auto"/>
        </w:rPr>
        <w:t>‑</w:t>
      </w:r>
      <w:r>
        <w:rPr>
          <w:rFonts w:ascii="Arial" w:cs="Arial" w:eastAsia="Arial" w:hAnsi="Arial"/>
          <w:sz w:val="18"/>
          <w:szCs w:val="18"/>
          <w:color w:val="auto"/>
        </w:rPr>
        <w:t>F: Form 20</w:t>
      </w:r>
      <w:r>
        <w:rPr>
          <w:rFonts w:ascii="MS PGothic" w:cs="MS PGothic" w:eastAsia="MS PGothic" w:hAnsi="MS PGothic"/>
          <w:sz w:val="18"/>
          <w:szCs w:val="18"/>
          <w:color w:val="auto"/>
        </w:rPr>
        <w:t>‑</w:t>
      </w:r>
      <w:r>
        <w:rPr>
          <w:rFonts w:ascii="Arial" w:cs="Arial" w:eastAsia="Arial" w:hAnsi="Arial"/>
          <w:sz w:val="18"/>
          <w:szCs w:val="18"/>
          <w:color w:val="auto"/>
        </w:rPr>
        <w:t xml:space="preserve">F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Form 40</w:t>
      </w:r>
      <w:r>
        <w:rPr>
          <w:rFonts w:ascii="MS PGothic" w:cs="MS PGothic" w:eastAsia="MS PGothic" w:hAnsi="MS PGothic"/>
          <w:sz w:val="16"/>
          <w:szCs w:val="16"/>
          <w:color w:val="auto"/>
        </w:rPr>
        <w:t>‑</w:t>
      </w:r>
      <w:r>
        <w:rPr>
          <w:rFonts w:ascii="Arial" w:cs="Arial" w:eastAsia="Arial" w:hAnsi="Arial"/>
          <w:sz w:val="16"/>
          <w:szCs w:val="16"/>
          <w:color w:val="auto"/>
        </w:rPr>
        <w:t xml:space="preserve">F </w:t>
      </w:r>
      <w:r>
        <w:rPr>
          <w:rFonts w:ascii="MS PGothic" w:cs="MS PGothic" w:eastAsia="MS PGothic" w:hAnsi="MS PGothic"/>
          <w:sz w:val="16"/>
          <w:szCs w:val="16"/>
          <w:color w:val="auto"/>
        </w:rPr>
        <w:t>☐</w:t>
      </w:r>
    </w:p>
    <w:p>
      <w:pPr>
        <w:spacing w:after="0" w:line="22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Indicate by check mark if the registrant is submitting the Form 6</w:t>
      </w:r>
      <w:r>
        <w:rPr>
          <w:rFonts w:ascii="MS PGothic" w:cs="MS PGothic" w:eastAsia="MS PGothic" w:hAnsi="MS PGothic"/>
          <w:sz w:val="18"/>
          <w:szCs w:val="18"/>
          <w:color w:val="auto"/>
        </w:rPr>
        <w:t>‑</w:t>
      </w:r>
      <w:r>
        <w:rPr>
          <w:rFonts w:ascii="Arial" w:cs="Arial" w:eastAsia="Arial" w:hAnsi="Arial"/>
          <w:sz w:val="18"/>
          <w:szCs w:val="18"/>
          <w:color w:val="auto"/>
        </w:rPr>
        <w:t>K in paper as permitted by Regulation S</w:t>
      </w:r>
      <w:r>
        <w:rPr>
          <w:rFonts w:ascii="MS PGothic" w:cs="MS PGothic" w:eastAsia="MS PGothic" w:hAnsi="MS PGothic"/>
          <w:sz w:val="18"/>
          <w:szCs w:val="18"/>
          <w:color w:val="auto"/>
        </w:rPr>
        <w:t>‑</w:t>
      </w:r>
      <w:r>
        <w:rPr>
          <w:rFonts w:ascii="Arial" w:cs="Arial" w:eastAsia="Arial" w:hAnsi="Arial"/>
          <w:sz w:val="18"/>
          <w:szCs w:val="18"/>
          <w:color w:val="auto"/>
        </w:rPr>
        <w:t xml:space="preserve">T Rule 101(b)(1):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Indicate by check mark if the registrant is submitting the Form 6</w:t>
      </w:r>
      <w:r>
        <w:rPr>
          <w:rFonts w:ascii="MS PGothic" w:cs="MS PGothic" w:eastAsia="MS PGothic" w:hAnsi="MS PGothic"/>
          <w:sz w:val="18"/>
          <w:szCs w:val="18"/>
          <w:color w:val="auto"/>
        </w:rPr>
        <w:t>‑</w:t>
      </w:r>
      <w:r>
        <w:rPr>
          <w:rFonts w:ascii="Arial" w:cs="Arial" w:eastAsia="Arial" w:hAnsi="Arial"/>
          <w:sz w:val="18"/>
          <w:szCs w:val="18"/>
          <w:color w:val="auto"/>
        </w:rPr>
        <w:t>K in paper as permitted by Regulation S</w:t>
      </w:r>
      <w:r>
        <w:rPr>
          <w:rFonts w:ascii="MS PGothic" w:cs="MS PGothic" w:eastAsia="MS PGothic" w:hAnsi="MS PGothic"/>
          <w:sz w:val="18"/>
          <w:szCs w:val="18"/>
          <w:color w:val="auto"/>
        </w:rPr>
        <w:t>‑</w:t>
      </w:r>
      <w:r>
        <w:rPr>
          <w:rFonts w:ascii="Arial" w:cs="Arial" w:eastAsia="Arial" w:hAnsi="Arial"/>
          <w:sz w:val="18"/>
          <w:szCs w:val="18"/>
          <w:color w:val="auto"/>
        </w:rPr>
        <w:t xml:space="preserve">T Rule 101(b)(7):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22225</wp:posOffset>
            </wp:positionH>
            <wp:positionV relativeFrom="paragraph">
              <wp:posOffset>214630</wp:posOffset>
            </wp:positionV>
            <wp:extent cx="709803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98030" cy="1714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266065</wp:posOffset>
            </wp:positionV>
            <wp:extent cx="7098030" cy="43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98030" cy="43180"/>
                    </a:xfrm>
                    <a:prstGeom prst="rect">
                      <a:avLst/>
                    </a:prstGeom>
                    <a:noFill/>
                  </pic:spPr>
                </pic:pic>
              </a:graphicData>
            </a:graphic>
          </wp:anchor>
        </w:drawing>
      </w:r>
    </w:p>
    <w:p>
      <w:pPr>
        <w:sectPr>
          <w:pgSz w:w="11900" w:h="16838" w:orient="portrait"/>
          <w:cols w:equalWidth="0" w:num="1">
            <w:col w:w="10600"/>
          </w:cols>
          <w:pgMar w:left="320" w:top="675" w:right="979" w:bottom="1440" w:gutter="0" w:footer="0" w:header="0"/>
        </w:sectPr>
      </w:pPr>
    </w:p>
    <w:bookmarkStart w:id="1" w:name="page2"/>
    <w:bookmarkEnd w:id="1"/>
    <w:p>
      <w:pPr>
        <w:ind w:left="3300"/>
        <w:spacing w:after="0"/>
        <w:rPr>
          <w:sz w:val="20"/>
          <w:szCs w:val="20"/>
          <w:color w:val="auto"/>
        </w:rPr>
      </w:pPr>
      <w:r>
        <w:rPr>
          <w:rFonts w:ascii="Arial" w:cs="Arial" w:eastAsia="Arial" w:hAnsi="Arial"/>
          <w:sz w:val="18"/>
          <w:szCs w:val="18"/>
          <w:b w:val="1"/>
          <w:bCs w:val="1"/>
          <w:color w:val="auto"/>
        </w:rPr>
        <w:t>DOCUMENTS INCLUDED AS PART OF THIS FORM 6-K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Explanatory Note</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On June 29th, 2023, Mynaric AG issued an Invitation to the Annual General Meeting. A copy of the invitation is furnished as Exhibit 99.1 hereto.</w:t>
      </w:r>
    </w:p>
    <w:p>
      <w:pPr>
        <w:spacing w:after="0" w:line="200" w:lineRule="exact"/>
        <w:rPr>
          <w:sz w:val="20"/>
          <w:szCs w:val="20"/>
          <w:color w:val="auto"/>
        </w:rPr>
      </w:pPr>
    </w:p>
    <w:p>
      <w:pPr>
        <w:spacing w:after="0" w:line="264"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480"/>
          </w:cols>
          <w:pgMar w:left="320" w:top="553" w:right="109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3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100" w:type="dxa"/>
            <w:vAlign w:val="bottom"/>
            <w:gridSpan w:val="2"/>
          </w:tcPr>
          <w:p>
            <w:pPr>
              <w:jc w:val="center"/>
              <w:ind w:right="1140"/>
              <w:spacing w:after="0"/>
              <w:rPr>
                <w:sz w:val="20"/>
                <w:szCs w:val="20"/>
                <w:color w:val="auto"/>
              </w:rPr>
            </w:pPr>
            <w:r>
              <w:rPr>
                <w:rFonts w:ascii="Arial" w:cs="Arial" w:eastAsia="Arial" w:hAnsi="Arial"/>
                <w:sz w:val="18"/>
                <w:szCs w:val="18"/>
                <w:b w:val="1"/>
                <w:bCs w:val="1"/>
                <w:color w:val="auto"/>
                <w:w w:val="99"/>
              </w:rPr>
              <w:t>DOCUMENTS INCLUDED AS PART OF THIS FORM 6-K</w:t>
            </w:r>
          </w:p>
        </w:tc>
      </w:tr>
      <w:tr>
        <w:trPr>
          <w:trHeight w:val="432"/>
        </w:trPr>
        <w:tc>
          <w:tcPr>
            <w:tcW w:w="92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Exhibit</w:t>
            </w:r>
          </w:p>
        </w:tc>
        <w:tc>
          <w:tcPr>
            <w:tcW w:w="200" w:type="dxa"/>
            <w:vAlign w:val="bottom"/>
          </w:tcPr>
          <w:p>
            <w:pPr>
              <w:spacing w:after="0"/>
              <w:rPr>
                <w:sz w:val="24"/>
                <w:szCs w:val="24"/>
                <w:color w:val="auto"/>
              </w:rPr>
            </w:pPr>
          </w:p>
        </w:tc>
        <w:tc>
          <w:tcPr>
            <w:tcW w:w="1012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b w:val="1"/>
                <w:bCs w:val="1"/>
                <w:color w:val="auto"/>
              </w:rPr>
              <w:t>Description of Exhibit</w:t>
            </w:r>
          </w:p>
        </w:tc>
      </w:tr>
      <w:tr>
        <w:trPr>
          <w:trHeight w:val="190"/>
        </w:trPr>
        <w:tc>
          <w:tcPr>
            <w:tcW w:w="320" w:type="dxa"/>
            <w:vAlign w:val="bottom"/>
            <w:tcBorders>
              <w:bottom w:val="single" w:sz="8" w:color="0000EE"/>
            </w:tcBorders>
            <w:shd w:val="clear" w:color="auto" w:fill="CCEEFF"/>
          </w:tcPr>
          <w:p>
            <w:pPr>
              <w:spacing w:after="0" w:line="169" w:lineRule="exact"/>
              <w:rPr>
                <w:sz w:val="20"/>
                <w:szCs w:val="20"/>
                <w:color w:val="auto"/>
              </w:rPr>
            </w:pPr>
            <w:r>
              <w:rPr>
                <w:rFonts w:ascii="Arial" w:cs="Arial" w:eastAsia="Arial" w:hAnsi="Arial"/>
                <w:sz w:val="18"/>
                <w:szCs w:val="18"/>
                <w:color w:val="0000EE"/>
                <w:w w:val="85"/>
              </w:rPr>
              <w:t>99.</w:t>
            </w:r>
            <w:r>
              <w:rPr>
                <w:rFonts w:ascii="Arial" w:cs="Arial" w:eastAsia="Arial" w:hAnsi="Arial"/>
                <w:sz w:val="18"/>
                <w:szCs w:val="18"/>
                <w:u w:val="single" w:color="auto"/>
                <w:color w:val="0000EE"/>
                <w:w w:val="85"/>
              </w:rPr>
              <w:t>1</w:t>
            </w:r>
          </w:p>
        </w:tc>
        <w:tc>
          <w:tcPr>
            <w:tcW w:w="6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4380" w:type="dxa"/>
            <w:vAlign w:val="bottom"/>
            <w:tcBorders>
              <w:bottom w:val="single" w:sz="8" w:color="0000EE"/>
            </w:tcBorders>
            <w:shd w:val="clear" w:color="auto" w:fill="CCEEFF"/>
          </w:tcPr>
          <w:p>
            <w:pPr>
              <w:spacing w:after="0" w:line="169" w:lineRule="exact"/>
              <w:rPr>
                <w:sz w:val="20"/>
                <w:szCs w:val="20"/>
                <w:color w:val="auto"/>
              </w:rPr>
            </w:pPr>
            <w:r>
              <w:rPr>
                <w:rFonts w:ascii="Arial" w:cs="Arial" w:eastAsia="Arial" w:hAnsi="Arial"/>
                <w:sz w:val="18"/>
                <w:szCs w:val="18"/>
                <w:color w:val="0000EE"/>
                <w:w w:val="92"/>
              </w:rPr>
              <w:t>Mynaric AG: Invitation to the Annual General Meeting 2023</w:t>
            </w:r>
          </w:p>
        </w:tc>
        <w:tc>
          <w:tcPr>
            <w:tcW w:w="5720" w:type="dxa"/>
            <w:vAlign w:val="bottom"/>
            <w:tcBorders>
              <w:bottom w:val="single" w:sz="8" w:color="CCEEFF"/>
            </w:tcBorders>
            <w:shd w:val="clear" w:color="auto" w:fill="CCEEFF"/>
          </w:tcPr>
          <w:p>
            <w:pPr>
              <w:spacing w:after="0"/>
              <w:rPr>
                <w:sz w:val="16"/>
                <w:szCs w:val="16"/>
                <w:color w:val="auto"/>
              </w:rPr>
            </w:pPr>
          </w:p>
        </w:tc>
      </w:tr>
      <w:tr>
        <w:trPr>
          <w:trHeight w:val="648"/>
        </w:trPr>
        <w:tc>
          <w:tcPr>
            <w:tcW w:w="3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0320" w:type="dxa"/>
            <w:vAlign w:val="bottom"/>
            <w:tcBorders>
              <w:bottom w:val="single" w:sz="8" w:color="auto"/>
            </w:tcBorders>
            <w:gridSpan w:val="4"/>
          </w:tcPr>
          <w:p>
            <w:pPr>
              <w:jc w:val="right"/>
              <w:ind w:right="5580"/>
              <w:spacing w:after="0"/>
              <w:rPr>
                <w:sz w:val="20"/>
                <w:szCs w:val="20"/>
                <w:color w:val="auto"/>
              </w:rPr>
            </w:pPr>
            <w:r>
              <w:rPr>
                <w:rFonts w:ascii="Arial" w:cs="Arial" w:eastAsia="Arial" w:hAnsi="Arial"/>
                <w:sz w:val="18"/>
                <w:szCs w:val="18"/>
                <w:color w:val="auto"/>
              </w:rPr>
              <w:t>3</w:t>
            </w:r>
          </w:p>
        </w:tc>
      </w:tr>
    </w:tbl>
    <w:p>
      <w:pPr>
        <w:sectPr>
          <w:pgSz w:w="11900" w:h="16838" w:orient="portrait"/>
          <w:cols w:equalWidth="0" w:num="1">
            <w:col w:w="11240"/>
          </w:cols>
          <w:pgMar w:left="320" w:top="553"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Mynaric AG</w:t>
      </w:r>
    </w:p>
    <w:p>
      <w:pPr>
        <w:spacing w:after="0" w:line="229" w:lineRule="exact"/>
        <w:rPr>
          <w:sz w:val="20"/>
          <w:szCs w:val="20"/>
          <w:color w:val="auto"/>
        </w:rPr>
      </w:pPr>
    </w:p>
    <w:tbl>
      <w:tblPr>
        <w:tblLayout w:type="fixed"/>
        <w:tblInd w:w="562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3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Stefan Berndt-von Bülow</w:t>
            </w:r>
          </w:p>
        </w:tc>
      </w:tr>
      <w:tr>
        <w:trPr>
          <w:trHeight w:val="195"/>
        </w:trPr>
        <w:tc>
          <w:tcPr>
            <w:tcW w:w="56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3940" w:type="dxa"/>
            <w:vAlign w:val="bottom"/>
          </w:tcPr>
          <w:p>
            <w:pPr>
              <w:spacing w:after="0" w:line="195" w:lineRule="exact"/>
              <w:rPr>
                <w:sz w:val="20"/>
                <w:szCs w:val="20"/>
                <w:color w:val="auto"/>
              </w:rPr>
            </w:pPr>
            <w:r>
              <w:rPr>
                <w:rFonts w:ascii="Arial" w:cs="Arial" w:eastAsia="Arial" w:hAnsi="Arial"/>
                <w:sz w:val="18"/>
                <w:szCs w:val="18"/>
                <w:color w:val="auto"/>
              </w:rPr>
              <w:t>Stefan Berndt-von Bülow</w:t>
            </w:r>
          </w:p>
        </w:tc>
      </w:t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394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432"/>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3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Sven Meyer-Brunswick</w:t>
            </w:r>
          </w:p>
        </w:tc>
      </w:tr>
      <w:tr>
        <w:trPr>
          <w:trHeight w:val="195"/>
        </w:trPr>
        <w:tc>
          <w:tcPr>
            <w:tcW w:w="56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3940" w:type="dxa"/>
            <w:vAlign w:val="bottom"/>
          </w:tcPr>
          <w:p>
            <w:pPr>
              <w:spacing w:after="0" w:line="195" w:lineRule="exact"/>
              <w:rPr>
                <w:sz w:val="20"/>
                <w:szCs w:val="20"/>
                <w:color w:val="auto"/>
              </w:rPr>
            </w:pPr>
            <w:r>
              <w:rPr>
                <w:rFonts w:ascii="Arial" w:cs="Arial" w:eastAsia="Arial" w:hAnsi="Arial"/>
                <w:sz w:val="18"/>
                <w:szCs w:val="18"/>
                <w:color w:val="auto"/>
              </w:rPr>
              <w:t>Sven Meyer-Brunswick</w:t>
            </w:r>
          </w:p>
        </w:tc>
      </w:t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3940" w:type="dxa"/>
            <w:vAlign w:val="bottom"/>
          </w:tcPr>
          <w:p>
            <w:pPr>
              <w:spacing w:after="0"/>
              <w:rPr>
                <w:sz w:val="20"/>
                <w:szCs w:val="20"/>
                <w:color w:val="auto"/>
              </w:rPr>
            </w:pPr>
            <w:r>
              <w:rPr>
                <w:rFonts w:ascii="Arial" w:cs="Arial" w:eastAsia="Arial" w:hAnsi="Arial"/>
                <w:sz w:val="18"/>
                <w:szCs w:val="18"/>
                <w:color w:val="auto"/>
              </w:rPr>
              <w:t>Authorized Representative</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Date: June 29, 2023</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5200015</wp:posOffset>
            </wp:positionH>
            <wp:positionV relativeFrom="paragraph">
              <wp:posOffset>17145</wp:posOffset>
            </wp:positionV>
            <wp:extent cx="1937385" cy="4972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937385" cy="497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Non-Binding Convenience Translation</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Mynaric AG</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Gilching, district of Starnberg</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ISIN DE000A31C305</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Unique identifier of the event: M0Y082023oHV</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Invitation to the Annual General Meeting</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We hereby invite our shareholders to the</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Annual General Meeting</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to be held on Monday, August 7, 2023, at 10:00 a.m. (CEST)</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at</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Haus der Bayrischen Wirtschaft,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Max-Joseph-Straße 5, 80333 Munich</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 Agenda of the Annual General Meeting</w:t>
      </w:r>
    </w:p>
    <w:p>
      <w:pPr>
        <w:spacing w:after="0" w:line="225" w:lineRule="exact"/>
        <w:rPr>
          <w:sz w:val="20"/>
          <w:szCs w:val="20"/>
          <w:color w:val="auto"/>
        </w:rPr>
      </w:pPr>
    </w:p>
    <w:p>
      <w:pPr>
        <w:ind w:left="460" w:hanging="452"/>
        <w:spacing w:after="0" w:line="312" w:lineRule="auto"/>
        <w:tabs>
          <w:tab w:leader="none" w:pos="460" w:val="left"/>
        </w:tabs>
        <w:numPr>
          <w:ilvl w:val="0"/>
          <w:numId w:val="1"/>
        </w:numPr>
        <w:rPr>
          <w:rFonts w:ascii="Arial" w:cs="Arial" w:eastAsia="Arial" w:hAnsi="Arial"/>
          <w:sz w:val="17"/>
          <w:szCs w:val="17"/>
          <w:b w:val="1"/>
          <w:bCs w:val="1"/>
          <w:color w:val="auto"/>
        </w:rPr>
      </w:pPr>
      <w:r>
        <w:rPr>
          <w:rFonts w:ascii="Arial" w:cs="Arial" w:eastAsia="Arial" w:hAnsi="Arial"/>
          <w:sz w:val="17"/>
          <w:szCs w:val="17"/>
          <w:b w:val="1"/>
          <w:bCs w:val="1"/>
          <w:color w:val="auto"/>
        </w:rPr>
        <w:t>Presentation of the adopted annual financial statements of the Company and the approved consolidated financial statements as of December 31, 2022, the management report for the Group, and the report of the Supervisory Board for the financial year 2022</w:t>
      </w:r>
    </w:p>
    <w:p>
      <w:pPr>
        <w:spacing w:after="0" w:line="143" w:lineRule="exact"/>
        <w:rPr>
          <w:rFonts w:ascii="Arial" w:cs="Arial" w:eastAsia="Arial" w:hAnsi="Arial"/>
          <w:sz w:val="17"/>
          <w:szCs w:val="17"/>
          <w:b w:val="1"/>
          <w:bCs w:val="1"/>
          <w:color w:val="auto"/>
        </w:rPr>
      </w:pPr>
    </w:p>
    <w:p>
      <w:pPr>
        <w:jc w:val="both"/>
        <w:ind w:left="460"/>
        <w:spacing w:after="0" w:line="273" w:lineRule="auto"/>
        <w:rPr>
          <w:rFonts w:ascii="Arial" w:cs="Arial" w:eastAsia="Arial" w:hAnsi="Arial"/>
          <w:sz w:val="17"/>
          <w:szCs w:val="17"/>
          <w:b w:val="1"/>
          <w:bCs w:val="1"/>
          <w:color w:val="auto"/>
        </w:rPr>
      </w:pPr>
      <w:r>
        <w:rPr>
          <w:rFonts w:ascii="Arial" w:cs="Arial" w:eastAsia="Arial" w:hAnsi="Arial"/>
          <w:sz w:val="17"/>
          <w:szCs w:val="17"/>
          <w:color w:val="auto"/>
        </w:rPr>
        <w:t>A resolution on this agenda item 1 is not provided for. Section 175 para. 1 sentence 1 of the German Stock Corporation Act (</w:t>
      </w:r>
      <w:r>
        <w:rPr>
          <w:rFonts w:ascii="Arial" w:cs="Arial" w:eastAsia="Arial" w:hAnsi="Arial"/>
          <w:sz w:val="17"/>
          <w:szCs w:val="17"/>
          <w:i w:val="1"/>
          <w:iCs w:val="1"/>
          <w:color w:val="auto"/>
        </w:rPr>
        <w:t>AktG</w:t>
      </w:r>
      <w:r>
        <w:rPr>
          <w:rFonts w:ascii="Arial" w:cs="Arial" w:eastAsia="Arial" w:hAnsi="Arial"/>
          <w:sz w:val="17"/>
          <w:szCs w:val="17"/>
          <w:color w:val="auto"/>
        </w:rPr>
        <w:t>) merely provides that the Management Board must convene the Annual General Meeting for the purpose of, amongst others, accepting the adopted annual financial statements and, in the case of a parent company, also the consolidated financial statements approved by the Supervisory Board and the Group management report. Pursuant to section 175 para. 2, 176 para 1 sentence 1 AktG, the Management Board must make available to the Annual General Meeting, amongst others, the annual financial statements, the report of the Supervisory Board and, in the case of a parent company, also the consolidated financial statements, the Group management report and the report of the Supervisory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379095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ind w:left="460"/>
        <w:spacing w:after="0" w:line="277" w:lineRule="auto"/>
        <w:rPr>
          <w:sz w:val="20"/>
          <w:szCs w:val="20"/>
          <w:color w:val="auto"/>
        </w:rPr>
      </w:pPr>
      <w:r>
        <w:rPr>
          <w:rFonts w:ascii="Arial" w:cs="Arial" w:eastAsia="Arial" w:hAnsi="Arial"/>
          <w:sz w:val="18"/>
          <w:szCs w:val="18"/>
          <w:color w:val="auto"/>
        </w:rPr>
        <w:t xml:space="preserve">All of the above documents will be available for inspection by shareholders from the day of convocation and during the Annual General Meeting via the Company’s website at </w:t>
      </w:r>
      <w:r>
        <w:rPr>
          <w:rFonts w:ascii="Arial" w:cs="Arial" w:eastAsia="Arial" w:hAnsi="Arial"/>
          <w:sz w:val="18"/>
          <w:szCs w:val="18"/>
          <w:u w:val="single" w:color="auto"/>
          <w:color w:val="auto"/>
        </w:rPr>
        <w:t>http://www.mynaric.com/hv</w:t>
      </w:r>
      <w:r>
        <w:rPr>
          <w:rFonts w:ascii="Arial" w:cs="Arial" w:eastAsia="Arial" w:hAnsi="Arial"/>
          <w:sz w:val="18"/>
          <w:szCs w:val="18"/>
          <w:color w:val="auto"/>
        </w:rPr>
        <w:t>.</w:t>
      </w:r>
    </w:p>
    <w:p>
      <w:pPr>
        <w:spacing w:after="0" w:line="166" w:lineRule="exact"/>
        <w:rPr>
          <w:sz w:val="20"/>
          <w:szCs w:val="20"/>
          <w:color w:val="auto"/>
        </w:rPr>
      </w:pPr>
    </w:p>
    <w:p>
      <w:pPr>
        <w:ind w:left="460" w:hanging="452"/>
        <w:spacing w:after="0"/>
        <w:tabs>
          <w:tab w:leader="none" w:pos="46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Resolution on the discharge of the members of the Management Board for the financial year 2022</w:t>
      </w:r>
    </w:p>
    <w:p>
      <w:pPr>
        <w:spacing w:after="0" w:line="229"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6"/>
          <w:szCs w:val="16"/>
          <w:color w:val="auto"/>
        </w:rPr>
        <w:t>The Management Board and the Supervisory Board propose that the members of the Management Board be discharged for the financial year 2022.</w:t>
      </w:r>
    </w:p>
    <w:p>
      <w:pPr>
        <w:spacing w:after="0" w:line="244" w:lineRule="exact"/>
        <w:rPr>
          <w:rFonts w:ascii="Arial" w:cs="Arial" w:eastAsia="Arial" w:hAnsi="Arial"/>
          <w:sz w:val="18"/>
          <w:szCs w:val="18"/>
          <w:b w:val="1"/>
          <w:bCs w:val="1"/>
          <w:color w:val="auto"/>
        </w:rPr>
      </w:pPr>
    </w:p>
    <w:p>
      <w:pPr>
        <w:ind w:left="460" w:hanging="452"/>
        <w:spacing w:after="0"/>
        <w:tabs>
          <w:tab w:leader="none" w:pos="46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Resolution on the discharge of the members of the Supervisory Board for the financial year 2022</w:t>
      </w:r>
    </w:p>
    <w:p>
      <w:pPr>
        <w:spacing w:after="0" w:line="229"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6"/>
          <w:szCs w:val="16"/>
          <w:color w:val="auto"/>
        </w:rPr>
        <w:t>The Management Board and the Supervisory Board propose that the members of the Supervisory Board be discharged for the financial year 2022.</w:t>
      </w:r>
    </w:p>
    <w:p>
      <w:pPr>
        <w:spacing w:after="0" w:line="244" w:lineRule="exact"/>
        <w:rPr>
          <w:rFonts w:ascii="Arial" w:cs="Arial" w:eastAsia="Arial" w:hAnsi="Arial"/>
          <w:sz w:val="18"/>
          <w:szCs w:val="18"/>
          <w:b w:val="1"/>
          <w:bCs w:val="1"/>
          <w:color w:val="auto"/>
        </w:rPr>
      </w:pPr>
    </w:p>
    <w:p>
      <w:pPr>
        <w:ind w:left="460" w:hanging="452"/>
        <w:spacing w:after="0" w:line="282" w:lineRule="auto"/>
        <w:tabs>
          <w:tab w:leader="none" w:pos="46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Resolution on the election of the auditor of the annual financial statements and the consolidated financial statements for the financial year 2023</w:t>
      </w:r>
    </w:p>
    <w:p>
      <w:pPr>
        <w:spacing w:after="0" w:line="165" w:lineRule="exact"/>
        <w:rPr>
          <w:rFonts w:ascii="Arial" w:cs="Arial" w:eastAsia="Arial" w:hAnsi="Arial"/>
          <w:sz w:val="18"/>
          <w:szCs w:val="18"/>
          <w:b w:val="1"/>
          <w:bCs w:val="1"/>
          <w:color w:val="auto"/>
        </w:rPr>
      </w:pPr>
    </w:p>
    <w:p>
      <w:pPr>
        <w:jc w:val="both"/>
        <w:ind w:left="460"/>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The Supervisory Board proposes – in accordance with the proposal of its Audit Committee – that KPMG AG Wirtschaftsprüfungsgesellschaft, Klingelhöferstraße 18, 10785 Berlin, be elected as auditors of the annual financial statements and the consolidated financial statements for the financial year 2023.</w:t>
      </w:r>
    </w:p>
    <w:p>
      <w:pPr>
        <w:spacing w:after="0" w:line="179" w:lineRule="exact"/>
        <w:rPr>
          <w:rFonts w:ascii="Arial" w:cs="Arial" w:eastAsia="Arial" w:hAnsi="Arial"/>
          <w:sz w:val="18"/>
          <w:szCs w:val="18"/>
          <w:b w:val="1"/>
          <w:bCs w:val="1"/>
          <w:color w:val="auto"/>
        </w:rPr>
      </w:pPr>
    </w:p>
    <w:p>
      <w:pPr>
        <w:ind w:left="460" w:hanging="452"/>
        <w:spacing w:after="0"/>
        <w:tabs>
          <w:tab w:leader="none" w:pos="46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Elections to the Supervisory Board</w:t>
      </w:r>
    </w:p>
    <w:p>
      <w:pPr>
        <w:spacing w:after="0" w:line="229" w:lineRule="exact"/>
        <w:rPr>
          <w:rFonts w:ascii="Arial" w:cs="Arial" w:eastAsia="Arial" w:hAnsi="Arial"/>
          <w:sz w:val="18"/>
          <w:szCs w:val="18"/>
          <w:b w:val="1"/>
          <w:bCs w:val="1"/>
          <w:color w:val="auto"/>
        </w:rPr>
      </w:pPr>
    </w:p>
    <w:p>
      <w:pPr>
        <w:ind w:left="4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Pursuant to section 9 para. 1 of the Articles of Association in conjunction with sections 95 sentence 2, 96 para. 1, 101 para. 1 AktG, the Supervisory Board of the Company is composed of five members elected by the general meeting.</w:t>
      </w:r>
    </w:p>
    <w:p>
      <w:pPr>
        <w:spacing w:after="0" w:line="170" w:lineRule="exact"/>
        <w:rPr>
          <w:rFonts w:ascii="Arial" w:cs="Arial" w:eastAsia="Arial" w:hAnsi="Arial"/>
          <w:sz w:val="18"/>
          <w:szCs w:val="18"/>
          <w:b w:val="1"/>
          <w:bCs w:val="1"/>
          <w:color w:val="auto"/>
        </w:rPr>
      </w:pPr>
    </w:p>
    <w:p>
      <w:pPr>
        <w:ind w:left="4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term of office of all current members of the Supervisory Board ends at the end of the Annual General Meeting 2023, which is hereby convened. A total of five Supervisory Board members are therefore to be newly elected.</w:t>
      </w:r>
    </w:p>
    <w:p>
      <w:pPr>
        <w:spacing w:after="0" w:line="170" w:lineRule="exact"/>
        <w:rPr>
          <w:rFonts w:ascii="Arial" w:cs="Arial" w:eastAsia="Arial" w:hAnsi="Arial"/>
          <w:sz w:val="18"/>
          <w:szCs w:val="18"/>
          <w:b w:val="1"/>
          <w:bCs w:val="1"/>
          <w:color w:val="auto"/>
        </w:rPr>
      </w:pPr>
    </w:p>
    <w:p>
      <w:pPr>
        <w:jc w:val="both"/>
        <w:ind w:left="460"/>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Dr. Manfred Krischke, Dr. Hans Königsmann und Peter Müller-Brühl are available for re-election and shall be re-elected as a member of the Supervisory Board with effect from the end of the Annual General Meeting on August 7, 2023. Furthermore, Bulent Altan and Margaret Abernathy shall be newly elected to the Supervisory Board].</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6" w:name="page7"/>
    <w:bookmarkEnd w:id="6"/>
    <w:p>
      <w:pPr>
        <w:ind w:left="3"/>
        <w:spacing w:after="0"/>
        <w:rPr>
          <w:sz w:val="20"/>
          <w:szCs w:val="20"/>
          <w:color w:val="auto"/>
        </w:rPr>
      </w:pPr>
      <w:r>
        <w:rPr>
          <w:rFonts w:ascii="Arial" w:cs="Arial" w:eastAsia="Arial" w:hAnsi="Arial"/>
          <w:sz w:val="18"/>
          <w:szCs w:val="18"/>
          <w:color w:val="auto"/>
        </w:rPr>
        <w:t>The Supervisory Board proposes – as suggested by its Corporate Governance and Nominating Committee –, that</w:t>
      </w:r>
    </w:p>
    <w:p>
      <w:pPr>
        <w:spacing w:after="0" w:line="225" w:lineRule="exact"/>
        <w:rPr>
          <w:sz w:val="20"/>
          <w:szCs w:val="20"/>
          <w:color w:val="auto"/>
        </w:rPr>
      </w:pPr>
    </w:p>
    <w:p>
      <w:pPr>
        <w:ind w:left="443" w:hanging="443"/>
        <w:spacing w:after="0"/>
        <w:tabs>
          <w:tab w:leader="none" w:pos="443" w:val="left"/>
        </w:tabs>
        <w:numPr>
          <w:ilvl w:val="0"/>
          <w:numId w:val="3"/>
        </w:numPr>
        <w:rPr>
          <w:rFonts w:ascii="Arial" w:cs="Arial" w:eastAsia="Arial" w:hAnsi="Arial"/>
          <w:sz w:val="18"/>
          <w:szCs w:val="18"/>
          <w:color w:val="auto"/>
        </w:rPr>
      </w:pPr>
      <w:r>
        <w:rPr>
          <w:rFonts w:ascii="Arial" w:cs="Arial" w:eastAsia="Arial" w:hAnsi="Arial"/>
          <w:sz w:val="18"/>
          <w:szCs w:val="18"/>
          <w:color w:val="auto"/>
        </w:rPr>
        <w:t>Bulent Altan, space engineer and CEO at Earhart Consulting LLC, resident in Los Angeles, California, USA,</w:t>
      </w:r>
    </w:p>
    <w:p>
      <w:pPr>
        <w:spacing w:after="0" w:line="225" w:lineRule="exact"/>
        <w:rPr>
          <w:rFonts w:ascii="Arial" w:cs="Arial" w:eastAsia="Arial" w:hAnsi="Arial"/>
          <w:sz w:val="18"/>
          <w:szCs w:val="18"/>
          <w:color w:val="auto"/>
        </w:rPr>
      </w:pPr>
    </w:p>
    <w:p>
      <w:pPr>
        <w:ind w:left="443" w:hanging="443"/>
        <w:spacing w:after="0"/>
        <w:tabs>
          <w:tab w:leader="none" w:pos="443" w:val="left"/>
        </w:tabs>
        <w:numPr>
          <w:ilvl w:val="0"/>
          <w:numId w:val="3"/>
        </w:numPr>
        <w:rPr>
          <w:rFonts w:ascii="Arial" w:cs="Arial" w:eastAsia="Arial" w:hAnsi="Arial"/>
          <w:sz w:val="18"/>
          <w:szCs w:val="18"/>
          <w:color w:val="auto"/>
        </w:rPr>
      </w:pPr>
      <w:r>
        <w:rPr>
          <w:rFonts w:ascii="Arial" w:cs="Arial" w:eastAsia="Arial" w:hAnsi="Arial"/>
          <w:sz w:val="18"/>
          <w:szCs w:val="18"/>
          <w:color w:val="auto"/>
        </w:rPr>
        <w:t>Dr. Manfred Krischke, Management Board member of CloudEO AG, Munich, resident in Munich,</w:t>
      </w:r>
    </w:p>
    <w:p>
      <w:pPr>
        <w:spacing w:after="0" w:line="225" w:lineRule="exact"/>
        <w:rPr>
          <w:rFonts w:ascii="Arial" w:cs="Arial" w:eastAsia="Arial" w:hAnsi="Arial"/>
          <w:sz w:val="18"/>
          <w:szCs w:val="18"/>
          <w:color w:val="auto"/>
        </w:rPr>
      </w:pPr>
    </w:p>
    <w:p>
      <w:pPr>
        <w:ind w:left="443" w:hanging="443"/>
        <w:spacing w:after="0"/>
        <w:tabs>
          <w:tab w:leader="none" w:pos="443" w:val="left"/>
        </w:tabs>
        <w:numPr>
          <w:ilvl w:val="0"/>
          <w:numId w:val="3"/>
        </w:numPr>
        <w:rPr>
          <w:rFonts w:ascii="Arial" w:cs="Arial" w:eastAsia="Arial" w:hAnsi="Arial"/>
          <w:sz w:val="18"/>
          <w:szCs w:val="18"/>
          <w:color w:val="auto"/>
        </w:rPr>
      </w:pPr>
      <w:r>
        <w:rPr>
          <w:rFonts w:ascii="Arial" w:cs="Arial" w:eastAsia="Arial" w:hAnsi="Arial"/>
          <w:sz w:val="18"/>
          <w:szCs w:val="18"/>
          <w:color w:val="auto"/>
        </w:rPr>
        <w:t>Dr. Hans Königsmann, space engineer, resident in Los Angeles, California, USA]</w:t>
      </w:r>
    </w:p>
    <w:p>
      <w:pPr>
        <w:spacing w:after="0" w:line="225" w:lineRule="exact"/>
        <w:rPr>
          <w:rFonts w:ascii="Arial" w:cs="Arial" w:eastAsia="Arial" w:hAnsi="Arial"/>
          <w:sz w:val="18"/>
          <w:szCs w:val="18"/>
          <w:color w:val="auto"/>
        </w:rPr>
      </w:pPr>
    </w:p>
    <w:p>
      <w:pPr>
        <w:ind w:left="443" w:hanging="443"/>
        <w:spacing w:after="0"/>
        <w:tabs>
          <w:tab w:leader="none" w:pos="443" w:val="left"/>
        </w:tabs>
        <w:numPr>
          <w:ilvl w:val="0"/>
          <w:numId w:val="3"/>
        </w:numPr>
        <w:rPr>
          <w:rFonts w:ascii="Arial" w:cs="Arial" w:eastAsia="Arial" w:hAnsi="Arial"/>
          <w:sz w:val="17"/>
          <w:szCs w:val="17"/>
          <w:color w:val="auto"/>
        </w:rPr>
      </w:pPr>
      <w:r>
        <w:rPr>
          <w:rFonts w:ascii="Arial" w:cs="Arial" w:eastAsia="Arial" w:hAnsi="Arial"/>
          <w:sz w:val="17"/>
          <w:szCs w:val="17"/>
          <w:color w:val="auto"/>
        </w:rPr>
        <w:t>Peter Müller-Brühl, diploma business economist and managing director of GETEC Green Heating GmbH, Magdeburg, resident in Berlin,</w:t>
      </w:r>
    </w:p>
    <w:p>
      <w:pPr>
        <w:spacing w:after="0" w:line="236" w:lineRule="exact"/>
        <w:rPr>
          <w:rFonts w:ascii="Arial" w:cs="Arial" w:eastAsia="Arial" w:hAnsi="Arial"/>
          <w:sz w:val="17"/>
          <w:szCs w:val="17"/>
          <w:color w:val="auto"/>
        </w:rPr>
      </w:pPr>
    </w:p>
    <w:p>
      <w:pPr>
        <w:ind w:left="443" w:hanging="443"/>
        <w:spacing w:after="0"/>
        <w:tabs>
          <w:tab w:leader="none" w:pos="443" w:val="left"/>
        </w:tabs>
        <w:numPr>
          <w:ilvl w:val="0"/>
          <w:numId w:val="3"/>
        </w:numPr>
        <w:rPr>
          <w:rFonts w:ascii="Arial" w:cs="Arial" w:eastAsia="Arial" w:hAnsi="Arial"/>
          <w:sz w:val="18"/>
          <w:szCs w:val="18"/>
          <w:color w:val="auto"/>
        </w:rPr>
      </w:pPr>
      <w:r>
        <w:rPr>
          <w:rFonts w:ascii="Arial" w:cs="Arial" w:eastAsia="Arial" w:hAnsi="Arial"/>
          <w:sz w:val="18"/>
          <w:szCs w:val="18"/>
          <w:color w:val="auto"/>
        </w:rPr>
        <w:t>Margaret Abernathy, General Counsel at Phase Four, El Segundo, California, resident in Los Angeles, California, USA.</w:t>
      </w:r>
    </w:p>
    <w:p>
      <w:pPr>
        <w:spacing w:after="0" w:line="225" w:lineRule="exact"/>
        <w:rPr>
          <w:sz w:val="20"/>
          <w:szCs w:val="20"/>
          <w:color w:val="auto"/>
        </w:rPr>
      </w:pPr>
    </w:p>
    <w:p>
      <w:pPr>
        <w:jc w:val="both"/>
        <w:ind w:left="3"/>
        <w:spacing w:after="0" w:line="259" w:lineRule="auto"/>
        <w:rPr>
          <w:sz w:val="20"/>
          <w:szCs w:val="20"/>
          <w:color w:val="auto"/>
        </w:rPr>
      </w:pPr>
      <w:r>
        <w:rPr>
          <w:rFonts w:ascii="Arial" w:cs="Arial" w:eastAsia="Arial" w:hAnsi="Arial"/>
          <w:sz w:val="18"/>
          <w:szCs w:val="18"/>
          <w:color w:val="auto"/>
        </w:rPr>
        <w:t>be elected as member of the Supervisory Board. The election shall in each case occur with effect from the end of the Annual General Meeting on August 7, 2023, which is hereby convened, and in each case until the end of the Annual General Meeting which resolves on the discharge of the respective member of the Supervisory Board for the fourth year following the beginning of the term of office, not counting the financial year in which the term of office begins (i.e. presumably until the end of the Annual General Meeting 2028).</w:t>
      </w:r>
    </w:p>
    <w:p>
      <w:pPr>
        <w:spacing w:after="0" w:line="187" w:lineRule="exact"/>
        <w:rPr>
          <w:sz w:val="20"/>
          <w:szCs w:val="20"/>
          <w:color w:val="auto"/>
        </w:rPr>
      </w:pPr>
    </w:p>
    <w:p>
      <w:pPr>
        <w:ind w:left="3"/>
        <w:spacing w:after="0"/>
        <w:rPr>
          <w:sz w:val="20"/>
          <w:szCs w:val="20"/>
          <w:color w:val="auto"/>
        </w:rPr>
      </w:pPr>
      <w:r>
        <w:rPr>
          <w:rFonts w:ascii="Arial" w:cs="Arial" w:eastAsia="Arial" w:hAnsi="Arial"/>
          <w:sz w:val="18"/>
          <w:szCs w:val="18"/>
          <w:color w:val="auto"/>
        </w:rPr>
        <w:t>It is intended to elect the members of the Supervisory Board by way of individual election.</w:t>
      </w:r>
    </w:p>
    <w:p>
      <w:pPr>
        <w:spacing w:after="0" w:line="225" w:lineRule="exact"/>
        <w:rPr>
          <w:sz w:val="20"/>
          <w:szCs w:val="20"/>
          <w:color w:val="auto"/>
        </w:rPr>
      </w:pPr>
    </w:p>
    <w:p>
      <w:pPr>
        <w:ind w:left="3"/>
        <w:spacing w:after="0"/>
        <w:rPr>
          <w:sz w:val="20"/>
          <w:szCs w:val="20"/>
          <w:color w:val="auto"/>
        </w:rPr>
      </w:pPr>
      <w:r>
        <w:rPr>
          <w:rFonts w:ascii="Arial" w:cs="Arial" w:eastAsia="Arial" w:hAnsi="Arial"/>
          <w:sz w:val="18"/>
          <w:szCs w:val="18"/>
          <w:color w:val="auto"/>
        </w:rPr>
        <w:t>With regard to Bulent Altan, the following shall be noted:</w:t>
      </w:r>
    </w:p>
    <w:p>
      <w:pPr>
        <w:spacing w:after="0" w:line="225" w:lineRule="exact"/>
        <w:rPr>
          <w:sz w:val="20"/>
          <w:szCs w:val="20"/>
          <w:color w:val="auto"/>
        </w:rPr>
      </w:pPr>
    </w:p>
    <w:p>
      <w:pPr>
        <w:jc w:val="both"/>
        <w:ind w:left="3"/>
        <w:spacing w:after="0" w:line="291" w:lineRule="auto"/>
        <w:rPr>
          <w:sz w:val="20"/>
          <w:szCs w:val="20"/>
          <w:color w:val="auto"/>
        </w:rPr>
      </w:pPr>
      <w:r>
        <w:rPr>
          <w:rFonts w:ascii="Arial" w:cs="Arial" w:eastAsia="Arial" w:hAnsi="Arial"/>
          <w:sz w:val="16"/>
          <w:szCs w:val="16"/>
          <w:color w:val="auto"/>
        </w:rPr>
        <w:t>Bulent Altan will resign from the Management Board of Mynaric AG at the end of the Annual General Meeting 2023 on August 7, 2023. Pursuant to section 100 para. 2 sentence 1 no. 4, first half-sentence AktG, a two-year waiting period, the so-called cooling-off period, must generally be observed for the transfer of a member of the Management Board to the Supervisory Board of the same listed company. Pursuant to section 100 para. 2 sentence 1 no. 4, second half-sentence AktG, such cooling-off period is not required if the election is proposed by shareholders holding more than 25% of the voting rights in the company. This is the case here. The election of Bulent Altan is supported by shareholders of the Company holding more than 25% of the voting rights in the Company. Corresponding letters were received by the Supervisory Board prior to the adoption of the present resolution proposal. The Supervisory Board supports the proposal of the shareholders concerned.</w:t>
      </w:r>
    </w:p>
    <w:p>
      <w:pPr>
        <w:spacing w:after="0" w:line="166" w:lineRule="exact"/>
        <w:rPr>
          <w:sz w:val="20"/>
          <w:szCs w:val="20"/>
          <w:color w:val="auto"/>
        </w:rPr>
      </w:pPr>
    </w:p>
    <w:p>
      <w:pPr>
        <w:jc w:val="center"/>
        <w:ind w:right="437"/>
        <w:spacing w:after="0"/>
        <w:rPr>
          <w:sz w:val="20"/>
          <w:szCs w:val="20"/>
          <w:color w:val="auto"/>
        </w:rPr>
      </w:pPr>
      <w:r>
        <w:rPr>
          <w:rFonts w:ascii="Arial" w:cs="Arial" w:eastAsia="Arial" w:hAnsi="Arial"/>
          <w:sz w:val="18"/>
          <w:szCs w:val="18"/>
          <w:color w:val="auto"/>
        </w:rPr>
        <w:t>* * *</w:t>
      </w:r>
    </w:p>
    <w:p>
      <w:pPr>
        <w:spacing w:after="0" w:line="200" w:lineRule="exact"/>
        <w:rPr>
          <w:sz w:val="20"/>
          <w:szCs w:val="20"/>
          <w:color w:val="auto"/>
        </w:rPr>
      </w:pPr>
    </w:p>
    <w:p>
      <w:pPr>
        <w:spacing w:after="0" w:line="241" w:lineRule="exact"/>
        <w:rPr>
          <w:sz w:val="20"/>
          <w:szCs w:val="20"/>
          <w:color w:val="auto"/>
        </w:rPr>
      </w:pPr>
    </w:p>
    <w:p>
      <w:pPr>
        <w:jc w:val="center"/>
        <w:ind w:right="437"/>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-284480</wp:posOffset>
            </wp:positionH>
            <wp:positionV relativeFrom="paragraph">
              <wp:posOffset>14605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783"/>
          </w:cols>
          <w:pgMar w:left="777" w:top="773" w:right="339" w:bottom="1440" w:gutter="0" w:footer="0" w:header="0"/>
        </w:sectPr>
      </w:pPr>
    </w:p>
    <w:bookmarkStart w:id="7" w:name="page8"/>
    <w:bookmarkEnd w:id="7"/>
    <w:p>
      <w:pPr>
        <w:ind w:left="3"/>
        <w:spacing w:after="0" w:line="277" w:lineRule="auto"/>
        <w:rPr>
          <w:sz w:val="20"/>
          <w:szCs w:val="20"/>
          <w:color w:val="auto"/>
        </w:rPr>
      </w:pPr>
      <w:r>
        <w:rPr>
          <w:rFonts w:ascii="Arial" w:cs="Arial" w:eastAsia="Arial" w:hAnsi="Arial"/>
          <w:sz w:val="18"/>
          <w:szCs w:val="18"/>
          <w:color w:val="auto"/>
        </w:rPr>
        <w:t>The proposed candidates hold the following memberships in other statutory supervisory boards and in comparable domestic and foreign supervisory bodies of business enterprises:</w:t>
      </w:r>
    </w:p>
    <w:p>
      <w:pPr>
        <w:spacing w:after="0" w:line="170" w:lineRule="exact"/>
        <w:rPr>
          <w:sz w:val="20"/>
          <w:szCs w:val="20"/>
          <w:color w:val="auto"/>
        </w:rPr>
      </w:pPr>
    </w:p>
    <w:p>
      <w:pPr>
        <w:ind w:left="443" w:hanging="443"/>
        <w:spacing w:after="0"/>
        <w:tabs>
          <w:tab w:leader="none" w:pos="443" w:val="left"/>
        </w:tabs>
        <w:numPr>
          <w:ilvl w:val="0"/>
          <w:numId w:val="4"/>
        </w:numPr>
        <w:rPr>
          <w:rFonts w:ascii="Arial" w:cs="Arial" w:eastAsia="Arial" w:hAnsi="Arial"/>
          <w:sz w:val="18"/>
          <w:szCs w:val="18"/>
          <w:color w:val="auto"/>
        </w:rPr>
      </w:pPr>
      <w:r>
        <w:rPr>
          <w:rFonts w:ascii="Arial" w:cs="Arial" w:eastAsia="Arial" w:hAnsi="Arial"/>
          <w:sz w:val="18"/>
          <w:szCs w:val="18"/>
          <w:color w:val="auto"/>
        </w:rPr>
        <w:t>Bulent Altan:</w:t>
      </w:r>
    </w:p>
    <w:p>
      <w:pPr>
        <w:spacing w:after="0" w:line="225" w:lineRule="exact"/>
        <w:rPr>
          <w:rFonts w:ascii="Arial" w:cs="Arial" w:eastAsia="Arial" w:hAnsi="Arial"/>
          <w:sz w:val="18"/>
          <w:szCs w:val="18"/>
          <w:color w:val="auto"/>
        </w:rPr>
      </w:pPr>
    </w:p>
    <w:p>
      <w:pPr>
        <w:ind w:left="443"/>
        <w:spacing w:after="0"/>
        <w:rPr>
          <w:rFonts w:ascii="Arial" w:cs="Arial" w:eastAsia="Arial" w:hAnsi="Arial"/>
          <w:sz w:val="18"/>
          <w:szCs w:val="18"/>
          <w:color w:val="auto"/>
        </w:rPr>
      </w:pPr>
      <w:r>
        <w:rPr>
          <w:rFonts w:ascii="Arial" w:cs="Arial" w:eastAsia="Arial" w:hAnsi="Arial"/>
          <w:sz w:val="18"/>
          <w:szCs w:val="18"/>
          <w:color w:val="auto"/>
        </w:rPr>
        <w:t>Memberships in other statutory supervisory boards: None.</w:t>
      </w:r>
    </w:p>
    <w:p>
      <w:pPr>
        <w:spacing w:after="0" w:line="225" w:lineRule="exact"/>
        <w:rPr>
          <w:rFonts w:ascii="Arial" w:cs="Arial" w:eastAsia="Arial" w:hAnsi="Arial"/>
          <w:sz w:val="18"/>
          <w:szCs w:val="18"/>
          <w:color w:val="auto"/>
        </w:rPr>
      </w:pPr>
    </w:p>
    <w:p>
      <w:pPr>
        <w:ind w:left="443"/>
        <w:spacing w:after="0" w:line="277" w:lineRule="auto"/>
        <w:rPr>
          <w:rFonts w:ascii="Arial" w:cs="Arial" w:eastAsia="Arial" w:hAnsi="Arial"/>
          <w:sz w:val="18"/>
          <w:szCs w:val="18"/>
          <w:color w:val="auto"/>
        </w:rPr>
      </w:pPr>
      <w:r>
        <w:rPr>
          <w:rFonts w:ascii="Arial" w:cs="Arial" w:eastAsia="Arial" w:hAnsi="Arial"/>
          <w:sz w:val="18"/>
          <w:szCs w:val="18"/>
          <w:color w:val="auto"/>
        </w:rPr>
        <w:t>Memberships in comparable domestic and foreign supervisory bodies of business enterprises: Chairman of the advisory board of Isar Aerospace Technologies GmbH, Munich, member of the advisory board of Reflex Aerospace GmbH, Munich.</w:t>
      </w:r>
    </w:p>
    <w:p>
      <w:pPr>
        <w:spacing w:after="0" w:line="170" w:lineRule="exact"/>
        <w:rPr>
          <w:rFonts w:ascii="Arial" w:cs="Arial" w:eastAsia="Arial" w:hAnsi="Arial"/>
          <w:sz w:val="18"/>
          <w:szCs w:val="18"/>
          <w:color w:val="auto"/>
        </w:rPr>
      </w:pPr>
    </w:p>
    <w:p>
      <w:pPr>
        <w:ind w:left="443" w:hanging="443"/>
        <w:spacing w:after="0"/>
        <w:tabs>
          <w:tab w:leader="none" w:pos="443" w:val="left"/>
        </w:tabs>
        <w:numPr>
          <w:ilvl w:val="0"/>
          <w:numId w:val="4"/>
        </w:numPr>
        <w:rPr>
          <w:rFonts w:ascii="Arial" w:cs="Arial" w:eastAsia="Arial" w:hAnsi="Arial"/>
          <w:sz w:val="18"/>
          <w:szCs w:val="18"/>
          <w:color w:val="auto"/>
        </w:rPr>
      </w:pPr>
      <w:r>
        <w:rPr>
          <w:rFonts w:ascii="Arial" w:cs="Arial" w:eastAsia="Arial" w:hAnsi="Arial"/>
          <w:sz w:val="18"/>
          <w:szCs w:val="18"/>
          <w:color w:val="auto"/>
        </w:rPr>
        <w:t>Dr. Manfred Krischke:</w:t>
      </w:r>
    </w:p>
    <w:p>
      <w:pPr>
        <w:spacing w:after="0" w:line="225" w:lineRule="exact"/>
        <w:rPr>
          <w:rFonts w:ascii="Arial" w:cs="Arial" w:eastAsia="Arial" w:hAnsi="Arial"/>
          <w:sz w:val="18"/>
          <w:szCs w:val="18"/>
          <w:color w:val="auto"/>
        </w:rPr>
      </w:pPr>
    </w:p>
    <w:p>
      <w:pPr>
        <w:ind w:left="443"/>
        <w:spacing w:after="0"/>
        <w:rPr>
          <w:rFonts w:ascii="Arial" w:cs="Arial" w:eastAsia="Arial" w:hAnsi="Arial"/>
          <w:sz w:val="18"/>
          <w:szCs w:val="18"/>
          <w:color w:val="auto"/>
        </w:rPr>
      </w:pPr>
      <w:r>
        <w:rPr>
          <w:rFonts w:ascii="Arial" w:cs="Arial" w:eastAsia="Arial" w:hAnsi="Arial"/>
          <w:sz w:val="18"/>
          <w:szCs w:val="18"/>
          <w:color w:val="auto"/>
        </w:rPr>
        <w:t>Memberships in other statutory supervisory boards: Member of the supervisory board of Skyroads AG, Munich.</w:t>
      </w:r>
    </w:p>
    <w:p>
      <w:pPr>
        <w:spacing w:after="0" w:line="225" w:lineRule="exact"/>
        <w:rPr>
          <w:rFonts w:ascii="Arial" w:cs="Arial" w:eastAsia="Arial" w:hAnsi="Arial"/>
          <w:sz w:val="18"/>
          <w:szCs w:val="18"/>
          <w:color w:val="auto"/>
        </w:rPr>
      </w:pPr>
    </w:p>
    <w:p>
      <w:pPr>
        <w:ind w:left="443"/>
        <w:spacing w:after="0" w:line="277" w:lineRule="auto"/>
        <w:rPr>
          <w:rFonts w:ascii="Arial" w:cs="Arial" w:eastAsia="Arial" w:hAnsi="Arial"/>
          <w:sz w:val="18"/>
          <w:szCs w:val="18"/>
          <w:color w:val="auto"/>
        </w:rPr>
      </w:pPr>
      <w:r>
        <w:rPr>
          <w:rFonts w:ascii="Arial" w:cs="Arial" w:eastAsia="Arial" w:hAnsi="Arial"/>
          <w:sz w:val="18"/>
          <w:szCs w:val="18"/>
          <w:color w:val="auto"/>
        </w:rPr>
        <w:t>Memberships in comparable domestic and foreign supervisory bodies of business enterprises: Director, Cloudeo International Holding Inc., Wilmington, Delaware, USA.</w:t>
      </w:r>
    </w:p>
    <w:p>
      <w:pPr>
        <w:spacing w:after="0" w:line="170" w:lineRule="exact"/>
        <w:rPr>
          <w:rFonts w:ascii="Arial" w:cs="Arial" w:eastAsia="Arial" w:hAnsi="Arial"/>
          <w:sz w:val="18"/>
          <w:szCs w:val="18"/>
          <w:color w:val="auto"/>
        </w:rPr>
      </w:pPr>
    </w:p>
    <w:p>
      <w:pPr>
        <w:ind w:left="443" w:hanging="443"/>
        <w:spacing w:after="0"/>
        <w:tabs>
          <w:tab w:leader="none" w:pos="443" w:val="left"/>
        </w:tabs>
        <w:numPr>
          <w:ilvl w:val="0"/>
          <w:numId w:val="4"/>
        </w:numPr>
        <w:rPr>
          <w:rFonts w:ascii="Arial" w:cs="Arial" w:eastAsia="Arial" w:hAnsi="Arial"/>
          <w:sz w:val="18"/>
          <w:szCs w:val="18"/>
          <w:color w:val="auto"/>
        </w:rPr>
      </w:pPr>
      <w:r>
        <w:rPr>
          <w:rFonts w:ascii="Arial" w:cs="Arial" w:eastAsia="Arial" w:hAnsi="Arial"/>
          <w:sz w:val="18"/>
          <w:szCs w:val="18"/>
          <w:color w:val="auto"/>
        </w:rPr>
        <w:t>Dr. Hans Königsmann:</w:t>
      </w:r>
    </w:p>
    <w:p>
      <w:pPr>
        <w:spacing w:after="0" w:line="225" w:lineRule="exact"/>
        <w:rPr>
          <w:rFonts w:ascii="Arial" w:cs="Arial" w:eastAsia="Arial" w:hAnsi="Arial"/>
          <w:sz w:val="18"/>
          <w:szCs w:val="18"/>
          <w:color w:val="auto"/>
        </w:rPr>
      </w:pPr>
    </w:p>
    <w:p>
      <w:pPr>
        <w:ind w:left="443"/>
        <w:spacing w:after="0"/>
        <w:rPr>
          <w:rFonts w:ascii="Arial" w:cs="Arial" w:eastAsia="Arial" w:hAnsi="Arial"/>
          <w:sz w:val="18"/>
          <w:szCs w:val="18"/>
          <w:color w:val="auto"/>
        </w:rPr>
      </w:pPr>
      <w:r>
        <w:rPr>
          <w:rFonts w:ascii="Arial" w:cs="Arial" w:eastAsia="Arial" w:hAnsi="Arial"/>
          <w:sz w:val="18"/>
          <w:szCs w:val="18"/>
          <w:color w:val="auto"/>
        </w:rPr>
        <w:t>Memberships in other statutory supervisory boards: Member of the Supervisory Board of OHB SE, Bremen.</w:t>
      </w:r>
    </w:p>
    <w:p>
      <w:pPr>
        <w:spacing w:after="0" w:line="225" w:lineRule="exact"/>
        <w:rPr>
          <w:rFonts w:ascii="Arial" w:cs="Arial" w:eastAsia="Arial" w:hAnsi="Arial"/>
          <w:sz w:val="18"/>
          <w:szCs w:val="18"/>
          <w:color w:val="auto"/>
        </w:rPr>
      </w:pPr>
    </w:p>
    <w:p>
      <w:pPr>
        <w:ind w:left="443"/>
        <w:spacing w:after="0"/>
        <w:rPr>
          <w:rFonts w:ascii="Arial" w:cs="Arial" w:eastAsia="Arial" w:hAnsi="Arial"/>
          <w:sz w:val="18"/>
          <w:szCs w:val="18"/>
          <w:color w:val="auto"/>
        </w:rPr>
      </w:pPr>
      <w:r>
        <w:rPr>
          <w:rFonts w:ascii="Arial" w:cs="Arial" w:eastAsia="Arial" w:hAnsi="Arial"/>
          <w:sz w:val="18"/>
          <w:szCs w:val="18"/>
          <w:color w:val="auto"/>
        </w:rPr>
        <w:t>Memberships in comparable domestic and foreign supervisory bodies of business enterprises: None.</w:t>
      </w:r>
    </w:p>
    <w:p>
      <w:pPr>
        <w:spacing w:after="0" w:line="225" w:lineRule="exact"/>
        <w:rPr>
          <w:rFonts w:ascii="Arial" w:cs="Arial" w:eastAsia="Arial" w:hAnsi="Arial"/>
          <w:sz w:val="18"/>
          <w:szCs w:val="18"/>
          <w:color w:val="auto"/>
        </w:rPr>
      </w:pPr>
    </w:p>
    <w:p>
      <w:pPr>
        <w:ind w:left="443" w:hanging="443"/>
        <w:spacing w:after="0"/>
        <w:tabs>
          <w:tab w:leader="none" w:pos="443" w:val="left"/>
        </w:tabs>
        <w:numPr>
          <w:ilvl w:val="0"/>
          <w:numId w:val="4"/>
        </w:numPr>
        <w:rPr>
          <w:rFonts w:ascii="Arial" w:cs="Arial" w:eastAsia="Arial" w:hAnsi="Arial"/>
          <w:sz w:val="18"/>
          <w:szCs w:val="18"/>
          <w:color w:val="auto"/>
        </w:rPr>
      </w:pPr>
      <w:r>
        <w:rPr>
          <w:rFonts w:ascii="Arial" w:cs="Arial" w:eastAsia="Arial" w:hAnsi="Arial"/>
          <w:sz w:val="18"/>
          <w:szCs w:val="18"/>
          <w:color w:val="auto"/>
        </w:rPr>
        <w:t>Peter Müller-Brühl:</w:t>
      </w:r>
    </w:p>
    <w:p>
      <w:pPr>
        <w:spacing w:after="0" w:line="225" w:lineRule="exact"/>
        <w:rPr>
          <w:rFonts w:ascii="Arial" w:cs="Arial" w:eastAsia="Arial" w:hAnsi="Arial"/>
          <w:sz w:val="18"/>
          <w:szCs w:val="18"/>
          <w:color w:val="auto"/>
        </w:rPr>
      </w:pPr>
    </w:p>
    <w:p>
      <w:pPr>
        <w:ind w:left="443"/>
        <w:spacing w:after="0" w:line="277" w:lineRule="auto"/>
        <w:rPr>
          <w:rFonts w:ascii="Arial" w:cs="Arial" w:eastAsia="Arial" w:hAnsi="Arial"/>
          <w:sz w:val="18"/>
          <w:szCs w:val="18"/>
          <w:color w:val="auto"/>
        </w:rPr>
      </w:pPr>
      <w:r>
        <w:rPr>
          <w:rFonts w:ascii="Arial" w:cs="Arial" w:eastAsia="Arial" w:hAnsi="Arial"/>
          <w:sz w:val="18"/>
          <w:szCs w:val="18"/>
          <w:color w:val="auto"/>
        </w:rPr>
        <w:t>Memberships in other statutory supervisory boards: Chairman of the Supervisory Board of CloudEO AG, Munich; chairman of the Supervisory Board of xPay Holding AG, Munich.</w:t>
      </w:r>
    </w:p>
    <w:p>
      <w:pPr>
        <w:spacing w:after="0" w:line="170" w:lineRule="exact"/>
        <w:rPr>
          <w:rFonts w:ascii="Arial" w:cs="Arial" w:eastAsia="Arial" w:hAnsi="Arial"/>
          <w:sz w:val="18"/>
          <w:szCs w:val="18"/>
          <w:color w:val="auto"/>
        </w:rPr>
      </w:pPr>
    </w:p>
    <w:p>
      <w:pPr>
        <w:ind w:left="443"/>
        <w:spacing w:after="0"/>
        <w:rPr>
          <w:rFonts w:ascii="Arial" w:cs="Arial" w:eastAsia="Arial" w:hAnsi="Arial"/>
          <w:sz w:val="18"/>
          <w:szCs w:val="18"/>
          <w:color w:val="auto"/>
        </w:rPr>
      </w:pPr>
      <w:r>
        <w:rPr>
          <w:rFonts w:ascii="Arial" w:cs="Arial" w:eastAsia="Arial" w:hAnsi="Arial"/>
          <w:sz w:val="18"/>
          <w:szCs w:val="18"/>
          <w:color w:val="auto"/>
        </w:rPr>
        <w:t>Memberships in comparable domestic and foreign supervisory bodies of business enterprises: None.</w:t>
      </w:r>
    </w:p>
    <w:p>
      <w:pPr>
        <w:spacing w:after="0" w:line="225" w:lineRule="exact"/>
        <w:rPr>
          <w:rFonts w:ascii="Arial" w:cs="Arial" w:eastAsia="Arial" w:hAnsi="Arial"/>
          <w:sz w:val="18"/>
          <w:szCs w:val="18"/>
          <w:color w:val="auto"/>
        </w:rPr>
      </w:pPr>
    </w:p>
    <w:p>
      <w:pPr>
        <w:ind w:left="443" w:hanging="443"/>
        <w:spacing w:after="0"/>
        <w:tabs>
          <w:tab w:leader="none" w:pos="443" w:val="left"/>
        </w:tabs>
        <w:numPr>
          <w:ilvl w:val="0"/>
          <w:numId w:val="4"/>
        </w:numPr>
        <w:rPr>
          <w:rFonts w:ascii="Arial" w:cs="Arial" w:eastAsia="Arial" w:hAnsi="Arial"/>
          <w:sz w:val="18"/>
          <w:szCs w:val="18"/>
          <w:color w:val="auto"/>
        </w:rPr>
      </w:pPr>
      <w:r>
        <w:rPr>
          <w:rFonts w:ascii="Arial" w:cs="Arial" w:eastAsia="Arial" w:hAnsi="Arial"/>
          <w:sz w:val="18"/>
          <w:szCs w:val="18"/>
          <w:color w:val="auto"/>
        </w:rPr>
        <w:t>Margaret Abernathy:</w:t>
      </w:r>
    </w:p>
    <w:p>
      <w:pPr>
        <w:spacing w:after="0" w:line="225" w:lineRule="exact"/>
        <w:rPr>
          <w:rFonts w:ascii="Arial" w:cs="Arial" w:eastAsia="Arial" w:hAnsi="Arial"/>
          <w:sz w:val="18"/>
          <w:szCs w:val="18"/>
          <w:color w:val="auto"/>
        </w:rPr>
      </w:pPr>
    </w:p>
    <w:p>
      <w:pPr>
        <w:ind w:left="443"/>
        <w:spacing w:after="0"/>
        <w:rPr>
          <w:rFonts w:ascii="Arial" w:cs="Arial" w:eastAsia="Arial" w:hAnsi="Arial"/>
          <w:sz w:val="18"/>
          <w:szCs w:val="18"/>
          <w:color w:val="auto"/>
        </w:rPr>
      </w:pPr>
      <w:r>
        <w:rPr>
          <w:rFonts w:ascii="Arial" w:cs="Arial" w:eastAsia="Arial" w:hAnsi="Arial"/>
          <w:sz w:val="18"/>
          <w:szCs w:val="18"/>
          <w:color w:val="auto"/>
        </w:rPr>
        <w:t>Memberships in other statutory supervisory boards: None.</w:t>
      </w:r>
    </w:p>
    <w:p>
      <w:pPr>
        <w:spacing w:after="0" w:line="225" w:lineRule="exact"/>
        <w:rPr>
          <w:rFonts w:ascii="Arial" w:cs="Arial" w:eastAsia="Arial" w:hAnsi="Arial"/>
          <w:sz w:val="18"/>
          <w:szCs w:val="18"/>
          <w:color w:val="auto"/>
        </w:rPr>
      </w:pPr>
    </w:p>
    <w:p>
      <w:pPr>
        <w:ind w:left="443"/>
        <w:spacing w:after="0"/>
        <w:rPr>
          <w:rFonts w:ascii="Arial" w:cs="Arial" w:eastAsia="Arial" w:hAnsi="Arial"/>
          <w:sz w:val="18"/>
          <w:szCs w:val="18"/>
          <w:color w:val="auto"/>
        </w:rPr>
      </w:pPr>
      <w:r>
        <w:rPr>
          <w:rFonts w:ascii="Arial" w:cs="Arial" w:eastAsia="Arial" w:hAnsi="Arial"/>
          <w:sz w:val="18"/>
          <w:szCs w:val="18"/>
          <w:color w:val="auto"/>
        </w:rPr>
        <w:t>Memberships in comparable domestic and foreign supervisory bodies of business enterprises: None.</w:t>
      </w:r>
    </w:p>
    <w:p>
      <w:pPr>
        <w:spacing w:after="0" w:line="200" w:lineRule="exact"/>
        <w:rPr>
          <w:sz w:val="20"/>
          <w:szCs w:val="20"/>
          <w:color w:val="auto"/>
        </w:rPr>
      </w:pPr>
    </w:p>
    <w:p>
      <w:pPr>
        <w:spacing w:after="0" w:line="241" w:lineRule="exact"/>
        <w:rPr>
          <w:sz w:val="20"/>
          <w:szCs w:val="20"/>
          <w:color w:val="auto"/>
        </w:rPr>
      </w:pPr>
    </w:p>
    <w:p>
      <w:pPr>
        <w:jc w:val="center"/>
        <w:ind w:right="437"/>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-284480</wp:posOffset>
            </wp:positionH>
            <wp:positionV relativeFrom="paragraph">
              <wp:posOffset>14605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783"/>
          </w:cols>
          <w:pgMar w:left="777" w:top="557" w:right="339" w:bottom="1440" w:gutter="0" w:footer="0" w:header="0"/>
        </w:sectPr>
      </w:pPr>
    </w:p>
    <w:bookmarkStart w:id="8" w:name="page9"/>
    <w:bookmarkEnd w:id="8"/>
    <w:p>
      <w:pPr>
        <w:ind w:left="460"/>
        <w:spacing w:after="0"/>
        <w:rPr>
          <w:sz w:val="20"/>
          <w:szCs w:val="20"/>
          <w:color w:val="auto"/>
        </w:rPr>
      </w:pPr>
      <w:r>
        <w:rPr>
          <w:rFonts w:ascii="Arial" w:cs="Arial" w:eastAsia="Arial" w:hAnsi="Arial"/>
          <w:sz w:val="18"/>
          <w:szCs w:val="18"/>
          <w:color w:val="auto"/>
        </w:rPr>
        <w:t xml:space="preserve">Detailed curricula vitae of the proposed candidates are available online at </w:t>
      </w:r>
      <w:r>
        <w:rPr>
          <w:rFonts w:ascii="Arial" w:cs="Arial" w:eastAsia="Arial" w:hAnsi="Arial"/>
          <w:sz w:val="18"/>
          <w:szCs w:val="18"/>
          <w:u w:val="single" w:color="auto"/>
          <w:color w:val="auto"/>
        </w:rPr>
        <w:t>http://www.mynaric.com/hv</w:t>
      </w:r>
      <w:r>
        <w:rPr>
          <w:rFonts w:ascii="Arial" w:cs="Arial" w:eastAsia="Arial" w:hAnsi="Arial"/>
          <w:sz w:val="18"/>
          <w:szCs w:val="18"/>
          <w:color w:val="auto"/>
        </w:rPr>
        <w:t>.</w:t>
      </w:r>
    </w:p>
    <w:p>
      <w:pPr>
        <w:spacing w:after="0" w:line="225" w:lineRule="exact"/>
        <w:rPr>
          <w:sz w:val="20"/>
          <w:szCs w:val="20"/>
          <w:color w:val="auto"/>
        </w:rPr>
      </w:pPr>
    </w:p>
    <w:p>
      <w:pPr>
        <w:jc w:val="both"/>
        <w:ind w:left="460"/>
        <w:spacing w:after="0" w:line="277" w:lineRule="auto"/>
        <w:rPr>
          <w:sz w:val="20"/>
          <w:szCs w:val="20"/>
          <w:color w:val="auto"/>
        </w:rPr>
      </w:pPr>
      <w:r>
        <w:rPr>
          <w:rFonts w:ascii="Arial" w:cs="Arial" w:eastAsia="Arial" w:hAnsi="Arial"/>
          <w:sz w:val="18"/>
          <w:szCs w:val="18"/>
          <w:color w:val="auto"/>
        </w:rPr>
        <w:t>In accordance with the German Corporate Governance Code, the proposed candidates will ensure that they have sufficient time to perform their duties.</w:t>
      </w:r>
    </w:p>
    <w:p>
      <w:pPr>
        <w:spacing w:after="0" w:line="170" w:lineRule="exact"/>
        <w:rPr>
          <w:sz w:val="20"/>
          <w:szCs w:val="20"/>
          <w:color w:val="auto"/>
        </w:rPr>
      </w:pPr>
    </w:p>
    <w:p>
      <w:pPr>
        <w:jc w:val="both"/>
        <w:ind w:left="460"/>
        <w:spacing w:after="0" w:line="257" w:lineRule="auto"/>
        <w:rPr>
          <w:sz w:val="20"/>
          <w:szCs w:val="20"/>
          <w:color w:val="auto"/>
        </w:rPr>
      </w:pPr>
      <w:r>
        <w:rPr>
          <w:rFonts w:ascii="Arial" w:cs="Arial" w:eastAsia="Arial" w:hAnsi="Arial"/>
          <w:sz w:val="18"/>
          <w:szCs w:val="18"/>
          <w:color w:val="auto"/>
        </w:rPr>
        <w:t>With the exception of Bulent Altan with respect to his position in the Compan’s Management Board during the two years prior to his proposed election to the Supervisory Board, in the opinion of the Supervisory Board, the proposed candidates have no personal or business relationship with Mynaric AG or its group companies or the corporate bodies of Mynaric AG that must be disclosed in accordance with the German Corporate Governance Code, and there is no personal or business relationship with a shareholder with a material interest in Mynaric AG within the meaning of the German Corporate Governance Code that is required to be disclosed.</w:t>
      </w:r>
    </w:p>
    <w:p>
      <w:pPr>
        <w:spacing w:after="0" w:line="188" w:lineRule="exact"/>
        <w:rPr>
          <w:sz w:val="20"/>
          <w:szCs w:val="20"/>
          <w:color w:val="auto"/>
        </w:rPr>
      </w:pPr>
    </w:p>
    <w:p>
      <w:pPr>
        <w:jc w:val="both"/>
        <w:ind w:left="460"/>
        <w:spacing w:after="0" w:line="255" w:lineRule="auto"/>
        <w:rPr>
          <w:sz w:val="20"/>
          <w:szCs w:val="20"/>
          <w:color w:val="auto"/>
        </w:rPr>
      </w:pPr>
      <w:r>
        <w:rPr>
          <w:rFonts w:ascii="Arial" w:cs="Arial" w:eastAsia="Arial" w:hAnsi="Arial"/>
          <w:sz w:val="18"/>
          <w:szCs w:val="18"/>
          <w:color w:val="auto"/>
        </w:rPr>
        <w:t>The persons proposed are familiar with the sector in which the Company operates. The aforementioned election proposals take into account the specific objectives resolved by the Supervisory Board for its composition and at the same time strive to fulfill the competence profile and diversity concept developed by the Supervisory Board for the entire body. The objectives for the composition, the competence profile and the diversity concept for the Supervisory Board, including the status of their respective implementation, are published in the corporate governance statement pursuant to sections 289f, 315d of the German Commercial Code (</w:t>
      </w:r>
      <w:r>
        <w:rPr>
          <w:rFonts w:ascii="Arial" w:cs="Arial" w:eastAsia="Arial" w:hAnsi="Arial"/>
          <w:sz w:val="18"/>
          <w:szCs w:val="18"/>
          <w:i w:val="1"/>
          <w:iCs w:val="1"/>
          <w:color w:val="auto"/>
        </w:rPr>
        <w:t>HGB</w:t>
      </w:r>
      <w:r>
        <w:rPr>
          <w:rFonts w:ascii="Arial" w:cs="Arial" w:eastAsia="Arial" w:hAnsi="Arial"/>
          <w:sz w:val="18"/>
          <w:szCs w:val="18"/>
          <w:color w:val="auto"/>
        </w:rPr>
        <w:t>) (including the corporate governance report) of the Company for the financial year 2022 as part of the annual report.</w:t>
      </w:r>
    </w:p>
    <w:p>
      <w:pPr>
        <w:spacing w:after="0" w:line="188" w:lineRule="exact"/>
        <w:rPr>
          <w:sz w:val="20"/>
          <w:szCs w:val="20"/>
          <w:color w:val="auto"/>
        </w:rPr>
      </w:pPr>
    </w:p>
    <w:p>
      <w:pPr>
        <w:ind w:left="460" w:hanging="452"/>
        <w:spacing w:after="0"/>
        <w:tabs>
          <w:tab w:leader="none" w:pos="4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Resolution on the approval of the remuneration report</w:t>
      </w:r>
    </w:p>
    <w:p>
      <w:pPr>
        <w:spacing w:after="0" w:line="229" w:lineRule="exact"/>
        <w:rPr>
          <w:rFonts w:ascii="Arial" w:cs="Arial" w:eastAsia="Arial" w:hAnsi="Arial"/>
          <w:sz w:val="18"/>
          <w:szCs w:val="18"/>
          <w:b w:val="1"/>
          <w:bCs w:val="1"/>
          <w:color w:val="auto"/>
        </w:rPr>
      </w:pPr>
    </w:p>
    <w:p>
      <w:pPr>
        <w:jc w:val="both"/>
        <w:ind w:left="460"/>
        <w:spacing w:after="0" w:line="286" w:lineRule="auto"/>
        <w:rPr>
          <w:rFonts w:ascii="Arial" w:cs="Arial" w:eastAsia="Arial" w:hAnsi="Arial"/>
          <w:sz w:val="18"/>
          <w:szCs w:val="18"/>
          <w:b w:val="1"/>
          <w:bCs w:val="1"/>
          <w:color w:val="auto"/>
        </w:rPr>
      </w:pPr>
      <w:r>
        <w:rPr>
          <w:rFonts w:ascii="Arial" w:cs="Arial" w:eastAsia="Arial" w:hAnsi="Arial"/>
          <w:sz w:val="17"/>
          <w:szCs w:val="17"/>
          <w:color w:val="auto"/>
        </w:rPr>
        <w:t xml:space="preserve">The Management Board and the Supervisory Board submit to the Annual General Meeting the remuneration report for the financial year 2022, which can be found under </w:t>
      </w:r>
      <w:r>
        <w:rPr>
          <w:rFonts w:ascii="Arial" w:cs="Arial" w:eastAsia="Arial" w:hAnsi="Arial"/>
          <w:sz w:val="17"/>
          <w:szCs w:val="17"/>
          <w:b w:val="1"/>
          <w:bCs w:val="1"/>
          <w:color w:val="auto"/>
        </w:rPr>
        <w:t>Fehler! Verweisquelle konnte nicht gefunden werden.</w:t>
      </w:r>
      <w:r>
        <w:rPr>
          <w:rFonts w:ascii="Arial" w:cs="Arial" w:eastAsia="Arial" w:hAnsi="Arial"/>
          <w:sz w:val="17"/>
          <w:szCs w:val="17"/>
          <w:color w:val="auto"/>
        </w:rPr>
        <w:t xml:space="preserve"> and which has been prepared in accordance with section 162 AktG and has been audited by the company’s auditor, and propose that the remuneration report for the financial year 2022 be approved.</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9" w:name="page10"/>
    <w:bookmarkEnd w:id="9"/>
    <w:p>
      <w:pPr>
        <w:ind w:left="460" w:hanging="452"/>
        <w:spacing w:after="0" w:line="282" w:lineRule="auto"/>
        <w:tabs>
          <w:tab w:leader="none" w:pos="4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Resolution on amendments to the Articles of Association in section 16 (Place, Convening and Participation) to authorize the Management Board to provide for a postal vote and online participation</w:t>
      </w:r>
    </w:p>
    <w:p>
      <w:pPr>
        <w:spacing w:after="0" w:line="165" w:lineRule="exact"/>
        <w:rPr>
          <w:rFonts w:ascii="Arial" w:cs="Arial" w:eastAsia="Arial" w:hAnsi="Arial"/>
          <w:sz w:val="18"/>
          <w:szCs w:val="18"/>
          <w:b w:val="1"/>
          <w:bCs w:val="1"/>
          <w:color w:val="auto"/>
        </w:rPr>
      </w:pPr>
    </w:p>
    <w:p>
      <w:pPr>
        <w:jc w:val="both"/>
        <w:ind w:left="460"/>
        <w:spacing w:after="0" w:line="275" w:lineRule="auto"/>
        <w:rPr>
          <w:rFonts w:ascii="Arial" w:cs="Arial" w:eastAsia="Arial" w:hAnsi="Arial"/>
          <w:sz w:val="18"/>
          <w:szCs w:val="18"/>
          <w:b w:val="1"/>
          <w:bCs w:val="1"/>
          <w:color w:val="auto"/>
        </w:rPr>
      </w:pPr>
      <w:r>
        <w:rPr>
          <w:rFonts w:ascii="Arial" w:cs="Arial" w:eastAsia="Arial" w:hAnsi="Arial"/>
          <w:sz w:val="17"/>
          <w:szCs w:val="17"/>
          <w:color w:val="auto"/>
        </w:rPr>
        <w:t>Pursuant to section 118 para. 1 sentence 2 AktG, the Articles of Association may provide or authorize the Management Board to provide that shareholders may participate in the general meeting without being present at its location and without a representative and may exercise all or some of their rights in full or in part by means of electronic communication. Pursuant to section 118 para. 2 sentence 1 AktG, the Articles of Association may further provide or authorize the Management Board to provide that shareholders may cast their votes in writing or by means of electronic communication even without attending the meeting (postal vote). This possibility shall be made use of.</w:t>
      </w:r>
    </w:p>
    <w:p>
      <w:pPr>
        <w:spacing w:after="0" w:line="176" w:lineRule="exact"/>
        <w:rPr>
          <w:rFonts w:ascii="Arial" w:cs="Arial" w:eastAsia="Arial" w:hAnsi="Arial"/>
          <w:sz w:val="18"/>
          <w:szCs w:val="18"/>
          <w:b w:val="1"/>
          <w:bCs w:val="1"/>
          <w:color w:val="auto"/>
        </w:rPr>
      </w:pPr>
    </w:p>
    <w:p>
      <w:pPr>
        <w:ind w:left="460" w:right="3480"/>
        <w:spacing w:after="0" w:line="623" w:lineRule="auto"/>
        <w:rPr>
          <w:rFonts w:ascii="Arial" w:cs="Arial" w:eastAsia="Arial" w:hAnsi="Arial"/>
          <w:sz w:val="18"/>
          <w:szCs w:val="18"/>
          <w:b w:val="1"/>
          <w:bCs w:val="1"/>
          <w:color w:val="auto"/>
        </w:rPr>
      </w:pPr>
      <w:r>
        <w:rPr>
          <w:rFonts w:ascii="Arial" w:cs="Arial" w:eastAsia="Arial" w:hAnsi="Arial"/>
          <w:sz w:val="16"/>
          <w:szCs w:val="16"/>
          <w:color w:val="auto"/>
        </w:rPr>
        <w:t>The Management Board and the Supervisory Board propose that the following resolution be adopted: Section 16 of the Articles of Association shall be amended by the following paragraphs 8 and 9:</w:t>
      </w:r>
    </w:p>
    <w:p>
      <w:pPr>
        <w:spacing w:after="0" w:line="124" w:lineRule="exact"/>
        <w:rPr>
          <w:rFonts w:ascii="Arial" w:cs="Arial" w:eastAsia="Arial" w:hAnsi="Arial"/>
          <w:sz w:val="18"/>
          <w:szCs w:val="18"/>
          <w:b w:val="1"/>
          <w:bCs w:val="1"/>
          <w:color w:val="auto"/>
        </w:rPr>
      </w:pPr>
    </w:p>
    <w:p>
      <w:pPr>
        <w:ind w:left="900" w:hanging="450"/>
        <w:spacing w:after="0" w:line="286" w:lineRule="auto"/>
        <w:rPr>
          <w:rFonts w:ascii="Arial" w:cs="Arial" w:eastAsia="Arial" w:hAnsi="Arial"/>
          <w:sz w:val="18"/>
          <w:szCs w:val="18"/>
          <w:b w:val="1"/>
          <w:bCs w:val="1"/>
          <w:color w:val="auto"/>
        </w:rPr>
      </w:pPr>
      <w:r>
        <w:rPr>
          <w:rFonts w:ascii="Arial" w:cs="Arial" w:eastAsia="Arial" w:hAnsi="Arial"/>
          <w:sz w:val="17"/>
          <w:szCs w:val="17"/>
          <w:i w:val="1"/>
          <w:iCs w:val="1"/>
          <w:color w:val="auto"/>
        </w:rPr>
        <w:t>“(8) The Management Board is authorized to provide that shareholders may also participate in the general meeting without being present at its location and without a representative and exercise all or some of their rights in whole or in part by means of electronic communication (online participation). The Management Board may regulate the scope and procedure of online participation in detail.”</w:t>
      </w:r>
    </w:p>
    <w:p>
      <w:pPr>
        <w:spacing w:after="0" w:line="165" w:lineRule="exact"/>
        <w:rPr>
          <w:rFonts w:ascii="Arial" w:cs="Arial" w:eastAsia="Arial" w:hAnsi="Arial"/>
          <w:sz w:val="18"/>
          <w:szCs w:val="18"/>
          <w:b w:val="1"/>
          <w:bCs w:val="1"/>
          <w:color w:val="auto"/>
        </w:rPr>
      </w:pPr>
    </w:p>
    <w:p>
      <w:pPr>
        <w:ind w:left="900" w:hanging="450"/>
        <w:spacing w:after="0" w:line="342" w:lineRule="auto"/>
        <w:rPr>
          <w:rFonts w:ascii="Arial" w:cs="Arial" w:eastAsia="Arial" w:hAnsi="Arial"/>
          <w:sz w:val="18"/>
          <w:szCs w:val="18"/>
          <w:b w:val="1"/>
          <w:bCs w:val="1"/>
          <w:color w:val="auto"/>
        </w:rPr>
      </w:pPr>
      <w:r>
        <w:rPr>
          <w:rFonts w:ascii="Arial" w:cs="Arial" w:eastAsia="Arial" w:hAnsi="Arial"/>
          <w:sz w:val="16"/>
          <w:szCs w:val="16"/>
          <w:i w:val="1"/>
          <w:iCs w:val="1"/>
          <w:color w:val="auto"/>
        </w:rPr>
        <w:t>“(9) The Management Board is authorized to provide that shareholders may also cast their votes without attending the meeting, in writing or by way of electronic communication (postal vote). The Management Board may regulate the scope and procedure of the postal vote in detail.”</w:t>
      </w:r>
    </w:p>
    <w:p>
      <w:pPr>
        <w:spacing w:after="0" w:line="119" w:lineRule="exact"/>
        <w:rPr>
          <w:rFonts w:ascii="Arial" w:cs="Arial" w:eastAsia="Arial" w:hAnsi="Arial"/>
          <w:sz w:val="18"/>
          <w:szCs w:val="18"/>
          <w:b w:val="1"/>
          <w:bCs w:val="1"/>
          <w:color w:val="auto"/>
        </w:rPr>
      </w:pPr>
    </w:p>
    <w:p>
      <w:pPr>
        <w:ind w:left="460" w:hanging="452"/>
        <w:spacing w:after="0" w:line="282" w:lineRule="auto"/>
        <w:tabs>
          <w:tab w:leader="none" w:pos="4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Resolution on a further amendment to section 16 of the Articles of Association (Place, Convening and Participation) to authorize the Management Board to provide for the holding of a virtual general meeting</w:t>
      </w:r>
    </w:p>
    <w:p>
      <w:pPr>
        <w:spacing w:after="0" w:line="165" w:lineRule="exact"/>
        <w:rPr>
          <w:rFonts w:ascii="Arial" w:cs="Arial" w:eastAsia="Arial" w:hAnsi="Arial"/>
          <w:sz w:val="18"/>
          <w:szCs w:val="18"/>
          <w:b w:val="1"/>
          <w:bCs w:val="1"/>
          <w:color w:val="auto"/>
        </w:rPr>
      </w:pPr>
    </w:p>
    <w:p>
      <w:pPr>
        <w:jc w:val="both"/>
        <w:ind w:left="46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Pursuant to section 118a para. 1 sentence 1 AktG, the Articles of Association may provide or authorize the Management Board to provide that the general meeting be held as virtual general meeting, i.e., without the physical presence of the shareholders or their proxies at the location of the general meeting. Such authorization of the Management Board shall be granted. For future general meetings, a separate decision shall be taken in each case, taking into account the circumstances of the individual case, as to whether to make use of the authorization and hold a general meeting as a virtual general meeting. The Management Board will always make its decision by taking into account the interests of the Company and its shareholders.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0" w:name="page11"/>
    <w:bookmarkEnd w:id="10"/>
    <w:p>
      <w:pPr>
        <w:ind w:left="460"/>
        <w:spacing w:after="0"/>
        <w:rPr>
          <w:sz w:val="20"/>
          <w:szCs w:val="20"/>
          <w:color w:val="auto"/>
        </w:rPr>
      </w:pPr>
      <w:r>
        <w:rPr>
          <w:rFonts w:ascii="Arial" w:cs="Arial" w:eastAsia="Arial" w:hAnsi="Arial"/>
          <w:sz w:val="18"/>
          <w:szCs w:val="18"/>
          <w:color w:val="auto"/>
        </w:rPr>
        <w:t>The Management Board and the Supervisory Board propose that the following resolution be adopted:</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Section 16 of the Articles of Association shall be amended by the following paragraph 10:</w:t>
      </w:r>
    </w:p>
    <w:p>
      <w:pPr>
        <w:spacing w:after="0" w:line="225" w:lineRule="exact"/>
        <w:rPr>
          <w:sz w:val="20"/>
          <w:szCs w:val="20"/>
          <w:color w:val="auto"/>
        </w:rPr>
      </w:pPr>
    </w:p>
    <w:p>
      <w:pPr>
        <w:ind w:left="900" w:right="160" w:hanging="4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(10) The Management Board is authorized to provide for the general meeting to be held without the physical presence of the shareholders or their</w:t>
      </w:r>
      <w:r>
        <w:rPr>
          <w:rFonts w:ascii="Arial" w:cs="Arial" w:eastAsia="Arial" w:hAnsi="Arial"/>
          <w:sz w:val="18"/>
          <w:szCs w:val="18"/>
          <w:color w:val="auto"/>
        </w:rPr>
        <w:t xml:space="preserve"> </w:t>
      </w:r>
      <w:r>
        <w:rPr>
          <w:rFonts w:ascii="Arial" w:cs="Arial" w:eastAsia="Arial" w:hAnsi="Arial"/>
          <w:sz w:val="18"/>
          <w:szCs w:val="18"/>
          <w:i w:val="1"/>
          <w:iCs w:val="1"/>
          <w:color w:val="auto"/>
        </w:rPr>
        <w:t>proxies at the location of the general meeting (virtual general meeting). The authorization shall apply to the holding of virtual general meetings during a period of five years after the registration of this provision of the Articles of Association with the commercial register of the Company.</w:t>
      </w:r>
      <w:r>
        <w:rPr>
          <w:rFonts w:ascii="Arial" w:cs="Arial" w:eastAsia="Arial" w:hAnsi="Arial"/>
          <w:sz w:val="18"/>
          <w:szCs w:val="18"/>
          <w:color w:val="auto"/>
        </w:rPr>
        <w:t>"</w:t>
      </w:r>
    </w:p>
    <w:p>
      <w:pPr>
        <w:spacing w:after="0" w:line="183" w:lineRule="exact"/>
        <w:rPr>
          <w:sz w:val="20"/>
          <w:szCs w:val="20"/>
          <w:color w:val="auto"/>
        </w:rPr>
      </w:pPr>
    </w:p>
    <w:p>
      <w:pPr>
        <w:ind w:left="460" w:hanging="452"/>
        <w:spacing w:after="0" w:line="282" w:lineRule="auto"/>
        <w:tabs>
          <w:tab w:leader="none" w:pos="4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Resolution on a further amendment to Article 16 of the Articles of Association (Place, Convening and Participation) on the participation of the Supervisory Board in the general meeting</w:t>
      </w:r>
    </w:p>
    <w:p>
      <w:pPr>
        <w:spacing w:after="0" w:line="165" w:lineRule="exact"/>
        <w:rPr>
          <w:rFonts w:ascii="Arial" w:cs="Arial" w:eastAsia="Arial" w:hAnsi="Arial"/>
          <w:sz w:val="18"/>
          <w:szCs w:val="18"/>
          <w:b w:val="1"/>
          <w:bCs w:val="1"/>
          <w:color w:val="auto"/>
        </w:rPr>
      </w:pPr>
    </w:p>
    <w:p>
      <w:pPr>
        <w:jc w:val="both"/>
        <w:ind w:left="460"/>
        <w:spacing w:after="0" w:line="279" w:lineRule="auto"/>
        <w:rPr>
          <w:rFonts w:ascii="Arial" w:cs="Arial" w:eastAsia="Arial" w:hAnsi="Arial"/>
          <w:sz w:val="18"/>
          <w:szCs w:val="18"/>
          <w:b w:val="1"/>
          <w:bCs w:val="1"/>
          <w:color w:val="auto"/>
        </w:rPr>
      </w:pPr>
      <w:r>
        <w:rPr>
          <w:rFonts w:ascii="Arial" w:cs="Arial" w:eastAsia="Arial" w:hAnsi="Arial"/>
          <w:sz w:val="17"/>
          <w:szCs w:val="17"/>
          <w:color w:val="auto"/>
        </w:rPr>
        <w:t>In principle, the members of the Supervisory Board shall attend the general meeting in person. However, pursuant to section 118 para. 3 sentence 2 AktG, the Articles of Association may provide for certain cases in which the participation of members of the Supervisory Board may be effected by means of video and audio transmission. This possibility shall be made use of to enable the participation in situations where physical presence at the location of the general meeting would not be possible or would only be possible at considerable expense.</w:t>
      </w:r>
    </w:p>
    <w:p>
      <w:pPr>
        <w:spacing w:after="0" w:line="171" w:lineRule="exact"/>
        <w:rPr>
          <w:rFonts w:ascii="Arial" w:cs="Arial" w:eastAsia="Arial" w:hAnsi="Arial"/>
          <w:sz w:val="18"/>
          <w:szCs w:val="18"/>
          <w:b w:val="1"/>
          <w:bCs w:val="1"/>
          <w:color w:val="auto"/>
        </w:rPr>
      </w:pPr>
    </w:p>
    <w:p>
      <w:pPr>
        <w:ind w:left="460" w:right="3480"/>
        <w:spacing w:after="0" w:line="623" w:lineRule="auto"/>
        <w:rPr>
          <w:rFonts w:ascii="Arial" w:cs="Arial" w:eastAsia="Arial" w:hAnsi="Arial"/>
          <w:sz w:val="18"/>
          <w:szCs w:val="18"/>
          <w:b w:val="1"/>
          <w:bCs w:val="1"/>
          <w:color w:val="auto"/>
        </w:rPr>
      </w:pPr>
      <w:r>
        <w:rPr>
          <w:rFonts w:ascii="Arial" w:cs="Arial" w:eastAsia="Arial" w:hAnsi="Arial"/>
          <w:sz w:val="16"/>
          <w:szCs w:val="16"/>
          <w:color w:val="auto"/>
        </w:rPr>
        <w:t>The Management Board and the Supervisory Board propose that the following resolution be adopted: Section 16 of the Articles of Association shall be amended by the following paragraph 11:</w:t>
      </w:r>
    </w:p>
    <w:p>
      <w:pPr>
        <w:spacing w:after="0" w:line="124" w:lineRule="exact"/>
        <w:rPr>
          <w:rFonts w:ascii="Arial" w:cs="Arial" w:eastAsia="Arial" w:hAnsi="Arial"/>
          <w:sz w:val="18"/>
          <w:szCs w:val="18"/>
          <w:b w:val="1"/>
          <w:bCs w:val="1"/>
          <w:color w:val="auto"/>
        </w:rPr>
      </w:pPr>
    </w:p>
    <w:p>
      <w:pPr>
        <w:ind w:left="900" w:hanging="449"/>
        <w:spacing w:after="0" w:line="279" w:lineRule="auto"/>
        <w:rPr>
          <w:rFonts w:ascii="Arial" w:cs="Arial" w:eastAsia="Arial" w:hAnsi="Arial"/>
          <w:sz w:val="18"/>
          <w:szCs w:val="18"/>
          <w:b w:val="1"/>
          <w:bCs w:val="1"/>
          <w:color w:val="auto"/>
        </w:rPr>
      </w:pPr>
      <w:r>
        <w:rPr>
          <w:rFonts w:ascii="Arial" w:cs="Arial" w:eastAsia="Arial" w:hAnsi="Arial"/>
          <w:sz w:val="17"/>
          <w:szCs w:val="17"/>
          <w:i w:val="1"/>
          <w:iCs w:val="1"/>
          <w:color w:val="auto"/>
        </w:rPr>
        <w:t>“(11) Members of the Supervisory Board shall be permitted to participate in the general meeting by means of video and audio transmission in cases where, due to legal restrictions, their residence abroad, or due to an unreasonable travel time, their physical presence at the location of the general meeting would not be possible or would be possible only at considerable expense, or if the general meeting is held as a virtual general meeting without the physical presence of the shareholders or their proxies at the location of the general meeting.”</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1" w:name="page12"/>
    <w:bookmarkEnd w:id="11"/>
    <w:p>
      <w:pPr>
        <w:jc w:val="both"/>
        <w:ind w:left="460" w:hanging="452"/>
        <w:spacing w:after="0" w:line="266" w:lineRule="auto"/>
        <w:tabs>
          <w:tab w:leader="none" w:pos="4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Resolution on the cancellation of the existing authorized capital (Authorized Capital 2022/I), the creation of a new authorized capital with the possibility to exclude subscription rights (Authorized Capital 2023/I) and a corresponding amendment to section 4 of the Articles of Association (Share Capital)</w:t>
      </w:r>
    </w:p>
    <w:p>
      <w:pPr>
        <w:spacing w:after="0" w:line="179"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The Management Board and the Supervisory Board propose that the following resolution be adopted:</w:t>
      </w:r>
    </w:p>
    <w:p>
      <w:pPr>
        <w:spacing w:after="0" w:line="225" w:lineRule="exact"/>
        <w:rPr>
          <w:rFonts w:ascii="Arial" w:cs="Arial" w:eastAsia="Arial" w:hAnsi="Arial"/>
          <w:sz w:val="18"/>
          <w:szCs w:val="18"/>
          <w:b w:val="1"/>
          <w:bCs w:val="1"/>
          <w:color w:val="auto"/>
        </w:rPr>
      </w:pPr>
    </w:p>
    <w:p>
      <w:pPr>
        <w:jc w:val="both"/>
        <w:ind w:left="900" w:hanging="443"/>
        <w:spacing w:after="0" w:line="263" w:lineRule="auto"/>
        <w:tabs>
          <w:tab w:leader="none" w:pos="900" w:val="left"/>
        </w:tabs>
        <w:numPr>
          <w:ilvl w:val="1"/>
          <w:numId w:val="8"/>
        </w:numPr>
        <w:rPr>
          <w:rFonts w:ascii="Arial" w:cs="Arial" w:eastAsia="Arial" w:hAnsi="Arial"/>
          <w:sz w:val="18"/>
          <w:szCs w:val="18"/>
          <w:color w:val="auto"/>
        </w:rPr>
      </w:pPr>
      <w:r>
        <w:rPr>
          <w:rFonts w:ascii="Arial" w:cs="Arial" w:eastAsia="Arial" w:hAnsi="Arial"/>
          <w:sz w:val="18"/>
          <w:szCs w:val="18"/>
          <w:color w:val="auto"/>
        </w:rPr>
        <w:t>The authorized capital set out in section 4 para. 3 of the Articles of Association (Authorized Capital 2022/I), insofar as it has not been utilized, shall be cancelled with effect from the date on which the following new version of section 4 para. 3 of the Articles of Association is registered with the commercial register of the Company.</w:t>
      </w:r>
    </w:p>
    <w:p>
      <w:pPr>
        <w:spacing w:after="0" w:line="183" w:lineRule="exact"/>
        <w:rPr>
          <w:rFonts w:ascii="Arial" w:cs="Arial" w:eastAsia="Arial" w:hAnsi="Arial"/>
          <w:sz w:val="18"/>
          <w:szCs w:val="18"/>
          <w:color w:val="auto"/>
        </w:rPr>
      </w:pPr>
    </w:p>
    <w:p>
      <w:pPr>
        <w:ind w:left="900" w:hanging="443"/>
        <w:spacing w:after="0" w:line="277" w:lineRule="auto"/>
        <w:tabs>
          <w:tab w:leader="none" w:pos="900" w:val="left"/>
        </w:tabs>
        <w:numPr>
          <w:ilvl w:val="1"/>
          <w:numId w:val="8"/>
        </w:numPr>
        <w:rPr>
          <w:rFonts w:ascii="Arial" w:cs="Arial" w:eastAsia="Arial" w:hAnsi="Arial"/>
          <w:sz w:val="18"/>
          <w:szCs w:val="18"/>
          <w:color w:val="auto"/>
        </w:rPr>
      </w:pPr>
      <w:r>
        <w:rPr>
          <w:rFonts w:ascii="Arial" w:cs="Arial" w:eastAsia="Arial" w:hAnsi="Arial"/>
          <w:sz w:val="18"/>
          <w:szCs w:val="18"/>
          <w:color w:val="auto"/>
        </w:rPr>
        <w:t>A new authorized capital (Authorized Capital 2023/I) shall be created with the authorization to exclude subscription rights. Section 4 para. 3 of the Articles of Association shall be amended accordingly and reworded as follows:</w:t>
      </w:r>
    </w:p>
    <w:p>
      <w:pPr>
        <w:spacing w:after="0" w:line="170" w:lineRule="exact"/>
        <w:rPr>
          <w:sz w:val="20"/>
          <w:szCs w:val="20"/>
          <w:color w:val="auto"/>
        </w:rPr>
      </w:pPr>
    </w:p>
    <w:p>
      <w:pPr>
        <w:jc w:val="both"/>
        <w:ind w:left="1360" w:hanging="459"/>
        <w:spacing w:after="0" w:line="263" w:lineRule="auto"/>
        <w:tabs>
          <w:tab w:leader="none" w:pos="1340" w:val="left"/>
        </w:tabs>
        <w:rPr>
          <w:sz w:val="20"/>
          <w:szCs w:val="20"/>
          <w:color w:val="auto"/>
        </w:rPr>
      </w:pPr>
      <w:r>
        <w:rPr>
          <w:rFonts w:ascii="Arial" w:cs="Arial" w:eastAsia="Arial" w:hAnsi="Arial"/>
          <w:sz w:val="18"/>
          <w:szCs w:val="18"/>
          <w:i w:val="1"/>
          <w:iCs w:val="1"/>
          <w:color w:val="auto"/>
        </w:rPr>
        <w:t>“(3)</w:t>
        <w:tab/>
        <w:t>The Management Board is authorized, with the consent of the Supervisory Board, to increase the share capital by up to EUR 2,493,446.00 on one or more occasions until and including August 6, 2028, by issuing up to 2,493,446 new no-par value registered shares in return for cash contributions and/or contributions in kind (Authorized Capital 2023/I).</w:t>
      </w:r>
    </w:p>
    <w:p>
      <w:pPr>
        <w:spacing w:after="0" w:line="184" w:lineRule="exact"/>
        <w:rPr>
          <w:sz w:val="20"/>
          <w:szCs w:val="20"/>
          <w:color w:val="auto"/>
        </w:rPr>
      </w:pPr>
    </w:p>
    <w:p>
      <w:pPr>
        <w:jc w:val="both"/>
        <w:ind w:left="1360"/>
        <w:spacing w:after="0" w:line="275" w:lineRule="auto"/>
        <w:rPr>
          <w:sz w:val="20"/>
          <w:szCs w:val="20"/>
          <w:color w:val="auto"/>
        </w:rPr>
      </w:pPr>
      <w:r>
        <w:rPr>
          <w:rFonts w:ascii="Arial" w:cs="Arial" w:eastAsia="Arial" w:hAnsi="Arial"/>
          <w:sz w:val="17"/>
          <w:szCs w:val="17"/>
          <w:i w:val="1"/>
          <w:iCs w:val="1"/>
          <w:color w:val="auto"/>
        </w:rPr>
        <w:t>The shareholders shall be granted subscription rights. The new shares may also be subscribed by a credit institution to be determined by the Management Board or by an enterprise operating pursuant to section 53 para. 1 sentence 1 KWG or section 53b para. 1 sentence 1 or para. 7 KWG (financial institution) or by a syndicate of such credit or financial institutions with the obligation to offer them for subscription to the shareholders of the Company. However, the Management Board is authorized, with the consent of the Supervisory Board, to exclude the shareholders’ subscription rights on one or more occasions,</w:t>
      </w:r>
    </w:p>
    <w:p>
      <w:pPr>
        <w:spacing w:after="0" w:line="176" w:lineRule="exact"/>
        <w:rPr>
          <w:sz w:val="20"/>
          <w:szCs w:val="20"/>
          <w:color w:val="auto"/>
        </w:rPr>
      </w:pPr>
    </w:p>
    <w:p>
      <w:pPr>
        <w:ind w:left="1800" w:hanging="444"/>
        <w:spacing w:after="0"/>
        <w:tabs>
          <w:tab w:leader="none" w:pos="1800" w:val="left"/>
        </w:tabs>
        <w:numPr>
          <w:ilvl w:val="0"/>
          <w:numId w:val="9"/>
        </w:numPr>
        <w:rPr>
          <w:rFonts w:ascii="Arial" w:cs="Arial" w:eastAsia="Arial" w:hAnsi="Arial"/>
          <w:sz w:val="18"/>
          <w:szCs w:val="18"/>
          <w:i w:val="1"/>
          <w:iCs w:val="1"/>
          <w:color w:val="auto"/>
        </w:rPr>
      </w:pPr>
      <w:r>
        <w:rPr>
          <w:rFonts w:ascii="Arial" w:cs="Arial" w:eastAsia="Arial" w:hAnsi="Arial"/>
          <w:sz w:val="18"/>
          <w:szCs w:val="18"/>
          <w:i w:val="1"/>
          <w:iCs w:val="1"/>
          <w:color w:val="auto"/>
        </w:rPr>
        <w:t>to the extent necessary to exclude any fractional amounts from the subscription right,</w:t>
      </w:r>
    </w:p>
    <w:p>
      <w:pPr>
        <w:spacing w:after="0" w:line="225" w:lineRule="exact"/>
        <w:rPr>
          <w:rFonts w:ascii="Arial" w:cs="Arial" w:eastAsia="Arial" w:hAnsi="Arial"/>
          <w:sz w:val="18"/>
          <w:szCs w:val="18"/>
          <w:i w:val="1"/>
          <w:iCs w:val="1"/>
          <w:color w:val="auto"/>
        </w:rPr>
      </w:pPr>
    </w:p>
    <w:p>
      <w:pPr>
        <w:jc w:val="both"/>
        <w:ind w:left="1800" w:hanging="444"/>
        <w:spacing w:after="0" w:line="263" w:lineRule="auto"/>
        <w:tabs>
          <w:tab w:leader="none" w:pos="1800" w:val="left"/>
        </w:tabs>
        <w:numPr>
          <w:ilvl w:val="0"/>
          <w:numId w:val="9"/>
        </w:numPr>
        <w:rPr>
          <w:rFonts w:ascii="Arial" w:cs="Arial" w:eastAsia="Arial" w:hAnsi="Arial"/>
          <w:sz w:val="18"/>
          <w:szCs w:val="18"/>
          <w:i w:val="1"/>
          <w:iCs w:val="1"/>
          <w:color w:val="auto"/>
        </w:rPr>
      </w:pPr>
      <w:r>
        <w:rPr>
          <w:rFonts w:ascii="Arial" w:cs="Arial" w:eastAsia="Arial" w:hAnsi="Arial"/>
          <w:sz w:val="18"/>
          <w:szCs w:val="18"/>
          <w:i w:val="1"/>
          <w:iCs w:val="1"/>
          <w:color w:val="auto"/>
        </w:rPr>
        <w:t>in the event of a capital increase against contributions in kind, in particular in the context of business combinations or for the (also indirect) acquisition of companies, businesses, parts of businesses, equity interests or other assets or claims to the acquisition of assets, including claims against the Company or its Group companies,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2" w:name="page13"/>
    <w:bookmarkEnd w:id="12"/>
    <w:p>
      <w:pPr>
        <w:jc w:val="both"/>
        <w:ind w:left="1343" w:hanging="444"/>
        <w:spacing w:after="0" w:line="288" w:lineRule="auto"/>
        <w:tabs>
          <w:tab w:leader="none" w:pos="1343" w:val="left"/>
        </w:tabs>
        <w:numPr>
          <w:ilvl w:val="0"/>
          <w:numId w:val="10"/>
        </w:numPr>
        <w:rPr>
          <w:rFonts w:ascii="Arial" w:cs="Arial" w:eastAsia="Arial" w:hAnsi="Arial"/>
          <w:sz w:val="16"/>
          <w:szCs w:val="16"/>
          <w:i w:val="1"/>
          <w:iCs w:val="1"/>
          <w:color w:val="auto"/>
        </w:rPr>
      </w:pPr>
      <w:r>
        <w:rPr>
          <w:rFonts w:ascii="Arial" w:cs="Arial" w:eastAsia="Arial" w:hAnsi="Arial"/>
          <w:sz w:val="16"/>
          <w:szCs w:val="16"/>
          <w:i w:val="1"/>
          <w:iCs w:val="1"/>
          <w:color w:val="auto"/>
        </w:rPr>
        <w:t>if a capital increase against cash contributions does not exceed 10% of the share capital either at the time this authorization becomes effective or – if this amount is lower – at the time this authorization is exercised, and the issue price of the new shares is not significantly lower than the stock market price (section 186 para. 3 sentence 4 AktG); when exercising this authorization with exclusion of subscription rights pursuant to section 186 para. 3 sentence 4 AktG, the exclusion of subscription rights on the basis of other authorizations in direct or corresponding application of section 186 para. 3 sentence 4 AktG shall be taken into account; the stock exchange price shall also be deemed to be the price of an American Depositary Share (“ADS”) listed on the New York Stock Exchange or on the NASDAQ stock exchange multiplied by the number of ADSs representing one share; if the Company’s share is listed on the Xetra system of the Frankfurt Stock Exchange (or a functionally comparable successor system replacing the Xetra system) and, at the same time, ADSs of the Company are listed on the New York Stock Exchange or on the NASDAQ Stock Exchange, the Company shall choose which of these stock exchange prices shall be decisive.</w:t>
      </w:r>
    </w:p>
    <w:p>
      <w:pPr>
        <w:spacing w:after="0" w:line="168" w:lineRule="exact"/>
        <w:rPr>
          <w:sz w:val="20"/>
          <w:szCs w:val="20"/>
          <w:color w:val="auto"/>
        </w:rPr>
      </w:pPr>
    </w:p>
    <w:p>
      <w:pPr>
        <w:jc w:val="both"/>
        <w:ind w:left="903"/>
        <w:spacing w:after="0" w:line="254" w:lineRule="auto"/>
        <w:rPr>
          <w:sz w:val="20"/>
          <w:szCs w:val="20"/>
          <w:color w:val="auto"/>
        </w:rPr>
      </w:pPr>
      <w:r>
        <w:rPr>
          <w:rFonts w:ascii="Arial" w:cs="Arial" w:eastAsia="Arial" w:hAnsi="Arial"/>
          <w:sz w:val="18"/>
          <w:szCs w:val="18"/>
          <w:i w:val="1"/>
          <w:iCs w:val="1"/>
          <w:color w:val="auto"/>
        </w:rPr>
        <w:t>The Management Board is authorized, with the consent of the Supervisory Board, to determine the further details of the capital increase and the terms and conditions of the share issue; this also includes the determination of the dividend entitlement of the new shares, which, in deviation of section 60 para. 2 AktG, may also be determined for a financial year which has already expired, if, at the time of the issue of the new shares, a resolution by the general meeting on the appropriation of profits for this financial year has not yet been adopted. The Supervisory Board is authorized to amend section 4 of the Articles of Association after the full or partial implementation of the increase of the share capital in accordance with the respective utilization of the authorized capital and after expiry of the authorization period.”</w:t>
      </w:r>
    </w:p>
    <w:p>
      <w:pPr>
        <w:spacing w:after="0" w:line="195" w:lineRule="exact"/>
        <w:rPr>
          <w:sz w:val="20"/>
          <w:szCs w:val="20"/>
          <w:color w:val="auto"/>
        </w:rPr>
      </w:pPr>
    </w:p>
    <w:p>
      <w:pPr>
        <w:jc w:val="both"/>
        <w:ind w:left="443" w:hanging="443"/>
        <w:spacing w:after="0" w:line="263" w:lineRule="auto"/>
        <w:tabs>
          <w:tab w:leader="none" w:pos="443"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Management Board and the Chairman of the Supervisory Board are authorized to apply for the registration of the Authorized Capital 2023/I and the corresponding amendment to the Articles of Association in the commercial register independently of the other resolutions of the Annual General Meeting.</w:t>
      </w:r>
    </w:p>
    <w:p>
      <w:pPr>
        <w:spacing w:after="0" w:line="400" w:lineRule="exact"/>
        <w:rPr>
          <w:sz w:val="20"/>
          <w:szCs w:val="20"/>
          <w:color w:val="auto"/>
        </w:rPr>
      </w:pPr>
    </w:p>
    <w:p>
      <w:pPr>
        <w:jc w:val="center"/>
        <w:ind w:right="437"/>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-284480</wp:posOffset>
            </wp:positionH>
            <wp:positionV relativeFrom="paragraph">
              <wp:posOffset>14605</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783"/>
          </w:cols>
          <w:pgMar w:left="777" w:top="557" w:right="339" w:bottom="1440" w:gutter="0" w:footer="0" w:header="0"/>
        </w:sectPr>
      </w:pPr>
    </w:p>
    <w:bookmarkStart w:id="13" w:name="page14"/>
    <w:bookmarkEnd w:id="13"/>
    <w:p>
      <w:pPr>
        <w:ind w:left="460" w:hanging="452"/>
        <w:spacing w:after="0" w:line="282" w:lineRule="auto"/>
        <w:tabs>
          <w:tab w:leader="none" w:pos="46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Resolution on the creation of a new authorized capital with the exclusion of subscription rights (Authorized Capital 2023/II) and a corresponding amendment to section 4 (Share Capital) of the Articles of Association</w:t>
      </w:r>
    </w:p>
    <w:p>
      <w:pPr>
        <w:spacing w:after="0" w:line="165" w:lineRule="exact"/>
        <w:rPr>
          <w:rFonts w:ascii="Arial" w:cs="Arial" w:eastAsia="Arial" w:hAnsi="Arial"/>
          <w:sz w:val="18"/>
          <w:szCs w:val="18"/>
          <w:b w:val="1"/>
          <w:bCs w:val="1"/>
          <w:color w:val="auto"/>
        </w:rPr>
      </w:pPr>
    </w:p>
    <w:p>
      <w:pPr>
        <w:jc w:val="both"/>
        <w:ind w:left="460"/>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The Management Board intends, with the approval of the Supervisory Board, to implement an additional Restricted Stock Unit Program as a long-term share-based remuneration element for selected employees of the Company and its affiliates (the “</w:t>
      </w:r>
      <w:r>
        <w:rPr>
          <w:rFonts w:ascii="Arial" w:cs="Arial" w:eastAsia="Arial" w:hAnsi="Arial"/>
          <w:sz w:val="18"/>
          <w:szCs w:val="18"/>
          <w:b w:val="1"/>
          <w:bCs w:val="1"/>
          <w:color w:val="auto"/>
        </w:rPr>
        <w:t>Participants</w:t>
      </w:r>
      <w:r>
        <w:rPr>
          <w:rFonts w:ascii="Arial" w:cs="Arial" w:eastAsia="Arial" w:hAnsi="Arial"/>
          <w:sz w:val="18"/>
          <w:szCs w:val="18"/>
          <w:color w:val="auto"/>
        </w:rPr>
        <w:t>”) (the “</w:t>
      </w:r>
      <w:r>
        <w:rPr>
          <w:rFonts w:ascii="Arial" w:cs="Arial" w:eastAsia="Arial" w:hAnsi="Arial"/>
          <w:sz w:val="18"/>
          <w:szCs w:val="18"/>
          <w:b w:val="1"/>
          <w:bCs w:val="1"/>
          <w:color w:val="auto"/>
        </w:rPr>
        <w:t>RSUP</w:t>
      </w:r>
      <w:r>
        <w:rPr>
          <w:rFonts w:ascii="Arial" w:cs="Arial" w:eastAsia="Arial" w:hAnsi="Arial"/>
          <w:sz w:val="18"/>
          <w:szCs w:val="18"/>
          <w:color w:val="auto"/>
        </w:rPr>
        <w:t>”). The RSUP shall be substantially similar to the Restricted Stock Unit Program already in place at the Company.</w:t>
      </w:r>
    </w:p>
    <w:p>
      <w:pPr>
        <w:spacing w:after="0" w:line="183" w:lineRule="exact"/>
        <w:rPr>
          <w:rFonts w:ascii="Arial" w:cs="Arial" w:eastAsia="Arial" w:hAnsi="Arial"/>
          <w:sz w:val="18"/>
          <w:szCs w:val="18"/>
          <w:b w:val="1"/>
          <w:bCs w:val="1"/>
          <w:color w:val="auto"/>
        </w:rPr>
      </w:pPr>
    </w:p>
    <w:p>
      <w:pPr>
        <w:jc w:val="both"/>
        <w:ind w:left="460"/>
        <w:spacing w:after="0" w:line="271" w:lineRule="auto"/>
        <w:rPr>
          <w:rFonts w:ascii="Arial" w:cs="Arial" w:eastAsia="Arial" w:hAnsi="Arial"/>
          <w:sz w:val="18"/>
          <w:szCs w:val="18"/>
          <w:b w:val="1"/>
          <w:bCs w:val="1"/>
          <w:color w:val="auto"/>
        </w:rPr>
      </w:pPr>
      <w:r>
        <w:rPr>
          <w:rFonts w:ascii="Arial" w:cs="Arial" w:eastAsia="Arial" w:hAnsi="Arial"/>
          <w:sz w:val="17"/>
          <w:szCs w:val="17"/>
          <w:color w:val="auto"/>
        </w:rPr>
        <w:t>An attractive and competitive remuneration program is an essential component in attracting and retaining highly qualified employees over the long term. Under the RSUP, the Company shall be able to grant Participants so-called “restricted stock units” (“</w:t>
      </w:r>
      <w:r>
        <w:rPr>
          <w:rFonts w:ascii="Arial" w:cs="Arial" w:eastAsia="Arial" w:hAnsi="Arial"/>
          <w:sz w:val="17"/>
          <w:szCs w:val="17"/>
          <w:b w:val="1"/>
          <w:bCs w:val="1"/>
          <w:color w:val="auto"/>
        </w:rPr>
        <w:t>RSUs</w:t>
      </w:r>
      <w:r>
        <w:rPr>
          <w:rFonts w:ascii="Arial" w:cs="Arial" w:eastAsia="Arial" w:hAnsi="Arial"/>
          <w:sz w:val="17"/>
          <w:szCs w:val="17"/>
          <w:color w:val="auto"/>
        </w:rPr>
        <w:t>”) which, under certain conditions, grant the Participants a right to a cash payment, a transfer of shares in the Company or a combination of cash payment and shares in the Company, with the total amount of the Participant’s entitlement depending on the development of the Company’s share price. The Company has the possibility, at its sole discretion, to decide whether to settle the Participant’s claim by cash payment, by shares of the Company or by a combination of cash payment and shares of the Company. In order to enable the Company in this context to issue new shares and to fulfill the Participants’ payment claims when they fall due, new authorized capital (Authorized Capital 2023/II) is to be created. The Management Board and Supervisory Board therefore propose that the following resolution be adopted:</w:t>
      </w:r>
    </w:p>
    <w:p>
      <w:pPr>
        <w:spacing w:after="0" w:line="200" w:lineRule="exact"/>
        <w:rPr>
          <w:rFonts w:ascii="Arial" w:cs="Arial" w:eastAsia="Arial" w:hAnsi="Arial"/>
          <w:sz w:val="18"/>
          <w:szCs w:val="18"/>
          <w:b w:val="1"/>
          <w:bCs w:val="1"/>
          <w:color w:val="auto"/>
        </w:rPr>
      </w:pPr>
    </w:p>
    <w:p>
      <w:pPr>
        <w:spacing w:after="0" w:line="200" w:lineRule="exact"/>
        <w:rPr>
          <w:rFonts w:ascii="Arial" w:cs="Arial" w:eastAsia="Arial" w:hAnsi="Arial"/>
          <w:sz w:val="18"/>
          <w:szCs w:val="18"/>
          <w:b w:val="1"/>
          <w:bCs w:val="1"/>
          <w:color w:val="auto"/>
        </w:rPr>
      </w:pPr>
    </w:p>
    <w:p>
      <w:pPr>
        <w:spacing w:after="0" w:line="210" w:lineRule="exact"/>
        <w:rPr>
          <w:rFonts w:ascii="Arial" w:cs="Arial" w:eastAsia="Arial" w:hAnsi="Arial"/>
          <w:sz w:val="18"/>
          <w:szCs w:val="18"/>
          <w:b w:val="1"/>
          <w:bCs w:val="1"/>
          <w:color w:val="auto"/>
        </w:rPr>
      </w:pPr>
    </w:p>
    <w:p>
      <w:pPr>
        <w:ind w:left="900" w:hanging="443"/>
        <w:spacing w:after="0"/>
        <w:tabs>
          <w:tab w:leader="none" w:pos="9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Creation of an Authorized Capital 2023/II with exclusion of subscription rights</w:t>
      </w:r>
    </w:p>
    <w:p>
      <w:pPr>
        <w:spacing w:after="0" w:line="225" w:lineRule="exact"/>
        <w:rPr>
          <w:rFonts w:ascii="Arial" w:cs="Arial" w:eastAsia="Arial" w:hAnsi="Arial"/>
          <w:sz w:val="18"/>
          <w:szCs w:val="18"/>
          <w:color w:val="auto"/>
        </w:rPr>
      </w:pPr>
    </w:p>
    <w:p>
      <w:pPr>
        <w:jc w:val="both"/>
        <w:ind w:left="900"/>
        <w:spacing w:after="0" w:line="263" w:lineRule="auto"/>
        <w:rPr>
          <w:rFonts w:ascii="Arial" w:cs="Arial" w:eastAsia="Arial" w:hAnsi="Arial"/>
          <w:sz w:val="18"/>
          <w:szCs w:val="18"/>
          <w:color w:val="auto"/>
        </w:rPr>
      </w:pPr>
      <w:r>
        <w:rPr>
          <w:rFonts w:ascii="Arial" w:cs="Arial" w:eastAsia="Arial" w:hAnsi="Arial"/>
          <w:sz w:val="18"/>
          <w:szCs w:val="18"/>
          <w:color w:val="auto"/>
        </w:rPr>
        <w:t>The Management Board is authorized, with the consent of the Supervisory Board, to increase the share capital of the Company in the period until and including August 6, 2028, by up to EUR 172,716.00 on one or more occasions by issuing up to 172,716 new no-par value registered shares against cash and/or non-cash contributions (Authorized Capital 2023/II).</w:t>
      </w:r>
    </w:p>
    <w:p>
      <w:pPr>
        <w:spacing w:after="0" w:line="183" w:lineRule="exact"/>
        <w:rPr>
          <w:rFonts w:ascii="Arial" w:cs="Arial" w:eastAsia="Arial" w:hAnsi="Arial"/>
          <w:sz w:val="18"/>
          <w:szCs w:val="18"/>
          <w:color w:val="auto"/>
        </w:rPr>
      </w:pPr>
    </w:p>
    <w:p>
      <w:pPr>
        <w:jc w:val="both"/>
        <w:ind w:left="900"/>
        <w:spacing w:after="0" w:line="311" w:lineRule="auto"/>
        <w:rPr>
          <w:rFonts w:ascii="Arial" w:cs="Arial" w:eastAsia="Arial" w:hAnsi="Arial"/>
          <w:sz w:val="18"/>
          <w:szCs w:val="18"/>
          <w:color w:val="auto"/>
        </w:rPr>
      </w:pPr>
      <w:r>
        <w:rPr>
          <w:rFonts w:ascii="Arial" w:cs="Arial" w:eastAsia="Arial" w:hAnsi="Arial"/>
          <w:sz w:val="16"/>
          <w:szCs w:val="16"/>
          <w:color w:val="auto"/>
        </w:rPr>
        <w:t>Shareholders’ subscription rights are excluded. The Authorized Capital 2023/II serves to deliver shares of the Company to service restricted stock units (RSUs) granted under the Company’s Restricted Stock Unit Program (RSUP) to selected employees of the Company and its affiliates in accordance with the RSUP in return for the contribution of the respective payment claim arising under the RSUs.</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4" w:name="page15"/>
    <w:bookmarkEnd w:id="14"/>
    <w:p>
      <w:pPr>
        <w:jc w:val="both"/>
        <w:ind w:left="443"/>
        <w:spacing w:after="0" w:line="296" w:lineRule="auto"/>
        <w:rPr>
          <w:sz w:val="20"/>
          <w:szCs w:val="20"/>
          <w:color w:val="auto"/>
        </w:rPr>
      </w:pPr>
      <w:r>
        <w:rPr>
          <w:rFonts w:ascii="Arial" w:cs="Arial" w:eastAsia="Arial" w:hAnsi="Arial"/>
          <w:sz w:val="16"/>
          <w:szCs w:val="16"/>
          <w:color w:val="auto"/>
        </w:rPr>
        <w:t>The issue amount of the new shares may be provided by contributions in cash and/or in kind, in particular also by the contribution of claims against the Company under the RSUP. The Management Board is authorized, with the consent of the Supervisory Board, to determine the further details of the capital increase and its implementation; this also includes the determination of the dividend entitlement of the new shares, which, in deviation of section 60 para. 2 AktG, may also be determined for a financial year which has already expired if, at the time of the issue of the new shares, a resolution by the general meeting on the appropriation of profits for this financial year has not yet been adopted.</w:t>
      </w:r>
    </w:p>
    <w:p>
      <w:pPr>
        <w:spacing w:after="0" w:line="161" w:lineRule="exact"/>
        <w:rPr>
          <w:sz w:val="20"/>
          <w:szCs w:val="20"/>
          <w:color w:val="auto"/>
        </w:rPr>
      </w:pPr>
    </w:p>
    <w:p>
      <w:pPr>
        <w:jc w:val="both"/>
        <w:ind w:left="443"/>
        <w:spacing w:after="0" w:line="259" w:lineRule="auto"/>
        <w:rPr>
          <w:sz w:val="20"/>
          <w:szCs w:val="20"/>
          <w:color w:val="auto"/>
        </w:rPr>
      </w:pPr>
      <w:r>
        <w:rPr>
          <w:rFonts w:ascii="Arial" w:cs="Arial" w:eastAsia="Arial" w:hAnsi="Arial"/>
          <w:sz w:val="18"/>
          <w:szCs w:val="18"/>
          <w:color w:val="auto"/>
        </w:rPr>
        <w:t>The Management Board is authorized, with the consent of the Supervisory Board, to determine the further details of the capital increase and the terms and conditions of the share issue. The Management Board is further authorized to issue the RSUs. The Supervisory Board is authorized to amend section 4 of the Articles of Association after full or partial implementation of the capital increase in accordance with the respective utilization of the authorized capital and after expiry of the authorization period.</w:t>
      </w:r>
    </w:p>
    <w:p>
      <w:pPr>
        <w:spacing w:after="0" w:line="187" w:lineRule="exact"/>
        <w:rPr>
          <w:sz w:val="20"/>
          <w:szCs w:val="20"/>
          <w:color w:val="auto"/>
        </w:rPr>
      </w:pPr>
    </w:p>
    <w:p>
      <w:pPr>
        <w:ind w:left="443" w:hanging="443"/>
        <w:spacing w:after="0"/>
        <w:tabs>
          <w:tab w:leader="none" w:pos="443" w:val="left"/>
        </w:tabs>
        <w:numPr>
          <w:ilvl w:val="0"/>
          <w:numId w:val="13"/>
        </w:numPr>
        <w:rPr>
          <w:rFonts w:ascii="Arial" w:cs="Arial" w:eastAsia="Arial" w:hAnsi="Arial"/>
          <w:sz w:val="18"/>
          <w:szCs w:val="18"/>
          <w:color w:val="auto"/>
        </w:rPr>
      </w:pPr>
      <w:r>
        <w:rPr>
          <w:rFonts w:ascii="Arial" w:cs="Arial" w:eastAsia="Arial" w:hAnsi="Arial"/>
          <w:sz w:val="18"/>
          <w:szCs w:val="18"/>
          <w:color w:val="auto"/>
        </w:rPr>
        <w:t>Amendment of the Articles of Association</w:t>
      </w:r>
    </w:p>
    <w:p>
      <w:pPr>
        <w:spacing w:after="0" w:line="225" w:lineRule="exact"/>
        <w:rPr>
          <w:rFonts w:ascii="Arial" w:cs="Arial" w:eastAsia="Arial" w:hAnsi="Arial"/>
          <w:sz w:val="18"/>
          <w:szCs w:val="18"/>
          <w:color w:val="auto"/>
        </w:rPr>
      </w:pPr>
    </w:p>
    <w:p>
      <w:pPr>
        <w:ind w:left="443"/>
        <w:spacing w:after="0"/>
        <w:rPr>
          <w:rFonts w:ascii="Arial" w:cs="Arial" w:eastAsia="Arial" w:hAnsi="Arial"/>
          <w:sz w:val="18"/>
          <w:szCs w:val="18"/>
          <w:color w:val="auto"/>
        </w:rPr>
      </w:pPr>
      <w:r>
        <w:rPr>
          <w:rFonts w:ascii="Arial" w:cs="Arial" w:eastAsia="Arial" w:hAnsi="Arial"/>
          <w:sz w:val="18"/>
          <w:szCs w:val="18"/>
          <w:color w:val="auto"/>
        </w:rPr>
        <w:t>The following new paragraph 13 shall be added to section 4 of the Articles of Association:</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903" w:hanging="450"/>
        <w:spacing w:after="0" w:line="263" w:lineRule="auto"/>
        <w:rPr>
          <w:rFonts w:ascii="Arial" w:cs="Arial" w:eastAsia="Arial" w:hAnsi="Arial"/>
          <w:sz w:val="18"/>
          <w:szCs w:val="18"/>
          <w:color w:val="auto"/>
        </w:rPr>
      </w:pPr>
      <w:r>
        <w:rPr>
          <w:rFonts w:ascii="Arial" w:cs="Arial" w:eastAsia="Arial" w:hAnsi="Arial"/>
          <w:sz w:val="18"/>
          <w:szCs w:val="18"/>
          <w:i w:val="1"/>
          <w:iCs w:val="1"/>
          <w:color w:val="auto"/>
        </w:rPr>
        <w:t>“(13) The Management Board is authorized, with the consent of the Supervisory Board, to increase the share capital of the Company in the period until and including August 6, 2028, by up to EUR 172,716.00 on one or more occasions by issuing up to 172,716 new no-par value registered shares against cash and/or non-cash contributions (Authorized Capital 2023/II).</w:t>
      </w:r>
    </w:p>
    <w:p>
      <w:pPr>
        <w:spacing w:after="0" w:line="183" w:lineRule="exact"/>
        <w:rPr>
          <w:rFonts w:ascii="Arial" w:cs="Arial" w:eastAsia="Arial" w:hAnsi="Arial"/>
          <w:sz w:val="18"/>
          <w:szCs w:val="18"/>
          <w:color w:val="auto"/>
        </w:rPr>
      </w:pPr>
    </w:p>
    <w:p>
      <w:pPr>
        <w:jc w:val="both"/>
        <w:ind w:left="443"/>
        <w:spacing w:after="0" w:line="290" w:lineRule="auto"/>
        <w:rPr>
          <w:rFonts w:ascii="Arial" w:cs="Arial" w:eastAsia="Arial" w:hAnsi="Arial"/>
          <w:sz w:val="18"/>
          <w:szCs w:val="18"/>
          <w:color w:val="auto"/>
        </w:rPr>
      </w:pPr>
      <w:r>
        <w:rPr>
          <w:rFonts w:ascii="Arial" w:cs="Arial" w:eastAsia="Arial" w:hAnsi="Arial"/>
          <w:sz w:val="16"/>
          <w:szCs w:val="16"/>
          <w:i w:val="1"/>
          <w:iCs w:val="1"/>
          <w:color w:val="auto"/>
        </w:rPr>
        <w:t>Shareholders’ subscription rights are excluded. The Authorized Capital 2023/II serves to deliver shares of the Company to service restricted stock units (RSUs) granted under the Company’s Restricted Stock Unit Program (RSUP) to selected employees of the Company and its affiliated companies in accordance with the RSUP in return for the contribution of the respective payment claims arising under the RSUs. The issue price of the new shares may be paid in cash and/or in kind, in particular also by contributing claims against the Company under the RSUP. The Management Board is authorized, with the approval of the Supervisory Board, to determine the further details of the capital increase and its implementation; this also includes the determination of the dividend entitlement of the new shares, which, in deviation of section 60 para. 2 AktG, may also be determined for a financial year that has already expired if, at the time of the issue of the new shares, a resolution by the general meeting on the appropriation of profits for this financial year has not yet been adopted.</w:t>
      </w:r>
    </w:p>
    <w:p>
      <w:pPr>
        <w:spacing w:after="0" w:line="381" w:lineRule="exact"/>
        <w:rPr>
          <w:sz w:val="20"/>
          <w:szCs w:val="20"/>
          <w:color w:val="auto"/>
        </w:rPr>
      </w:pPr>
    </w:p>
    <w:p>
      <w:pPr>
        <w:jc w:val="center"/>
        <w:ind w:right="437"/>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-284480</wp:posOffset>
            </wp:positionH>
            <wp:positionV relativeFrom="paragraph">
              <wp:posOffset>14605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783"/>
          </w:cols>
          <w:pgMar w:left="777" w:top="989" w:right="339" w:bottom="1440" w:gutter="0" w:footer="0" w:header="0"/>
        </w:sectPr>
      </w:pPr>
    </w:p>
    <w:bookmarkStart w:id="15" w:name="page16"/>
    <w:bookmarkEnd w:id="15"/>
    <w:p>
      <w:pPr>
        <w:jc w:val="both"/>
        <w:ind w:left="900"/>
        <w:spacing w:after="0" w:line="259" w:lineRule="auto"/>
        <w:rPr>
          <w:sz w:val="20"/>
          <w:szCs w:val="20"/>
          <w:color w:val="auto"/>
        </w:rPr>
      </w:pPr>
      <w:r>
        <w:rPr>
          <w:rFonts w:ascii="Arial" w:cs="Arial" w:eastAsia="Arial" w:hAnsi="Arial"/>
          <w:sz w:val="18"/>
          <w:szCs w:val="18"/>
          <w:i w:val="1"/>
          <w:iCs w:val="1"/>
          <w:color w:val="auto"/>
        </w:rPr>
        <w:t>The Management Board is authorized, with the consent of the Supervisory Board, to determine the further details of the capital increase and the terms and conditions of the share issue. This authorization also already covers the issue of RSUs. The Supervisory Board is authorized to amend section 4 of the Articles of Association after full or partial implementation of the capital increase in accordance with the respective utilization of the authorized capital and after expiry of the authorization period.”</w:t>
      </w:r>
    </w:p>
    <w:p>
      <w:pPr>
        <w:spacing w:after="0" w:line="187" w:lineRule="exact"/>
        <w:rPr>
          <w:sz w:val="20"/>
          <w:szCs w:val="20"/>
          <w:color w:val="auto"/>
        </w:rPr>
      </w:pPr>
    </w:p>
    <w:p>
      <w:pPr>
        <w:jc w:val="both"/>
        <w:ind w:left="900" w:hanging="443"/>
        <w:spacing w:after="0" w:line="263" w:lineRule="auto"/>
        <w:tabs>
          <w:tab w:leader="none" w:pos="9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The Management Board and the Chairman of the Supervisory Board are authorized to apply for the registration of the Authorized Capital 2023/II and the corresponding amendment to the Articles of Association in the commercial register independently of the other resolutions of the Annual General Meeting.</w:t>
      </w:r>
    </w:p>
    <w:p>
      <w:pPr>
        <w:spacing w:after="0" w:line="179" w:lineRule="exact"/>
        <w:rPr>
          <w:rFonts w:ascii="Arial" w:cs="Arial" w:eastAsia="Arial" w:hAnsi="Arial"/>
          <w:sz w:val="18"/>
          <w:szCs w:val="18"/>
          <w:color w:val="auto"/>
        </w:rPr>
      </w:pPr>
    </w:p>
    <w:p>
      <w:pPr>
        <w:ind w:left="460" w:hanging="452"/>
        <w:spacing w:after="0" w:line="282" w:lineRule="auto"/>
        <w:tabs>
          <w:tab w:leader="none" w:pos="46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Resolution on the decrease of the Conditional Capital 2019 as well as a corresponding amendment to section 4 of the Articles of Association (Share Capital)</w:t>
      </w:r>
    </w:p>
    <w:p>
      <w:pPr>
        <w:spacing w:after="0" w:line="165" w:lineRule="exact"/>
        <w:rPr>
          <w:rFonts w:ascii="Arial" w:cs="Arial" w:eastAsia="Arial" w:hAnsi="Arial"/>
          <w:sz w:val="18"/>
          <w:szCs w:val="18"/>
          <w:b w:val="1"/>
          <w:bCs w:val="1"/>
          <w:color w:val="auto"/>
        </w:rPr>
      </w:pPr>
    </w:p>
    <w:p>
      <w:pPr>
        <w:jc w:val="both"/>
        <w:ind w:left="460"/>
        <w:spacing w:after="0" w:line="296" w:lineRule="auto"/>
        <w:rPr>
          <w:rFonts w:ascii="Arial" w:cs="Arial" w:eastAsia="Arial" w:hAnsi="Arial"/>
          <w:sz w:val="18"/>
          <w:szCs w:val="18"/>
          <w:b w:val="1"/>
          <w:bCs w:val="1"/>
          <w:color w:val="auto"/>
        </w:rPr>
      </w:pPr>
      <w:r>
        <w:rPr>
          <w:rFonts w:ascii="Arial" w:cs="Arial" w:eastAsia="Arial" w:hAnsi="Arial"/>
          <w:sz w:val="16"/>
          <w:szCs w:val="16"/>
          <w:color w:val="auto"/>
        </w:rPr>
        <w:t>The Company has the Conditional Capital 2019. The Conditional Capital 2019 is provided for in section 4 para. 5 of the Articles of Association. Currently, the Conditional Capital 2019 exists in the amount of EUR 270,000.00. The Conditional Capital 2019 is no longer required in the amount of EUR 96,750.00 and can thus be reduced to EUR 173,250.00 (the maximum amount required for the fulfillment of the issued subscription rights). The background is that holders of subscription rights under the Conditional Capital 2019 have waived their subscription rights (stock options) with the consent of the Company. Further, subscription rights have forfeited as a consequence of beneficiaries leaving the Company.</w:t>
      </w:r>
    </w:p>
    <w:p>
      <w:pPr>
        <w:spacing w:after="0" w:line="161"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The Management Board and Supervisory Board therefore propose that the following resolution be adopted:</w:t>
      </w:r>
    </w:p>
    <w:p>
      <w:pPr>
        <w:spacing w:after="0" w:line="200" w:lineRule="exact"/>
        <w:rPr>
          <w:rFonts w:ascii="Arial" w:cs="Arial" w:eastAsia="Arial" w:hAnsi="Arial"/>
          <w:sz w:val="18"/>
          <w:szCs w:val="18"/>
          <w:b w:val="1"/>
          <w:bCs w:val="1"/>
          <w:color w:val="auto"/>
        </w:rPr>
      </w:pPr>
    </w:p>
    <w:p>
      <w:pPr>
        <w:spacing w:after="0" w:line="241" w:lineRule="exact"/>
        <w:rPr>
          <w:rFonts w:ascii="Arial" w:cs="Arial" w:eastAsia="Arial" w:hAnsi="Arial"/>
          <w:sz w:val="18"/>
          <w:szCs w:val="18"/>
          <w:b w:val="1"/>
          <w:bCs w:val="1"/>
          <w:color w:val="auto"/>
        </w:rPr>
      </w:pPr>
    </w:p>
    <w:p>
      <w:pPr>
        <w:ind w:left="900" w:hanging="443"/>
        <w:spacing w:after="0"/>
        <w:tabs>
          <w:tab w:leader="none" w:pos="9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Decrease of the Conditional Capital 2019</w:t>
      </w:r>
    </w:p>
    <w:p>
      <w:pPr>
        <w:spacing w:after="0" w:line="225" w:lineRule="exact"/>
        <w:rPr>
          <w:rFonts w:ascii="Arial" w:cs="Arial" w:eastAsia="Arial" w:hAnsi="Arial"/>
          <w:sz w:val="18"/>
          <w:szCs w:val="18"/>
          <w:color w:val="auto"/>
        </w:rPr>
      </w:pPr>
    </w:p>
    <w:p>
      <w:pPr>
        <w:ind w:left="900"/>
        <w:spacing w:after="0" w:line="277" w:lineRule="auto"/>
        <w:rPr>
          <w:rFonts w:ascii="Arial" w:cs="Arial" w:eastAsia="Arial" w:hAnsi="Arial"/>
          <w:sz w:val="18"/>
          <w:szCs w:val="18"/>
          <w:color w:val="auto"/>
        </w:rPr>
      </w:pPr>
      <w:r>
        <w:rPr>
          <w:rFonts w:ascii="Arial" w:cs="Arial" w:eastAsia="Arial" w:hAnsi="Arial"/>
          <w:sz w:val="18"/>
          <w:szCs w:val="18"/>
          <w:color w:val="auto"/>
        </w:rPr>
        <w:t>The Conditional Capital 2019 as set out in section 4 para. 5 of the Articles of Association of the Company is decreased from EUR 270,000.00 to EUR 173,250.00.</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6" w:name="page17"/>
    <w:bookmarkEnd w:id="16"/>
    <w:p>
      <w:pPr>
        <w:ind w:left="900" w:hanging="443"/>
        <w:spacing w:after="0"/>
        <w:tabs>
          <w:tab w:leader="none" w:pos="9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Sentence 1 of para. 5 of section 4 of the Articles of Association will be amended as follows:</w:t>
      </w:r>
    </w:p>
    <w:p>
      <w:pPr>
        <w:spacing w:after="0" w:line="225" w:lineRule="exact"/>
        <w:rPr>
          <w:rFonts w:ascii="Arial" w:cs="Arial" w:eastAsia="Arial" w:hAnsi="Arial"/>
          <w:sz w:val="18"/>
          <w:szCs w:val="18"/>
          <w:color w:val="auto"/>
        </w:rPr>
      </w:pPr>
    </w:p>
    <w:p>
      <w:pPr>
        <w:ind w:left="900"/>
        <w:spacing w:after="0" w:line="277" w:lineRule="auto"/>
        <w:rPr>
          <w:rFonts w:ascii="Arial" w:cs="Arial" w:eastAsia="Arial" w:hAnsi="Arial"/>
          <w:sz w:val="18"/>
          <w:szCs w:val="18"/>
          <w:color w:val="auto"/>
        </w:rPr>
      </w:pPr>
      <w:r>
        <w:rPr>
          <w:rFonts w:ascii="Arial" w:cs="Arial" w:eastAsia="Arial" w:hAnsi="Arial"/>
          <w:sz w:val="18"/>
          <w:szCs w:val="18"/>
          <w:i w:val="1"/>
          <w:iCs w:val="1"/>
          <w:color w:val="auto"/>
        </w:rPr>
        <w:t>“The share capital of the Company is conditionally increased by up to EUR 173,250.00 through the issuance of up to 173,250 new registered no-par value shares (Conditional Capital 2019).”</w:t>
      </w:r>
    </w:p>
    <w:p>
      <w:pPr>
        <w:spacing w:after="0" w:line="170" w:lineRule="exact"/>
        <w:rPr>
          <w:rFonts w:ascii="Arial" w:cs="Arial" w:eastAsia="Arial" w:hAnsi="Arial"/>
          <w:sz w:val="18"/>
          <w:szCs w:val="18"/>
          <w:color w:val="auto"/>
        </w:rPr>
      </w:pPr>
    </w:p>
    <w:p>
      <w:pPr>
        <w:ind w:left="900"/>
        <w:spacing w:after="0"/>
        <w:rPr>
          <w:rFonts w:ascii="Arial" w:cs="Arial" w:eastAsia="Arial" w:hAnsi="Arial"/>
          <w:sz w:val="18"/>
          <w:szCs w:val="18"/>
          <w:color w:val="auto"/>
        </w:rPr>
      </w:pPr>
      <w:r>
        <w:rPr>
          <w:rFonts w:ascii="Arial" w:cs="Arial" w:eastAsia="Arial" w:hAnsi="Arial"/>
          <w:sz w:val="18"/>
          <w:szCs w:val="18"/>
          <w:color w:val="auto"/>
        </w:rPr>
        <w:t>In all other aspects section 4 para. 5 of the Articles of Association of the Company remain unaffected.</w:t>
      </w:r>
    </w:p>
    <w:p>
      <w:pPr>
        <w:spacing w:after="0" w:line="225" w:lineRule="exact"/>
        <w:rPr>
          <w:rFonts w:ascii="Arial" w:cs="Arial" w:eastAsia="Arial" w:hAnsi="Arial"/>
          <w:sz w:val="18"/>
          <w:szCs w:val="18"/>
          <w:color w:val="auto"/>
        </w:rPr>
      </w:pPr>
    </w:p>
    <w:p>
      <w:pPr>
        <w:jc w:val="both"/>
        <w:ind w:left="900" w:hanging="443"/>
        <w:spacing w:after="0" w:line="263" w:lineRule="auto"/>
        <w:tabs>
          <w:tab w:leader="none" w:pos="9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The Management Board and the Supervisory Board are authorized to apply for the registration with the commercial register of the decrease of the Conditional Capital 2019 and the corresponding amendment to the Articles of Association independent from all other resolutions of the Annual General Meeting.</w:t>
      </w:r>
    </w:p>
    <w:p>
      <w:pPr>
        <w:spacing w:after="0" w:line="179" w:lineRule="exact"/>
        <w:rPr>
          <w:rFonts w:ascii="Arial" w:cs="Arial" w:eastAsia="Arial" w:hAnsi="Arial"/>
          <w:sz w:val="18"/>
          <w:szCs w:val="18"/>
          <w:color w:val="auto"/>
        </w:rPr>
      </w:pPr>
    </w:p>
    <w:p>
      <w:pPr>
        <w:jc w:val="both"/>
        <w:ind w:left="460" w:hanging="452"/>
        <w:spacing w:after="0" w:line="266" w:lineRule="auto"/>
        <w:tabs>
          <w:tab w:leader="none" w:pos="46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Resolution on a further authorization to grant subscription rights to members of the Management Board of the Company under a new stock option program and the creation of a new conditional capital (Conditional Capital 2023) as well as a corresponding amendment to section 4 of the Articles of Association (Share Capital)</w:t>
      </w:r>
    </w:p>
    <w:p>
      <w:pPr>
        <w:spacing w:after="0" w:line="179" w:lineRule="exact"/>
        <w:rPr>
          <w:rFonts w:ascii="Arial" w:cs="Arial" w:eastAsia="Arial" w:hAnsi="Arial"/>
          <w:sz w:val="18"/>
          <w:szCs w:val="18"/>
          <w:b w:val="1"/>
          <w:bCs w:val="1"/>
          <w:color w:val="auto"/>
        </w:rPr>
      </w:pPr>
    </w:p>
    <w:p>
      <w:pPr>
        <w:jc w:val="both"/>
        <w:ind w:left="460"/>
        <w:spacing w:after="0" w:line="311" w:lineRule="auto"/>
        <w:rPr>
          <w:rFonts w:ascii="Arial" w:cs="Arial" w:eastAsia="Arial" w:hAnsi="Arial"/>
          <w:sz w:val="18"/>
          <w:szCs w:val="18"/>
          <w:b w:val="1"/>
          <w:bCs w:val="1"/>
          <w:color w:val="auto"/>
        </w:rPr>
      </w:pPr>
      <w:r>
        <w:rPr>
          <w:rFonts w:ascii="Arial" w:cs="Arial" w:eastAsia="Arial" w:hAnsi="Arial"/>
          <w:sz w:val="16"/>
          <w:szCs w:val="16"/>
          <w:color w:val="auto"/>
        </w:rPr>
        <w:t>In order to be able to continue to bind members of the Management Board of the Company to the Company by means of a variable remuneration component with a long-term incentive effect, under agenda item 13 the possibility is to issue subscription rights to shares in the Company to members of the Management Board of the Company under a stock option program (the “</w:t>
      </w:r>
      <w:r>
        <w:rPr>
          <w:rFonts w:ascii="Arial" w:cs="Arial" w:eastAsia="Arial" w:hAnsi="Arial"/>
          <w:sz w:val="16"/>
          <w:szCs w:val="16"/>
          <w:b w:val="1"/>
          <w:bCs w:val="1"/>
          <w:color w:val="auto"/>
        </w:rPr>
        <w:t>Stock Option Program</w:t>
      </w:r>
      <w:r>
        <w:rPr>
          <w:rFonts w:ascii="Arial" w:cs="Arial" w:eastAsia="Arial" w:hAnsi="Arial"/>
          <w:sz w:val="16"/>
          <w:szCs w:val="16"/>
          <w:color w:val="auto"/>
        </w:rPr>
        <w:t>”) shall be created.</w:t>
      </w:r>
    </w:p>
    <w:p>
      <w:pPr>
        <w:spacing w:after="0" w:line="148"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The Management Board and the Supervisory Board propose that the following resolution be adopted:</w:t>
      </w:r>
    </w:p>
    <w:p>
      <w:pPr>
        <w:spacing w:after="0" w:line="200" w:lineRule="exact"/>
        <w:rPr>
          <w:rFonts w:ascii="Arial" w:cs="Arial" w:eastAsia="Arial" w:hAnsi="Arial"/>
          <w:sz w:val="18"/>
          <w:szCs w:val="18"/>
          <w:b w:val="1"/>
          <w:bCs w:val="1"/>
          <w:color w:val="auto"/>
        </w:rPr>
      </w:pPr>
    </w:p>
    <w:p>
      <w:pPr>
        <w:spacing w:after="0" w:line="241" w:lineRule="exact"/>
        <w:rPr>
          <w:rFonts w:ascii="Arial" w:cs="Arial" w:eastAsia="Arial" w:hAnsi="Arial"/>
          <w:sz w:val="18"/>
          <w:szCs w:val="18"/>
          <w:b w:val="1"/>
          <w:bCs w:val="1"/>
          <w:color w:val="auto"/>
        </w:rPr>
      </w:pPr>
    </w:p>
    <w:p>
      <w:pPr>
        <w:ind w:left="900" w:hanging="443"/>
        <w:spacing w:after="0"/>
        <w:tabs>
          <w:tab w:leader="none" w:pos="900" w:val="left"/>
        </w:tabs>
        <w:numPr>
          <w:ilvl w:val="1"/>
          <w:numId w:val="17"/>
        </w:numPr>
        <w:rPr>
          <w:rFonts w:ascii="Arial" w:cs="Arial" w:eastAsia="Arial" w:hAnsi="Arial"/>
          <w:sz w:val="18"/>
          <w:szCs w:val="18"/>
          <w:color w:val="auto"/>
        </w:rPr>
      </w:pPr>
      <w:r>
        <w:rPr>
          <w:rFonts w:ascii="Arial" w:cs="Arial" w:eastAsia="Arial" w:hAnsi="Arial"/>
          <w:sz w:val="18"/>
          <w:szCs w:val="18"/>
          <w:color w:val="auto"/>
        </w:rPr>
        <w:t>Authorization to issue stock options with subscription rights to shares in the Company</w:t>
      </w:r>
    </w:p>
    <w:p>
      <w:pPr>
        <w:spacing w:after="0" w:line="225" w:lineRule="exact"/>
        <w:rPr>
          <w:rFonts w:ascii="Arial" w:cs="Arial" w:eastAsia="Arial" w:hAnsi="Arial"/>
          <w:sz w:val="18"/>
          <w:szCs w:val="18"/>
          <w:color w:val="auto"/>
        </w:rPr>
      </w:pPr>
    </w:p>
    <w:p>
      <w:pPr>
        <w:jc w:val="both"/>
        <w:ind w:left="900"/>
        <w:spacing w:after="0" w:line="263" w:lineRule="auto"/>
        <w:rPr>
          <w:rFonts w:ascii="Arial" w:cs="Arial" w:eastAsia="Arial" w:hAnsi="Arial"/>
          <w:sz w:val="18"/>
          <w:szCs w:val="18"/>
          <w:color w:val="auto"/>
        </w:rPr>
      </w:pPr>
      <w:r>
        <w:rPr>
          <w:rFonts w:ascii="Arial" w:cs="Arial" w:eastAsia="Arial" w:hAnsi="Arial"/>
          <w:sz w:val="18"/>
          <w:szCs w:val="18"/>
          <w:color w:val="auto"/>
        </w:rPr>
        <w:t>The Supervisory Board is authorized to grant subscription rights (stock options) for a total of up to 197.317 no-par value registered shares of the Company to members of the Management Board of the Company (“</w:t>
      </w:r>
      <w:r>
        <w:rPr>
          <w:rFonts w:ascii="Arial" w:cs="Arial" w:eastAsia="Arial" w:hAnsi="Arial"/>
          <w:sz w:val="18"/>
          <w:szCs w:val="18"/>
          <w:b w:val="1"/>
          <w:bCs w:val="1"/>
          <w:color w:val="auto"/>
        </w:rPr>
        <w:t>Beneficiaries</w:t>
      </w:r>
      <w:r>
        <w:rPr>
          <w:rFonts w:ascii="Arial" w:cs="Arial" w:eastAsia="Arial" w:hAnsi="Arial"/>
          <w:sz w:val="18"/>
          <w:szCs w:val="18"/>
          <w:color w:val="auto"/>
        </w:rPr>
        <w:t>”) on one or more occasions until and including August 6, 2028 (“</w:t>
      </w:r>
      <w:r>
        <w:rPr>
          <w:rFonts w:ascii="Arial" w:cs="Arial" w:eastAsia="Arial" w:hAnsi="Arial"/>
          <w:sz w:val="18"/>
          <w:szCs w:val="18"/>
          <w:b w:val="1"/>
          <w:bCs w:val="1"/>
          <w:color w:val="auto"/>
        </w:rPr>
        <w:t>Authorization Period</w:t>
      </w:r>
      <w:r>
        <w:rPr>
          <w:rFonts w:ascii="Arial" w:cs="Arial" w:eastAsia="Arial" w:hAnsi="Arial"/>
          <w:sz w:val="18"/>
          <w:szCs w:val="18"/>
          <w:color w:val="auto"/>
        </w:rPr>
        <w:t>”).</w:t>
      </w:r>
    </w:p>
    <w:p>
      <w:pPr>
        <w:spacing w:after="0" w:line="183" w:lineRule="exact"/>
        <w:rPr>
          <w:rFonts w:ascii="Arial" w:cs="Arial" w:eastAsia="Arial" w:hAnsi="Arial"/>
          <w:sz w:val="18"/>
          <w:szCs w:val="18"/>
          <w:color w:val="auto"/>
        </w:rPr>
      </w:pPr>
    </w:p>
    <w:p>
      <w:pPr>
        <w:jc w:val="both"/>
        <w:ind w:left="900"/>
        <w:spacing w:after="0" w:line="255" w:lineRule="auto"/>
        <w:rPr>
          <w:rFonts w:ascii="Arial" w:cs="Arial" w:eastAsia="Arial" w:hAnsi="Arial"/>
          <w:sz w:val="18"/>
          <w:szCs w:val="18"/>
          <w:color w:val="auto"/>
        </w:rPr>
      </w:pPr>
      <w:r>
        <w:rPr>
          <w:rFonts w:ascii="Arial" w:cs="Arial" w:eastAsia="Arial" w:hAnsi="Arial"/>
          <w:sz w:val="18"/>
          <w:szCs w:val="18"/>
          <w:color w:val="auto"/>
        </w:rPr>
        <w:t>A stock option grants a subscription right to one share in the Company. Shareholders of the Company have no subscription rights. To the extent that stock options expire due to termination of employment with the Company or for other reasons during the Authorization Period, a corresponding number of stock options may be reissued to Beneficiaries. The subscription rights exercised may be fulfilled, at the Company’s discretion, either by utilizing the Conditional Capital 2023 proposed for resolution or by treasury shares of the Company. In addition, the Company also has the right to settle in cash. The granting of the stock options and the issue of the subscription shares shall take place in accordance with the following provisions: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17" w:name="page18"/>
    <w:bookmarkEnd w:id="17"/>
    <w:p>
      <w:pPr>
        <w:ind w:left="454" w:hanging="454"/>
        <w:spacing w:after="0"/>
        <w:tabs>
          <w:tab w:leader="none" w:pos="454" w:val="left"/>
        </w:tabs>
        <w:numPr>
          <w:ilvl w:val="0"/>
          <w:numId w:val="18"/>
        </w:numPr>
        <w:rPr>
          <w:rFonts w:ascii="Arial" w:cs="Arial" w:eastAsia="Arial" w:hAnsi="Arial"/>
          <w:sz w:val="18"/>
          <w:szCs w:val="18"/>
          <w:color w:val="auto"/>
        </w:rPr>
      </w:pPr>
      <w:r>
        <w:rPr>
          <w:rFonts w:ascii="Arial" w:cs="Arial" w:eastAsia="Arial" w:hAnsi="Arial"/>
          <w:sz w:val="18"/>
          <w:szCs w:val="18"/>
          <w:color w:val="auto"/>
        </w:rPr>
        <w:t>Beneficiary</w:t>
      </w:r>
    </w:p>
    <w:p>
      <w:pPr>
        <w:spacing w:after="0" w:line="225" w:lineRule="exact"/>
        <w:rPr>
          <w:rFonts w:ascii="Arial" w:cs="Arial" w:eastAsia="Arial" w:hAnsi="Arial"/>
          <w:sz w:val="18"/>
          <w:szCs w:val="18"/>
          <w:color w:val="auto"/>
        </w:rPr>
      </w:pPr>
    </w:p>
    <w:p>
      <w:pPr>
        <w:ind w:left="454"/>
        <w:spacing w:after="0"/>
        <w:rPr>
          <w:rFonts w:ascii="Arial" w:cs="Arial" w:eastAsia="Arial" w:hAnsi="Arial"/>
          <w:sz w:val="18"/>
          <w:szCs w:val="18"/>
          <w:color w:val="auto"/>
        </w:rPr>
      </w:pPr>
      <w:r>
        <w:rPr>
          <w:rFonts w:ascii="Arial" w:cs="Arial" w:eastAsia="Arial" w:hAnsi="Arial"/>
          <w:sz w:val="18"/>
          <w:szCs w:val="18"/>
          <w:color w:val="auto"/>
        </w:rPr>
        <w:t>The group of Beneficiaries includes the members of the Management Board of the Company.</w:t>
      </w:r>
    </w:p>
    <w:p>
      <w:pPr>
        <w:spacing w:after="0" w:line="225" w:lineRule="exact"/>
        <w:rPr>
          <w:rFonts w:ascii="Arial" w:cs="Arial" w:eastAsia="Arial" w:hAnsi="Arial"/>
          <w:sz w:val="18"/>
          <w:szCs w:val="18"/>
          <w:color w:val="auto"/>
        </w:rPr>
      </w:pPr>
    </w:p>
    <w:p>
      <w:pPr>
        <w:ind w:left="454" w:hanging="454"/>
        <w:spacing w:after="0"/>
        <w:tabs>
          <w:tab w:leader="none" w:pos="454" w:val="left"/>
        </w:tabs>
        <w:numPr>
          <w:ilvl w:val="0"/>
          <w:numId w:val="18"/>
        </w:numPr>
        <w:rPr>
          <w:rFonts w:ascii="Arial" w:cs="Arial" w:eastAsia="Arial" w:hAnsi="Arial"/>
          <w:sz w:val="18"/>
          <w:szCs w:val="18"/>
          <w:color w:val="auto"/>
        </w:rPr>
      </w:pPr>
      <w:r>
        <w:rPr>
          <w:rFonts w:ascii="Arial" w:cs="Arial" w:eastAsia="Arial" w:hAnsi="Arial"/>
          <w:sz w:val="18"/>
          <w:szCs w:val="18"/>
          <w:color w:val="auto"/>
        </w:rPr>
        <w:t>Issue periods (acquisition periods)</w:t>
      </w:r>
    </w:p>
    <w:p>
      <w:pPr>
        <w:spacing w:after="0" w:line="225" w:lineRule="exact"/>
        <w:rPr>
          <w:rFonts w:ascii="Arial" w:cs="Arial" w:eastAsia="Arial" w:hAnsi="Arial"/>
          <w:sz w:val="18"/>
          <w:szCs w:val="18"/>
          <w:color w:val="auto"/>
        </w:rPr>
      </w:pPr>
    </w:p>
    <w:p>
      <w:pPr>
        <w:ind w:left="454"/>
        <w:spacing w:after="0" w:line="277" w:lineRule="auto"/>
        <w:rPr>
          <w:rFonts w:ascii="Arial" w:cs="Arial" w:eastAsia="Arial" w:hAnsi="Arial"/>
          <w:sz w:val="18"/>
          <w:szCs w:val="18"/>
          <w:color w:val="auto"/>
        </w:rPr>
      </w:pPr>
      <w:r>
        <w:rPr>
          <w:rFonts w:ascii="Arial" w:cs="Arial" w:eastAsia="Arial" w:hAnsi="Arial"/>
          <w:sz w:val="18"/>
          <w:szCs w:val="18"/>
          <w:color w:val="auto"/>
        </w:rPr>
        <w:t>Stock options may be issued in tranches once a month within the Authorization Period in accordance with a stock option program to be launched once or repeatedly (each an “</w:t>
      </w:r>
      <w:r>
        <w:rPr>
          <w:rFonts w:ascii="Arial" w:cs="Arial" w:eastAsia="Arial" w:hAnsi="Arial"/>
          <w:sz w:val="18"/>
          <w:szCs w:val="18"/>
          <w:b w:val="1"/>
          <w:bCs w:val="1"/>
          <w:color w:val="auto"/>
        </w:rPr>
        <w:t>Issue Period</w:t>
      </w:r>
      <w:r>
        <w:rPr>
          <w:rFonts w:ascii="Arial" w:cs="Arial" w:eastAsia="Arial" w:hAnsi="Arial"/>
          <w:sz w:val="18"/>
          <w:szCs w:val="18"/>
          <w:color w:val="auto"/>
        </w:rPr>
        <w:t>”).</w:t>
      </w:r>
    </w:p>
    <w:p>
      <w:pPr>
        <w:spacing w:after="0" w:line="166" w:lineRule="exact"/>
        <w:rPr>
          <w:rFonts w:ascii="Arial" w:cs="Arial" w:eastAsia="Arial" w:hAnsi="Arial"/>
          <w:sz w:val="18"/>
          <w:szCs w:val="18"/>
          <w:color w:val="auto"/>
        </w:rPr>
      </w:pPr>
    </w:p>
    <w:p>
      <w:pPr>
        <w:jc w:val="both"/>
        <w:ind w:left="454"/>
        <w:spacing w:after="0" w:line="266" w:lineRule="auto"/>
        <w:rPr>
          <w:rFonts w:ascii="Arial" w:cs="Arial" w:eastAsia="Arial" w:hAnsi="Arial"/>
          <w:sz w:val="18"/>
          <w:szCs w:val="18"/>
          <w:color w:val="auto"/>
        </w:rPr>
      </w:pPr>
      <w:r>
        <w:rPr>
          <w:rFonts w:ascii="Arial" w:cs="Arial" w:eastAsia="Arial" w:hAnsi="Arial"/>
          <w:sz w:val="18"/>
          <w:szCs w:val="18"/>
          <w:color w:val="auto"/>
        </w:rPr>
        <w:t>The relevant provisions shall be determined by the Supervisory Board of the Company (the “</w:t>
      </w:r>
      <w:r>
        <w:rPr>
          <w:rFonts w:ascii="Arial" w:cs="Arial" w:eastAsia="Arial" w:hAnsi="Arial"/>
          <w:sz w:val="18"/>
          <w:szCs w:val="18"/>
          <w:b w:val="1"/>
          <w:bCs w:val="1"/>
          <w:color w:val="auto"/>
        </w:rPr>
        <w:t>Terms &amp; Conditions</w:t>
      </w:r>
      <w:r>
        <w:rPr>
          <w:rFonts w:ascii="Arial" w:cs="Arial" w:eastAsia="Arial" w:hAnsi="Arial"/>
          <w:sz w:val="18"/>
          <w:szCs w:val="18"/>
          <w:color w:val="auto"/>
        </w:rPr>
        <w:t>”). The “</w:t>
      </w:r>
      <w:r>
        <w:rPr>
          <w:rFonts w:ascii="Arial" w:cs="Arial" w:eastAsia="Arial" w:hAnsi="Arial"/>
          <w:sz w:val="18"/>
          <w:szCs w:val="18"/>
          <w:b w:val="1"/>
          <w:bCs w:val="1"/>
          <w:color w:val="auto"/>
        </w:rPr>
        <w:t>Issue Date</w:t>
      </w:r>
      <w:r>
        <w:rPr>
          <w:rFonts w:ascii="Arial" w:cs="Arial" w:eastAsia="Arial" w:hAnsi="Arial"/>
          <w:sz w:val="18"/>
          <w:szCs w:val="18"/>
          <w:color w:val="auto"/>
        </w:rPr>
        <w:t>” shall be the date on which the offer to grant stock options is received by the respective Beneficiary, irrespective of the date of acceptance of the offer. The offer may specify a later date as the Issue Date.</w:t>
      </w:r>
    </w:p>
    <w:p>
      <w:pPr>
        <w:spacing w:after="0" w:line="179" w:lineRule="exact"/>
        <w:rPr>
          <w:rFonts w:ascii="Arial" w:cs="Arial" w:eastAsia="Arial" w:hAnsi="Arial"/>
          <w:sz w:val="18"/>
          <w:szCs w:val="18"/>
          <w:color w:val="auto"/>
        </w:rPr>
      </w:pPr>
    </w:p>
    <w:p>
      <w:pPr>
        <w:ind w:left="454" w:hanging="454"/>
        <w:spacing w:after="0"/>
        <w:tabs>
          <w:tab w:leader="none" w:pos="454" w:val="left"/>
        </w:tabs>
        <w:numPr>
          <w:ilvl w:val="0"/>
          <w:numId w:val="18"/>
        </w:numPr>
        <w:rPr>
          <w:rFonts w:ascii="Arial" w:cs="Arial" w:eastAsia="Arial" w:hAnsi="Arial"/>
          <w:sz w:val="18"/>
          <w:szCs w:val="18"/>
          <w:color w:val="auto"/>
        </w:rPr>
      </w:pPr>
      <w:r>
        <w:rPr>
          <w:rFonts w:ascii="Arial" w:cs="Arial" w:eastAsia="Arial" w:hAnsi="Arial"/>
          <w:sz w:val="18"/>
          <w:szCs w:val="18"/>
          <w:color w:val="auto"/>
        </w:rPr>
        <w:t>Waiting period</w:t>
      </w:r>
    </w:p>
    <w:p>
      <w:pPr>
        <w:spacing w:after="0" w:line="225" w:lineRule="exact"/>
        <w:rPr>
          <w:rFonts w:ascii="Arial" w:cs="Arial" w:eastAsia="Arial" w:hAnsi="Arial"/>
          <w:sz w:val="18"/>
          <w:szCs w:val="18"/>
          <w:color w:val="auto"/>
        </w:rPr>
      </w:pPr>
    </w:p>
    <w:p>
      <w:pPr>
        <w:ind w:left="454"/>
        <w:spacing w:after="0" w:line="308" w:lineRule="auto"/>
        <w:rPr>
          <w:rFonts w:ascii="Arial" w:cs="Arial" w:eastAsia="Arial" w:hAnsi="Arial"/>
          <w:sz w:val="18"/>
          <w:szCs w:val="18"/>
          <w:color w:val="auto"/>
        </w:rPr>
      </w:pPr>
      <w:r>
        <w:rPr>
          <w:rFonts w:ascii="Arial" w:cs="Arial" w:eastAsia="Arial" w:hAnsi="Arial"/>
          <w:sz w:val="17"/>
          <w:szCs w:val="17"/>
          <w:color w:val="auto"/>
        </w:rPr>
        <w:t>Stock options may be exercised for the first time after expiry of the waiting period. The waiting period of a tranche of stock options begins in each case on the specified Issue Date and ends at the earliest at the end of the fourth anniversary after the Issue Date.</w:t>
      </w:r>
    </w:p>
    <w:p>
      <w:pPr>
        <w:spacing w:after="0" w:line="146" w:lineRule="exact"/>
        <w:rPr>
          <w:rFonts w:ascii="Arial" w:cs="Arial" w:eastAsia="Arial" w:hAnsi="Arial"/>
          <w:sz w:val="18"/>
          <w:szCs w:val="18"/>
          <w:color w:val="auto"/>
        </w:rPr>
      </w:pPr>
    </w:p>
    <w:p>
      <w:pPr>
        <w:ind w:left="454" w:hanging="454"/>
        <w:spacing w:after="0"/>
        <w:tabs>
          <w:tab w:leader="none" w:pos="454" w:val="left"/>
        </w:tabs>
        <w:numPr>
          <w:ilvl w:val="0"/>
          <w:numId w:val="18"/>
        </w:numPr>
        <w:rPr>
          <w:rFonts w:ascii="Arial" w:cs="Arial" w:eastAsia="Arial" w:hAnsi="Arial"/>
          <w:sz w:val="18"/>
          <w:szCs w:val="18"/>
          <w:color w:val="auto"/>
        </w:rPr>
      </w:pPr>
      <w:r>
        <w:rPr>
          <w:rFonts w:ascii="Arial" w:cs="Arial" w:eastAsia="Arial" w:hAnsi="Arial"/>
          <w:sz w:val="18"/>
          <w:szCs w:val="18"/>
          <w:color w:val="auto"/>
        </w:rPr>
        <w:t>Performance targets</w:t>
      </w:r>
    </w:p>
    <w:p>
      <w:pPr>
        <w:spacing w:after="0" w:line="225" w:lineRule="exact"/>
        <w:rPr>
          <w:rFonts w:ascii="Arial" w:cs="Arial" w:eastAsia="Arial" w:hAnsi="Arial"/>
          <w:sz w:val="18"/>
          <w:szCs w:val="18"/>
          <w:color w:val="auto"/>
        </w:rPr>
      </w:pPr>
    </w:p>
    <w:p>
      <w:pPr>
        <w:ind w:left="454"/>
        <w:spacing w:after="0"/>
        <w:rPr>
          <w:rFonts w:ascii="Arial" w:cs="Arial" w:eastAsia="Arial" w:hAnsi="Arial"/>
          <w:sz w:val="18"/>
          <w:szCs w:val="18"/>
          <w:color w:val="auto"/>
        </w:rPr>
      </w:pPr>
      <w:r>
        <w:rPr>
          <w:rFonts w:ascii="Arial" w:cs="Arial" w:eastAsia="Arial" w:hAnsi="Arial"/>
          <w:sz w:val="17"/>
          <w:szCs w:val="17"/>
          <w:color w:val="auto"/>
        </w:rPr>
        <w:t>Stock options may only be exercised if and to the extent that the performance targets as described below have been achieved:</w:t>
      </w:r>
    </w:p>
    <w:p>
      <w:pPr>
        <w:spacing w:after="0" w:line="236" w:lineRule="exact"/>
        <w:rPr>
          <w:rFonts w:ascii="Arial" w:cs="Arial" w:eastAsia="Arial" w:hAnsi="Arial"/>
          <w:sz w:val="18"/>
          <w:szCs w:val="18"/>
          <w:color w:val="auto"/>
        </w:rPr>
      </w:pPr>
    </w:p>
    <w:p>
      <w:pPr>
        <w:jc w:val="both"/>
        <w:ind w:left="454"/>
        <w:spacing w:after="0" w:line="263" w:lineRule="auto"/>
        <w:rPr>
          <w:rFonts w:ascii="Arial" w:cs="Arial" w:eastAsia="Arial" w:hAnsi="Arial"/>
          <w:sz w:val="18"/>
          <w:szCs w:val="18"/>
          <w:color w:val="auto"/>
        </w:rPr>
      </w:pPr>
      <w:r>
        <w:rPr>
          <w:rFonts w:ascii="Arial" w:cs="Arial" w:eastAsia="Arial" w:hAnsi="Arial"/>
          <w:sz w:val="18"/>
          <w:szCs w:val="18"/>
          <w:color w:val="auto"/>
        </w:rPr>
        <w:t>The performance targets are linked to the absolute share price performance of the Company’s shares and to the achievement of an Environment Social Governance target (“</w:t>
      </w:r>
      <w:r>
        <w:rPr>
          <w:rFonts w:ascii="Arial" w:cs="Arial" w:eastAsia="Arial" w:hAnsi="Arial"/>
          <w:sz w:val="18"/>
          <w:szCs w:val="18"/>
          <w:b w:val="1"/>
          <w:bCs w:val="1"/>
          <w:color w:val="auto"/>
        </w:rPr>
        <w:t>ESG Target</w:t>
      </w:r>
      <w:r>
        <w:rPr>
          <w:rFonts w:ascii="Arial" w:cs="Arial" w:eastAsia="Arial" w:hAnsi="Arial"/>
          <w:sz w:val="18"/>
          <w:szCs w:val="18"/>
          <w:color w:val="auto"/>
        </w:rPr>
        <w:t>”) during the waiting period, whereby within the overall target achievement, the absolute share price performance is weighted with 80% and the ESG Target with 20%.</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634"/>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-569595</wp:posOffset>
            </wp:positionH>
            <wp:positionV relativeFrom="paragraph">
              <wp:posOffset>14605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334"/>
          </w:cols>
          <w:pgMar w:left="1226" w:top="557" w:right="339" w:bottom="1440" w:gutter="0" w:footer="0" w:header="0"/>
        </w:sectPr>
      </w:pPr>
    </w:p>
    <w:bookmarkStart w:id="18" w:name="page19"/>
    <w:bookmarkEnd w:id="18"/>
    <w:p>
      <w:pPr>
        <w:ind w:left="240"/>
        <w:spacing w:after="0"/>
        <w:rPr>
          <w:sz w:val="20"/>
          <w:szCs w:val="20"/>
          <w:color w:val="auto"/>
        </w:rPr>
      </w:pPr>
      <w:r>
        <w:rPr>
          <w:rFonts w:ascii="Arial" w:cs="Arial" w:eastAsia="Arial" w:hAnsi="Arial"/>
          <w:sz w:val="18"/>
          <w:szCs w:val="18"/>
          <w:b w:val="1"/>
          <w:bCs w:val="1"/>
          <w:color w:val="auto"/>
        </w:rPr>
        <w:t>Absolute share price performance</w:t>
      </w:r>
    </w:p>
    <w:p>
      <w:pPr>
        <w:spacing w:after="0" w:line="229" w:lineRule="exact"/>
        <w:rPr>
          <w:sz w:val="20"/>
          <w:szCs w:val="20"/>
          <w:color w:val="auto"/>
        </w:rPr>
      </w:pPr>
    </w:p>
    <w:p>
      <w:pPr>
        <w:jc w:val="both"/>
        <w:ind w:left="240"/>
        <w:spacing w:after="0" w:line="269" w:lineRule="auto"/>
        <w:rPr>
          <w:sz w:val="20"/>
          <w:szCs w:val="20"/>
          <w:color w:val="auto"/>
        </w:rPr>
      </w:pPr>
      <w:r>
        <w:rPr>
          <w:rFonts w:ascii="Arial" w:cs="Arial" w:eastAsia="Arial" w:hAnsi="Arial"/>
          <w:sz w:val="17"/>
          <w:szCs w:val="17"/>
          <w:color w:val="auto"/>
        </w:rPr>
        <w:t>The absolute share price performance target is linked to the development of the Company’s share price during the waiting period. To determine whether the performance target has been achieved, the last year of the waiting period is divided into four quarters and the three-month volume-weighted average price of the Company’s share or the three-month volume-weighted average price, to be converted into amounts per share, of the right or certificate representing the share in the trading system with the highest total trading volume in shares of the Company or in rights or certificates representing such shares (in each case a “</w:t>
      </w:r>
      <w:r>
        <w:rPr>
          <w:rFonts w:ascii="Arial" w:cs="Arial" w:eastAsia="Arial" w:hAnsi="Arial"/>
          <w:sz w:val="17"/>
          <w:szCs w:val="17"/>
          <w:b w:val="1"/>
          <w:bCs w:val="1"/>
          <w:color w:val="auto"/>
        </w:rPr>
        <w:t>Relevant Closing Price</w:t>
      </w:r>
      <w:r>
        <w:rPr>
          <w:rFonts w:ascii="Arial" w:cs="Arial" w:eastAsia="Arial" w:hAnsi="Arial"/>
          <w:sz w:val="17"/>
          <w:szCs w:val="17"/>
          <w:color w:val="auto"/>
        </w:rPr>
        <w:t>”) is determined at the end of each quarter. The performance target achievement is 100% if at least one Relevant Closing Price is at least 50% above the exercise price. The relevant trading system shall be determined on the basis of the average trading volume in shares of the Company or in rights or certificates representing such shares during the relevant three months. If the performance target for absolute share price performance is not achieved, the target achievement for this performance target is 0%. A target achievement of more than 100% is not possible.</w:t>
      </w:r>
    </w:p>
    <w:p>
      <w:pPr>
        <w:spacing w:after="0" w:line="181"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ESG Target</w:t>
      </w:r>
    </w:p>
    <w:p>
      <w:pPr>
        <w:spacing w:after="0" w:line="22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ESG Target is composed of a diversity target and an employee engagement target as follows:</w:t>
      </w:r>
    </w:p>
    <w:p>
      <w:pPr>
        <w:spacing w:after="0" w:line="225" w:lineRule="exact"/>
        <w:rPr>
          <w:sz w:val="20"/>
          <w:szCs w:val="20"/>
          <w:color w:val="auto"/>
        </w:rPr>
      </w:pPr>
    </w:p>
    <w:p>
      <w:pPr>
        <w:jc w:val="both"/>
        <w:ind w:left="240"/>
        <w:spacing w:after="0" w:line="255" w:lineRule="auto"/>
        <w:rPr>
          <w:sz w:val="20"/>
          <w:szCs w:val="20"/>
          <w:color w:val="auto"/>
        </w:rPr>
      </w:pPr>
      <w:r>
        <w:rPr>
          <w:rFonts w:ascii="Arial" w:cs="Arial" w:eastAsia="Arial" w:hAnsi="Arial"/>
          <w:sz w:val="18"/>
          <w:szCs w:val="18"/>
          <w:color w:val="auto"/>
        </w:rPr>
        <w:t>To determine the achievement of the diversity target, the Supervisory Board determines the percentage of women within the Mynaric Group at the beginning of the waiting period. The diversity target is achieved if the percentage of women within the Mynaric Group at the end of the waiting period is five percentage points higher than the percentage of women determined at the beginning of the waiting period. If the proportion of women at the beginning of the waiting period is at least 30% or if the proportion of women within the Mynaric group is at least 30% during the waiting period, the diversity target is achieved if the proportion of women within the Mynaric group is still at least 30% at the end of the waiting period.</w:t>
      </w:r>
    </w:p>
    <w:p>
      <w:pPr>
        <w:spacing w:after="0" w:line="192" w:lineRule="exact"/>
        <w:rPr>
          <w:sz w:val="20"/>
          <w:szCs w:val="20"/>
          <w:color w:val="auto"/>
        </w:rPr>
      </w:pPr>
    </w:p>
    <w:p>
      <w:pPr>
        <w:jc w:val="both"/>
        <w:ind w:left="240"/>
        <w:spacing w:after="0" w:line="257" w:lineRule="auto"/>
        <w:rPr>
          <w:sz w:val="20"/>
          <w:szCs w:val="20"/>
          <w:color w:val="auto"/>
        </w:rPr>
      </w:pPr>
      <w:r>
        <w:rPr>
          <w:rFonts w:ascii="Arial" w:cs="Arial" w:eastAsia="Arial" w:hAnsi="Arial"/>
          <w:sz w:val="18"/>
          <w:szCs w:val="18"/>
          <w:color w:val="auto"/>
        </w:rPr>
        <w:t>The employee engagement target is achieved if the employee engagement within the Mynaric Group at the end of the waiting period, as determined by an external service provider, is at least five percentage points higher than the employee engagement at the beginning of the waiting period. If the employee engagement is at least 80% at the beginning of the waiting period or if employee engagement of 80% is achieved during the waiting period, the employee engagement target is achieved if the employee engagement is still at least 80% at the end of the waiting period.</w:t>
      </w:r>
    </w:p>
    <w:p>
      <w:pPr>
        <w:spacing w:after="0" w:line="200" w:lineRule="exact"/>
        <w:rPr>
          <w:sz w:val="20"/>
          <w:szCs w:val="20"/>
          <w:color w:val="auto"/>
        </w:rPr>
      </w:pPr>
    </w:p>
    <w:p>
      <w:pPr>
        <w:spacing w:after="0" w:line="204"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553" w:right="339" w:bottom="1440" w:gutter="0" w:footer="0" w:header="0"/>
        </w:sectPr>
      </w:pPr>
    </w:p>
    <w:bookmarkStart w:id="19" w:name="page20"/>
    <w:bookmarkEnd w:id="19"/>
    <w:p>
      <w:pPr>
        <w:jc w:val="both"/>
        <w:ind w:left="454"/>
        <w:spacing w:after="0" w:line="279" w:lineRule="auto"/>
        <w:rPr>
          <w:sz w:val="20"/>
          <w:szCs w:val="20"/>
          <w:color w:val="auto"/>
        </w:rPr>
      </w:pPr>
      <w:r>
        <w:rPr>
          <w:rFonts w:ascii="Arial" w:cs="Arial" w:eastAsia="Arial" w:hAnsi="Arial"/>
          <w:sz w:val="17"/>
          <w:szCs w:val="17"/>
          <w:color w:val="auto"/>
        </w:rPr>
        <w:t>At the end of the waiting period, the Supervisory Board determines the target achievement for the ESG target as follows: If none of the above targets has been achieved by the end of the waiting period, the target achievement for the ESG target is 0%. If one of the above targets has been achieved, the target achievement for the ESG target is 50%. If both of the above targets are achieved, the target achievement for the ESG target is 100%. A target achievement of the ESG target above 100% is not possible.</w:t>
      </w:r>
    </w:p>
    <w:p>
      <w:pPr>
        <w:spacing w:after="0" w:line="171" w:lineRule="exact"/>
        <w:rPr>
          <w:sz w:val="20"/>
          <w:szCs w:val="20"/>
          <w:color w:val="auto"/>
        </w:rPr>
      </w:pPr>
    </w:p>
    <w:p>
      <w:pPr>
        <w:jc w:val="both"/>
        <w:ind w:left="454"/>
        <w:spacing w:after="0" w:line="263" w:lineRule="auto"/>
        <w:rPr>
          <w:sz w:val="20"/>
          <w:szCs w:val="20"/>
          <w:color w:val="auto"/>
        </w:rPr>
      </w:pPr>
      <w:r>
        <w:rPr>
          <w:rFonts w:ascii="Arial" w:cs="Arial" w:eastAsia="Arial" w:hAnsi="Arial"/>
          <w:sz w:val="18"/>
          <w:szCs w:val="18"/>
          <w:color w:val="auto"/>
        </w:rPr>
        <w:t>For the overall target achievement, the achievement of the absolute share price performance target is weighted with 80% and the ESG target with 20%. The result forms the overall target achievement level (in percent), which (rounded down to the nearest whole number) determines the number of exercisable stock options.</w:t>
      </w:r>
    </w:p>
    <w:p>
      <w:pPr>
        <w:spacing w:after="0" w:line="184" w:lineRule="exact"/>
        <w:rPr>
          <w:sz w:val="20"/>
          <w:szCs w:val="20"/>
          <w:color w:val="auto"/>
        </w:rPr>
      </w:pPr>
    </w:p>
    <w:p>
      <w:pPr>
        <w:ind w:left="454" w:hanging="454"/>
        <w:spacing w:after="0"/>
        <w:tabs>
          <w:tab w:leader="none" w:pos="454" w:val="left"/>
        </w:tabs>
        <w:numPr>
          <w:ilvl w:val="0"/>
          <w:numId w:val="19"/>
        </w:numPr>
        <w:rPr>
          <w:rFonts w:ascii="Arial" w:cs="Arial" w:eastAsia="Arial" w:hAnsi="Arial"/>
          <w:sz w:val="18"/>
          <w:szCs w:val="18"/>
          <w:color w:val="auto"/>
        </w:rPr>
      </w:pPr>
      <w:r>
        <w:rPr>
          <w:rFonts w:ascii="Arial" w:cs="Arial" w:eastAsia="Arial" w:hAnsi="Arial"/>
          <w:sz w:val="18"/>
          <w:szCs w:val="18"/>
          <w:color w:val="auto"/>
        </w:rPr>
        <w:t>Exercisability of stock options</w:t>
      </w:r>
    </w:p>
    <w:p>
      <w:pPr>
        <w:spacing w:after="0" w:line="225" w:lineRule="exact"/>
        <w:rPr>
          <w:rFonts w:ascii="Arial" w:cs="Arial" w:eastAsia="Arial" w:hAnsi="Arial"/>
          <w:sz w:val="18"/>
          <w:szCs w:val="18"/>
          <w:color w:val="auto"/>
        </w:rPr>
      </w:pPr>
    </w:p>
    <w:p>
      <w:pPr>
        <w:jc w:val="both"/>
        <w:ind w:left="454"/>
        <w:spacing w:after="0" w:line="296" w:lineRule="auto"/>
        <w:rPr>
          <w:rFonts w:ascii="Arial" w:cs="Arial" w:eastAsia="Arial" w:hAnsi="Arial"/>
          <w:sz w:val="18"/>
          <w:szCs w:val="18"/>
          <w:color w:val="auto"/>
        </w:rPr>
      </w:pPr>
      <w:r>
        <w:rPr>
          <w:rFonts w:ascii="Arial" w:cs="Arial" w:eastAsia="Arial" w:hAnsi="Arial"/>
          <w:sz w:val="16"/>
          <w:szCs w:val="16"/>
          <w:color w:val="auto"/>
        </w:rPr>
        <w:t>Stock options are only exercisable if the waiting period has expired and if the performance targets have been met. The stock options shall be settled in (treasury or new) shares of the Company, with each stock option entitling the Beneficiaries to subscribe for one share, or, at the Company’s discretion, as a cash payment in the amount of the closing price of the Company’s share on the last trading day prior to the exercise date in the trading system with the highest total trading volume in shares of the Company or in rights or certificates representing such shares on the last ten days prior to the exercise date on which this trading system was open for stock market trading.</w:t>
      </w:r>
    </w:p>
    <w:p>
      <w:pPr>
        <w:spacing w:after="0" w:line="161" w:lineRule="exact"/>
        <w:rPr>
          <w:rFonts w:ascii="Arial" w:cs="Arial" w:eastAsia="Arial" w:hAnsi="Arial"/>
          <w:sz w:val="18"/>
          <w:szCs w:val="18"/>
          <w:color w:val="auto"/>
        </w:rPr>
      </w:pPr>
    </w:p>
    <w:p>
      <w:pPr>
        <w:ind w:left="454" w:hanging="454"/>
        <w:spacing w:after="0"/>
        <w:tabs>
          <w:tab w:leader="none" w:pos="454" w:val="left"/>
        </w:tabs>
        <w:numPr>
          <w:ilvl w:val="0"/>
          <w:numId w:val="19"/>
        </w:numPr>
        <w:rPr>
          <w:rFonts w:ascii="Arial" w:cs="Arial" w:eastAsia="Arial" w:hAnsi="Arial"/>
          <w:sz w:val="18"/>
          <w:szCs w:val="18"/>
          <w:color w:val="auto"/>
        </w:rPr>
      </w:pPr>
      <w:r>
        <w:rPr>
          <w:rFonts w:ascii="Arial" w:cs="Arial" w:eastAsia="Arial" w:hAnsi="Arial"/>
          <w:sz w:val="18"/>
          <w:szCs w:val="18"/>
          <w:color w:val="auto"/>
        </w:rPr>
        <w:t>Exercise Periods and term</w:t>
      </w:r>
    </w:p>
    <w:p>
      <w:pPr>
        <w:spacing w:after="0" w:line="221" w:lineRule="exact"/>
        <w:rPr>
          <w:rFonts w:ascii="Arial" w:cs="Arial" w:eastAsia="Arial" w:hAnsi="Arial"/>
          <w:sz w:val="18"/>
          <w:szCs w:val="18"/>
          <w:color w:val="auto"/>
        </w:rPr>
      </w:pPr>
    </w:p>
    <w:p>
      <w:pPr>
        <w:jc w:val="both"/>
        <w:ind w:left="454"/>
        <w:spacing w:after="0" w:line="258" w:lineRule="auto"/>
        <w:rPr>
          <w:rFonts w:ascii="Arial" w:cs="Arial" w:eastAsia="Arial" w:hAnsi="Arial"/>
          <w:sz w:val="18"/>
          <w:szCs w:val="18"/>
          <w:color w:val="auto"/>
        </w:rPr>
      </w:pPr>
      <w:r>
        <w:rPr>
          <w:rFonts w:ascii="Arial" w:cs="Arial" w:eastAsia="Arial" w:hAnsi="Arial"/>
          <w:sz w:val="18"/>
          <w:szCs w:val="18"/>
          <w:color w:val="auto"/>
        </w:rPr>
        <w:t>The stock options may be exercised by the Beneficiaries within five years of the date on which the waiting period has expired (“</w:t>
      </w:r>
      <w:r>
        <w:rPr>
          <w:rFonts w:ascii="Arial" w:cs="Arial" w:eastAsia="Arial" w:hAnsi="Arial"/>
          <w:sz w:val="18"/>
          <w:szCs w:val="18"/>
          <w:b w:val="1"/>
          <w:bCs w:val="1"/>
          <w:color w:val="auto"/>
        </w:rPr>
        <w:t>Exercise</w:t>
      </w:r>
      <w:r>
        <w:rPr>
          <w:rFonts w:ascii="Arial" w:cs="Arial" w:eastAsia="Arial" w:hAnsi="Arial"/>
          <w:sz w:val="18"/>
          <w:szCs w:val="18"/>
          <w:color w:val="auto"/>
        </w:rPr>
        <w:t xml:space="preserve"> </w:t>
      </w:r>
      <w:r>
        <w:rPr>
          <w:rFonts w:ascii="Arial" w:cs="Arial" w:eastAsia="Arial" w:hAnsi="Arial"/>
          <w:sz w:val="18"/>
          <w:szCs w:val="18"/>
          <w:b w:val="1"/>
          <w:bCs w:val="1"/>
          <w:color w:val="auto"/>
        </w:rPr>
        <w:t>Period</w:t>
      </w:r>
      <w:r>
        <w:rPr>
          <w:rFonts w:ascii="Arial" w:cs="Arial" w:eastAsia="Arial" w:hAnsi="Arial"/>
          <w:sz w:val="18"/>
          <w:szCs w:val="18"/>
          <w:color w:val="auto"/>
        </w:rPr>
        <w:t>”). The Exercise Period may be extended appropriately by the Supervisory Board of the Company if, due to statutory or internal</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regulations, an exercise is not possible at the end of the original Exercise Period. The term of the stock options ends upon expiry of the respective (possibly extended) Exercise Period. Stock options that have not been exercised by the end of the respective Exercise Period shall expire without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4634"/>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-569595</wp:posOffset>
            </wp:positionH>
            <wp:positionV relativeFrom="paragraph">
              <wp:posOffset>14605</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334"/>
          </w:cols>
          <w:pgMar w:left="1226" w:top="773" w:right="339" w:bottom="1440" w:gutter="0" w:footer="0" w:header="0"/>
        </w:sectPr>
      </w:pPr>
    </w:p>
    <w:bookmarkStart w:id="20" w:name="page21"/>
    <w:bookmarkEnd w:id="20"/>
    <w:p>
      <w:pPr>
        <w:ind w:left="454" w:hanging="454"/>
        <w:spacing w:after="0"/>
        <w:tabs>
          <w:tab w:leader="none" w:pos="454" w:val="left"/>
        </w:tabs>
        <w:numPr>
          <w:ilvl w:val="0"/>
          <w:numId w:val="20"/>
        </w:numPr>
        <w:rPr>
          <w:rFonts w:ascii="Arial" w:cs="Arial" w:eastAsia="Arial" w:hAnsi="Arial"/>
          <w:sz w:val="18"/>
          <w:szCs w:val="18"/>
          <w:color w:val="auto"/>
        </w:rPr>
      </w:pPr>
      <w:r>
        <w:rPr>
          <w:rFonts w:ascii="Arial" w:cs="Arial" w:eastAsia="Arial" w:hAnsi="Arial"/>
          <w:sz w:val="18"/>
          <w:szCs w:val="18"/>
          <w:color w:val="auto"/>
        </w:rPr>
        <w:t>Exercise price</w:t>
      </w:r>
    </w:p>
    <w:p>
      <w:pPr>
        <w:spacing w:after="0" w:line="225" w:lineRule="exact"/>
        <w:rPr>
          <w:rFonts w:ascii="Arial" w:cs="Arial" w:eastAsia="Arial" w:hAnsi="Arial"/>
          <w:sz w:val="18"/>
          <w:szCs w:val="18"/>
          <w:color w:val="auto"/>
        </w:rPr>
      </w:pPr>
    </w:p>
    <w:p>
      <w:pPr>
        <w:jc w:val="both"/>
        <w:ind w:left="454"/>
        <w:spacing w:after="0" w:line="254" w:lineRule="auto"/>
        <w:rPr>
          <w:rFonts w:ascii="Arial" w:cs="Arial" w:eastAsia="Arial" w:hAnsi="Arial"/>
          <w:sz w:val="18"/>
          <w:szCs w:val="18"/>
          <w:color w:val="auto"/>
        </w:rPr>
      </w:pPr>
      <w:r>
        <w:rPr>
          <w:rFonts w:ascii="Arial" w:cs="Arial" w:eastAsia="Arial" w:hAnsi="Arial"/>
          <w:sz w:val="18"/>
          <w:szCs w:val="18"/>
          <w:color w:val="auto"/>
        </w:rPr>
        <w:t>Upon exercise of the stock options, the exercise price is payable for each share to be subscribed. The exercise price per share shall correspond to the volume-weighted six-month average price of the Company’s share on the day before the issue date or the volume-weighted six-month average price to be converted into amounts per share on the day before the issue date of the right or certificate representing the share in the trading system with the highest total trading volume in shares of the Company or in rights or certificates representing such shares on the ten days preceding the day before the issue period on which this trading system has been open for general stock exchange trading. The minimum exercise price shall be at least equal to the lowest issue price within the meaning of section 9 para. 1 AktG.</w:t>
      </w:r>
    </w:p>
    <w:p>
      <w:pPr>
        <w:spacing w:after="0" w:line="194" w:lineRule="exact"/>
        <w:rPr>
          <w:rFonts w:ascii="Arial" w:cs="Arial" w:eastAsia="Arial" w:hAnsi="Arial"/>
          <w:sz w:val="18"/>
          <w:szCs w:val="18"/>
          <w:color w:val="auto"/>
        </w:rPr>
      </w:pPr>
    </w:p>
    <w:p>
      <w:pPr>
        <w:ind w:left="454" w:hanging="454"/>
        <w:spacing w:after="0"/>
        <w:tabs>
          <w:tab w:leader="none" w:pos="454"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Replacement rights of the Company</w:t>
      </w:r>
    </w:p>
    <w:p>
      <w:pPr>
        <w:spacing w:after="0" w:line="225" w:lineRule="exact"/>
        <w:rPr>
          <w:rFonts w:ascii="Arial" w:cs="Arial" w:eastAsia="Arial" w:hAnsi="Arial"/>
          <w:sz w:val="18"/>
          <w:szCs w:val="18"/>
          <w:color w:val="auto"/>
        </w:rPr>
      </w:pPr>
    </w:p>
    <w:p>
      <w:pPr>
        <w:jc w:val="both"/>
        <w:ind w:left="454"/>
        <w:spacing w:after="0" w:line="270" w:lineRule="auto"/>
        <w:rPr>
          <w:rFonts w:ascii="Arial" w:cs="Arial" w:eastAsia="Arial" w:hAnsi="Arial"/>
          <w:sz w:val="18"/>
          <w:szCs w:val="18"/>
          <w:color w:val="auto"/>
        </w:rPr>
      </w:pPr>
      <w:r>
        <w:rPr>
          <w:rFonts w:ascii="Arial" w:cs="Arial" w:eastAsia="Arial" w:hAnsi="Arial"/>
          <w:sz w:val="17"/>
          <w:szCs w:val="17"/>
          <w:color w:val="auto"/>
        </w:rPr>
        <w:t>The Company may service exercised stock options by issuing new no-par value registered shares from the Conditional Capital 2023 to be created for this purpose in accordance with the following. The Company is also entitled to deliver treasury shares in whole or in part instead of new shares. Furthermore, the Company is entitled, in whole or in part, instead of delivering (new or treasury) shares, to make a cash payment for the value of the shares to be delivered upon exercise of shares less the exercise price. The amount of the cash payment per share to be delivered shall correspond to the closing price of the Company’s share on the last trading day prior to the exercise date in the trading system with the highest total trading volume in shares of the Company or in rights or certificates representing such shares on the last ten days prior to the exercise date on which this trading system has been open for stock exchange trading. The decision as to which alternative shall be chosen by the Company in each individual case shall be made by the Supervisory Board of the Company.</w:t>
      </w:r>
    </w:p>
    <w:p>
      <w:pPr>
        <w:spacing w:after="0" w:line="180" w:lineRule="exact"/>
        <w:rPr>
          <w:rFonts w:ascii="Arial" w:cs="Arial" w:eastAsia="Arial" w:hAnsi="Arial"/>
          <w:sz w:val="18"/>
          <w:szCs w:val="18"/>
          <w:color w:val="auto"/>
        </w:rPr>
      </w:pPr>
    </w:p>
    <w:p>
      <w:pPr>
        <w:ind w:left="454" w:hanging="454"/>
        <w:spacing w:after="0"/>
        <w:tabs>
          <w:tab w:leader="none" w:pos="454" w:val="left"/>
        </w:tabs>
        <w:numPr>
          <w:ilvl w:val="0"/>
          <w:numId w:val="20"/>
        </w:numPr>
        <w:rPr>
          <w:rFonts w:ascii="Arial" w:cs="Arial" w:eastAsia="Arial" w:hAnsi="Arial"/>
          <w:sz w:val="18"/>
          <w:szCs w:val="18"/>
          <w:color w:val="auto"/>
        </w:rPr>
      </w:pPr>
      <w:r>
        <w:rPr>
          <w:rFonts w:ascii="Arial" w:cs="Arial" w:eastAsia="Arial" w:hAnsi="Arial"/>
          <w:sz w:val="18"/>
          <w:szCs w:val="18"/>
          <w:color w:val="auto"/>
        </w:rPr>
        <w:t>Personal right</w:t>
      </w:r>
    </w:p>
    <w:p>
      <w:pPr>
        <w:spacing w:after="0" w:line="225" w:lineRule="exact"/>
        <w:rPr>
          <w:rFonts w:ascii="Arial" w:cs="Arial" w:eastAsia="Arial" w:hAnsi="Arial"/>
          <w:sz w:val="18"/>
          <w:szCs w:val="18"/>
          <w:color w:val="auto"/>
        </w:rPr>
      </w:pPr>
    </w:p>
    <w:p>
      <w:pPr>
        <w:jc w:val="both"/>
        <w:ind w:left="454"/>
        <w:spacing w:after="0" w:line="301" w:lineRule="auto"/>
        <w:rPr>
          <w:rFonts w:ascii="Arial" w:cs="Arial" w:eastAsia="Arial" w:hAnsi="Arial"/>
          <w:sz w:val="18"/>
          <w:szCs w:val="18"/>
          <w:color w:val="auto"/>
        </w:rPr>
      </w:pPr>
      <w:r>
        <w:rPr>
          <w:rFonts w:ascii="Arial" w:cs="Arial" w:eastAsia="Arial" w:hAnsi="Arial"/>
          <w:sz w:val="16"/>
          <w:szCs w:val="16"/>
          <w:color w:val="auto"/>
        </w:rPr>
        <w:t>The stock options are not legally transferable or pledgeable, but they are inheritable to the extent that they are vested. Likewise, a transfer for the fulfillment of legacies is permissible. The stock options may only be exercised by the respective Beneficiary himself or his heirs or legatees. If stock options can no longer be exercised in accordance with the above provision, they shall expire without replacement or compensation. The provision on the authorization to reissue expiring stock options to beneficiaries remains unaffected.</w:t>
      </w:r>
    </w:p>
    <w:p>
      <w:pPr>
        <w:spacing w:after="0" w:line="373" w:lineRule="exact"/>
        <w:rPr>
          <w:sz w:val="20"/>
          <w:szCs w:val="20"/>
          <w:color w:val="auto"/>
        </w:rPr>
      </w:pPr>
    </w:p>
    <w:p>
      <w:pPr>
        <w:ind w:left="4634"/>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-569595</wp:posOffset>
            </wp:positionH>
            <wp:positionV relativeFrom="paragraph">
              <wp:posOffset>14605</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334"/>
          </w:cols>
          <w:pgMar w:left="1226" w:top="557" w:right="339" w:bottom="1440" w:gutter="0" w:footer="0" w:header="0"/>
        </w:sectPr>
      </w:pPr>
    </w:p>
    <w:bookmarkStart w:id="21" w:name="page22"/>
    <w:bookmarkEnd w:id="21"/>
    <w:p>
      <w:pPr>
        <w:jc w:val="both"/>
        <w:ind w:left="454"/>
        <w:spacing w:after="0" w:line="257" w:lineRule="auto"/>
        <w:rPr>
          <w:sz w:val="20"/>
          <w:szCs w:val="20"/>
          <w:color w:val="auto"/>
        </w:rPr>
      </w:pPr>
      <w:r>
        <w:rPr>
          <w:rFonts w:ascii="Arial" w:cs="Arial" w:eastAsia="Arial" w:hAnsi="Arial"/>
          <w:sz w:val="18"/>
          <w:szCs w:val="18"/>
          <w:color w:val="auto"/>
        </w:rPr>
        <w:t>The Terms &amp; Conditions of the stock option program may provide for stock options to be forfeited in whole or in part without replacement or compensation if the employment relationship of beneficiaries ends. Stock options that have lapsed as a result may be reissued. Special arrangements may be made for death, retirement, occupational disability and other special cases of departure, as well as in the event of a change of control and to meet statutory requirements. The decision on special arrangements is the responsibility of the Supervisory Board.</w:t>
      </w:r>
    </w:p>
    <w:p>
      <w:pPr>
        <w:spacing w:after="0" w:line="188" w:lineRule="exact"/>
        <w:rPr>
          <w:sz w:val="20"/>
          <w:szCs w:val="20"/>
          <w:color w:val="auto"/>
        </w:rPr>
      </w:pPr>
    </w:p>
    <w:p>
      <w:pPr>
        <w:ind w:left="454" w:hanging="454"/>
        <w:spacing w:after="0"/>
        <w:tabs>
          <w:tab w:leader="none" w:pos="454"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Anti-dilution</w:t>
      </w:r>
    </w:p>
    <w:p>
      <w:pPr>
        <w:spacing w:after="0" w:line="225" w:lineRule="exact"/>
        <w:rPr>
          <w:rFonts w:ascii="Arial" w:cs="Arial" w:eastAsia="Arial" w:hAnsi="Arial"/>
          <w:sz w:val="18"/>
          <w:szCs w:val="18"/>
          <w:color w:val="auto"/>
        </w:rPr>
      </w:pPr>
    </w:p>
    <w:p>
      <w:pPr>
        <w:jc w:val="both"/>
        <w:ind w:left="454"/>
        <w:spacing w:after="0" w:line="259" w:lineRule="auto"/>
        <w:rPr>
          <w:rFonts w:ascii="Arial" w:cs="Arial" w:eastAsia="Arial" w:hAnsi="Arial"/>
          <w:sz w:val="18"/>
          <w:szCs w:val="18"/>
          <w:color w:val="auto"/>
        </w:rPr>
      </w:pPr>
      <w:r>
        <w:rPr>
          <w:rFonts w:ascii="Arial" w:cs="Arial" w:eastAsia="Arial" w:hAnsi="Arial"/>
          <w:sz w:val="18"/>
          <w:szCs w:val="18"/>
          <w:color w:val="auto"/>
        </w:rPr>
        <w:t>The Terms &amp; Conditions of the stock option program may contain customary anti-dilution clauses, on the basis of which the economic value of the stock options is essentially secured in accordance with the provision in section 216 para. 3 AktG, in particular by taking into account any stock split, capital increases from company funds with the issue of new shares or other measures with comparable effects when determining the number of shares to be issued per stock option.</w:t>
      </w:r>
    </w:p>
    <w:p>
      <w:pPr>
        <w:spacing w:after="0" w:line="186" w:lineRule="exact"/>
        <w:rPr>
          <w:rFonts w:ascii="Arial" w:cs="Arial" w:eastAsia="Arial" w:hAnsi="Arial"/>
          <w:sz w:val="18"/>
          <w:szCs w:val="18"/>
          <w:color w:val="auto"/>
        </w:rPr>
      </w:pPr>
    </w:p>
    <w:p>
      <w:pPr>
        <w:ind w:left="454" w:hanging="454"/>
        <w:spacing w:after="0"/>
        <w:tabs>
          <w:tab w:leader="none" w:pos="454"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Profit share entitlement</w:t>
      </w:r>
    </w:p>
    <w:p>
      <w:pPr>
        <w:spacing w:after="0" w:line="225" w:lineRule="exact"/>
        <w:rPr>
          <w:rFonts w:ascii="Arial" w:cs="Arial" w:eastAsia="Arial" w:hAnsi="Arial"/>
          <w:sz w:val="18"/>
          <w:szCs w:val="18"/>
          <w:color w:val="auto"/>
        </w:rPr>
      </w:pPr>
    </w:p>
    <w:p>
      <w:pPr>
        <w:ind w:left="454"/>
        <w:spacing w:after="0" w:line="308" w:lineRule="auto"/>
        <w:rPr>
          <w:rFonts w:ascii="Arial" w:cs="Arial" w:eastAsia="Arial" w:hAnsi="Arial"/>
          <w:sz w:val="18"/>
          <w:szCs w:val="18"/>
          <w:color w:val="auto"/>
        </w:rPr>
      </w:pPr>
      <w:r>
        <w:rPr>
          <w:rFonts w:ascii="Arial" w:cs="Arial" w:eastAsia="Arial" w:hAnsi="Arial"/>
          <w:sz w:val="17"/>
          <w:szCs w:val="17"/>
          <w:color w:val="auto"/>
        </w:rPr>
        <w:t>The new no-par value registered shares shall carry dividend rights from the beginning of the financial year for which, at the time the subscription right is exercised, no resolution has yet been passed by the general meeting on the appropriation of profits.</w:t>
      </w:r>
    </w:p>
    <w:p>
      <w:pPr>
        <w:spacing w:after="0" w:line="146" w:lineRule="exact"/>
        <w:rPr>
          <w:rFonts w:ascii="Arial" w:cs="Arial" w:eastAsia="Arial" w:hAnsi="Arial"/>
          <w:sz w:val="18"/>
          <w:szCs w:val="18"/>
          <w:color w:val="auto"/>
        </w:rPr>
      </w:pPr>
    </w:p>
    <w:p>
      <w:pPr>
        <w:ind w:left="454" w:hanging="454"/>
        <w:spacing w:after="0"/>
        <w:tabs>
          <w:tab w:leader="none" w:pos="454" w:val="left"/>
        </w:tabs>
        <w:numPr>
          <w:ilvl w:val="0"/>
          <w:numId w:val="21"/>
        </w:numPr>
        <w:rPr>
          <w:rFonts w:ascii="Arial" w:cs="Arial" w:eastAsia="Arial" w:hAnsi="Arial"/>
          <w:sz w:val="18"/>
          <w:szCs w:val="18"/>
          <w:color w:val="auto"/>
        </w:rPr>
      </w:pPr>
      <w:r>
        <w:rPr>
          <w:rFonts w:ascii="Arial" w:cs="Arial" w:eastAsia="Arial" w:hAnsi="Arial"/>
          <w:sz w:val="18"/>
          <w:szCs w:val="18"/>
          <w:color w:val="auto"/>
        </w:rPr>
        <w:t>Authorization to determine further details</w:t>
      </w:r>
    </w:p>
    <w:p>
      <w:pPr>
        <w:spacing w:after="0" w:line="225" w:lineRule="exact"/>
        <w:rPr>
          <w:rFonts w:ascii="Arial" w:cs="Arial" w:eastAsia="Arial" w:hAnsi="Arial"/>
          <w:sz w:val="18"/>
          <w:szCs w:val="18"/>
          <w:color w:val="auto"/>
        </w:rPr>
      </w:pPr>
    </w:p>
    <w:p>
      <w:pPr>
        <w:ind w:left="454"/>
        <w:spacing w:after="0" w:line="308" w:lineRule="auto"/>
        <w:rPr>
          <w:rFonts w:ascii="Arial" w:cs="Arial" w:eastAsia="Arial" w:hAnsi="Arial"/>
          <w:sz w:val="18"/>
          <w:szCs w:val="18"/>
          <w:color w:val="auto"/>
        </w:rPr>
      </w:pPr>
      <w:r>
        <w:rPr>
          <w:rFonts w:ascii="Arial" w:cs="Arial" w:eastAsia="Arial" w:hAnsi="Arial"/>
          <w:sz w:val="17"/>
          <w:szCs w:val="17"/>
          <w:color w:val="auto"/>
        </w:rPr>
        <w:t>The further details of the granting and fulfillment of stock options for the issuance of shares from the Conditional Capital 2023 as well as the further conditions of the stock option program shall be determined by the Supervisory Board of the Company.</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4634"/>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-569595</wp:posOffset>
            </wp:positionH>
            <wp:positionV relativeFrom="paragraph">
              <wp:posOffset>14605</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334"/>
          </w:cols>
          <w:pgMar w:left="1226" w:top="557" w:right="339" w:bottom="1440" w:gutter="0" w:footer="0" w:header="0"/>
        </w:sectPr>
      </w:pPr>
    </w:p>
    <w:bookmarkStart w:id="22" w:name="page23"/>
    <w:bookmarkEnd w:id="22"/>
    <w:p>
      <w:pPr>
        <w:jc w:val="both"/>
        <w:ind w:left="903"/>
        <w:spacing w:after="0" w:line="271" w:lineRule="auto"/>
        <w:rPr>
          <w:sz w:val="20"/>
          <w:szCs w:val="20"/>
          <w:color w:val="auto"/>
        </w:rPr>
      </w:pPr>
      <w:r>
        <w:rPr>
          <w:rFonts w:ascii="Arial" w:cs="Arial" w:eastAsia="Arial" w:hAnsi="Arial"/>
          <w:sz w:val="17"/>
          <w:szCs w:val="17"/>
          <w:color w:val="auto"/>
        </w:rPr>
        <w:t>Further provisions include in particular the decision on the one-time or repeated issuance of tranches to utilize the authorization to grant stock options, as well as provisions on the implementation of the stock option program and the various tranches and the procedure for the allocation and exercise of stock options, the allocation of stock options to individual beneficiaries, the determination of the Issue Date within the respective issue period, and provisions on the exercisability or expiry in special cases, in particular in the event of the departure of beneficiaries from his position as a member of the Management Board, in the event of death or in the event of a change of control, the conclusion of an intercompany agreement or a delisting, for compliance with a maximum compensation for members of the Management Board, for adjustment in the event of extraordinary developments and for the retention or reclaiming of stock options, and for compliance with statutory requirements.</w:t>
      </w:r>
    </w:p>
    <w:p>
      <w:pPr>
        <w:spacing w:after="0" w:line="178" w:lineRule="exact"/>
        <w:rPr>
          <w:sz w:val="20"/>
          <w:szCs w:val="20"/>
          <w:color w:val="auto"/>
        </w:rPr>
      </w:pPr>
    </w:p>
    <w:p>
      <w:pPr>
        <w:ind w:left="903" w:hanging="454"/>
        <w:spacing w:after="0"/>
        <w:tabs>
          <w:tab w:leader="none" w:pos="903" w:val="left"/>
        </w:tabs>
        <w:numPr>
          <w:ilvl w:val="1"/>
          <w:numId w:val="22"/>
        </w:numPr>
        <w:rPr>
          <w:rFonts w:ascii="Arial" w:cs="Arial" w:eastAsia="Arial" w:hAnsi="Arial"/>
          <w:sz w:val="18"/>
          <w:szCs w:val="18"/>
          <w:color w:val="auto"/>
        </w:rPr>
      </w:pPr>
      <w:r>
        <w:rPr>
          <w:rFonts w:ascii="Arial" w:cs="Arial" w:eastAsia="Arial" w:hAnsi="Arial"/>
          <w:sz w:val="18"/>
          <w:szCs w:val="18"/>
          <w:color w:val="auto"/>
        </w:rPr>
        <w:t>Conditional Capital 2023</w:t>
      </w:r>
    </w:p>
    <w:p>
      <w:pPr>
        <w:spacing w:after="0" w:line="225" w:lineRule="exact"/>
        <w:rPr>
          <w:rFonts w:ascii="Arial" w:cs="Arial" w:eastAsia="Arial" w:hAnsi="Arial"/>
          <w:sz w:val="18"/>
          <w:szCs w:val="18"/>
          <w:color w:val="auto"/>
        </w:rPr>
      </w:pPr>
    </w:p>
    <w:p>
      <w:pPr>
        <w:jc w:val="both"/>
        <w:ind w:left="903"/>
        <w:spacing w:after="0" w:line="253" w:lineRule="auto"/>
        <w:rPr>
          <w:rFonts w:ascii="Arial" w:cs="Arial" w:eastAsia="Arial" w:hAnsi="Arial"/>
          <w:sz w:val="18"/>
          <w:szCs w:val="18"/>
          <w:color w:val="auto"/>
        </w:rPr>
      </w:pPr>
      <w:r>
        <w:rPr>
          <w:rFonts w:ascii="Arial" w:cs="Arial" w:eastAsia="Arial" w:hAnsi="Arial"/>
          <w:sz w:val="18"/>
          <w:szCs w:val="18"/>
          <w:color w:val="auto"/>
        </w:rPr>
        <w:t>The share capital of the Company is conditionally increased by up to EUR 197,317.00 by issuing up to 197,317 new no-par value registered shares (Conditional Capital 2023). The conditional capital increase serves exclusively to grant subscription rights to shares (stock options) to members of the Management Board of the Company granted on the basis of the authorization of the Annual General Meeting on August 7, 2023. The shares will be issued at the issue price specified in the above authorization. The conditional capital increase will only be implemented to the extent that subscription rights are exercised and the Company does not grant treasury shares or a cash settlement to fulfill the subscription rights. The new shares shall carry dividend rights from the beginning of the financial year for which, at the time the subscription right is exercised, no resolution of the general meeting on the appropriation of profits has yet been adopted. The Supervisory Board of the Company is authorized to determine the further details of the conditional capital increase and its implementation.</w:t>
      </w:r>
    </w:p>
    <w:p>
      <w:pPr>
        <w:spacing w:after="0" w:line="196" w:lineRule="exact"/>
        <w:rPr>
          <w:rFonts w:ascii="Arial" w:cs="Arial" w:eastAsia="Arial" w:hAnsi="Arial"/>
          <w:sz w:val="18"/>
          <w:szCs w:val="18"/>
          <w:color w:val="auto"/>
        </w:rPr>
      </w:pPr>
    </w:p>
    <w:p>
      <w:pPr>
        <w:ind w:left="443" w:hanging="443"/>
        <w:spacing w:after="0"/>
        <w:tabs>
          <w:tab w:leader="none" w:pos="443" w:val="left"/>
        </w:tabs>
        <w:numPr>
          <w:ilvl w:val="0"/>
          <w:numId w:val="23"/>
        </w:numPr>
        <w:rPr>
          <w:rFonts w:ascii="Arial" w:cs="Arial" w:eastAsia="Arial" w:hAnsi="Arial"/>
          <w:sz w:val="18"/>
          <w:szCs w:val="18"/>
          <w:color w:val="auto"/>
        </w:rPr>
      </w:pPr>
      <w:r>
        <w:rPr>
          <w:rFonts w:ascii="Arial" w:cs="Arial" w:eastAsia="Arial" w:hAnsi="Arial"/>
          <w:sz w:val="18"/>
          <w:szCs w:val="18"/>
          <w:color w:val="auto"/>
        </w:rPr>
        <w:t>Amendment of the Articles of Association</w:t>
      </w:r>
    </w:p>
    <w:p>
      <w:pPr>
        <w:spacing w:after="0" w:line="225" w:lineRule="exact"/>
        <w:rPr>
          <w:sz w:val="20"/>
          <w:szCs w:val="20"/>
          <w:color w:val="auto"/>
        </w:rPr>
      </w:pPr>
    </w:p>
    <w:p>
      <w:pPr>
        <w:ind w:left="3"/>
        <w:spacing w:after="0"/>
        <w:rPr>
          <w:sz w:val="20"/>
          <w:szCs w:val="20"/>
          <w:color w:val="auto"/>
        </w:rPr>
      </w:pPr>
      <w:r>
        <w:rPr>
          <w:rFonts w:ascii="Arial" w:cs="Arial" w:eastAsia="Arial" w:hAnsi="Arial"/>
          <w:sz w:val="18"/>
          <w:szCs w:val="18"/>
          <w:color w:val="auto"/>
        </w:rPr>
        <w:t>The following new paragraph 14 shall be added to section 4 of the Articles of Association:</w:t>
      </w:r>
    </w:p>
    <w:p>
      <w:pPr>
        <w:spacing w:after="0" w:line="225" w:lineRule="exact"/>
        <w:rPr>
          <w:sz w:val="20"/>
          <w:szCs w:val="20"/>
          <w:color w:val="auto"/>
        </w:rPr>
      </w:pPr>
    </w:p>
    <w:p>
      <w:pPr>
        <w:jc w:val="both"/>
        <w:ind w:left="3"/>
        <w:spacing w:after="0" w:line="270" w:lineRule="auto"/>
        <w:rPr>
          <w:sz w:val="20"/>
          <w:szCs w:val="20"/>
          <w:color w:val="auto"/>
        </w:rPr>
      </w:pPr>
      <w:r>
        <w:rPr>
          <w:rFonts w:ascii="Arial" w:cs="Arial" w:eastAsia="Arial" w:hAnsi="Arial"/>
          <w:sz w:val="17"/>
          <w:szCs w:val="17"/>
          <w:i w:val="1"/>
          <w:iCs w:val="1"/>
          <w:color w:val="auto"/>
        </w:rPr>
        <w:t>“(14) The share capital of the Company is conditionally increased by up to EUR 197,317.00 by issuing up to 197,317 new no-par value registered shares (Conditional Capital 2023). The conditional capital increase serves exclusively to grant subscription rights to shares (stock options) to members of the Management Board of the Company granted on the basis of the authorization of the Annual General Meeting on August 7, 2023. The shares will be issued at the issue price specified in the authorization. The conditional capital increase will only be implemented to the extent that subscription rights are exercised and the Company does not grant treasury shares or cash to fulfill the subscription rights. The new shares shall carry dividend rights from the beginning of the financial year for which, at the time the subscription right is exercised, no resolution has yet been passed by the general meeting on the appropriation of profits. The Supervisory Board of the Company is authorized to determine the further details of the conditional capital increase and its implementation. The Supervisory Board is also authorized to amend the wording of the Articles of Association in each case to reflect the issue of subscription shares.”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437"/>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-284480</wp:posOffset>
            </wp:positionH>
            <wp:positionV relativeFrom="paragraph">
              <wp:posOffset>14605</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783"/>
          </w:cols>
          <w:pgMar w:left="777" w:top="557" w:right="339" w:bottom="1440" w:gutter="0" w:footer="0" w:header="0"/>
        </w:sectPr>
      </w:pPr>
    </w:p>
    <w:bookmarkStart w:id="23" w:name="page24"/>
    <w:bookmarkEnd w:id="23"/>
    <w:p>
      <w:pPr>
        <w:jc w:val="both"/>
        <w:ind w:left="443" w:hanging="443"/>
        <w:spacing w:after="0" w:line="273" w:lineRule="auto"/>
        <w:tabs>
          <w:tab w:leader="none" w:pos="443" w:val="left"/>
        </w:tabs>
        <w:numPr>
          <w:ilvl w:val="0"/>
          <w:numId w:val="24"/>
        </w:numPr>
        <w:rPr>
          <w:rFonts w:ascii="Arial" w:cs="Arial" w:eastAsia="Arial" w:hAnsi="Arial"/>
          <w:sz w:val="17"/>
          <w:szCs w:val="17"/>
          <w:color w:val="auto"/>
        </w:rPr>
      </w:pPr>
      <w:r>
        <w:rPr>
          <w:rFonts w:ascii="Arial" w:cs="Arial" w:eastAsia="Arial" w:hAnsi="Arial"/>
          <w:sz w:val="17"/>
          <w:szCs w:val="17"/>
          <w:color w:val="auto"/>
        </w:rPr>
        <w:t>In case the decrease of the Conditional Capital 2019 and the corresponding amendment of the Articles of Association is approved by the Annual General Meeting on August 7, 2023, with the required majority in the form as proposed for resolution, the Management and the chairman of the Supervisory Board are instructed to apply for the registration with the commercial register of the Conditional Capital 2023 and the corresponding amendment to the Articles of Association in such a manner that the registration occurs only after the registration of the decrease of the Conditional Capital 2019 and the corresponding amendment to the articles of association in the form as proposed for resolution under agenda item 12 of the Annual General Meeting on August 7, 2023.</w:t>
      </w:r>
    </w:p>
    <w:p>
      <w:pPr>
        <w:spacing w:after="0" w:line="177" w:lineRule="exact"/>
        <w:rPr>
          <w:rFonts w:ascii="Arial" w:cs="Arial" w:eastAsia="Arial" w:hAnsi="Arial"/>
          <w:sz w:val="17"/>
          <w:szCs w:val="17"/>
          <w:color w:val="auto"/>
        </w:rPr>
      </w:pPr>
    </w:p>
    <w:p>
      <w:pPr>
        <w:jc w:val="both"/>
        <w:ind w:left="443" w:hanging="443"/>
        <w:spacing w:after="0" w:line="263" w:lineRule="auto"/>
        <w:tabs>
          <w:tab w:leader="none" w:pos="443"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 case the decrease of the Conditional Capital 2019 and the corresponding amendment to the Articles of Association are not approved by the Annual General Meeting on August 7, 2023, with the required majority in the form as proposed for resolution, the resolutions proposed under lit. a) and b) shall be adopted as follows:</w:t>
      </w:r>
    </w:p>
    <w:p>
      <w:pPr>
        <w:spacing w:after="0" w:line="399" w:lineRule="exact"/>
        <w:rPr>
          <w:rFonts w:ascii="Arial" w:cs="Arial" w:eastAsia="Arial" w:hAnsi="Arial"/>
          <w:sz w:val="18"/>
          <w:szCs w:val="18"/>
          <w:color w:val="auto"/>
        </w:rPr>
      </w:pPr>
    </w:p>
    <w:p>
      <w:pPr>
        <w:ind w:left="903" w:hanging="454"/>
        <w:spacing w:after="0"/>
        <w:tabs>
          <w:tab w:leader="none" w:pos="903" w:val="left"/>
        </w:tabs>
        <w:numPr>
          <w:ilvl w:val="1"/>
          <w:numId w:val="24"/>
        </w:numPr>
        <w:rPr>
          <w:rFonts w:ascii="Arial" w:cs="Arial" w:eastAsia="Arial" w:hAnsi="Arial"/>
          <w:sz w:val="18"/>
          <w:szCs w:val="18"/>
          <w:color w:val="auto"/>
        </w:rPr>
      </w:pPr>
      <w:r>
        <w:rPr>
          <w:rFonts w:ascii="Arial" w:cs="Arial" w:eastAsia="Arial" w:hAnsi="Arial"/>
          <w:sz w:val="18"/>
          <w:szCs w:val="18"/>
          <w:color w:val="auto"/>
        </w:rPr>
        <w:t>Lit. a) regarding the authorization to issue stock options with subscription rights to shares of the Company:</w:t>
      </w:r>
    </w:p>
    <w:p>
      <w:pPr>
        <w:spacing w:after="0" w:line="225" w:lineRule="exact"/>
        <w:rPr>
          <w:rFonts w:ascii="Arial" w:cs="Arial" w:eastAsia="Arial" w:hAnsi="Arial"/>
          <w:sz w:val="18"/>
          <w:szCs w:val="18"/>
          <w:color w:val="auto"/>
        </w:rPr>
      </w:pPr>
    </w:p>
    <w:p>
      <w:pPr>
        <w:jc w:val="both"/>
        <w:ind w:left="1343" w:hanging="444"/>
        <w:spacing w:after="0" w:line="255" w:lineRule="auto"/>
        <w:tabs>
          <w:tab w:leader="none" w:pos="1343" w:val="left"/>
        </w:tabs>
        <w:numPr>
          <w:ilvl w:val="2"/>
          <w:numId w:val="24"/>
        </w:numPr>
        <w:rPr>
          <w:rFonts w:ascii="Arial" w:cs="Arial" w:eastAsia="Arial" w:hAnsi="Arial"/>
          <w:sz w:val="18"/>
          <w:szCs w:val="18"/>
          <w:color w:val="auto"/>
        </w:rPr>
      </w:pPr>
      <w:r>
        <w:rPr>
          <w:rFonts w:ascii="Arial" w:cs="Arial" w:eastAsia="Arial" w:hAnsi="Arial"/>
          <w:sz w:val="18"/>
          <w:szCs w:val="18"/>
          <w:color w:val="auto"/>
        </w:rPr>
        <w:t>The sentence “</w:t>
      </w:r>
      <w:r>
        <w:rPr>
          <w:rFonts w:ascii="Arial" w:cs="Arial" w:eastAsia="Arial" w:hAnsi="Arial"/>
          <w:sz w:val="18"/>
          <w:szCs w:val="18"/>
          <w:i w:val="1"/>
          <w:iCs w:val="1"/>
          <w:color w:val="auto"/>
        </w:rPr>
        <w:t>The Supervisory Board is authorized to grant subscription rights (stock options) for a total of up to 197.317 no-par</w:t>
      </w:r>
      <w:r>
        <w:rPr>
          <w:rFonts w:ascii="Arial" w:cs="Arial" w:eastAsia="Arial" w:hAnsi="Arial"/>
          <w:sz w:val="18"/>
          <w:szCs w:val="18"/>
          <w:color w:val="auto"/>
        </w:rPr>
        <w:t xml:space="preserve"> </w:t>
      </w:r>
      <w:r>
        <w:rPr>
          <w:rFonts w:ascii="Arial" w:cs="Arial" w:eastAsia="Arial" w:hAnsi="Arial"/>
          <w:sz w:val="18"/>
          <w:szCs w:val="18"/>
          <w:i w:val="1"/>
          <w:iCs w:val="1"/>
          <w:color w:val="auto"/>
        </w:rPr>
        <w:t>value registered shares of the Company to members of the Management Board of the Company (“</w:t>
      </w:r>
      <w:r>
        <w:rPr>
          <w:rFonts w:ascii="Arial" w:cs="Arial" w:eastAsia="Arial" w:hAnsi="Arial"/>
          <w:sz w:val="18"/>
          <w:szCs w:val="18"/>
          <w:b w:val="1"/>
          <w:bCs w:val="1"/>
          <w:i w:val="1"/>
          <w:iCs w:val="1"/>
          <w:color w:val="auto"/>
        </w:rPr>
        <w:t>Beneficiaries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w:t>
      </w:r>
      <w:r>
        <w:rPr>
          <w:rFonts w:ascii="Arial" w:cs="Arial" w:eastAsia="Arial" w:hAnsi="Arial"/>
          <w:sz w:val="18"/>
          <w:szCs w:val="18"/>
          <w:i w:val="1"/>
          <w:iCs w:val="1"/>
          <w:color w:val="auto"/>
        </w:rPr>
        <w:t xml:space="preserve"> on one or more occasions until and including August 6, 2028 (“</w:t>
      </w:r>
      <w:r>
        <w:rPr>
          <w:rFonts w:ascii="Arial" w:cs="Arial" w:eastAsia="Arial" w:hAnsi="Arial"/>
          <w:sz w:val="18"/>
          <w:szCs w:val="18"/>
          <w:b w:val="1"/>
          <w:bCs w:val="1"/>
          <w:i w:val="1"/>
          <w:iCs w:val="1"/>
          <w:color w:val="auto"/>
        </w:rPr>
        <w:t>Authorization Period</w:t>
      </w:r>
      <w:r>
        <w:rPr>
          <w:rFonts w:ascii="Arial" w:cs="Arial" w:eastAsia="Arial" w:hAnsi="Arial"/>
          <w:sz w:val="18"/>
          <w:szCs w:val="18"/>
          <w:i w:val="1"/>
          <w:iCs w:val="1"/>
          <w:color w:val="auto"/>
        </w:rPr>
        <w:t>”).</w:t>
      </w:r>
      <w:r>
        <w:rPr>
          <w:rFonts w:ascii="Arial" w:cs="Arial" w:eastAsia="Arial" w:hAnsi="Arial"/>
          <w:sz w:val="18"/>
          <w:szCs w:val="18"/>
          <w:color w:val="auto"/>
        </w:rPr>
        <w:t>” is replaced by the sentence “</w:t>
      </w:r>
      <w:r>
        <w:rPr>
          <w:rFonts w:ascii="Arial" w:cs="Arial" w:eastAsia="Arial" w:hAnsi="Arial"/>
          <w:sz w:val="18"/>
          <w:szCs w:val="18"/>
          <w:i w:val="1"/>
          <w:iCs w:val="1"/>
          <w:color w:val="auto"/>
        </w:rPr>
        <w:t>The Supervisory Board is authorized to grant subscription rights (stock options) for a total of up to 100,567 no-par value registered shares of the Company to members of the Management Board of the Company (“</w:t>
      </w:r>
      <w:r>
        <w:rPr>
          <w:rFonts w:ascii="Arial" w:cs="Arial" w:eastAsia="Arial" w:hAnsi="Arial"/>
          <w:sz w:val="18"/>
          <w:szCs w:val="18"/>
          <w:b w:val="1"/>
          <w:bCs w:val="1"/>
          <w:i w:val="1"/>
          <w:iCs w:val="1"/>
          <w:color w:val="auto"/>
        </w:rPr>
        <w:t>Beneficiaries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w:t>
      </w:r>
      <w:r>
        <w:rPr>
          <w:rFonts w:ascii="Arial" w:cs="Arial" w:eastAsia="Arial" w:hAnsi="Arial"/>
          <w:sz w:val="18"/>
          <w:szCs w:val="18"/>
          <w:i w:val="1"/>
          <w:iCs w:val="1"/>
          <w:color w:val="auto"/>
        </w:rPr>
        <w:t xml:space="preserve"> on one or more occasions until and including August 6, 2028 (“</w:t>
      </w:r>
      <w:r>
        <w:rPr>
          <w:rFonts w:ascii="Arial" w:cs="Arial" w:eastAsia="Arial" w:hAnsi="Arial"/>
          <w:sz w:val="18"/>
          <w:szCs w:val="18"/>
          <w:b w:val="1"/>
          <w:bCs w:val="1"/>
          <w:i w:val="1"/>
          <w:iCs w:val="1"/>
          <w:color w:val="auto"/>
        </w:rPr>
        <w:t>Authorization Period</w:t>
      </w:r>
      <w:r>
        <w:rPr>
          <w:rFonts w:ascii="Arial" w:cs="Arial" w:eastAsia="Arial" w:hAnsi="Arial"/>
          <w:sz w:val="18"/>
          <w:szCs w:val="18"/>
          <w:i w:val="1"/>
          <w:iCs w:val="1"/>
          <w:color w:val="auto"/>
        </w:rPr>
        <w:t>”).</w:t>
      </w:r>
      <w:r>
        <w:rPr>
          <w:rFonts w:ascii="Arial" w:cs="Arial" w:eastAsia="Arial" w:hAnsi="Arial"/>
          <w:sz w:val="18"/>
          <w:szCs w:val="18"/>
          <w:color w:val="auto"/>
        </w:rPr>
        <w:t>”</w:t>
      </w:r>
    </w:p>
    <w:p>
      <w:pPr>
        <w:spacing w:after="0" w:line="200" w:lineRule="exact"/>
        <w:rPr>
          <w:sz w:val="20"/>
          <w:szCs w:val="20"/>
          <w:color w:val="auto"/>
        </w:rPr>
      </w:pPr>
    </w:p>
    <w:p>
      <w:pPr>
        <w:spacing w:after="0" w:line="208" w:lineRule="exact"/>
        <w:rPr>
          <w:sz w:val="20"/>
          <w:szCs w:val="20"/>
          <w:color w:val="auto"/>
        </w:rPr>
      </w:pPr>
    </w:p>
    <w:p>
      <w:pPr>
        <w:jc w:val="center"/>
        <w:ind w:right="437"/>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-284480</wp:posOffset>
            </wp:positionH>
            <wp:positionV relativeFrom="paragraph">
              <wp:posOffset>14605</wp:posOffset>
            </wp:positionV>
            <wp:extent cx="71323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783"/>
          </w:cols>
          <w:pgMar w:left="777" w:top="557" w:right="339" w:bottom="1440" w:gutter="0" w:footer="0" w:header="0"/>
        </w:sectPr>
      </w:pPr>
    </w:p>
    <w:bookmarkStart w:id="24" w:name="page25"/>
    <w:bookmarkEnd w:id="24"/>
    <w:p>
      <w:pPr>
        <w:jc w:val="both"/>
        <w:ind w:left="900" w:hanging="444"/>
        <w:spacing w:after="0" w:line="271" w:lineRule="auto"/>
        <w:tabs>
          <w:tab w:leader="none" w:pos="900" w:val="left"/>
        </w:tabs>
        <w:numPr>
          <w:ilvl w:val="1"/>
          <w:numId w:val="25"/>
        </w:numPr>
        <w:rPr>
          <w:rFonts w:ascii="Arial" w:cs="Arial" w:eastAsia="Arial" w:hAnsi="Arial"/>
          <w:sz w:val="17"/>
          <w:szCs w:val="17"/>
          <w:color w:val="auto"/>
        </w:rPr>
      </w:pPr>
      <w:r>
        <w:rPr>
          <w:rFonts w:ascii="Arial" w:cs="Arial" w:eastAsia="Arial" w:hAnsi="Arial"/>
          <w:sz w:val="17"/>
          <w:szCs w:val="17"/>
          <w:color w:val="auto"/>
        </w:rPr>
        <w:t>Under (xiii) Conditional Capital 2023, the sentence “</w:t>
      </w:r>
      <w:r>
        <w:rPr>
          <w:rFonts w:ascii="Arial" w:cs="Arial" w:eastAsia="Arial" w:hAnsi="Arial"/>
          <w:sz w:val="17"/>
          <w:szCs w:val="17"/>
          <w:i w:val="1"/>
          <w:iCs w:val="1"/>
          <w:color w:val="auto"/>
        </w:rPr>
        <w:t>The share capital of the Company is conditionally increased by up to EUR</w:t>
      </w:r>
      <w:r>
        <w:rPr>
          <w:rFonts w:ascii="Arial" w:cs="Arial" w:eastAsia="Arial" w:hAnsi="Arial"/>
          <w:sz w:val="17"/>
          <w:szCs w:val="17"/>
          <w:color w:val="auto"/>
        </w:rPr>
        <w:t xml:space="preserve"> </w:t>
      </w:r>
      <w:r>
        <w:rPr>
          <w:rFonts w:ascii="Arial" w:cs="Arial" w:eastAsia="Arial" w:hAnsi="Arial"/>
          <w:sz w:val="17"/>
          <w:szCs w:val="17"/>
          <w:i w:val="1"/>
          <w:iCs w:val="1"/>
          <w:color w:val="auto"/>
        </w:rPr>
        <w:t>197,317.00 by issuing up to 197,317 new no-par value registered shares (Conditional Capital 2023). The conditional capital increase serves exclusively to grant subscription rights to shares (stock options) to members of the Management Board of the Company granted on the basis of the authorization of the Annual General Meeting on August 7, 2023</w:t>
      </w:r>
      <w:r>
        <w:rPr>
          <w:rFonts w:ascii="Arial" w:cs="Arial" w:eastAsia="Arial" w:hAnsi="Arial"/>
          <w:sz w:val="17"/>
          <w:szCs w:val="17"/>
          <w:color w:val="auto"/>
        </w:rPr>
        <w:t>.” is replaced by the sentence</w:t>
      </w:r>
      <w:r>
        <w:rPr>
          <w:rFonts w:ascii="Arial" w:cs="Arial" w:eastAsia="Arial" w:hAnsi="Arial"/>
          <w:sz w:val="17"/>
          <w:szCs w:val="17"/>
          <w:i w:val="1"/>
          <w:iCs w:val="1"/>
          <w:color w:val="auto"/>
        </w:rPr>
        <w:t xml:space="preserve"> </w:t>
      </w:r>
      <w:r>
        <w:rPr>
          <w:rFonts w:ascii="Arial" w:cs="Arial" w:eastAsia="Arial" w:hAnsi="Arial"/>
          <w:sz w:val="17"/>
          <w:szCs w:val="17"/>
          <w:color w:val="auto"/>
        </w:rPr>
        <w:t>“</w:t>
      </w:r>
      <w:r>
        <w:rPr>
          <w:rFonts w:ascii="Arial" w:cs="Arial" w:eastAsia="Arial" w:hAnsi="Arial"/>
          <w:sz w:val="17"/>
          <w:szCs w:val="17"/>
          <w:i w:val="1"/>
          <w:iCs w:val="1"/>
          <w:color w:val="auto"/>
        </w:rPr>
        <w:t>The share capital of the Company is conditionally increased by up to EUR 100,567.00 by issuing up to 100,567 new no-par value</w:t>
      </w:r>
      <w:r>
        <w:rPr>
          <w:rFonts w:ascii="Arial" w:cs="Arial" w:eastAsia="Arial" w:hAnsi="Arial"/>
          <w:sz w:val="17"/>
          <w:szCs w:val="17"/>
          <w:color w:val="auto"/>
        </w:rPr>
        <w:t xml:space="preserve"> </w:t>
      </w:r>
      <w:r>
        <w:rPr>
          <w:rFonts w:ascii="Arial" w:cs="Arial" w:eastAsia="Arial" w:hAnsi="Arial"/>
          <w:sz w:val="17"/>
          <w:szCs w:val="17"/>
          <w:i w:val="1"/>
          <w:iCs w:val="1"/>
          <w:color w:val="auto"/>
        </w:rPr>
        <w:t>registered shares (Conditional Capital 2023). The conditional capital increase serves exclusively to grant subscription rights to shares (stock options) to members of the Management Board of the Company granted on the basis of the authorization of the Annual General Meeting on August 7, 2023.</w:t>
      </w:r>
      <w:r>
        <w:rPr>
          <w:rFonts w:ascii="Arial" w:cs="Arial" w:eastAsia="Arial" w:hAnsi="Arial"/>
          <w:sz w:val="17"/>
          <w:szCs w:val="17"/>
          <w:color w:val="auto"/>
        </w:rPr>
        <w:t>”</w:t>
      </w:r>
    </w:p>
    <w:p>
      <w:pPr>
        <w:spacing w:after="0" w:line="178" w:lineRule="exact"/>
        <w:rPr>
          <w:rFonts w:ascii="Arial" w:cs="Arial" w:eastAsia="Arial" w:hAnsi="Arial"/>
          <w:sz w:val="17"/>
          <w:szCs w:val="17"/>
          <w:color w:val="auto"/>
        </w:rPr>
      </w:pPr>
    </w:p>
    <w:p>
      <w:pPr>
        <w:ind w:left="900" w:hanging="444"/>
        <w:spacing w:after="0"/>
        <w:tabs>
          <w:tab w:leader="none" w:pos="900" w:val="left"/>
        </w:tabs>
        <w:numPr>
          <w:ilvl w:val="1"/>
          <w:numId w:val="25"/>
        </w:numPr>
        <w:rPr>
          <w:rFonts w:ascii="Arial" w:cs="Arial" w:eastAsia="Arial" w:hAnsi="Arial"/>
          <w:sz w:val="18"/>
          <w:szCs w:val="18"/>
          <w:color w:val="auto"/>
        </w:rPr>
      </w:pPr>
      <w:r>
        <w:rPr>
          <w:rFonts w:ascii="Arial" w:cs="Arial" w:eastAsia="Arial" w:hAnsi="Arial"/>
          <w:sz w:val="18"/>
          <w:szCs w:val="18"/>
          <w:color w:val="auto"/>
        </w:rPr>
        <w:t>In all other aspects the authorization under lit. a) remains unaffected.</w:t>
      </w:r>
    </w:p>
    <w:p>
      <w:pPr>
        <w:spacing w:after="0" w:line="225" w:lineRule="exact"/>
        <w:rPr>
          <w:rFonts w:ascii="Arial" w:cs="Arial" w:eastAsia="Arial" w:hAnsi="Arial"/>
          <w:sz w:val="18"/>
          <w:szCs w:val="18"/>
          <w:color w:val="auto"/>
        </w:rPr>
      </w:pPr>
    </w:p>
    <w:p>
      <w:pPr>
        <w:ind w:left="460" w:hanging="454"/>
        <w:spacing w:after="0"/>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Lit. b) regarding the amendment of the articles of association: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new paragraph 14 shall be added to section 4 of the Articles of Association:</w:t>
      </w:r>
    </w:p>
    <w:p>
      <w:pPr>
        <w:spacing w:after="0" w:line="22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i w:val="1"/>
          <w:iCs w:val="1"/>
          <w:color w:val="auto"/>
        </w:rPr>
        <w:t>“(14) The share capital of the Company is conditionally increased by up to EUR 100,567.00 by issuing up to 100,567 new no-par value registered shares (Conditional Capital 2023). The conditional capital increase serves exclusively to grant subscription rights to shares (stock options) to members of the Management Board of the Company granted on the basis of the authorization of the Annual General Meeting on August 7, 2023. The shares will be issued at the issue price specified in the authorization. The conditional capital increase will only be implemented to the extent that subscription rights are exercised and the Company does not grant treasury shares or cash to fulfill the subscription rights. The new shares shall carry dividend rights from the beginning of the financial year for which, at the time the subscription right is exercised, no resolution has yet been passed by the general meeting on the appropriation of profits. The Supervisory Board of the Company is authorized to determine the further details of the conditional capital increase and its implementation. The Supervisory Board is also authorized to amend the wording of the Articles of Association in each case to reflect the issue of subscription shares.”</w:t>
      </w:r>
    </w:p>
    <w:p>
      <w:pPr>
        <w:spacing w:after="0" w:line="200" w:lineRule="exact"/>
        <w:rPr>
          <w:sz w:val="20"/>
          <w:szCs w:val="20"/>
          <w:color w:val="auto"/>
        </w:rPr>
      </w:pPr>
    </w:p>
    <w:p>
      <w:pPr>
        <w:spacing w:after="0" w:line="398"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-565785</wp:posOffset>
            </wp:positionH>
            <wp:positionV relativeFrom="paragraph">
              <wp:posOffset>14605</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340"/>
          </w:cols>
          <w:pgMar w:left="1220" w:top="773" w:right="339" w:bottom="1440" w:gutter="0" w:footer="0" w:header="0"/>
        </w:sectPr>
      </w:pPr>
    </w:p>
    <w:bookmarkStart w:id="25" w:name="page26"/>
    <w:bookmarkEnd w:id="25"/>
    <w:p>
      <w:pPr>
        <w:jc w:val="center"/>
        <w:spacing w:after="0"/>
        <w:rPr>
          <w:sz w:val="20"/>
          <w:szCs w:val="20"/>
          <w:color w:val="auto"/>
        </w:rPr>
      </w:pPr>
      <w:r>
        <w:rPr>
          <w:rFonts w:ascii="Arial" w:cs="Arial" w:eastAsia="Arial" w:hAnsi="Arial"/>
          <w:sz w:val="18"/>
          <w:szCs w:val="18"/>
          <w:b w:val="1"/>
          <w:bCs w:val="1"/>
          <w:color w:val="auto"/>
        </w:rPr>
        <w:t>II. Remuneration report for the financial year 2022</w:t>
      </w:r>
    </w:p>
    <w:p>
      <w:pPr>
        <w:spacing w:after="0" w:line="22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following remuneration report clearly and comprehensibly presents and explains the remuneration awarded and due to the current and former members of the Management Board and Supervisory Board of Mynaric AG (hereinafter also the “Company ”) in the financial year 2022.</w:t>
      </w:r>
    </w:p>
    <w:p>
      <w:pPr>
        <w:spacing w:after="0" w:line="142" w:lineRule="exact"/>
        <w:rPr>
          <w:sz w:val="20"/>
          <w:szCs w:val="20"/>
          <w:color w:val="auto"/>
        </w:rPr>
      </w:pPr>
    </w:p>
    <w:p>
      <w:pPr>
        <w:jc w:val="both"/>
        <w:spacing w:after="0" w:line="347" w:lineRule="auto"/>
        <w:rPr>
          <w:sz w:val="20"/>
          <w:szCs w:val="20"/>
          <w:color w:val="auto"/>
        </w:rPr>
      </w:pPr>
      <w:r>
        <w:rPr>
          <w:rFonts w:ascii="Arial" w:cs="Arial" w:eastAsia="Arial" w:hAnsi="Arial"/>
          <w:sz w:val="16"/>
          <w:szCs w:val="16"/>
          <w:color w:val="auto"/>
        </w:rPr>
        <w:t>Beyond the requirements of section 162 para. 3 sentence 1 and sentence 2 of the German Stock Corporation Act (</w:t>
      </w:r>
      <w:r>
        <w:rPr>
          <w:rFonts w:ascii="Arial" w:cs="Arial" w:eastAsia="Arial" w:hAnsi="Arial"/>
          <w:sz w:val="16"/>
          <w:szCs w:val="16"/>
          <w:i w:val="1"/>
          <w:iCs w:val="1"/>
          <w:color w:val="auto"/>
        </w:rPr>
        <w:t>Aktiengesetz, “</w:t>
      </w:r>
      <w:r>
        <w:rPr>
          <w:rFonts w:ascii="Arial" w:cs="Arial" w:eastAsia="Arial" w:hAnsi="Arial"/>
          <w:sz w:val="16"/>
          <w:szCs w:val="16"/>
          <w:b w:val="1"/>
          <w:bCs w:val="1"/>
          <w:color w:val="auto"/>
        </w:rPr>
        <w:t>AktG</w:t>
      </w:r>
      <w:r>
        <w:rPr>
          <w:rFonts w:ascii="Arial" w:cs="Arial" w:eastAsia="Arial" w:hAnsi="Arial"/>
          <w:sz w:val="16"/>
          <w:szCs w:val="16"/>
          <w:color w:val="auto"/>
        </w:rPr>
        <w:t>”), the Management Board and Supervisory Board have decided to have the remuneration report audited not only formally but also materially by the appointed auditor.</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Overview on the financial year 2022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Economic environment in the financial year 2022</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Mynaric achieved important milestones in 2022, including winning multiple significant orders for CONDOR Mk3 optical communications terminals in the government market, as well as being selected by the European Space Agency (ESA) and the U.S. Defense Advanced Research Projects Agency (DARPA) for trailblazing technology development programs and shipping HAWK terminals for a novel application of a U.S.-based energy customer. In addition to these operational milestones, Mynaric secured a strategic investment by L3Harris.</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February, Mynaric announced that is has been awarded a contract by the European Space Agency (ESA) to analyze, design, build and test on a laboratory model an end-to-end optical communication system that can achieve data transmission speeds of 1 Terabit per second (Tbps). The project, named Pegasus, is allocated within ESA’s ScyLight program which supports the research, development, and evolution of optical communication technologies, and provides flight opportunities for in-orbit verification.</w:t>
      </w:r>
    </w:p>
    <w:p>
      <w:pPr>
        <w:spacing w:after="0" w:line="18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March, Mynaric was selected by Northrop Grumman to deliver CONDOR Mk3 optical communication terminals within the framework of a milestone U.S. government program. Northrop Grumman was selected by the Space Development Agency (SDA) to provide 42 satellites for the Tranche 1 Transport Layer program that will serve critical needs of the U.S. Proliferated Warfighter Space Architecture (PWSA), that was formerly named the National Defense Space Architecture (NDSA). The agreement has an initial value of $36 million and provides for performance-based payment milestones throughout 2022, 2023 and 2024 and product deliveries mostly in 2023 and 2024. Any milestone payments under the SDA order will count towards the $35 million revenue opportunity under Mynaric’s strategic agreement with Northrop Grumman announced in November 2021, subject to such milestone payments actually being made. The agreement marks the largest order for optical communications terminals placed with Mynaric specifically and announced in the government market generally to date confirming the trajectory of the industry to procure and deploy industrialized laser communications systems at rapidly increasing scale.</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26" w:name="page27"/>
    <w:bookmarkEnd w:id="26"/>
    <w:p>
      <w:pPr>
        <w:jc w:val="both"/>
        <w:spacing w:after="0" w:line="257" w:lineRule="auto"/>
        <w:rPr>
          <w:sz w:val="20"/>
          <w:szCs w:val="20"/>
          <w:color w:val="auto"/>
        </w:rPr>
      </w:pPr>
      <w:r>
        <w:rPr>
          <w:rFonts w:ascii="Arial" w:cs="Arial" w:eastAsia="Arial" w:hAnsi="Arial"/>
          <w:sz w:val="18"/>
          <w:szCs w:val="18"/>
          <w:color w:val="auto"/>
        </w:rPr>
        <w:t>In July, Mynaric and L3Harris signed agreements related to an €11.2 million investment in Mynaric by L3Harris and to future collaboration. Upon the execution of this investment, L3Harris owns approximately 7.2% of Mynaric ordinary shares. Under the framework of this investment, Mynaric will serve as preferred provider of laser communication solutions to L3Harris and L3Harris will be granted certain collaboration privileges. With the strategic framework, the companies seek to build on their existing collaboration in the airborne domain and widen the scope to cover all domains to include space, maritime and ground along with airborne.</w:t>
      </w:r>
    </w:p>
    <w:p>
      <w:pPr>
        <w:spacing w:after="0" w:line="188"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August, Mynaric announced that it was selected as a key development partner to create a benchtop model of a next-generation optical communications terminal as part of Phase 1 of the Space-based adaptive communications node (Space-BACN) program of the Defense Advanced Research Projects Agency (DARPA). DARPA’s Space-BACN program envisions a low-cost, scalable optical communications terminal that could be reconfigured to work with various optical intersatellite link standards allowing seamless communication among government and private-sector proprietary satellites. The announcement follows the selection of Mynaric to participate in the Space-BACN program’s Phase 0 at the end of 2021 and represents Mynaric’s continued success with U.S. government customers that are a driving force for the deployment of space-based, optical communication capabilities.</w:t>
      </w:r>
    </w:p>
    <w:p>
      <w:pPr>
        <w:spacing w:after="0" w:line="16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October, Mynaric announced that it will provide Northrop Grumman with 42 CONDOR Mk3 optical communications terminals for satellites as part of the Space Development Agency’s (SDA) Tranche 1 Tracking Layer program with product deliveries expected mostly in 2024. The Tranche 1 Tracking Layer will detect, identify, and track hypersonic weapons and other advanced missiles from their earliest stages of launch through interception. Once fully deployed in 2025, the Tranche 1 Tracking Layer satellites will operate in up to four low-Earth orbital planes, interconnected with Tranche 1 Transport Layer satellites.</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November, Mynaric announced the delivery of a set of multiple HAWK optical communications terminals for an initial test campaign to a new commercial U.S.-based energy customer. The terminals are intended to be utilized in disaster recovery missions where satellite or terrestrial communications infrastructure has been compromised.</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1.2. Changes in the composition of the Management Board and the Supervisory Board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 the financial year 2022, the following changes occurred in the composition of the Management Board:</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appointment of Management Board member and chairman of the Management Board Bulent Altan was extended until the end of March 31, 2025. In addition, the members of the Management Board Stefan Berndt-von Bülow and Joachim Horwath were reappointed as members of the Management Board for a period of three years with effect from July 1, 2022, with simultaneous termination of their current appointments. Furthermore, Mustafa Veziroglu was appointed as a member of the Management Board for a period of three years with effect from August 15, 2022.</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changes occurred in the composition of the Supervisory Board in the financial year 2022:</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At the end of the Annual General Meeting 2022, the term of office of Supervisory Board members Vincent Wobbe and Hans Königsmann, who were appointed by court order to replace the Supervisory Board members Thomas Hanke and Gerd Gruppe who left the Supervisory Board in the financial year 2021, ended. The Annual General Meeting 2022 appointed Vincent Wobbe and Hans Königsmann as members of the Supervisory Board for the remaining term of office of Thomas Hanke and Gerd Gruppe, i.e., until the end of the Annual General Meeting 2023.</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Resolution on the remuneration report for the financial year 2021</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the financial year 2021, a remuneration report was prepared for the first time in accordance with section 162 AktG and its content was also audited by the auditor beyond the requirements of section 162 para. 3 sentence 1 AktG. The remuneration report for the financial year 2021 was approved by the Annual General Meeting 2022 with a majority of 93.22%. In view of the high level of approval for the remuneration report for the financial year 2021, there was no reason to change the reporting.</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28" w:name="page29"/>
    <w:bookmarkEnd w:id="28"/>
    <w:p>
      <w:pPr>
        <w:ind w:left="180" w:hanging="172"/>
        <w:spacing w:after="0"/>
        <w:tabs>
          <w:tab w:leader="none" w:pos="180"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Remuneration of the members of the Management Board of Mynaric AG</w:t>
      </w:r>
    </w:p>
    <w:p>
      <w:pPr>
        <w:spacing w:after="0" w:line="225" w:lineRule="exact"/>
        <w:rPr>
          <w:rFonts w:ascii="Arial" w:cs="Arial" w:eastAsia="Arial" w:hAnsi="Arial"/>
          <w:sz w:val="18"/>
          <w:szCs w:val="18"/>
          <w:b w:val="1"/>
          <w:bCs w:val="1"/>
          <w:color w:val="auto"/>
        </w:rPr>
      </w:pPr>
    </w:p>
    <w:p>
      <w:pPr>
        <w:ind w:left="320" w:hanging="312"/>
        <w:spacing w:after="0"/>
        <w:tabs>
          <w:tab w:leader="none" w:pos="32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Overview of the remuneration system</w:t>
      </w:r>
    </w:p>
    <w:p>
      <w:pPr>
        <w:spacing w:after="0" w:line="22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The current remuneration system for the members of the Management Board of Mynaric AG (the “</w:t>
      </w:r>
      <w:r>
        <w:rPr>
          <w:rFonts w:ascii="Arial" w:cs="Arial" w:eastAsia="Arial" w:hAnsi="Arial"/>
          <w:sz w:val="18"/>
          <w:szCs w:val="18"/>
          <w:b w:val="1"/>
          <w:bCs w:val="1"/>
          <w:color w:val="auto"/>
        </w:rPr>
        <w:t>Remuneration System 2022</w:t>
      </w:r>
      <w:r>
        <w:rPr>
          <w:rFonts w:ascii="Arial" w:cs="Arial" w:eastAsia="Arial" w:hAnsi="Arial"/>
          <w:sz w:val="18"/>
          <w:szCs w:val="18"/>
          <w:color w:val="auto"/>
        </w:rPr>
        <w:t>”) was approved by the Annual General Meeting 2022 with a majority of 67.83%.</w:t>
      </w:r>
    </w:p>
    <w:p>
      <w:pPr>
        <w:spacing w:after="0" w:line="166"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remuneration of the members of the Management Board comprises fixed, non-performance-related and variable, performance-related remuneration components. The fixed remuneration comprises a fixed base salary and fringe benefits, the amount of which may vary depending on the occasion and the Management Board member. The variable remuneration consists of a short-term variable remuneration component, the annual bonus, and a long-term variable remuneration component in the form of a stock option plan and a virtual stock program, so-called stock appreciation rights. However, the Supervisory Board has not made use of the option to issue stock appreciation rights to date.</w:t>
      </w:r>
    </w:p>
    <w:p>
      <w:pPr>
        <w:spacing w:after="0" w:line="176"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In addition, payments may be granted in exceptional cases in connection with the first-time appointment of a member of the Management Board. In addition, the Remuneration System 2022 provides for the possibility of the Supervisory Board to grant members of the Management Board a bonus of 1% of the investment amount, up to a maximum of €1 million per investment (cap), in the event of an investment in the Company by a strategic investor.</w:t>
      </w:r>
    </w:p>
    <w:p>
      <w:pPr>
        <w:spacing w:after="0" w:line="14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amount of remuneration paid to the members of the Management Board depends to a large extent on the area of responsibility of the Management Board member, the individual performance and the performance of the Management Board as a whole. In the opinion of the Supervisory Board, it takes into account the economic and financial success of Mynaric AG, is intended to provide an incentive for long-term and sustainable corporate governance and links the interests of the Management Board members with those of the Company’s shareholders.</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the financial year 2022, the Remuneration System 2022 only applied to the newly concluded service agreement of Management Board member Mustafa Veziroglu. The Remuneration System 2022 does not apply to the service agreement of Bulent Altan, which was extended in the financial year 2022, or to the newly concluded service agreements of Stefan Berndt-von Bülow and Joachim Horwath. However, the Company has already implemented the main principles of the Remuneration System 2022 in the service agreements of Bulent Altan, Stefan Berndt-von Bülow and Joachim Horwath and, in particular, has also set a maximum remuneration for Stefan Berndt-von Bülow and Joachim Horwath that corresponds to the maximum remuneration as defined in the Remuneration System 2022.</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29" w:name="page30"/>
    <w:bookmarkEnd w:id="29"/>
    <w:p>
      <w:pPr>
        <w:spacing w:after="0" w:line="277" w:lineRule="auto"/>
        <w:rPr>
          <w:sz w:val="20"/>
          <w:szCs w:val="20"/>
          <w:color w:val="auto"/>
        </w:rPr>
      </w:pPr>
      <w:r>
        <w:rPr>
          <w:rFonts w:ascii="Arial" w:cs="Arial" w:eastAsia="Arial" w:hAnsi="Arial"/>
          <w:sz w:val="18"/>
          <w:szCs w:val="18"/>
          <w:color w:val="auto"/>
        </w:rPr>
        <w:t>Insofar as the Remuneration System 2022 applied in the financial year 2022, there were no deviations from it within the meaning of section 162 para. 1 sentence 5 AktG.</w:t>
      </w:r>
    </w:p>
    <w:p>
      <w:pPr>
        <w:spacing w:after="0" w:line="165" w:lineRule="exact"/>
        <w:rPr>
          <w:sz w:val="20"/>
          <w:szCs w:val="20"/>
          <w:color w:val="auto"/>
        </w:rPr>
      </w:pPr>
    </w:p>
    <w:tbl>
      <w:tblPr>
        <w:tblLayout w:type="fixed"/>
        <w:tblInd w:w="10" w:type="dxa"/>
        <w:tblCellMar>
          <w:top w:w="0" w:type="dxa"/>
          <w:left w:w="0" w:type="dxa"/>
          <w:bottom w:w="0" w:type="dxa"/>
          <w:right w:w="0" w:type="dxa"/>
        </w:tblCellMar>
      </w:tblPr>
      <w:tr>
        <w:trPr>
          <w:trHeight w:val="310"/>
        </w:trPr>
        <w:tc>
          <w:tcPr>
            <w:tcW w:w="1380" w:type="dxa"/>
            <w:vAlign w:val="bottom"/>
            <w:tcBorders>
              <w:top w:val="single" w:sz="8" w:color="auto"/>
              <w:left w:val="single" w:sz="8" w:color="auto"/>
              <w:bottom w:val="single" w:sz="8" w:color="E36C0A"/>
              <w:right w:val="single" w:sz="8" w:color="auto"/>
            </w:tcBorders>
            <w:shd w:val="clear" w:color="auto" w:fill="E36C0A"/>
          </w:tcPr>
          <w:p>
            <w:pPr>
              <w:ind w:left="100"/>
              <w:spacing w:after="0"/>
              <w:rPr>
                <w:sz w:val="20"/>
                <w:szCs w:val="20"/>
                <w:color w:val="auto"/>
              </w:rPr>
            </w:pPr>
            <w:r>
              <w:rPr>
                <w:rFonts w:ascii="Arial" w:cs="Arial" w:eastAsia="Arial" w:hAnsi="Arial"/>
                <w:sz w:val="18"/>
                <w:szCs w:val="18"/>
                <w:b w:val="1"/>
                <w:bCs w:val="1"/>
                <w:color w:val="auto"/>
              </w:rPr>
              <w:t>Fixed</w:t>
            </w:r>
          </w:p>
        </w:tc>
        <w:tc>
          <w:tcPr>
            <w:tcW w:w="1340" w:type="dxa"/>
            <w:vAlign w:val="bottom"/>
            <w:tcBorders>
              <w:top w:val="single" w:sz="8" w:color="auto"/>
              <w:bottom w:val="single" w:sz="8" w:color="BFBFBF"/>
              <w:right w:val="single" w:sz="8" w:color="auto"/>
            </w:tcBorders>
            <w:shd w:val="clear" w:color="auto" w:fill="BFBFBF"/>
          </w:tcPr>
          <w:p>
            <w:pPr>
              <w:ind w:left="20"/>
              <w:spacing w:after="0"/>
              <w:rPr>
                <w:sz w:val="20"/>
                <w:szCs w:val="20"/>
                <w:color w:val="auto"/>
              </w:rPr>
            </w:pPr>
            <w:r>
              <w:rPr>
                <w:rFonts w:ascii="Arial" w:cs="Arial" w:eastAsia="Arial" w:hAnsi="Arial"/>
                <w:sz w:val="18"/>
                <w:szCs w:val="18"/>
                <w:b w:val="1"/>
                <w:bCs w:val="1"/>
                <w:color w:val="auto"/>
              </w:rPr>
              <w:t>Base salary</w:t>
            </w:r>
          </w:p>
        </w:tc>
        <w:tc>
          <w:tcPr>
            <w:tcW w:w="2700" w:type="dxa"/>
            <w:vAlign w:val="bottom"/>
            <w:tcBorders>
              <w:top w:val="single" w:sz="8" w:color="auto"/>
            </w:tcBorders>
            <w:gridSpan w:val="2"/>
          </w:tcPr>
          <w:p>
            <w:pPr>
              <w:ind w:left="40"/>
              <w:spacing w:after="0"/>
              <w:rPr>
                <w:sz w:val="20"/>
                <w:szCs w:val="20"/>
                <w:color w:val="auto"/>
              </w:rPr>
            </w:pPr>
            <w:r>
              <w:rPr>
                <w:rFonts w:ascii="Arial" w:cs="Arial" w:eastAsia="Arial" w:hAnsi="Arial"/>
                <w:sz w:val="18"/>
                <w:szCs w:val="18"/>
                <w:color w:val="auto"/>
              </w:rPr>
              <w:t>Fixed annual base salary</w:t>
            </w:r>
          </w:p>
        </w:tc>
        <w:tc>
          <w:tcPr>
            <w:tcW w:w="10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488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1380" w:type="dxa"/>
            <w:vAlign w:val="bottom"/>
            <w:tcBorders>
              <w:top w:val="single" w:sz="8" w:color="E36C0A"/>
              <w:left w:val="single" w:sz="8" w:color="auto"/>
              <w:right w:val="single" w:sz="8" w:color="auto"/>
            </w:tcBorders>
            <w:shd w:val="clear" w:color="auto" w:fill="E36C0A"/>
          </w:tcPr>
          <w:p>
            <w:pPr>
              <w:ind w:left="60"/>
              <w:spacing w:after="0" w:line="156" w:lineRule="exact"/>
              <w:rPr>
                <w:sz w:val="20"/>
                <w:szCs w:val="20"/>
                <w:color w:val="auto"/>
              </w:rPr>
            </w:pPr>
            <w:r>
              <w:rPr>
                <w:rFonts w:ascii="Arial" w:cs="Arial" w:eastAsia="Arial" w:hAnsi="Arial"/>
                <w:sz w:val="18"/>
                <w:szCs w:val="18"/>
                <w:b w:val="1"/>
                <w:bCs w:val="1"/>
                <w:color w:val="auto"/>
              </w:rPr>
              <w:t>remuneration</w:t>
            </w:r>
          </w:p>
        </w:tc>
        <w:tc>
          <w:tcPr>
            <w:tcW w:w="1340" w:type="dxa"/>
            <w:vAlign w:val="bottom"/>
            <w:tcBorders>
              <w:top w:val="single" w:sz="8" w:color="auto"/>
              <w:right w:val="single" w:sz="8" w:color="auto"/>
            </w:tcBorders>
            <w:vMerge w:val="restart"/>
            <w:shd w:val="clear" w:color="auto" w:fill="BFBFBF"/>
          </w:tcPr>
          <w:p>
            <w:pPr>
              <w:ind w:left="20"/>
              <w:spacing w:after="0"/>
              <w:rPr>
                <w:sz w:val="20"/>
                <w:szCs w:val="20"/>
                <w:color w:val="auto"/>
              </w:rPr>
            </w:pPr>
            <w:r>
              <w:rPr>
                <w:rFonts w:ascii="Arial" w:cs="Arial" w:eastAsia="Arial" w:hAnsi="Arial"/>
                <w:sz w:val="18"/>
                <w:szCs w:val="18"/>
                <w:b w:val="1"/>
                <w:bCs w:val="1"/>
                <w:color w:val="auto"/>
                <w:w w:val="99"/>
              </w:rPr>
              <w:t>Fringe benefits</w:t>
            </w:r>
          </w:p>
        </w:tc>
        <w:tc>
          <w:tcPr>
            <w:tcW w:w="8520" w:type="dxa"/>
            <w:vAlign w:val="bottom"/>
            <w:tcBorders>
              <w:top w:val="single" w:sz="8" w:color="auto"/>
            </w:tcBorders>
            <w:gridSpan w:val="5"/>
            <w:vMerge w:val="restart"/>
          </w:tcPr>
          <w:p>
            <w:pPr>
              <w:ind w:left="40"/>
              <w:spacing w:after="0"/>
              <w:rPr>
                <w:sz w:val="20"/>
                <w:szCs w:val="20"/>
                <w:color w:val="auto"/>
              </w:rPr>
            </w:pPr>
            <w:r>
              <w:rPr>
                <w:rFonts w:ascii="Arial" w:cs="Arial" w:eastAsia="Arial" w:hAnsi="Arial"/>
                <w:sz w:val="18"/>
                <w:szCs w:val="18"/>
                <w:color w:val="auto"/>
              </w:rPr>
              <w:t>E.g., subsidies for health and long-term care insurance, relocation costs, double householding</w:t>
            </w:r>
          </w:p>
        </w:tc>
        <w:tc>
          <w:tcPr>
            <w:tcW w:w="0" w:type="dxa"/>
            <w:vAlign w:val="bottom"/>
          </w:tcPr>
          <w:p>
            <w:pPr>
              <w:spacing w:after="0"/>
              <w:rPr>
                <w:sz w:val="1"/>
                <w:szCs w:val="1"/>
                <w:color w:val="auto"/>
              </w:rPr>
            </w:pPr>
          </w:p>
        </w:tc>
      </w:tr>
      <w:tr>
        <w:trPr>
          <w:trHeight w:val="135"/>
        </w:trPr>
        <w:tc>
          <w:tcPr>
            <w:tcW w:w="1380" w:type="dxa"/>
            <w:vAlign w:val="bottom"/>
            <w:tcBorders>
              <w:left w:val="single" w:sz="8" w:color="auto"/>
              <w:bottom w:val="single" w:sz="8" w:color="E36C0A"/>
              <w:right w:val="single" w:sz="8" w:color="auto"/>
            </w:tcBorders>
            <w:shd w:val="clear" w:color="auto" w:fill="E36C0A"/>
          </w:tcPr>
          <w:p>
            <w:pPr>
              <w:spacing w:after="0"/>
              <w:rPr>
                <w:sz w:val="11"/>
                <w:szCs w:val="11"/>
                <w:color w:val="auto"/>
              </w:rPr>
            </w:pPr>
          </w:p>
        </w:tc>
        <w:tc>
          <w:tcPr>
            <w:tcW w:w="1340" w:type="dxa"/>
            <w:vAlign w:val="bottom"/>
            <w:tcBorders>
              <w:bottom w:val="single" w:sz="8" w:color="BFBFBF"/>
              <w:right w:val="single" w:sz="8" w:color="auto"/>
            </w:tcBorders>
            <w:vMerge w:val="continue"/>
            <w:shd w:val="clear" w:color="auto" w:fill="BFBFBF"/>
          </w:tcPr>
          <w:p>
            <w:pPr>
              <w:spacing w:after="0"/>
              <w:rPr>
                <w:sz w:val="11"/>
                <w:szCs w:val="11"/>
                <w:color w:val="auto"/>
              </w:rPr>
            </w:pPr>
          </w:p>
        </w:tc>
        <w:tc>
          <w:tcPr>
            <w:tcW w:w="8520" w:type="dxa"/>
            <w:vAlign w:val="bottom"/>
            <w:gridSpan w:val="5"/>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32"/>
        </w:trPr>
        <w:tc>
          <w:tcPr>
            <w:tcW w:w="1380" w:type="dxa"/>
            <w:vAlign w:val="bottom"/>
            <w:tcBorders>
              <w:top w:val="single" w:sz="8" w:color="E36C0A"/>
              <w:left w:val="single" w:sz="8" w:color="auto"/>
              <w:right w:val="single" w:sz="8" w:color="auto"/>
            </w:tcBorders>
            <w:shd w:val="clear" w:color="auto" w:fill="E36C0A"/>
          </w:tcPr>
          <w:p>
            <w:pPr>
              <w:spacing w:after="0"/>
              <w:rPr>
                <w:sz w:val="20"/>
                <w:szCs w:val="20"/>
                <w:color w:val="auto"/>
              </w:rPr>
            </w:pPr>
          </w:p>
        </w:tc>
        <w:tc>
          <w:tcPr>
            <w:tcW w:w="1340" w:type="dxa"/>
            <w:vAlign w:val="bottom"/>
            <w:tcBorders>
              <w:top w:val="single" w:sz="8" w:color="auto"/>
              <w:right w:val="single" w:sz="8" w:color="auto"/>
            </w:tcBorders>
            <w:shd w:val="clear" w:color="auto" w:fill="BFBFBF"/>
          </w:tcPr>
          <w:p>
            <w:pPr>
              <w:ind w:left="20"/>
              <w:spacing w:after="0"/>
              <w:rPr>
                <w:sz w:val="20"/>
                <w:szCs w:val="20"/>
                <w:color w:val="auto"/>
              </w:rPr>
            </w:pPr>
            <w:r>
              <w:rPr>
                <w:rFonts w:ascii="Arial" w:cs="Arial" w:eastAsia="Arial" w:hAnsi="Arial"/>
                <w:sz w:val="18"/>
                <w:szCs w:val="18"/>
                <w:b w:val="1"/>
                <w:bCs w:val="1"/>
                <w:color w:val="auto"/>
              </w:rPr>
              <w:t>Further</w:t>
            </w:r>
          </w:p>
        </w:tc>
        <w:tc>
          <w:tcPr>
            <w:tcW w:w="8520" w:type="dxa"/>
            <w:vAlign w:val="bottom"/>
            <w:tcBorders>
              <w:top w:val="single" w:sz="8" w:color="auto"/>
            </w:tcBorders>
            <w:gridSpan w:val="5"/>
          </w:tcPr>
          <w:p>
            <w:pPr>
              <w:ind w:left="40"/>
              <w:spacing w:after="0"/>
              <w:rPr>
                <w:sz w:val="20"/>
                <w:szCs w:val="20"/>
                <w:color w:val="auto"/>
              </w:rPr>
            </w:pPr>
            <w:r>
              <w:rPr>
                <w:rFonts w:ascii="Arial" w:cs="Arial" w:eastAsia="Arial" w:hAnsi="Arial"/>
                <w:sz w:val="18"/>
                <w:szCs w:val="18"/>
                <w:color w:val="auto"/>
              </w:rPr>
              <w:t>In exceptional cases, payments in connection with appointment as a member of the Management Board</w:t>
            </w:r>
          </w:p>
        </w:tc>
        <w:tc>
          <w:tcPr>
            <w:tcW w:w="0" w:type="dxa"/>
            <w:vAlign w:val="bottom"/>
          </w:tcPr>
          <w:p>
            <w:pPr>
              <w:spacing w:after="0"/>
              <w:rPr>
                <w:sz w:val="1"/>
                <w:szCs w:val="1"/>
                <w:color w:val="auto"/>
              </w:rPr>
            </w:pPr>
          </w:p>
        </w:tc>
      </w:tr>
      <w:tr>
        <w:trPr>
          <w:trHeight w:val="275"/>
        </w:trPr>
        <w:tc>
          <w:tcPr>
            <w:tcW w:w="1380" w:type="dxa"/>
            <w:vAlign w:val="bottom"/>
            <w:tcBorders>
              <w:left w:val="single" w:sz="8" w:color="auto"/>
              <w:bottom w:val="single" w:sz="8" w:color="E36C0A"/>
              <w:right w:val="single" w:sz="8" w:color="auto"/>
            </w:tcBorders>
            <w:shd w:val="clear" w:color="auto" w:fill="E36C0A"/>
          </w:tcPr>
          <w:p>
            <w:pPr>
              <w:spacing w:after="0"/>
              <w:rPr>
                <w:sz w:val="23"/>
                <w:szCs w:val="23"/>
                <w:color w:val="auto"/>
              </w:rPr>
            </w:pPr>
          </w:p>
        </w:tc>
        <w:tc>
          <w:tcPr>
            <w:tcW w:w="1340" w:type="dxa"/>
            <w:vAlign w:val="bottom"/>
            <w:tcBorders>
              <w:bottom w:val="single" w:sz="8" w:color="BFBFBF"/>
              <w:right w:val="single" w:sz="8" w:color="auto"/>
            </w:tcBorders>
            <w:shd w:val="clear" w:color="auto" w:fill="BFBFBF"/>
          </w:tcPr>
          <w:p>
            <w:pPr>
              <w:ind w:left="20"/>
              <w:spacing w:after="0"/>
              <w:rPr>
                <w:sz w:val="20"/>
                <w:szCs w:val="20"/>
                <w:color w:val="auto"/>
              </w:rPr>
            </w:pPr>
            <w:r>
              <w:rPr>
                <w:rFonts w:ascii="Arial" w:cs="Arial" w:eastAsia="Arial" w:hAnsi="Arial"/>
                <w:sz w:val="18"/>
                <w:szCs w:val="18"/>
                <w:b w:val="1"/>
                <w:bCs w:val="1"/>
                <w:color w:val="auto"/>
              </w:rPr>
              <w:t>payments</w:t>
            </w:r>
          </w:p>
        </w:tc>
        <w:tc>
          <w:tcPr>
            <w:tcW w:w="134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48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2"/>
        </w:trPr>
        <w:tc>
          <w:tcPr>
            <w:tcW w:w="1380" w:type="dxa"/>
            <w:vAlign w:val="bottom"/>
            <w:tcBorders>
              <w:top w:val="single" w:sz="8" w:color="auto"/>
              <w:left w:val="single" w:sz="8" w:color="auto"/>
              <w:right w:val="single" w:sz="8" w:color="auto"/>
            </w:tcBorders>
            <w:shd w:val="clear" w:color="auto" w:fill="E36C0A"/>
          </w:tcPr>
          <w:p>
            <w:pPr>
              <w:ind w:left="60"/>
              <w:spacing w:after="0"/>
              <w:rPr>
                <w:sz w:val="20"/>
                <w:szCs w:val="20"/>
                <w:color w:val="auto"/>
              </w:rPr>
            </w:pPr>
            <w:r>
              <w:rPr>
                <w:rFonts w:ascii="Arial" w:cs="Arial" w:eastAsia="Arial" w:hAnsi="Arial"/>
                <w:sz w:val="18"/>
                <w:szCs w:val="18"/>
                <w:b w:val="1"/>
                <w:bCs w:val="1"/>
                <w:color w:val="auto"/>
              </w:rPr>
              <w:t>Performance-</w:t>
            </w:r>
          </w:p>
        </w:tc>
        <w:tc>
          <w:tcPr>
            <w:tcW w:w="1340" w:type="dxa"/>
            <w:vAlign w:val="bottom"/>
            <w:tcBorders>
              <w:top w:val="single" w:sz="8" w:color="auto"/>
              <w:right w:val="single" w:sz="8" w:color="auto"/>
            </w:tcBorders>
            <w:shd w:val="clear" w:color="auto" w:fill="BFBFBF"/>
          </w:tcPr>
          <w:p>
            <w:pPr>
              <w:ind w:left="20"/>
              <w:spacing w:after="0"/>
              <w:rPr>
                <w:sz w:val="20"/>
                <w:szCs w:val="20"/>
                <w:color w:val="auto"/>
              </w:rPr>
            </w:pPr>
            <w:r>
              <w:rPr>
                <w:rFonts w:ascii="Arial" w:cs="Arial" w:eastAsia="Arial" w:hAnsi="Arial"/>
                <w:sz w:val="18"/>
                <w:szCs w:val="18"/>
                <w:b w:val="1"/>
                <w:bCs w:val="1"/>
                <w:color w:val="auto"/>
              </w:rPr>
              <w:t>Short-term</w:t>
            </w:r>
          </w:p>
        </w:tc>
        <w:tc>
          <w:tcPr>
            <w:tcW w:w="1340" w:type="dxa"/>
            <w:vAlign w:val="bottom"/>
            <w:tcBorders>
              <w:top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Annual</w:t>
            </w:r>
          </w:p>
        </w:tc>
        <w:tc>
          <w:tcPr>
            <w:tcW w:w="1360" w:type="dxa"/>
            <w:vAlign w:val="bottom"/>
            <w:tcBorders>
              <w:top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Structure</w:t>
            </w:r>
          </w:p>
        </w:tc>
        <w:tc>
          <w:tcPr>
            <w:tcW w:w="5820" w:type="dxa"/>
            <w:vAlign w:val="bottom"/>
            <w:tcBorders>
              <w:top w:val="single" w:sz="8" w:color="auto"/>
            </w:tcBorders>
            <w:gridSpan w:val="3"/>
          </w:tcPr>
          <w:p>
            <w:pPr>
              <w:ind w:left="40"/>
              <w:spacing w:after="0"/>
              <w:rPr>
                <w:sz w:val="20"/>
                <w:szCs w:val="20"/>
                <w:color w:val="auto"/>
              </w:rPr>
            </w:pPr>
            <w:r>
              <w:rPr>
                <w:rFonts w:ascii="Arial" w:cs="Arial" w:eastAsia="Arial" w:hAnsi="Arial"/>
                <w:sz w:val="18"/>
                <w:szCs w:val="18"/>
                <w:color w:val="auto"/>
                <w:w w:val="92"/>
              </w:rPr>
              <w:t>Annual bonus depending on the achievement of one financial, one operational</w:t>
            </w:r>
          </w:p>
        </w:tc>
        <w:tc>
          <w:tcPr>
            <w:tcW w:w="0" w:type="dxa"/>
            <w:vAlign w:val="bottom"/>
          </w:tcPr>
          <w:p>
            <w:pPr>
              <w:spacing w:after="0"/>
              <w:rPr>
                <w:sz w:val="1"/>
                <w:szCs w:val="1"/>
                <w:color w:val="auto"/>
              </w:rPr>
            </w:pPr>
          </w:p>
        </w:tc>
      </w:tr>
      <w:tr>
        <w:trPr>
          <w:trHeight w:val="216"/>
        </w:trPr>
        <w:tc>
          <w:tcPr>
            <w:tcW w:w="1380" w:type="dxa"/>
            <w:vAlign w:val="bottom"/>
            <w:tcBorders>
              <w:left w:val="single" w:sz="8" w:color="auto"/>
              <w:right w:val="single" w:sz="8" w:color="auto"/>
            </w:tcBorders>
            <w:shd w:val="clear" w:color="auto" w:fill="E36C0A"/>
          </w:tcPr>
          <w:p>
            <w:pPr>
              <w:ind w:left="60"/>
              <w:spacing w:after="0"/>
              <w:rPr>
                <w:sz w:val="20"/>
                <w:szCs w:val="20"/>
                <w:color w:val="auto"/>
              </w:rPr>
            </w:pPr>
            <w:r>
              <w:rPr>
                <w:rFonts w:ascii="Arial" w:cs="Arial" w:eastAsia="Arial" w:hAnsi="Arial"/>
                <w:sz w:val="18"/>
                <w:szCs w:val="18"/>
                <w:b w:val="1"/>
                <w:bCs w:val="1"/>
                <w:color w:val="auto"/>
              </w:rPr>
              <w:t>related</w:t>
            </w:r>
          </w:p>
        </w:tc>
        <w:tc>
          <w:tcPr>
            <w:tcW w:w="1340" w:type="dxa"/>
            <w:vAlign w:val="bottom"/>
            <w:tcBorders>
              <w:right w:val="single" w:sz="8" w:color="auto"/>
            </w:tcBorders>
            <w:shd w:val="clear" w:color="auto" w:fill="BFBFBF"/>
          </w:tcPr>
          <w:p>
            <w:pPr>
              <w:ind w:left="20"/>
              <w:spacing w:after="0"/>
              <w:rPr>
                <w:sz w:val="20"/>
                <w:szCs w:val="20"/>
                <w:color w:val="auto"/>
              </w:rPr>
            </w:pPr>
            <w:r>
              <w:rPr>
                <w:rFonts w:ascii="Arial" w:cs="Arial" w:eastAsia="Arial" w:hAnsi="Arial"/>
                <w:sz w:val="18"/>
                <w:szCs w:val="18"/>
                <w:b w:val="1"/>
                <w:bCs w:val="1"/>
                <w:color w:val="auto"/>
              </w:rPr>
              <w:t>variable</w:t>
            </w:r>
          </w:p>
        </w:tc>
        <w:tc>
          <w:tcPr>
            <w:tcW w:w="1340" w:type="dxa"/>
            <w:vAlign w:val="bottom"/>
            <w:tcBorders>
              <w:right w:val="single" w:sz="8" w:color="auto"/>
            </w:tcBorders>
          </w:tcPr>
          <w:p>
            <w:pPr>
              <w:ind w:left="40"/>
              <w:spacing w:after="0"/>
              <w:rPr>
                <w:sz w:val="20"/>
                <w:szCs w:val="20"/>
                <w:color w:val="auto"/>
              </w:rPr>
            </w:pPr>
            <w:r>
              <w:rPr>
                <w:rFonts w:ascii="Arial" w:cs="Arial" w:eastAsia="Arial" w:hAnsi="Arial"/>
                <w:sz w:val="18"/>
                <w:szCs w:val="18"/>
                <w:b w:val="1"/>
                <w:bCs w:val="1"/>
                <w:color w:val="auto"/>
              </w:rPr>
              <w:t>bonus</w:t>
            </w:r>
          </w:p>
        </w:tc>
        <w:tc>
          <w:tcPr>
            <w:tcW w:w="1360" w:type="dxa"/>
            <w:vAlign w:val="bottom"/>
            <w:tcBorders>
              <w:right w:val="single" w:sz="8" w:color="auto"/>
            </w:tcBorders>
          </w:tcPr>
          <w:p>
            <w:pPr>
              <w:spacing w:after="0"/>
              <w:rPr>
                <w:sz w:val="18"/>
                <w:szCs w:val="18"/>
                <w:color w:val="auto"/>
              </w:rPr>
            </w:pPr>
          </w:p>
        </w:tc>
        <w:tc>
          <w:tcPr>
            <w:tcW w:w="5820" w:type="dxa"/>
            <w:vAlign w:val="bottom"/>
            <w:gridSpan w:val="3"/>
          </w:tcPr>
          <w:p>
            <w:pPr>
              <w:ind w:left="40"/>
              <w:spacing w:after="0"/>
              <w:rPr>
                <w:sz w:val="20"/>
                <w:szCs w:val="20"/>
                <w:color w:val="auto"/>
              </w:rPr>
            </w:pPr>
            <w:r>
              <w:rPr>
                <w:rFonts w:ascii="Arial" w:cs="Arial" w:eastAsia="Arial" w:hAnsi="Arial"/>
                <w:sz w:val="18"/>
                <w:szCs w:val="18"/>
                <w:color w:val="auto"/>
              </w:rPr>
              <w:t>and one ESG target</w:t>
            </w:r>
          </w:p>
        </w:tc>
        <w:tc>
          <w:tcPr>
            <w:tcW w:w="0" w:type="dxa"/>
            <w:vAlign w:val="bottom"/>
          </w:tcPr>
          <w:p>
            <w:pPr>
              <w:spacing w:after="0"/>
              <w:rPr>
                <w:sz w:val="1"/>
                <w:szCs w:val="1"/>
                <w:color w:val="auto"/>
              </w:rPr>
            </w:pPr>
          </w:p>
        </w:tc>
      </w:tr>
      <w:tr>
        <w:trPr>
          <w:trHeight w:val="216"/>
        </w:trPr>
        <w:tc>
          <w:tcPr>
            <w:tcW w:w="1380" w:type="dxa"/>
            <w:vAlign w:val="bottom"/>
            <w:tcBorders>
              <w:left w:val="single" w:sz="8" w:color="auto"/>
              <w:right w:val="single" w:sz="8" w:color="auto"/>
            </w:tcBorders>
            <w:shd w:val="clear" w:color="auto" w:fill="E36C0A"/>
          </w:tcPr>
          <w:p>
            <w:pPr>
              <w:spacing w:after="0"/>
              <w:rPr>
                <w:sz w:val="18"/>
                <w:szCs w:val="18"/>
                <w:color w:val="auto"/>
              </w:rPr>
            </w:pPr>
          </w:p>
        </w:tc>
        <w:tc>
          <w:tcPr>
            <w:tcW w:w="1340" w:type="dxa"/>
            <w:vAlign w:val="bottom"/>
            <w:tcBorders>
              <w:right w:val="single" w:sz="8" w:color="auto"/>
            </w:tcBorders>
            <w:shd w:val="clear" w:color="auto" w:fill="BFBFBF"/>
          </w:tcPr>
          <w:p>
            <w:pPr>
              <w:ind w:left="20"/>
              <w:spacing w:after="0"/>
              <w:rPr>
                <w:sz w:val="20"/>
                <w:szCs w:val="20"/>
                <w:color w:val="auto"/>
              </w:rPr>
            </w:pPr>
            <w:r>
              <w:rPr>
                <w:rFonts w:ascii="Arial" w:cs="Arial" w:eastAsia="Arial" w:hAnsi="Arial"/>
                <w:sz w:val="18"/>
                <w:szCs w:val="18"/>
                <w:b w:val="1"/>
                <w:bCs w:val="1"/>
                <w:color w:val="auto"/>
              </w:rPr>
              <w:t>remuneration</w:t>
            </w:r>
          </w:p>
        </w:tc>
        <w:tc>
          <w:tcPr>
            <w:tcW w:w="1340" w:type="dxa"/>
            <w:vAlign w:val="bottom"/>
            <w:tcBorders>
              <w:right w:val="single" w:sz="8" w:color="auto"/>
            </w:tcBorders>
          </w:tcPr>
          <w:p>
            <w:pPr>
              <w:spacing w:after="0"/>
              <w:rPr>
                <w:sz w:val="18"/>
                <w:szCs w:val="18"/>
                <w:color w:val="auto"/>
              </w:rPr>
            </w:pPr>
          </w:p>
        </w:tc>
        <w:tc>
          <w:tcPr>
            <w:tcW w:w="136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Borders>
              <w:left w:val="single" w:sz="8" w:color="auto"/>
              <w:right w:val="single" w:sz="8" w:color="auto"/>
            </w:tcBorders>
            <w:shd w:val="clear" w:color="auto" w:fill="E36C0A"/>
          </w:tcPr>
          <w:p>
            <w:pPr>
              <w:ind w:left="60"/>
              <w:spacing w:after="0"/>
              <w:rPr>
                <w:sz w:val="20"/>
                <w:szCs w:val="20"/>
                <w:color w:val="auto"/>
              </w:rPr>
            </w:pPr>
            <w:r>
              <w:rPr>
                <w:rFonts w:ascii="Arial" w:cs="Arial" w:eastAsia="Arial" w:hAnsi="Arial"/>
                <w:sz w:val="18"/>
                <w:szCs w:val="18"/>
                <w:b w:val="1"/>
                <w:bCs w:val="1"/>
                <w:color w:val="auto"/>
              </w:rPr>
              <w:t>(variable)</w:t>
            </w:r>
          </w:p>
        </w:tc>
        <w:tc>
          <w:tcPr>
            <w:tcW w:w="1340" w:type="dxa"/>
            <w:vAlign w:val="bottom"/>
            <w:tcBorders>
              <w:right w:val="single" w:sz="8" w:color="auto"/>
            </w:tcBorders>
            <w:shd w:val="clear" w:color="auto" w:fill="BFBFBF"/>
          </w:tcPr>
          <w:p>
            <w:pPr>
              <w:ind w:left="20"/>
              <w:spacing w:after="0"/>
              <w:rPr>
                <w:sz w:val="20"/>
                <w:szCs w:val="20"/>
                <w:color w:val="auto"/>
              </w:rPr>
            </w:pPr>
            <w:r>
              <w:rPr>
                <w:rFonts w:ascii="Arial" w:cs="Arial" w:eastAsia="Arial" w:hAnsi="Arial"/>
                <w:sz w:val="18"/>
                <w:szCs w:val="18"/>
                <w:b w:val="1"/>
                <w:bCs w:val="1"/>
                <w:color w:val="auto"/>
              </w:rPr>
              <w:t>(STI)</w:t>
            </w:r>
          </w:p>
        </w:tc>
        <w:tc>
          <w:tcPr>
            <w:tcW w:w="1340" w:type="dxa"/>
            <w:vAlign w:val="bottom"/>
            <w:tcBorders>
              <w:right w:val="single" w:sz="8" w:color="auto"/>
            </w:tcBorders>
          </w:tcPr>
          <w:p>
            <w:pPr>
              <w:spacing w:after="0"/>
              <w:rPr>
                <w:sz w:val="18"/>
                <w:szCs w:val="18"/>
                <w:color w:val="auto"/>
              </w:rPr>
            </w:pPr>
          </w:p>
        </w:tc>
        <w:tc>
          <w:tcPr>
            <w:tcW w:w="136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5"/>
        </w:trPr>
        <w:tc>
          <w:tcPr>
            <w:tcW w:w="1380" w:type="dxa"/>
            <w:vAlign w:val="bottom"/>
            <w:tcBorders>
              <w:left w:val="single" w:sz="8" w:color="auto"/>
              <w:bottom w:val="single" w:sz="8" w:color="E36C0A"/>
              <w:right w:val="single" w:sz="8" w:color="auto"/>
            </w:tcBorders>
            <w:shd w:val="clear" w:color="auto" w:fill="E36C0A"/>
          </w:tcPr>
          <w:p>
            <w:pPr>
              <w:ind w:left="60"/>
              <w:spacing w:after="0"/>
              <w:rPr>
                <w:sz w:val="20"/>
                <w:szCs w:val="20"/>
                <w:color w:val="auto"/>
              </w:rPr>
            </w:pPr>
            <w:r>
              <w:rPr>
                <w:rFonts w:ascii="Arial" w:cs="Arial" w:eastAsia="Arial" w:hAnsi="Arial"/>
                <w:sz w:val="18"/>
                <w:szCs w:val="18"/>
                <w:b w:val="1"/>
                <w:bCs w:val="1"/>
                <w:color w:val="auto"/>
              </w:rPr>
              <w:t>remuneration</w:t>
            </w:r>
          </w:p>
        </w:tc>
        <w:tc>
          <w:tcPr>
            <w:tcW w:w="1340" w:type="dxa"/>
            <w:vAlign w:val="bottom"/>
            <w:tcBorders>
              <w:bottom w:val="single" w:sz="8" w:color="BFBFBF"/>
              <w:right w:val="single" w:sz="8" w:color="auto"/>
            </w:tcBorders>
            <w:shd w:val="clear" w:color="auto" w:fill="BFBFBF"/>
          </w:tcPr>
          <w:p>
            <w:pPr>
              <w:spacing w:after="0"/>
              <w:rPr>
                <w:sz w:val="23"/>
                <w:szCs w:val="23"/>
                <w:color w:val="auto"/>
              </w:rPr>
            </w:pPr>
          </w:p>
        </w:tc>
        <w:tc>
          <w:tcPr>
            <w:tcW w:w="1340" w:type="dxa"/>
            <w:vAlign w:val="bottom"/>
            <w:tcBorders>
              <w:right w:val="single" w:sz="8" w:color="auto"/>
            </w:tcBorders>
          </w:tcPr>
          <w:p>
            <w:pPr>
              <w:spacing w:after="0"/>
              <w:rPr>
                <w:sz w:val="23"/>
                <w:szCs w:val="23"/>
                <w:color w:val="auto"/>
              </w:rPr>
            </w:pPr>
          </w:p>
        </w:tc>
        <w:tc>
          <w:tcPr>
            <w:tcW w:w="1360" w:type="dxa"/>
            <w:vAlign w:val="bottom"/>
            <w:tcBorders>
              <w:right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48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6"/>
        </w:trPr>
        <w:tc>
          <w:tcPr>
            <w:tcW w:w="1380" w:type="dxa"/>
            <w:vAlign w:val="bottom"/>
            <w:tcBorders>
              <w:top w:val="single" w:sz="8" w:color="auto"/>
              <w:left w:val="single" w:sz="8" w:color="auto"/>
              <w:right w:val="single" w:sz="8" w:color="auto"/>
            </w:tcBorders>
            <w:shd w:val="clear" w:color="auto" w:fill="E36C0A"/>
          </w:tcPr>
          <w:p>
            <w:pPr>
              <w:spacing w:after="0"/>
              <w:rPr>
                <w:sz w:val="20"/>
                <w:szCs w:val="20"/>
                <w:color w:val="auto"/>
              </w:rPr>
            </w:pPr>
          </w:p>
        </w:tc>
        <w:tc>
          <w:tcPr>
            <w:tcW w:w="1340" w:type="dxa"/>
            <w:vAlign w:val="bottom"/>
            <w:tcBorders>
              <w:top w:val="single" w:sz="8" w:color="auto"/>
              <w:right w:val="single" w:sz="8" w:color="auto"/>
            </w:tcBorders>
            <w:shd w:val="clear" w:color="auto" w:fill="BFBFBF"/>
          </w:tcPr>
          <w:p>
            <w:pPr>
              <w:spacing w:after="0"/>
              <w:rPr>
                <w:sz w:val="20"/>
                <w:szCs w:val="20"/>
                <w:color w:val="auto"/>
              </w:rPr>
            </w:pPr>
          </w:p>
        </w:tc>
        <w:tc>
          <w:tcPr>
            <w:tcW w:w="1340" w:type="dxa"/>
            <w:vAlign w:val="bottom"/>
            <w:tcBorders>
              <w:top w:val="single" w:sz="8" w:color="auto"/>
              <w:right w:val="single" w:sz="8" w:color="auto"/>
            </w:tcBorders>
          </w:tcPr>
          <w:p>
            <w:pPr>
              <w:spacing w:after="0"/>
              <w:rPr>
                <w:sz w:val="20"/>
                <w:szCs w:val="20"/>
                <w:color w:val="auto"/>
              </w:rPr>
            </w:pPr>
          </w:p>
        </w:tc>
        <w:tc>
          <w:tcPr>
            <w:tcW w:w="1360" w:type="dxa"/>
            <w:vAlign w:val="bottom"/>
            <w:tcBorders>
              <w:top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Performance</w:t>
            </w:r>
          </w:p>
        </w:tc>
        <w:tc>
          <w:tcPr>
            <w:tcW w:w="10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w w:val="74"/>
              </w:rPr>
              <w:t>·</w:t>
            </w:r>
          </w:p>
        </w:tc>
        <w:tc>
          <w:tcPr>
            <w:tcW w:w="57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Determination of the financial and operational target from the following</w:t>
            </w:r>
          </w:p>
        </w:tc>
        <w:tc>
          <w:tcPr>
            <w:tcW w:w="0" w:type="dxa"/>
            <w:vAlign w:val="bottom"/>
          </w:tcPr>
          <w:p>
            <w:pPr>
              <w:spacing w:after="0"/>
              <w:rPr>
                <w:sz w:val="1"/>
                <w:szCs w:val="1"/>
                <w:color w:val="auto"/>
              </w:rPr>
            </w:pPr>
          </w:p>
        </w:tc>
      </w:tr>
      <w:tr>
        <w:trPr>
          <w:trHeight w:val="230"/>
        </w:trPr>
        <w:tc>
          <w:tcPr>
            <w:tcW w:w="1380" w:type="dxa"/>
            <w:vAlign w:val="bottom"/>
            <w:tcBorders>
              <w:left w:val="single" w:sz="8" w:color="auto"/>
              <w:right w:val="single" w:sz="8" w:color="auto"/>
            </w:tcBorders>
            <w:shd w:val="clear" w:color="auto" w:fill="E36C0A"/>
          </w:tcPr>
          <w:p>
            <w:pPr>
              <w:spacing w:after="0"/>
              <w:rPr>
                <w:sz w:val="20"/>
                <w:szCs w:val="20"/>
                <w:color w:val="auto"/>
              </w:rPr>
            </w:pPr>
          </w:p>
        </w:tc>
        <w:tc>
          <w:tcPr>
            <w:tcW w:w="1340" w:type="dxa"/>
            <w:vAlign w:val="bottom"/>
            <w:tcBorders>
              <w:right w:val="single" w:sz="8" w:color="auto"/>
            </w:tcBorders>
            <w:shd w:val="clear" w:color="auto" w:fill="BFBFBF"/>
          </w:tcPr>
          <w:p>
            <w:pPr>
              <w:spacing w:after="0"/>
              <w:rPr>
                <w:sz w:val="20"/>
                <w:szCs w:val="20"/>
                <w:color w:val="auto"/>
              </w:rPr>
            </w:pPr>
          </w:p>
        </w:tc>
        <w:tc>
          <w:tcPr>
            <w:tcW w:w="1340" w:type="dxa"/>
            <w:vAlign w:val="bottom"/>
            <w:tcBorders>
              <w:right w:val="single" w:sz="8" w:color="auto"/>
            </w:tcBorders>
          </w:tcPr>
          <w:p>
            <w:pPr>
              <w:spacing w:after="0"/>
              <w:rPr>
                <w:sz w:val="20"/>
                <w:szCs w:val="20"/>
                <w:color w:val="auto"/>
              </w:rPr>
            </w:pPr>
          </w:p>
        </w:tc>
        <w:tc>
          <w:tcPr>
            <w:tcW w:w="136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criteria</w:t>
            </w:r>
          </w:p>
        </w:tc>
        <w:tc>
          <w:tcPr>
            <w:tcW w:w="5820" w:type="dxa"/>
            <w:vAlign w:val="bottom"/>
            <w:gridSpan w:val="3"/>
          </w:tcPr>
          <w:p>
            <w:pPr>
              <w:ind w:left="40"/>
              <w:spacing w:after="0"/>
              <w:rPr>
                <w:sz w:val="20"/>
                <w:szCs w:val="20"/>
                <w:color w:val="auto"/>
              </w:rPr>
            </w:pPr>
            <w:r>
              <w:rPr>
                <w:rFonts w:ascii="Arial" w:cs="Arial" w:eastAsia="Arial" w:hAnsi="Arial"/>
                <w:sz w:val="18"/>
                <w:szCs w:val="18"/>
                <w:color w:val="auto"/>
              </w:rPr>
              <w:t>list of targets for each financial year:</w:t>
            </w:r>
          </w:p>
        </w:tc>
        <w:tc>
          <w:tcPr>
            <w:tcW w:w="0" w:type="dxa"/>
            <w:vAlign w:val="bottom"/>
          </w:tcPr>
          <w:p>
            <w:pPr>
              <w:spacing w:after="0"/>
              <w:rPr>
                <w:sz w:val="1"/>
                <w:szCs w:val="1"/>
                <w:color w:val="auto"/>
              </w:rPr>
            </w:pPr>
          </w:p>
        </w:tc>
      </w:tr>
      <w:tr>
        <w:trPr>
          <w:trHeight w:val="634"/>
        </w:trPr>
        <w:tc>
          <w:tcPr>
            <w:tcW w:w="1380" w:type="dxa"/>
            <w:vAlign w:val="bottom"/>
            <w:tcBorders>
              <w:left w:val="single" w:sz="8" w:color="auto"/>
              <w:right w:val="single" w:sz="8" w:color="auto"/>
            </w:tcBorders>
            <w:shd w:val="clear" w:color="auto" w:fill="E36C0A"/>
          </w:tcPr>
          <w:p>
            <w:pPr>
              <w:spacing w:after="0"/>
              <w:rPr>
                <w:sz w:val="24"/>
                <w:szCs w:val="24"/>
                <w:color w:val="auto"/>
              </w:rPr>
            </w:pPr>
          </w:p>
        </w:tc>
        <w:tc>
          <w:tcPr>
            <w:tcW w:w="1340" w:type="dxa"/>
            <w:vAlign w:val="bottom"/>
            <w:tcBorders>
              <w:right w:val="single" w:sz="8" w:color="auto"/>
            </w:tcBorders>
            <w:shd w:val="clear" w:color="auto" w:fill="BFBFBF"/>
          </w:tcPr>
          <w:p>
            <w:pPr>
              <w:spacing w:after="0"/>
              <w:rPr>
                <w:sz w:val="24"/>
                <w:szCs w:val="24"/>
                <w:color w:val="auto"/>
              </w:rPr>
            </w:pPr>
          </w:p>
        </w:tc>
        <w:tc>
          <w:tcPr>
            <w:tcW w:w="1340" w:type="dxa"/>
            <w:vAlign w:val="bottom"/>
            <w:tcBorders>
              <w:right w:val="single" w:sz="8" w:color="auto"/>
            </w:tcBorders>
          </w:tcPr>
          <w:p>
            <w:pPr>
              <w:spacing w:after="0"/>
              <w:rPr>
                <w:sz w:val="24"/>
                <w:szCs w:val="24"/>
                <w:color w:val="auto"/>
              </w:rPr>
            </w:pPr>
          </w:p>
        </w:tc>
        <w:tc>
          <w:tcPr>
            <w:tcW w:w="136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ind w:left="540"/>
              <w:spacing w:after="0"/>
              <w:rPr>
                <w:sz w:val="20"/>
                <w:szCs w:val="20"/>
                <w:color w:val="auto"/>
              </w:rPr>
            </w:pPr>
            <w:r>
              <w:rPr>
                <w:rFonts w:ascii="Arial" w:cs="Arial" w:eastAsia="Arial" w:hAnsi="Arial"/>
                <w:sz w:val="18"/>
                <w:szCs w:val="18"/>
                <w:color w:val="auto"/>
              </w:rPr>
              <w:t>o</w:t>
            </w:r>
          </w:p>
        </w:tc>
        <w:tc>
          <w:tcPr>
            <w:tcW w:w="4880" w:type="dxa"/>
            <w:vAlign w:val="bottom"/>
          </w:tcPr>
          <w:p>
            <w:pPr>
              <w:jc w:val="right"/>
              <w:spacing w:after="0"/>
              <w:rPr>
                <w:sz w:val="20"/>
                <w:szCs w:val="20"/>
                <w:color w:val="auto"/>
              </w:rPr>
            </w:pPr>
            <w:r>
              <w:rPr>
                <w:rFonts w:ascii="Arial" w:cs="Arial" w:eastAsia="Arial" w:hAnsi="Arial"/>
                <w:sz w:val="18"/>
                <w:szCs w:val="18"/>
                <w:color w:val="auto"/>
              </w:rPr>
              <w:t>Financial target: cash in by customer, sales, gross margin,</w:t>
            </w:r>
          </w:p>
        </w:tc>
        <w:tc>
          <w:tcPr>
            <w:tcW w:w="0" w:type="dxa"/>
            <w:vAlign w:val="bottom"/>
          </w:tcPr>
          <w:p>
            <w:pPr>
              <w:spacing w:after="0"/>
              <w:rPr>
                <w:sz w:val="1"/>
                <w:szCs w:val="1"/>
                <w:color w:val="auto"/>
              </w:rPr>
            </w:pPr>
          </w:p>
        </w:tc>
      </w:tr>
      <w:tr>
        <w:trPr>
          <w:trHeight w:val="230"/>
        </w:trPr>
        <w:tc>
          <w:tcPr>
            <w:tcW w:w="1380" w:type="dxa"/>
            <w:vAlign w:val="bottom"/>
            <w:tcBorders>
              <w:left w:val="single" w:sz="8" w:color="auto"/>
              <w:right w:val="single" w:sz="8" w:color="auto"/>
            </w:tcBorders>
            <w:shd w:val="clear" w:color="auto" w:fill="E36C0A"/>
          </w:tcPr>
          <w:p>
            <w:pPr>
              <w:spacing w:after="0"/>
              <w:rPr>
                <w:sz w:val="20"/>
                <w:szCs w:val="20"/>
                <w:color w:val="auto"/>
              </w:rPr>
            </w:pPr>
          </w:p>
        </w:tc>
        <w:tc>
          <w:tcPr>
            <w:tcW w:w="1340" w:type="dxa"/>
            <w:vAlign w:val="bottom"/>
            <w:tcBorders>
              <w:right w:val="single" w:sz="8" w:color="auto"/>
            </w:tcBorders>
            <w:shd w:val="clear" w:color="auto" w:fill="BFBFBF"/>
          </w:tcPr>
          <w:p>
            <w:pPr>
              <w:spacing w:after="0"/>
              <w:rPr>
                <w:sz w:val="20"/>
                <w:szCs w:val="20"/>
                <w:color w:val="auto"/>
              </w:rPr>
            </w:pPr>
          </w:p>
        </w:tc>
        <w:tc>
          <w:tcPr>
            <w:tcW w:w="1340" w:type="dxa"/>
            <w:vAlign w:val="bottom"/>
            <w:tcBorders>
              <w:right w:val="single" w:sz="8" w:color="auto"/>
            </w:tcBorders>
          </w:tcPr>
          <w:p>
            <w:pPr>
              <w:spacing w:after="0"/>
              <w:rPr>
                <w:sz w:val="20"/>
                <w:szCs w:val="20"/>
                <w:color w:val="auto"/>
              </w:rPr>
            </w:pPr>
          </w:p>
        </w:tc>
        <w:tc>
          <w:tcPr>
            <w:tcW w:w="136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5720" w:type="dxa"/>
            <w:vAlign w:val="bottom"/>
            <w:gridSpan w:val="2"/>
          </w:tcPr>
          <w:p>
            <w:pPr>
              <w:ind w:left="540"/>
              <w:spacing w:after="0"/>
              <w:rPr>
                <w:sz w:val="20"/>
                <w:szCs w:val="20"/>
                <w:color w:val="auto"/>
              </w:rPr>
            </w:pPr>
            <w:r>
              <w:rPr>
                <w:rFonts w:ascii="Arial" w:cs="Arial" w:eastAsia="Arial" w:hAnsi="Arial"/>
                <w:sz w:val="18"/>
                <w:szCs w:val="18"/>
                <w:color w:val="auto"/>
              </w:rPr>
              <w:t>EBITDA or EBIT</w:t>
            </w:r>
          </w:p>
        </w:tc>
        <w:tc>
          <w:tcPr>
            <w:tcW w:w="0" w:type="dxa"/>
            <w:vAlign w:val="bottom"/>
          </w:tcPr>
          <w:p>
            <w:pPr>
              <w:spacing w:after="0"/>
              <w:rPr>
                <w:sz w:val="1"/>
                <w:szCs w:val="1"/>
                <w:color w:val="auto"/>
              </w:rPr>
            </w:pPr>
          </w:p>
        </w:tc>
      </w:tr>
      <w:tr>
        <w:trPr>
          <w:trHeight w:val="634"/>
        </w:trPr>
        <w:tc>
          <w:tcPr>
            <w:tcW w:w="1380" w:type="dxa"/>
            <w:vAlign w:val="bottom"/>
            <w:tcBorders>
              <w:left w:val="single" w:sz="8" w:color="auto"/>
              <w:right w:val="single" w:sz="8" w:color="auto"/>
            </w:tcBorders>
            <w:shd w:val="clear" w:color="auto" w:fill="E36C0A"/>
          </w:tcPr>
          <w:p>
            <w:pPr>
              <w:spacing w:after="0"/>
              <w:rPr>
                <w:sz w:val="24"/>
                <w:szCs w:val="24"/>
                <w:color w:val="auto"/>
              </w:rPr>
            </w:pPr>
          </w:p>
        </w:tc>
        <w:tc>
          <w:tcPr>
            <w:tcW w:w="1340" w:type="dxa"/>
            <w:vAlign w:val="bottom"/>
            <w:tcBorders>
              <w:right w:val="single" w:sz="8" w:color="auto"/>
            </w:tcBorders>
            <w:shd w:val="clear" w:color="auto" w:fill="BFBFBF"/>
          </w:tcPr>
          <w:p>
            <w:pPr>
              <w:spacing w:after="0"/>
              <w:rPr>
                <w:sz w:val="24"/>
                <w:szCs w:val="24"/>
                <w:color w:val="auto"/>
              </w:rPr>
            </w:pPr>
          </w:p>
        </w:tc>
        <w:tc>
          <w:tcPr>
            <w:tcW w:w="1340" w:type="dxa"/>
            <w:vAlign w:val="bottom"/>
            <w:tcBorders>
              <w:right w:val="single" w:sz="8" w:color="auto"/>
            </w:tcBorders>
          </w:tcPr>
          <w:p>
            <w:pPr>
              <w:spacing w:after="0"/>
              <w:rPr>
                <w:sz w:val="24"/>
                <w:szCs w:val="24"/>
                <w:color w:val="auto"/>
              </w:rPr>
            </w:pPr>
          </w:p>
        </w:tc>
        <w:tc>
          <w:tcPr>
            <w:tcW w:w="136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ind w:left="540"/>
              <w:spacing w:after="0"/>
              <w:rPr>
                <w:sz w:val="20"/>
                <w:szCs w:val="20"/>
                <w:color w:val="auto"/>
              </w:rPr>
            </w:pPr>
            <w:r>
              <w:rPr>
                <w:rFonts w:ascii="Arial" w:cs="Arial" w:eastAsia="Arial" w:hAnsi="Arial"/>
                <w:sz w:val="18"/>
                <w:szCs w:val="18"/>
                <w:color w:val="auto"/>
              </w:rPr>
              <w:t>o</w:t>
            </w:r>
          </w:p>
        </w:tc>
        <w:tc>
          <w:tcPr>
            <w:tcW w:w="4880" w:type="dxa"/>
            <w:vAlign w:val="bottom"/>
          </w:tcPr>
          <w:p>
            <w:pPr>
              <w:jc w:val="right"/>
              <w:spacing w:after="0"/>
              <w:rPr>
                <w:sz w:val="20"/>
                <w:szCs w:val="20"/>
                <w:color w:val="auto"/>
              </w:rPr>
            </w:pPr>
            <w:r>
              <w:rPr>
                <w:rFonts w:ascii="Arial" w:cs="Arial" w:eastAsia="Arial" w:hAnsi="Arial"/>
                <w:sz w:val="18"/>
                <w:szCs w:val="18"/>
                <w:color w:val="auto"/>
                <w:w w:val="97"/>
              </w:rPr>
              <w:t>Operational target: Terminals produced, terminals delivered to</w:t>
            </w:r>
          </w:p>
        </w:tc>
        <w:tc>
          <w:tcPr>
            <w:tcW w:w="0" w:type="dxa"/>
            <w:vAlign w:val="bottom"/>
          </w:tcPr>
          <w:p>
            <w:pPr>
              <w:spacing w:after="0"/>
              <w:rPr>
                <w:sz w:val="1"/>
                <w:szCs w:val="1"/>
                <w:color w:val="auto"/>
              </w:rPr>
            </w:pPr>
          </w:p>
        </w:tc>
      </w:tr>
      <w:tr>
        <w:trPr>
          <w:trHeight w:val="230"/>
        </w:trPr>
        <w:tc>
          <w:tcPr>
            <w:tcW w:w="1380" w:type="dxa"/>
            <w:vAlign w:val="bottom"/>
            <w:tcBorders>
              <w:left w:val="single" w:sz="8" w:color="auto"/>
              <w:right w:val="single" w:sz="8" w:color="auto"/>
            </w:tcBorders>
            <w:shd w:val="clear" w:color="auto" w:fill="E36C0A"/>
          </w:tcPr>
          <w:p>
            <w:pPr>
              <w:spacing w:after="0"/>
              <w:rPr>
                <w:sz w:val="20"/>
                <w:szCs w:val="20"/>
                <w:color w:val="auto"/>
              </w:rPr>
            </w:pPr>
          </w:p>
        </w:tc>
        <w:tc>
          <w:tcPr>
            <w:tcW w:w="1340" w:type="dxa"/>
            <w:vAlign w:val="bottom"/>
            <w:tcBorders>
              <w:right w:val="single" w:sz="8" w:color="auto"/>
            </w:tcBorders>
            <w:shd w:val="clear" w:color="auto" w:fill="BFBFBF"/>
          </w:tcPr>
          <w:p>
            <w:pPr>
              <w:spacing w:after="0"/>
              <w:rPr>
                <w:sz w:val="20"/>
                <w:szCs w:val="20"/>
                <w:color w:val="auto"/>
              </w:rPr>
            </w:pPr>
          </w:p>
        </w:tc>
        <w:tc>
          <w:tcPr>
            <w:tcW w:w="1340" w:type="dxa"/>
            <w:vAlign w:val="bottom"/>
            <w:tcBorders>
              <w:right w:val="single" w:sz="8" w:color="auto"/>
            </w:tcBorders>
          </w:tcPr>
          <w:p>
            <w:pPr>
              <w:spacing w:after="0"/>
              <w:rPr>
                <w:sz w:val="20"/>
                <w:szCs w:val="20"/>
                <w:color w:val="auto"/>
              </w:rPr>
            </w:pPr>
          </w:p>
        </w:tc>
        <w:tc>
          <w:tcPr>
            <w:tcW w:w="136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5720" w:type="dxa"/>
            <w:vAlign w:val="bottom"/>
            <w:gridSpan w:val="2"/>
          </w:tcPr>
          <w:p>
            <w:pPr>
              <w:ind w:left="540"/>
              <w:spacing w:after="0"/>
              <w:rPr>
                <w:sz w:val="20"/>
                <w:szCs w:val="20"/>
                <w:color w:val="auto"/>
              </w:rPr>
            </w:pPr>
            <w:r>
              <w:rPr>
                <w:rFonts w:ascii="Arial" w:cs="Arial" w:eastAsia="Arial" w:hAnsi="Arial"/>
                <w:sz w:val="18"/>
                <w:szCs w:val="18"/>
                <w:color w:val="auto"/>
              </w:rPr>
              <w:t>customers, order intake, size, weight and power score</w:t>
            </w:r>
          </w:p>
        </w:tc>
        <w:tc>
          <w:tcPr>
            <w:tcW w:w="0" w:type="dxa"/>
            <w:vAlign w:val="bottom"/>
          </w:tcPr>
          <w:p>
            <w:pPr>
              <w:spacing w:after="0"/>
              <w:rPr>
                <w:sz w:val="1"/>
                <w:szCs w:val="1"/>
                <w:color w:val="auto"/>
              </w:rPr>
            </w:pPr>
          </w:p>
        </w:tc>
      </w:tr>
      <w:tr>
        <w:trPr>
          <w:trHeight w:val="634"/>
        </w:trPr>
        <w:tc>
          <w:tcPr>
            <w:tcW w:w="1380" w:type="dxa"/>
            <w:vAlign w:val="bottom"/>
            <w:tcBorders>
              <w:left w:val="single" w:sz="8" w:color="auto"/>
              <w:right w:val="single" w:sz="8" w:color="auto"/>
            </w:tcBorders>
            <w:shd w:val="clear" w:color="auto" w:fill="E36C0A"/>
          </w:tcPr>
          <w:p>
            <w:pPr>
              <w:spacing w:after="0"/>
              <w:rPr>
                <w:sz w:val="24"/>
                <w:szCs w:val="24"/>
                <w:color w:val="auto"/>
              </w:rPr>
            </w:pPr>
          </w:p>
        </w:tc>
        <w:tc>
          <w:tcPr>
            <w:tcW w:w="1340" w:type="dxa"/>
            <w:vAlign w:val="bottom"/>
            <w:tcBorders>
              <w:right w:val="single" w:sz="8" w:color="auto"/>
            </w:tcBorders>
            <w:shd w:val="clear" w:color="auto" w:fill="BFBFBF"/>
          </w:tcPr>
          <w:p>
            <w:pPr>
              <w:spacing w:after="0"/>
              <w:rPr>
                <w:sz w:val="24"/>
                <w:szCs w:val="24"/>
                <w:color w:val="auto"/>
              </w:rPr>
            </w:pPr>
          </w:p>
        </w:tc>
        <w:tc>
          <w:tcPr>
            <w:tcW w:w="1340" w:type="dxa"/>
            <w:vAlign w:val="bottom"/>
            <w:tcBorders>
              <w:right w:val="single" w:sz="8" w:color="auto"/>
            </w:tcBorders>
          </w:tcPr>
          <w:p>
            <w:pPr>
              <w:spacing w:after="0"/>
              <w:rPr>
                <w:sz w:val="24"/>
                <w:szCs w:val="24"/>
                <w:color w:val="auto"/>
              </w:rPr>
            </w:pPr>
          </w:p>
        </w:tc>
        <w:tc>
          <w:tcPr>
            <w:tcW w:w="1360" w:type="dxa"/>
            <w:vAlign w:val="bottom"/>
            <w:tcBorders>
              <w:right w:val="single" w:sz="8" w:color="auto"/>
            </w:tcBorders>
          </w:tcPr>
          <w:p>
            <w:pPr>
              <w:spacing w:after="0"/>
              <w:rPr>
                <w:sz w:val="24"/>
                <w:szCs w:val="24"/>
                <w:color w:val="auto"/>
              </w:rPr>
            </w:pPr>
          </w:p>
        </w:tc>
        <w:tc>
          <w:tcPr>
            <w:tcW w:w="100" w:type="dxa"/>
            <w:vAlign w:val="bottom"/>
          </w:tcPr>
          <w:p>
            <w:pPr>
              <w:ind w:left="40"/>
              <w:spacing w:after="0"/>
              <w:rPr>
                <w:sz w:val="20"/>
                <w:szCs w:val="20"/>
                <w:color w:val="auto"/>
              </w:rPr>
            </w:pPr>
            <w:r>
              <w:rPr>
                <w:rFonts w:ascii="Arial" w:cs="Arial" w:eastAsia="Arial" w:hAnsi="Arial"/>
                <w:sz w:val="16"/>
                <w:szCs w:val="16"/>
                <w:color w:val="auto"/>
                <w:w w:val="74"/>
              </w:rPr>
              <w:t>·</w:t>
            </w:r>
          </w:p>
        </w:tc>
        <w:tc>
          <w:tcPr>
            <w:tcW w:w="5720" w:type="dxa"/>
            <w:vAlign w:val="bottom"/>
            <w:gridSpan w:val="2"/>
          </w:tcPr>
          <w:p>
            <w:pPr>
              <w:jc w:val="right"/>
              <w:spacing w:after="0"/>
              <w:rPr>
                <w:sz w:val="20"/>
                <w:szCs w:val="20"/>
                <w:color w:val="auto"/>
              </w:rPr>
            </w:pPr>
            <w:r>
              <w:rPr>
                <w:rFonts w:ascii="Arial" w:cs="Arial" w:eastAsia="Arial" w:hAnsi="Arial"/>
                <w:sz w:val="18"/>
                <w:szCs w:val="18"/>
                <w:color w:val="auto"/>
                <w:w w:val="97"/>
              </w:rPr>
              <w:t>Consideration of the achievement of an ESG target linked to the residue-</w:t>
            </w:r>
          </w:p>
        </w:tc>
        <w:tc>
          <w:tcPr>
            <w:tcW w:w="0" w:type="dxa"/>
            <w:vAlign w:val="bottom"/>
          </w:tcPr>
          <w:p>
            <w:pPr>
              <w:spacing w:after="0"/>
              <w:rPr>
                <w:sz w:val="1"/>
                <w:szCs w:val="1"/>
                <w:color w:val="auto"/>
              </w:rPr>
            </w:pPr>
          </w:p>
        </w:tc>
      </w:tr>
      <w:tr>
        <w:trPr>
          <w:trHeight w:val="216"/>
        </w:trPr>
        <w:tc>
          <w:tcPr>
            <w:tcW w:w="1380" w:type="dxa"/>
            <w:vAlign w:val="bottom"/>
            <w:tcBorders>
              <w:left w:val="single" w:sz="8" w:color="auto"/>
              <w:right w:val="single" w:sz="8" w:color="auto"/>
            </w:tcBorders>
            <w:shd w:val="clear" w:color="auto" w:fill="E36C0A"/>
          </w:tcPr>
          <w:p>
            <w:pPr>
              <w:spacing w:after="0"/>
              <w:rPr>
                <w:sz w:val="18"/>
                <w:szCs w:val="18"/>
                <w:color w:val="auto"/>
              </w:rPr>
            </w:pPr>
          </w:p>
        </w:tc>
        <w:tc>
          <w:tcPr>
            <w:tcW w:w="1340" w:type="dxa"/>
            <w:vAlign w:val="bottom"/>
            <w:tcBorders>
              <w:right w:val="single" w:sz="8" w:color="auto"/>
            </w:tcBorders>
            <w:shd w:val="clear" w:color="auto" w:fill="BFBFBF"/>
          </w:tcPr>
          <w:p>
            <w:pPr>
              <w:spacing w:after="0"/>
              <w:rPr>
                <w:sz w:val="18"/>
                <w:szCs w:val="18"/>
                <w:color w:val="auto"/>
              </w:rPr>
            </w:pPr>
          </w:p>
        </w:tc>
        <w:tc>
          <w:tcPr>
            <w:tcW w:w="1340" w:type="dxa"/>
            <w:vAlign w:val="bottom"/>
            <w:tcBorders>
              <w:right w:val="single" w:sz="8" w:color="auto"/>
            </w:tcBorders>
          </w:tcPr>
          <w:p>
            <w:pPr>
              <w:spacing w:after="0"/>
              <w:rPr>
                <w:sz w:val="18"/>
                <w:szCs w:val="18"/>
                <w:color w:val="auto"/>
              </w:rPr>
            </w:pPr>
          </w:p>
        </w:tc>
        <w:tc>
          <w:tcPr>
            <w:tcW w:w="1360" w:type="dxa"/>
            <w:vAlign w:val="bottom"/>
            <w:tcBorders>
              <w:right w:val="single" w:sz="8" w:color="auto"/>
            </w:tcBorders>
          </w:tcPr>
          <w:p>
            <w:pPr>
              <w:spacing w:after="0"/>
              <w:rPr>
                <w:sz w:val="18"/>
                <w:szCs w:val="18"/>
                <w:color w:val="auto"/>
              </w:rPr>
            </w:pPr>
          </w:p>
        </w:tc>
        <w:tc>
          <w:tcPr>
            <w:tcW w:w="5820" w:type="dxa"/>
            <w:vAlign w:val="bottom"/>
            <w:gridSpan w:val="3"/>
          </w:tcPr>
          <w:p>
            <w:pPr>
              <w:ind w:left="40"/>
              <w:spacing w:after="0"/>
              <w:rPr>
                <w:sz w:val="20"/>
                <w:szCs w:val="20"/>
                <w:color w:val="auto"/>
              </w:rPr>
            </w:pPr>
            <w:r>
              <w:rPr>
                <w:rFonts w:ascii="Arial" w:cs="Arial" w:eastAsia="Arial" w:hAnsi="Arial"/>
                <w:sz w:val="18"/>
                <w:szCs w:val="18"/>
                <w:color w:val="auto"/>
                <w:w w:val="96"/>
              </w:rPr>
              <w:t>free combustion of the terminals produced by the company, in the form of a</w:t>
            </w:r>
          </w:p>
        </w:tc>
        <w:tc>
          <w:tcPr>
            <w:tcW w:w="0" w:type="dxa"/>
            <w:vAlign w:val="bottom"/>
          </w:tcPr>
          <w:p>
            <w:pPr>
              <w:spacing w:after="0"/>
              <w:rPr>
                <w:sz w:val="1"/>
                <w:szCs w:val="1"/>
                <w:color w:val="auto"/>
              </w:rPr>
            </w:pPr>
          </w:p>
        </w:tc>
      </w:tr>
      <w:tr>
        <w:trPr>
          <w:trHeight w:val="230"/>
        </w:trPr>
        <w:tc>
          <w:tcPr>
            <w:tcW w:w="1380" w:type="dxa"/>
            <w:vAlign w:val="bottom"/>
            <w:tcBorders>
              <w:left w:val="single" w:sz="8" w:color="auto"/>
              <w:right w:val="single" w:sz="8" w:color="auto"/>
            </w:tcBorders>
            <w:shd w:val="clear" w:color="auto" w:fill="E36C0A"/>
          </w:tcPr>
          <w:p>
            <w:pPr>
              <w:spacing w:after="0"/>
              <w:rPr>
                <w:sz w:val="20"/>
                <w:szCs w:val="20"/>
                <w:color w:val="auto"/>
              </w:rPr>
            </w:pPr>
          </w:p>
        </w:tc>
        <w:tc>
          <w:tcPr>
            <w:tcW w:w="1340" w:type="dxa"/>
            <w:vAlign w:val="bottom"/>
            <w:tcBorders>
              <w:right w:val="single" w:sz="8" w:color="auto"/>
            </w:tcBorders>
            <w:shd w:val="clear" w:color="auto" w:fill="BFBFBF"/>
          </w:tcPr>
          <w:p>
            <w:pPr>
              <w:spacing w:after="0"/>
              <w:rPr>
                <w:sz w:val="20"/>
                <w:szCs w:val="20"/>
                <w:color w:val="auto"/>
              </w:rPr>
            </w:pPr>
          </w:p>
        </w:tc>
        <w:tc>
          <w:tcPr>
            <w:tcW w:w="1340" w:type="dxa"/>
            <w:vAlign w:val="bottom"/>
            <w:tcBorders>
              <w:right w:val="single" w:sz="8" w:color="auto"/>
            </w:tcBorders>
          </w:tcPr>
          <w:p>
            <w:pPr>
              <w:spacing w:after="0"/>
              <w:rPr>
                <w:sz w:val="20"/>
                <w:szCs w:val="20"/>
                <w:color w:val="auto"/>
              </w:rPr>
            </w:pPr>
          </w:p>
        </w:tc>
        <w:tc>
          <w:tcPr>
            <w:tcW w:w="1360" w:type="dxa"/>
            <w:vAlign w:val="bottom"/>
            <w:tcBorders>
              <w:right w:val="single" w:sz="8" w:color="auto"/>
            </w:tcBorders>
          </w:tcPr>
          <w:p>
            <w:pPr>
              <w:spacing w:after="0"/>
              <w:rPr>
                <w:sz w:val="20"/>
                <w:szCs w:val="20"/>
                <w:color w:val="auto"/>
              </w:rPr>
            </w:pPr>
          </w:p>
        </w:tc>
        <w:tc>
          <w:tcPr>
            <w:tcW w:w="5820" w:type="dxa"/>
            <w:vAlign w:val="bottom"/>
            <w:gridSpan w:val="3"/>
          </w:tcPr>
          <w:p>
            <w:pPr>
              <w:ind w:left="40"/>
              <w:spacing w:after="0"/>
              <w:rPr>
                <w:sz w:val="20"/>
                <w:szCs w:val="20"/>
                <w:color w:val="auto"/>
              </w:rPr>
            </w:pPr>
            <w:r>
              <w:rPr>
                <w:rFonts w:ascii="Arial" w:cs="Arial" w:eastAsia="Arial" w:hAnsi="Arial"/>
                <w:sz w:val="18"/>
                <w:szCs w:val="18"/>
                <w:color w:val="auto"/>
              </w:rPr>
              <w:t>modifier between 0.9 and 1</w:t>
            </w:r>
          </w:p>
        </w:tc>
        <w:tc>
          <w:tcPr>
            <w:tcW w:w="0" w:type="dxa"/>
            <w:vAlign w:val="bottom"/>
          </w:tcPr>
          <w:p>
            <w:pPr>
              <w:spacing w:after="0"/>
              <w:rPr>
                <w:sz w:val="1"/>
                <w:szCs w:val="1"/>
                <w:color w:val="auto"/>
              </w:rPr>
            </w:pPr>
          </w:p>
        </w:tc>
      </w:tr>
      <w:tr>
        <w:trPr>
          <w:trHeight w:val="40"/>
        </w:trPr>
        <w:tc>
          <w:tcPr>
            <w:tcW w:w="1380" w:type="dxa"/>
            <w:vAlign w:val="bottom"/>
            <w:tcBorders>
              <w:left w:val="single" w:sz="8" w:color="auto"/>
              <w:bottom w:val="single" w:sz="8" w:color="E36C0A"/>
              <w:right w:val="single" w:sz="8" w:color="auto"/>
            </w:tcBorders>
            <w:shd w:val="clear" w:color="auto" w:fill="E36C0A"/>
          </w:tcPr>
          <w:p>
            <w:pPr>
              <w:spacing w:after="0"/>
              <w:rPr>
                <w:sz w:val="3"/>
                <w:szCs w:val="3"/>
                <w:color w:val="auto"/>
              </w:rPr>
            </w:pPr>
          </w:p>
        </w:tc>
        <w:tc>
          <w:tcPr>
            <w:tcW w:w="1340" w:type="dxa"/>
            <w:vAlign w:val="bottom"/>
            <w:tcBorders>
              <w:bottom w:val="single" w:sz="8" w:color="BFBFBF"/>
              <w:right w:val="single" w:sz="8" w:color="auto"/>
            </w:tcBorders>
            <w:shd w:val="clear" w:color="auto" w:fill="BFBFBF"/>
          </w:tcPr>
          <w:p>
            <w:pPr>
              <w:spacing w:after="0"/>
              <w:rPr>
                <w:sz w:val="3"/>
                <w:szCs w:val="3"/>
                <w:color w:val="auto"/>
              </w:rPr>
            </w:pPr>
          </w:p>
        </w:tc>
        <w:tc>
          <w:tcPr>
            <w:tcW w:w="1340" w:type="dxa"/>
            <w:vAlign w:val="bottom"/>
            <w:tcBorders>
              <w:right w:val="single" w:sz="8" w:color="auto"/>
            </w:tcBorders>
          </w:tcPr>
          <w:p>
            <w:pPr>
              <w:spacing w:after="0"/>
              <w:rPr>
                <w:sz w:val="3"/>
                <w:szCs w:val="3"/>
                <w:color w:val="auto"/>
              </w:rPr>
            </w:pPr>
          </w:p>
        </w:tc>
        <w:tc>
          <w:tcPr>
            <w:tcW w:w="1360" w:type="dxa"/>
            <w:vAlign w:val="bottom"/>
            <w:tcBorders>
              <w:bottom w:val="single" w:sz="8" w:color="auto"/>
              <w:right w:val="single" w:sz="8" w:color="auto"/>
            </w:tcBorders>
          </w:tcPr>
          <w:p>
            <w:pPr>
              <w:spacing w:after="0"/>
              <w:rPr>
                <w:sz w:val="3"/>
                <w:szCs w:val="3"/>
                <w:color w:val="auto"/>
              </w:rPr>
            </w:pPr>
          </w:p>
        </w:tc>
        <w:tc>
          <w:tcPr>
            <w:tcW w:w="5820" w:type="dxa"/>
            <w:vAlign w:val="bottom"/>
            <w:tcBorders>
              <w:bottom w:val="single" w:sz="8" w:color="auto"/>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1380" w:type="dxa"/>
            <w:vAlign w:val="bottom"/>
            <w:tcBorders>
              <w:left w:val="single" w:sz="8" w:color="auto"/>
              <w:right w:val="single" w:sz="8" w:color="auto"/>
            </w:tcBorders>
            <w:shd w:val="clear" w:color="auto" w:fill="E36C0A"/>
          </w:tcPr>
          <w:p>
            <w:pPr>
              <w:spacing w:after="0"/>
              <w:rPr>
                <w:sz w:val="21"/>
                <w:szCs w:val="21"/>
                <w:color w:val="auto"/>
              </w:rPr>
            </w:pPr>
          </w:p>
        </w:tc>
        <w:tc>
          <w:tcPr>
            <w:tcW w:w="1340" w:type="dxa"/>
            <w:vAlign w:val="bottom"/>
            <w:tcBorders>
              <w:right w:val="single" w:sz="8" w:color="auto"/>
            </w:tcBorders>
            <w:shd w:val="clear" w:color="auto" w:fill="BFBFBF"/>
          </w:tcPr>
          <w:p>
            <w:pPr>
              <w:spacing w:after="0"/>
              <w:rPr>
                <w:sz w:val="21"/>
                <w:szCs w:val="21"/>
                <w:color w:val="auto"/>
              </w:rPr>
            </w:pPr>
          </w:p>
        </w:tc>
        <w:tc>
          <w:tcPr>
            <w:tcW w:w="1340" w:type="dxa"/>
            <w:vAlign w:val="bottom"/>
            <w:tcBorders>
              <w:right w:val="single" w:sz="8" w:color="auto"/>
            </w:tcBorders>
          </w:tcPr>
          <w:p>
            <w:pPr>
              <w:spacing w:after="0"/>
              <w:rPr>
                <w:sz w:val="21"/>
                <w:szCs w:val="21"/>
                <w:color w:val="auto"/>
              </w:rPr>
            </w:pPr>
          </w:p>
        </w:tc>
        <w:tc>
          <w:tcPr>
            <w:tcW w:w="136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Maximum limit</w:t>
            </w:r>
          </w:p>
        </w:tc>
        <w:tc>
          <w:tcPr>
            <w:tcW w:w="5820" w:type="dxa"/>
            <w:vAlign w:val="bottom"/>
            <w:gridSpan w:val="3"/>
          </w:tcPr>
          <w:p>
            <w:pPr>
              <w:ind w:left="40"/>
              <w:spacing w:after="0"/>
              <w:rPr>
                <w:sz w:val="20"/>
                <w:szCs w:val="20"/>
                <w:color w:val="auto"/>
              </w:rPr>
            </w:pPr>
            <w:r>
              <w:rPr>
                <w:rFonts w:ascii="Arial" w:cs="Arial" w:eastAsia="Arial" w:hAnsi="Arial"/>
                <w:sz w:val="18"/>
                <w:szCs w:val="18"/>
                <w:color w:val="auto"/>
              </w:rPr>
              <w:t>200 % of the target amount</w:t>
            </w:r>
          </w:p>
        </w:tc>
        <w:tc>
          <w:tcPr>
            <w:tcW w:w="0" w:type="dxa"/>
            <w:vAlign w:val="bottom"/>
          </w:tcPr>
          <w:p>
            <w:pPr>
              <w:spacing w:after="0"/>
              <w:rPr>
                <w:sz w:val="1"/>
                <w:szCs w:val="1"/>
                <w:color w:val="auto"/>
              </w:rPr>
            </w:pPr>
          </w:p>
        </w:tc>
      </w:tr>
      <w:tr>
        <w:trPr>
          <w:trHeight w:val="40"/>
        </w:trPr>
        <w:tc>
          <w:tcPr>
            <w:tcW w:w="1380" w:type="dxa"/>
            <w:vAlign w:val="bottom"/>
            <w:tcBorders>
              <w:left w:val="single" w:sz="8" w:color="auto"/>
              <w:bottom w:val="single" w:sz="8" w:color="E36C0A"/>
              <w:right w:val="single" w:sz="8" w:color="auto"/>
            </w:tcBorders>
            <w:shd w:val="clear" w:color="auto" w:fill="E36C0A"/>
          </w:tcPr>
          <w:p>
            <w:pPr>
              <w:spacing w:after="0"/>
              <w:rPr>
                <w:sz w:val="3"/>
                <w:szCs w:val="3"/>
                <w:color w:val="auto"/>
              </w:rPr>
            </w:pPr>
          </w:p>
        </w:tc>
        <w:tc>
          <w:tcPr>
            <w:tcW w:w="1340" w:type="dxa"/>
            <w:vAlign w:val="bottom"/>
            <w:tcBorders>
              <w:bottom w:val="single" w:sz="8" w:color="BFBFBF"/>
              <w:right w:val="single" w:sz="8" w:color="auto"/>
            </w:tcBorders>
            <w:shd w:val="clear" w:color="auto" w:fill="BFBFBF"/>
          </w:tcPr>
          <w:p>
            <w:pPr>
              <w:spacing w:after="0"/>
              <w:rPr>
                <w:sz w:val="3"/>
                <w:szCs w:val="3"/>
                <w:color w:val="auto"/>
              </w:rPr>
            </w:pPr>
          </w:p>
        </w:tc>
        <w:tc>
          <w:tcPr>
            <w:tcW w:w="1340" w:type="dxa"/>
            <w:vAlign w:val="bottom"/>
            <w:tcBorders>
              <w:bottom w:val="single" w:sz="8" w:color="auto"/>
              <w:right w:val="single" w:sz="8" w:color="auto"/>
            </w:tcBorders>
          </w:tcPr>
          <w:p>
            <w:pPr>
              <w:spacing w:after="0"/>
              <w:rPr>
                <w:sz w:val="3"/>
                <w:szCs w:val="3"/>
                <w:color w:val="auto"/>
              </w:rPr>
            </w:pPr>
          </w:p>
        </w:tc>
        <w:tc>
          <w:tcPr>
            <w:tcW w:w="1360" w:type="dxa"/>
            <w:vAlign w:val="bottom"/>
            <w:tcBorders>
              <w:bottom w:val="single" w:sz="8" w:color="auto"/>
              <w:right w:val="single" w:sz="8" w:color="auto"/>
            </w:tcBorders>
          </w:tcPr>
          <w:p>
            <w:pPr>
              <w:spacing w:after="0"/>
              <w:rPr>
                <w:sz w:val="3"/>
                <w:szCs w:val="3"/>
                <w:color w:val="auto"/>
              </w:rPr>
            </w:pPr>
          </w:p>
        </w:tc>
        <w:tc>
          <w:tcPr>
            <w:tcW w:w="5820" w:type="dxa"/>
            <w:vAlign w:val="bottom"/>
            <w:tcBorders>
              <w:bottom w:val="single" w:sz="8" w:color="auto"/>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232"/>
        </w:trPr>
        <w:tc>
          <w:tcPr>
            <w:tcW w:w="1380" w:type="dxa"/>
            <w:vAlign w:val="bottom"/>
            <w:tcBorders>
              <w:left w:val="single" w:sz="8" w:color="auto"/>
              <w:right w:val="single" w:sz="8" w:color="auto"/>
            </w:tcBorders>
            <w:shd w:val="clear" w:color="auto" w:fill="E36C0A"/>
          </w:tcPr>
          <w:p>
            <w:pPr>
              <w:spacing w:after="0"/>
              <w:rPr>
                <w:sz w:val="20"/>
                <w:szCs w:val="20"/>
                <w:color w:val="auto"/>
              </w:rPr>
            </w:pPr>
          </w:p>
        </w:tc>
        <w:tc>
          <w:tcPr>
            <w:tcW w:w="1340" w:type="dxa"/>
            <w:vAlign w:val="bottom"/>
            <w:tcBorders>
              <w:right w:val="single" w:sz="8" w:color="auto"/>
            </w:tcBorders>
            <w:shd w:val="clear" w:color="auto" w:fill="BFBFBF"/>
          </w:tcPr>
          <w:p>
            <w:pPr>
              <w:spacing w:after="0"/>
              <w:rPr>
                <w:sz w:val="20"/>
                <w:szCs w:val="20"/>
                <w:color w:val="auto"/>
              </w:rPr>
            </w:pPr>
          </w:p>
        </w:tc>
        <w:tc>
          <w:tcPr>
            <w:tcW w:w="1340" w:type="dxa"/>
            <w:vAlign w:val="bottom"/>
            <w:tcBorders>
              <w:right w:val="single" w:sz="8" w:color="auto"/>
            </w:tcBorders>
          </w:tcPr>
          <w:p>
            <w:pPr>
              <w:ind w:left="40"/>
              <w:spacing w:after="0"/>
              <w:rPr>
                <w:sz w:val="20"/>
                <w:szCs w:val="20"/>
                <w:color w:val="auto"/>
              </w:rPr>
            </w:pPr>
            <w:r>
              <w:rPr>
                <w:rFonts w:ascii="Arial" w:cs="Arial" w:eastAsia="Arial" w:hAnsi="Arial"/>
                <w:sz w:val="18"/>
                <w:szCs w:val="18"/>
                <w:b w:val="1"/>
                <w:bCs w:val="1"/>
                <w:color w:val="auto"/>
              </w:rPr>
              <w:t>Investment</w:t>
            </w:r>
          </w:p>
        </w:tc>
        <w:tc>
          <w:tcPr>
            <w:tcW w:w="136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Structure</w:t>
            </w:r>
          </w:p>
        </w:tc>
        <w:tc>
          <w:tcPr>
            <w:tcW w:w="5820" w:type="dxa"/>
            <w:vAlign w:val="bottom"/>
            <w:gridSpan w:val="3"/>
          </w:tcPr>
          <w:p>
            <w:pPr>
              <w:ind w:left="40"/>
              <w:spacing w:after="0"/>
              <w:rPr>
                <w:sz w:val="20"/>
                <w:szCs w:val="20"/>
                <w:color w:val="auto"/>
              </w:rPr>
            </w:pPr>
            <w:r>
              <w:rPr>
                <w:rFonts w:ascii="Arial" w:cs="Arial" w:eastAsia="Arial" w:hAnsi="Arial"/>
                <w:sz w:val="18"/>
                <w:szCs w:val="18"/>
                <w:color w:val="auto"/>
              </w:rPr>
              <w:t>Bonus in the event of an investment by a strategic investor</w:t>
            </w:r>
          </w:p>
        </w:tc>
        <w:tc>
          <w:tcPr>
            <w:tcW w:w="0" w:type="dxa"/>
            <w:vAlign w:val="bottom"/>
          </w:tcPr>
          <w:p>
            <w:pPr>
              <w:spacing w:after="0"/>
              <w:rPr>
                <w:sz w:val="1"/>
                <w:szCs w:val="1"/>
                <w:color w:val="auto"/>
              </w:rPr>
            </w:pPr>
          </w:p>
        </w:tc>
      </w:tr>
      <w:tr>
        <w:trPr>
          <w:trHeight w:val="275"/>
        </w:trPr>
        <w:tc>
          <w:tcPr>
            <w:tcW w:w="1380" w:type="dxa"/>
            <w:vAlign w:val="bottom"/>
            <w:tcBorders>
              <w:left w:val="single" w:sz="8" w:color="auto"/>
              <w:bottom w:val="single" w:sz="8" w:color="E36C0A"/>
              <w:right w:val="single" w:sz="8" w:color="auto"/>
            </w:tcBorders>
            <w:shd w:val="clear" w:color="auto" w:fill="E36C0A"/>
          </w:tcPr>
          <w:p>
            <w:pPr>
              <w:spacing w:after="0"/>
              <w:rPr>
                <w:sz w:val="23"/>
                <w:szCs w:val="23"/>
                <w:color w:val="auto"/>
              </w:rPr>
            </w:pPr>
          </w:p>
        </w:tc>
        <w:tc>
          <w:tcPr>
            <w:tcW w:w="1340" w:type="dxa"/>
            <w:vAlign w:val="bottom"/>
            <w:tcBorders>
              <w:bottom w:val="single" w:sz="8" w:color="BFBFBF"/>
              <w:right w:val="single" w:sz="8" w:color="auto"/>
            </w:tcBorders>
            <w:shd w:val="clear" w:color="auto" w:fill="BFBFBF"/>
          </w:tcPr>
          <w:p>
            <w:pPr>
              <w:spacing w:after="0"/>
              <w:rPr>
                <w:sz w:val="23"/>
                <w:szCs w:val="23"/>
                <w:color w:val="auto"/>
              </w:rPr>
            </w:pPr>
          </w:p>
        </w:tc>
        <w:tc>
          <w:tcPr>
            <w:tcW w:w="1340" w:type="dxa"/>
            <w:vAlign w:val="bottom"/>
            <w:tcBorders>
              <w:right w:val="single" w:sz="8" w:color="auto"/>
            </w:tcBorders>
          </w:tcPr>
          <w:p>
            <w:pPr>
              <w:ind w:left="40"/>
              <w:spacing w:after="0"/>
              <w:rPr>
                <w:sz w:val="20"/>
                <w:szCs w:val="20"/>
                <w:color w:val="auto"/>
              </w:rPr>
            </w:pPr>
            <w:r>
              <w:rPr>
                <w:rFonts w:ascii="Arial" w:cs="Arial" w:eastAsia="Arial" w:hAnsi="Arial"/>
                <w:sz w:val="18"/>
                <w:szCs w:val="18"/>
                <w:b w:val="1"/>
                <w:bCs w:val="1"/>
                <w:color w:val="auto"/>
              </w:rPr>
              <w:t>bonus</w:t>
            </w:r>
          </w:p>
        </w:tc>
        <w:tc>
          <w:tcPr>
            <w:tcW w:w="1360" w:type="dxa"/>
            <w:vAlign w:val="bottom"/>
            <w:tcBorders>
              <w:right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48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42"/>
        </w:trPr>
        <w:tc>
          <w:tcPr>
            <w:tcW w:w="1380" w:type="dxa"/>
            <w:vAlign w:val="bottom"/>
            <w:tcBorders>
              <w:top w:val="single" w:sz="8" w:color="auto"/>
              <w:bottom w:val="single" w:sz="8" w:color="auto"/>
            </w:tcBorders>
          </w:tcPr>
          <w:p>
            <w:pPr>
              <w:spacing w:after="0"/>
              <w:rPr>
                <w:sz w:val="24"/>
                <w:szCs w:val="24"/>
                <w:color w:val="auto"/>
              </w:rPr>
            </w:pPr>
          </w:p>
        </w:tc>
        <w:tc>
          <w:tcPr>
            <w:tcW w:w="1340" w:type="dxa"/>
            <w:vAlign w:val="bottom"/>
            <w:tcBorders>
              <w:top w:val="single" w:sz="8" w:color="auto"/>
              <w:bottom w:val="single" w:sz="8" w:color="auto"/>
            </w:tcBorders>
          </w:tcPr>
          <w:p>
            <w:pPr>
              <w:spacing w:after="0"/>
              <w:rPr>
                <w:sz w:val="24"/>
                <w:szCs w:val="24"/>
                <w:color w:val="auto"/>
              </w:rPr>
            </w:pPr>
          </w:p>
        </w:tc>
        <w:tc>
          <w:tcPr>
            <w:tcW w:w="1340" w:type="dxa"/>
            <w:vAlign w:val="bottom"/>
            <w:tcBorders>
              <w:top w:val="single" w:sz="8" w:color="auto"/>
              <w:bottom w:val="single" w:sz="8" w:color="auto"/>
            </w:tcBorders>
          </w:tcPr>
          <w:p>
            <w:pPr>
              <w:spacing w:after="0"/>
              <w:rPr>
                <w:sz w:val="24"/>
                <w:szCs w:val="24"/>
                <w:color w:val="auto"/>
              </w:rPr>
            </w:pPr>
          </w:p>
        </w:tc>
        <w:tc>
          <w:tcPr>
            <w:tcW w:w="136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8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26</w:t>
            </w:r>
          </w:p>
        </w:tc>
        <w:tc>
          <w:tcPr>
            <w:tcW w:w="4880" w:type="dxa"/>
            <w:vAlign w:val="bottom"/>
            <w:tcBorders>
              <w:top w:val="single" w:sz="8" w:color="auto"/>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57" w:right="339" w:bottom="1440" w:gutter="0" w:footer="0" w:header="0"/>
        </w:sectPr>
      </w:pPr>
    </w:p>
    <w:bookmarkStart w:id="30" w:name="page31"/>
    <w:bookmarkEnd w:id="30"/>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56"/>
        </w:trPr>
        <w:tc>
          <w:tcPr>
            <w:tcW w:w="1380" w:type="dxa"/>
            <w:vAlign w:val="bottom"/>
            <w:tcBorders>
              <w:top w:val="single" w:sz="8" w:color="auto"/>
              <w:left w:val="single" w:sz="8" w:color="auto"/>
              <w:right w:val="single" w:sz="8" w:color="auto"/>
            </w:tcBorders>
            <w:shd w:val="clear" w:color="auto" w:fill="E36C0A"/>
          </w:tcPr>
          <w:p>
            <w:pPr>
              <w:spacing w:after="0"/>
              <w:rPr>
                <w:sz w:val="22"/>
                <w:szCs w:val="22"/>
                <w:color w:val="auto"/>
              </w:rPr>
            </w:pPr>
          </w:p>
        </w:tc>
        <w:tc>
          <w:tcPr>
            <w:tcW w:w="1340" w:type="dxa"/>
            <w:vAlign w:val="bottom"/>
            <w:tcBorders>
              <w:top w:val="single" w:sz="8" w:color="auto"/>
              <w:right w:val="single" w:sz="8" w:color="auto"/>
            </w:tcBorders>
            <w:shd w:val="clear" w:color="auto" w:fill="BFBFBF"/>
          </w:tcPr>
          <w:p>
            <w:pPr>
              <w:spacing w:after="0"/>
              <w:rPr>
                <w:sz w:val="22"/>
                <w:szCs w:val="22"/>
                <w:color w:val="auto"/>
              </w:rPr>
            </w:pPr>
          </w:p>
        </w:tc>
        <w:tc>
          <w:tcPr>
            <w:tcW w:w="760" w:type="dxa"/>
            <w:vAlign w:val="bottom"/>
            <w:tcBorders>
              <w:top w:val="single" w:sz="8" w:color="auto"/>
            </w:tcBorders>
          </w:tcPr>
          <w:p>
            <w:pPr>
              <w:spacing w:after="0"/>
              <w:rPr>
                <w:sz w:val="22"/>
                <w:szCs w:val="22"/>
                <w:color w:val="auto"/>
              </w:rPr>
            </w:pPr>
          </w:p>
        </w:tc>
        <w:tc>
          <w:tcPr>
            <w:tcW w:w="580" w:type="dxa"/>
            <w:vAlign w:val="bottom"/>
            <w:tcBorders>
              <w:top w:val="single" w:sz="8" w:color="auto"/>
              <w:right w:val="single" w:sz="8" w:color="auto"/>
            </w:tcBorders>
          </w:tcPr>
          <w:p>
            <w:pPr>
              <w:spacing w:after="0"/>
              <w:rPr>
                <w:sz w:val="22"/>
                <w:szCs w:val="22"/>
                <w:color w:val="auto"/>
              </w:rPr>
            </w:pPr>
          </w:p>
        </w:tc>
        <w:tc>
          <w:tcPr>
            <w:tcW w:w="1360" w:type="dxa"/>
            <w:vAlign w:val="bottom"/>
            <w:tcBorders>
              <w:top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Performance</w:t>
            </w:r>
          </w:p>
        </w:tc>
        <w:tc>
          <w:tcPr>
            <w:tcW w:w="5820" w:type="dxa"/>
            <w:vAlign w:val="bottom"/>
            <w:tcBorders>
              <w:top w:val="single" w:sz="8" w:color="auto"/>
              <w:right w:val="single" w:sz="8" w:color="auto"/>
            </w:tcBorders>
            <w:gridSpan w:val="2"/>
          </w:tcPr>
          <w:p>
            <w:pPr>
              <w:ind w:left="20"/>
              <w:spacing w:after="0"/>
              <w:rPr>
                <w:sz w:val="20"/>
                <w:szCs w:val="20"/>
                <w:color w:val="auto"/>
              </w:rPr>
            </w:pPr>
            <w:r>
              <w:rPr>
                <w:rFonts w:ascii="Arial" w:cs="Arial" w:eastAsia="Arial" w:hAnsi="Arial"/>
                <w:sz w:val="18"/>
                <w:szCs w:val="18"/>
                <w:color w:val="auto"/>
                <w:w w:val="96"/>
              </w:rPr>
              <w:t>Participation of a strategic investor in the equity of the Company or through</w:t>
            </w:r>
          </w:p>
        </w:tc>
        <w:tc>
          <w:tcPr>
            <w:tcW w:w="0" w:type="dxa"/>
            <w:vAlign w:val="bottom"/>
          </w:tcPr>
          <w:p>
            <w:pPr>
              <w:spacing w:after="0"/>
              <w:rPr>
                <w:sz w:val="1"/>
                <w:szCs w:val="1"/>
                <w:color w:val="auto"/>
              </w:rPr>
            </w:pPr>
          </w:p>
        </w:tc>
      </w:tr>
      <w:tr>
        <w:trPr>
          <w:trHeight w:val="230"/>
        </w:trPr>
        <w:tc>
          <w:tcPr>
            <w:tcW w:w="1380" w:type="dxa"/>
            <w:vAlign w:val="bottom"/>
            <w:tcBorders>
              <w:left w:val="single" w:sz="8" w:color="auto"/>
              <w:right w:val="single" w:sz="8" w:color="auto"/>
            </w:tcBorders>
            <w:shd w:val="clear" w:color="auto" w:fill="E36C0A"/>
          </w:tcPr>
          <w:p>
            <w:pPr>
              <w:spacing w:after="0"/>
              <w:rPr>
                <w:sz w:val="20"/>
                <w:szCs w:val="20"/>
                <w:color w:val="auto"/>
              </w:rPr>
            </w:pPr>
          </w:p>
        </w:tc>
        <w:tc>
          <w:tcPr>
            <w:tcW w:w="1340" w:type="dxa"/>
            <w:vAlign w:val="bottom"/>
            <w:tcBorders>
              <w:right w:val="single" w:sz="8" w:color="auto"/>
            </w:tcBorders>
            <w:shd w:val="clear" w:color="auto" w:fill="BFBFBF"/>
          </w:tcPr>
          <w:p>
            <w:pPr>
              <w:spacing w:after="0"/>
              <w:rPr>
                <w:sz w:val="20"/>
                <w:szCs w:val="20"/>
                <w:color w:val="auto"/>
              </w:rPr>
            </w:pPr>
          </w:p>
        </w:tc>
        <w:tc>
          <w:tcPr>
            <w:tcW w:w="760" w:type="dxa"/>
            <w:vAlign w:val="bottom"/>
          </w:tcPr>
          <w:p>
            <w:pPr>
              <w:spacing w:after="0"/>
              <w:rPr>
                <w:sz w:val="20"/>
                <w:szCs w:val="20"/>
                <w:color w:val="auto"/>
              </w:rPr>
            </w:pPr>
          </w:p>
        </w:tc>
        <w:tc>
          <w:tcPr>
            <w:tcW w:w="580" w:type="dxa"/>
            <w:vAlign w:val="bottom"/>
            <w:tcBorders>
              <w:right w:val="single" w:sz="8" w:color="auto"/>
            </w:tcBorders>
          </w:tcPr>
          <w:p>
            <w:pPr>
              <w:spacing w:after="0"/>
              <w:rPr>
                <w:sz w:val="20"/>
                <w:szCs w:val="20"/>
                <w:color w:val="auto"/>
              </w:rPr>
            </w:pPr>
          </w:p>
        </w:tc>
        <w:tc>
          <w:tcPr>
            <w:tcW w:w="136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criteria</w:t>
            </w:r>
          </w:p>
        </w:tc>
        <w:tc>
          <w:tcPr>
            <w:tcW w:w="582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rPr>
              <w:t>subscription to new shares in the Company as part of a capital increase</w:t>
            </w:r>
          </w:p>
        </w:tc>
        <w:tc>
          <w:tcPr>
            <w:tcW w:w="0" w:type="dxa"/>
            <w:vAlign w:val="bottom"/>
          </w:tcPr>
          <w:p>
            <w:pPr>
              <w:spacing w:after="0"/>
              <w:rPr>
                <w:sz w:val="1"/>
                <w:szCs w:val="1"/>
                <w:color w:val="auto"/>
              </w:rPr>
            </w:pPr>
          </w:p>
        </w:tc>
      </w:tr>
      <w:tr>
        <w:trPr>
          <w:trHeight w:val="41"/>
        </w:trPr>
        <w:tc>
          <w:tcPr>
            <w:tcW w:w="1380" w:type="dxa"/>
            <w:vAlign w:val="bottom"/>
            <w:tcBorders>
              <w:left w:val="single" w:sz="8" w:color="auto"/>
              <w:bottom w:val="single" w:sz="8" w:color="E36C0A"/>
              <w:right w:val="single" w:sz="8" w:color="auto"/>
            </w:tcBorders>
            <w:shd w:val="clear" w:color="auto" w:fill="E36C0A"/>
          </w:tcPr>
          <w:p>
            <w:pPr>
              <w:spacing w:after="0"/>
              <w:rPr>
                <w:sz w:val="3"/>
                <w:szCs w:val="3"/>
                <w:color w:val="auto"/>
              </w:rPr>
            </w:pPr>
          </w:p>
        </w:tc>
        <w:tc>
          <w:tcPr>
            <w:tcW w:w="1340" w:type="dxa"/>
            <w:vAlign w:val="bottom"/>
            <w:tcBorders>
              <w:bottom w:val="single" w:sz="8" w:color="BFBFBF"/>
              <w:right w:val="single" w:sz="8" w:color="auto"/>
            </w:tcBorders>
            <w:shd w:val="clear" w:color="auto" w:fill="BFBFBF"/>
          </w:tcPr>
          <w:p>
            <w:pPr>
              <w:spacing w:after="0"/>
              <w:rPr>
                <w:sz w:val="3"/>
                <w:szCs w:val="3"/>
                <w:color w:val="auto"/>
              </w:rPr>
            </w:pPr>
          </w:p>
        </w:tc>
        <w:tc>
          <w:tcPr>
            <w:tcW w:w="760" w:type="dxa"/>
            <w:vAlign w:val="bottom"/>
          </w:tcPr>
          <w:p>
            <w:pPr>
              <w:spacing w:after="0"/>
              <w:rPr>
                <w:sz w:val="3"/>
                <w:szCs w:val="3"/>
                <w:color w:val="auto"/>
              </w:rPr>
            </w:pPr>
          </w:p>
        </w:tc>
        <w:tc>
          <w:tcPr>
            <w:tcW w:w="580" w:type="dxa"/>
            <w:vAlign w:val="bottom"/>
            <w:tcBorders>
              <w:right w:val="single" w:sz="8" w:color="auto"/>
            </w:tcBorders>
          </w:tcPr>
          <w:p>
            <w:pPr>
              <w:spacing w:after="0"/>
              <w:rPr>
                <w:sz w:val="3"/>
                <w:szCs w:val="3"/>
                <w:color w:val="auto"/>
              </w:rPr>
            </w:pPr>
          </w:p>
        </w:tc>
        <w:tc>
          <w:tcPr>
            <w:tcW w:w="1360" w:type="dxa"/>
            <w:vAlign w:val="bottom"/>
            <w:tcBorders>
              <w:bottom w:val="single" w:sz="8" w:color="auto"/>
              <w:right w:val="single" w:sz="8" w:color="auto"/>
            </w:tcBorders>
          </w:tcPr>
          <w:p>
            <w:pPr>
              <w:spacing w:after="0"/>
              <w:rPr>
                <w:sz w:val="3"/>
                <w:szCs w:val="3"/>
                <w:color w:val="auto"/>
              </w:rPr>
            </w:pPr>
          </w:p>
        </w:tc>
        <w:tc>
          <w:tcPr>
            <w:tcW w:w="5820" w:type="dxa"/>
            <w:vAlign w:val="bottom"/>
            <w:tcBorders>
              <w:bottom w:val="single" w:sz="8" w:color="auto"/>
              <w:right w:val="single" w:sz="8" w:color="auto"/>
            </w:tcBorders>
            <w:gridSpan w:val="2"/>
          </w:tcPr>
          <w:p>
            <w:pPr>
              <w:spacing w:after="0"/>
              <w:rPr>
                <w:sz w:val="3"/>
                <w:szCs w:val="3"/>
                <w:color w:val="auto"/>
              </w:rPr>
            </w:pPr>
          </w:p>
        </w:tc>
        <w:tc>
          <w:tcPr>
            <w:tcW w:w="0" w:type="dxa"/>
            <w:vAlign w:val="bottom"/>
          </w:tcPr>
          <w:p>
            <w:pPr>
              <w:spacing w:after="0"/>
              <w:rPr>
                <w:sz w:val="1"/>
                <w:szCs w:val="1"/>
                <w:color w:val="auto"/>
              </w:rPr>
            </w:pPr>
          </w:p>
        </w:tc>
      </w:tr>
      <w:tr>
        <w:trPr>
          <w:trHeight w:val="290"/>
        </w:trPr>
        <w:tc>
          <w:tcPr>
            <w:tcW w:w="1380" w:type="dxa"/>
            <w:vAlign w:val="bottom"/>
            <w:tcBorders>
              <w:left w:val="single" w:sz="8" w:color="auto"/>
              <w:bottom w:val="single" w:sz="8" w:color="E36C0A"/>
              <w:right w:val="single" w:sz="8" w:color="auto"/>
            </w:tcBorders>
            <w:shd w:val="clear" w:color="auto" w:fill="E36C0A"/>
          </w:tcPr>
          <w:p>
            <w:pPr>
              <w:spacing w:after="0"/>
              <w:rPr>
                <w:sz w:val="24"/>
                <w:szCs w:val="24"/>
                <w:color w:val="auto"/>
              </w:rPr>
            </w:pPr>
          </w:p>
        </w:tc>
        <w:tc>
          <w:tcPr>
            <w:tcW w:w="1340" w:type="dxa"/>
            <w:vAlign w:val="bottom"/>
            <w:tcBorders>
              <w:bottom w:val="single" w:sz="8" w:color="BFBFBF"/>
              <w:right w:val="single" w:sz="8" w:color="auto"/>
            </w:tcBorders>
            <w:shd w:val="clear" w:color="auto" w:fill="BFBFBF"/>
          </w:tcPr>
          <w:p>
            <w:pPr>
              <w:spacing w:after="0"/>
              <w:rPr>
                <w:sz w:val="24"/>
                <w:szCs w:val="24"/>
                <w:color w:val="auto"/>
              </w:rPr>
            </w:pPr>
          </w:p>
        </w:tc>
        <w:tc>
          <w:tcPr>
            <w:tcW w:w="760" w:type="dxa"/>
            <w:vAlign w:val="bottom"/>
          </w:tcPr>
          <w:p>
            <w:pPr>
              <w:spacing w:after="0"/>
              <w:rPr>
                <w:sz w:val="24"/>
                <w:szCs w:val="24"/>
                <w:color w:val="auto"/>
              </w:rPr>
            </w:pPr>
          </w:p>
        </w:tc>
        <w:tc>
          <w:tcPr>
            <w:tcW w:w="580" w:type="dxa"/>
            <w:vAlign w:val="bottom"/>
            <w:tcBorders>
              <w:right w:val="single" w:sz="8" w:color="auto"/>
            </w:tcBorders>
          </w:tcPr>
          <w:p>
            <w:pPr>
              <w:spacing w:after="0"/>
              <w:rPr>
                <w:sz w:val="24"/>
                <w:szCs w:val="24"/>
                <w:color w:val="auto"/>
              </w:rPr>
            </w:pPr>
          </w:p>
        </w:tc>
        <w:tc>
          <w:tcPr>
            <w:tcW w:w="136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Maximum limit</w:t>
            </w:r>
          </w:p>
        </w:tc>
        <w:tc>
          <w:tcPr>
            <w:tcW w:w="582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rPr>
              <w:t>Up to 1% of the investment amount, but not more than €1 million.</w:t>
            </w:r>
          </w:p>
        </w:tc>
        <w:tc>
          <w:tcPr>
            <w:tcW w:w="0" w:type="dxa"/>
            <w:vAlign w:val="bottom"/>
          </w:tcPr>
          <w:p>
            <w:pPr>
              <w:spacing w:after="0"/>
              <w:rPr>
                <w:sz w:val="1"/>
                <w:szCs w:val="1"/>
                <w:color w:val="auto"/>
              </w:rPr>
            </w:pPr>
          </w:p>
        </w:tc>
      </w:tr>
      <w:tr>
        <w:trPr>
          <w:trHeight w:val="232"/>
        </w:trPr>
        <w:tc>
          <w:tcPr>
            <w:tcW w:w="1380" w:type="dxa"/>
            <w:vAlign w:val="bottom"/>
            <w:tcBorders>
              <w:top w:val="single" w:sz="8" w:color="auto"/>
              <w:left w:val="single" w:sz="8" w:color="auto"/>
              <w:right w:val="single" w:sz="8" w:color="auto"/>
            </w:tcBorders>
            <w:shd w:val="clear" w:color="auto" w:fill="E36C0A"/>
          </w:tcPr>
          <w:p>
            <w:pPr>
              <w:ind w:left="60"/>
              <w:spacing w:after="0"/>
              <w:rPr>
                <w:sz w:val="20"/>
                <w:szCs w:val="20"/>
                <w:color w:val="auto"/>
              </w:rPr>
            </w:pPr>
            <w:r>
              <w:rPr>
                <w:rFonts w:ascii="Arial" w:cs="Arial" w:eastAsia="Arial" w:hAnsi="Arial"/>
                <w:sz w:val="18"/>
                <w:szCs w:val="18"/>
                <w:b w:val="1"/>
                <w:bCs w:val="1"/>
                <w:color w:val="auto"/>
              </w:rPr>
              <w:t>Performance-</w:t>
            </w:r>
          </w:p>
        </w:tc>
        <w:tc>
          <w:tcPr>
            <w:tcW w:w="1340" w:type="dxa"/>
            <w:vAlign w:val="bottom"/>
            <w:tcBorders>
              <w:top w:val="single" w:sz="8" w:color="auto"/>
              <w:right w:val="single" w:sz="8" w:color="auto"/>
            </w:tcBorders>
            <w:shd w:val="clear" w:color="auto" w:fill="BFBFBF"/>
          </w:tcPr>
          <w:p>
            <w:pPr>
              <w:ind w:left="20"/>
              <w:spacing w:after="0"/>
              <w:rPr>
                <w:sz w:val="20"/>
                <w:szCs w:val="20"/>
                <w:color w:val="auto"/>
              </w:rPr>
            </w:pPr>
            <w:r>
              <w:rPr>
                <w:rFonts w:ascii="Arial" w:cs="Arial" w:eastAsia="Arial" w:hAnsi="Arial"/>
                <w:sz w:val="18"/>
                <w:szCs w:val="18"/>
                <w:b w:val="1"/>
                <w:bCs w:val="1"/>
                <w:color w:val="auto"/>
              </w:rPr>
              <w:t>Long-term</w:t>
            </w:r>
          </w:p>
        </w:tc>
        <w:tc>
          <w:tcPr>
            <w:tcW w:w="76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Stock</w:t>
            </w:r>
          </w:p>
        </w:tc>
        <w:tc>
          <w:tcPr>
            <w:tcW w:w="580" w:type="dxa"/>
            <w:vAlign w:val="bottom"/>
            <w:tcBorders>
              <w:top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w w:val="90"/>
              </w:rPr>
              <w:t>option</w:t>
            </w:r>
          </w:p>
        </w:tc>
        <w:tc>
          <w:tcPr>
            <w:tcW w:w="1360" w:type="dxa"/>
            <w:vAlign w:val="bottom"/>
            <w:tcBorders>
              <w:top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Structure</w:t>
            </w:r>
          </w:p>
        </w:tc>
        <w:tc>
          <w:tcPr>
            <w:tcW w:w="5820" w:type="dxa"/>
            <w:vAlign w:val="bottom"/>
            <w:tcBorders>
              <w:top w:val="single" w:sz="8" w:color="auto"/>
              <w:right w:val="single" w:sz="8" w:color="auto"/>
            </w:tcBorders>
            <w:gridSpan w:val="2"/>
          </w:tcPr>
          <w:p>
            <w:pPr>
              <w:ind w:left="20"/>
              <w:spacing w:after="0"/>
              <w:rPr>
                <w:sz w:val="20"/>
                <w:szCs w:val="20"/>
                <w:color w:val="auto"/>
              </w:rPr>
            </w:pPr>
            <w:r>
              <w:rPr>
                <w:rFonts w:ascii="Arial" w:cs="Arial" w:eastAsia="Arial" w:hAnsi="Arial"/>
                <w:sz w:val="18"/>
                <w:szCs w:val="18"/>
                <w:color w:val="auto"/>
                <w:w w:val="96"/>
              </w:rPr>
              <w:t>Issue of stock options, the final exercisable number of which is linked to the</w:t>
            </w:r>
          </w:p>
        </w:tc>
        <w:tc>
          <w:tcPr>
            <w:tcW w:w="0" w:type="dxa"/>
            <w:vAlign w:val="bottom"/>
          </w:tcPr>
          <w:p>
            <w:pPr>
              <w:spacing w:after="0"/>
              <w:rPr>
                <w:sz w:val="1"/>
                <w:szCs w:val="1"/>
                <w:color w:val="auto"/>
              </w:rPr>
            </w:pPr>
          </w:p>
        </w:tc>
      </w:tr>
      <w:tr>
        <w:trPr>
          <w:trHeight w:val="216"/>
        </w:trPr>
        <w:tc>
          <w:tcPr>
            <w:tcW w:w="1380" w:type="dxa"/>
            <w:vAlign w:val="bottom"/>
            <w:tcBorders>
              <w:left w:val="single" w:sz="8" w:color="auto"/>
              <w:right w:val="single" w:sz="8" w:color="auto"/>
            </w:tcBorders>
            <w:shd w:val="clear" w:color="auto" w:fill="E36C0A"/>
          </w:tcPr>
          <w:p>
            <w:pPr>
              <w:ind w:left="60"/>
              <w:spacing w:after="0"/>
              <w:rPr>
                <w:sz w:val="20"/>
                <w:szCs w:val="20"/>
                <w:color w:val="auto"/>
              </w:rPr>
            </w:pPr>
            <w:r>
              <w:rPr>
                <w:rFonts w:ascii="Arial" w:cs="Arial" w:eastAsia="Arial" w:hAnsi="Arial"/>
                <w:sz w:val="18"/>
                <w:szCs w:val="18"/>
                <w:b w:val="1"/>
                <w:bCs w:val="1"/>
                <w:color w:val="auto"/>
              </w:rPr>
              <w:t>related</w:t>
            </w:r>
          </w:p>
        </w:tc>
        <w:tc>
          <w:tcPr>
            <w:tcW w:w="1340" w:type="dxa"/>
            <w:vAlign w:val="bottom"/>
            <w:tcBorders>
              <w:right w:val="single" w:sz="8" w:color="auto"/>
            </w:tcBorders>
            <w:shd w:val="clear" w:color="auto" w:fill="BFBFBF"/>
          </w:tcPr>
          <w:p>
            <w:pPr>
              <w:ind w:left="20"/>
              <w:spacing w:after="0"/>
              <w:rPr>
                <w:sz w:val="20"/>
                <w:szCs w:val="20"/>
                <w:color w:val="auto"/>
              </w:rPr>
            </w:pPr>
            <w:r>
              <w:rPr>
                <w:rFonts w:ascii="Arial" w:cs="Arial" w:eastAsia="Arial" w:hAnsi="Arial"/>
                <w:sz w:val="18"/>
                <w:szCs w:val="18"/>
                <w:b w:val="1"/>
                <w:bCs w:val="1"/>
                <w:color w:val="auto"/>
              </w:rPr>
              <w:t>variable</w:t>
            </w:r>
          </w:p>
        </w:tc>
        <w:tc>
          <w:tcPr>
            <w:tcW w:w="760" w:type="dxa"/>
            <w:vAlign w:val="bottom"/>
          </w:tcPr>
          <w:p>
            <w:pPr>
              <w:ind w:left="40"/>
              <w:spacing w:after="0"/>
              <w:rPr>
                <w:sz w:val="20"/>
                <w:szCs w:val="20"/>
                <w:color w:val="auto"/>
              </w:rPr>
            </w:pPr>
            <w:r>
              <w:rPr>
                <w:rFonts w:ascii="Arial" w:cs="Arial" w:eastAsia="Arial" w:hAnsi="Arial"/>
                <w:sz w:val="18"/>
                <w:szCs w:val="18"/>
                <w:b w:val="1"/>
                <w:bCs w:val="1"/>
                <w:color w:val="auto"/>
                <w:w w:val="95"/>
              </w:rPr>
              <w:t>program</w:t>
            </w:r>
          </w:p>
        </w:tc>
        <w:tc>
          <w:tcPr>
            <w:tcW w:w="580" w:type="dxa"/>
            <w:vAlign w:val="bottom"/>
            <w:tcBorders>
              <w:right w:val="single" w:sz="8" w:color="auto"/>
            </w:tcBorders>
          </w:tcPr>
          <w:p>
            <w:pPr>
              <w:spacing w:after="0"/>
              <w:rPr>
                <w:sz w:val="18"/>
                <w:szCs w:val="18"/>
                <w:color w:val="auto"/>
              </w:rPr>
            </w:pPr>
          </w:p>
        </w:tc>
        <w:tc>
          <w:tcPr>
            <w:tcW w:w="1360" w:type="dxa"/>
            <w:vAlign w:val="bottom"/>
            <w:tcBorders>
              <w:right w:val="single" w:sz="8" w:color="auto"/>
            </w:tcBorders>
          </w:tcPr>
          <w:p>
            <w:pPr>
              <w:spacing w:after="0"/>
              <w:rPr>
                <w:sz w:val="18"/>
                <w:szCs w:val="18"/>
                <w:color w:val="auto"/>
              </w:rPr>
            </w:pPr>
          </w:p>
        </w:tc>
        <w:tc>
          <w:tcPr>
            <w:tcW w:w="582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rPr>
              <w:t>Company's share price performance and an ESG target</w:t>
            </w:r>
          </w:p>
        </w:tc>
        <w:tc>
          <w:tcPr>
            <w:tcW w:w="0" w:type="dxa"/>
            <w:vAlign w:val="bottom"/>
          </w:tcPr>
          <w:p>
            <w:pPr>
              <w:spacing w:after="0"/>
              <w:rPr>
                <w:sz w:val="1"/>
                <w:szCs w:val="1"/>
                <w:color w:val="auto"/>
              </w:rPr>
            </w:pPr>
          </w:p>
        </w:tc>
      </w:tr>
      <w:tr>
        <w:trPr>
          <w:trHeight w:val="59"/>
        </w:trPr>
        <w:tc>
          <w:tcPr>
            <w:tcW w:w="1380" w:type="dxa"/>
            <w:vAlign w:val="bottom"/>
            <w:tcBorders>
              <w:left w:val="single" w:sz="8" w:color="auto"/>
              <w:bottom w:val="single" w:sz="8" w:color="E36C0A"/>
              <w:right w:val="single" w:sz="8" w:color="auto"/>
            </w:tcBorders>
            <w:vMerge w:val="restart"/>
            <w:shd w:val="clear" w:color="auto" w:fill="E36C0A"/>
          </w:tcPr>
          <w:p>
            <w:pPr>
              <w:ind w:left="60"/>
              <w:spacing w:after="0"/>
              <w:rPr>
                <w:sz w:val="20"/>
                <w:szCs w:val="20"/>
                <w:color w:val="auto"/>
              </w:rPr>
            </w:pPr>
            <w:r>
              <w:rPr>
                <w:rFonts w:ascii="Arial" w:cs="Arial" w:eastAsia="Arial" w:hAnsi="Arial"/>
                <w:sz w:val="18"/>
                <w:szCs w:val="18"/>
                <w:b w:val="1"/>
                <w:bCs w:val="1"/>
                <w:color w:val="auto"/>
              </w:rPr>
              <w:t>(variable)</w:t>
            </w:r>
          </w:p>
        </w:tc>
        <w:tc>
          <w:tcPr>
            <w:tcW w:w="1340" w:type="dxa"/>
            <w:vAlign w:val="bottom"/>
            <w:tcBorders>
              <w:bottom w:val="single" w:sz="8" w:color="BFBFBF"/>
              <w:right w:val="single" w:sz="8" w:color="auto"/>
            </w:tcBorders>
            <w:vMerge w:val="restart"/>
            <w:shd w:val="clear" w:color="auto" w:fill="BFBFBF"/>
          </w:tcPr>
          <w:p>
            <w:pPr>
              <w:ind w:left="20"/>
              <w:spacing w:after="0"/>
              <w:rPr>
                <w:sz w:val="20"/>
                <w:szCs w:val="20"/>
                <w:color w:val="auto"/>
              </w:rPr>
            </w:pPr>
            <w:r>
              <w:rPr>
                <w:rFonts w:ascii="Arial" w:cs="Arial" w:eastAsia="Arial" w:hAnsi="Arial"/>
                <w:sz w:val="18"/>
                <w:szCs w:val="18"/>
                <w:b w:val="1"/>
                <w:bCs w:val="1"/>
                <w:color w:val="auto"/>
              </w:rPr>
              <w:t>remuneration</w:t>
            </w:r>
          </w:p>
        </w:tc>
        <w:tc>
          <w:tcPr>
            <w:tcW w:w="760" w:type="dxa"/>
            <w:vAlign w:val="bottom"/>
          </w:tcPr>
          <w:p>
            <w:pPr>
              <w:spacing w:after="0"/>
              <w:rPr>
                <w:sz w:val="5"/>
                <w:szCs w:val="5"/>
                <w:color w:val="auto"/>
              </w:rPr>
            </w:pPr>
          </w:p>
        </w:tc>
        <w:tc>
          <w:tcPr>
            <w:tcW w:w="580" w:type="dxa"/>
            <w:vAlign w:val="bottom"/>
            <w:tcBorders>
              <w:right w:val="single" w:sz="8" w:color="auto"/>
            </w:tcBorders>
          </w:tcPr>
          <w:p>
            <w:pPr>
              <w:spacing w:after="0"/>
              <w:rPr>
                <w:sz w:val="5"/>
                <w:szCs w:val="5"/>
                <w:color w:val="auto"/>
              </w:rPr>
            </w:pPr>
          </w:p>
        </w:tc>
        <w:tc>
          <w:tcPr>
            <w:tcW w:w="1360" w:type="dxa"/>
            <w:vAlign w:val="bottom"/>
            <w:tcBorders>
              <w:bottom w:val="single" w:sz="8" w:color="auto"/>
              <w:right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57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37"/>
        </w:trPr>
        <w:tc>
          <w:tcPr>
            <w:tcW w:w="1380" w:type="dxa"/>
            <w:vAlign w:val="bottom"/>
            <w:tcBorders>
              <w:left w:val="single" w:sz="8" w:color="auto"/>
              <w:right w:val="single" w:sz="8" w:color="auto"/>
            </w:tcBorders>
            <w:vMerge w:val="continue"/>
            <w:shd w:val="clear" w:color="auto" w:fill="E36C0A"/>
          </w:tcPr>
          <w:p>
            <w:pPr>
              <w:spacing w:after="0"/>
              <w:rPr>
                <w:sz w:val="11"/>
                <w:szCs w:val="11"/>
                <w:color w:val="auto"/>
              </w:rPr>
            </w:pPr>
          </w:p>
        </w:tc>
        <w:tc>
          <w:tcPr>
            <w:tcW w:w="1340" w:type="dxa"/>
            <w:vAlign w:val="bottom"/>
            <w:tcBorders>
              <w:right w:val="single" w:sz="8" w:color="auto"/>
            </w:tcBorders>
            <w:vMerge w:val="continue"/>
            <w:shd w:val="clear" w:color="auto" w:fill="BFBFBF"/>
          </w:tcPr>
          <w:p>
            <w:pPr>
              <w:spacing w:after="0"/>
              <w:rPr>
                <w:sz w:val="11"/>
                <w:szCs w:val="11"/>
                <w:color w:val="auto"/>
              </w:rPr>
            </w:pPr>
          </w:p>
        </w:tc>
        <w:tc>
          <w:tcPr>
            <w:tcW w:w="760" w:type="dxa"/>
            <w:vAlign w:val="bottom"/>
          </w:tcPr>
          <w:p>
            <w:pPr>
              <w:spacing w:after="0"/>
              <w:rPr>
                <w:sz w:val="11"/>
                <w:szCs w:val="11"/>
                <w:color w:val="auto"/>
              </w:rPr>
            </w:pPr>
          </w:p>
        </w:tc>
        <w:tc>
          <w:tcPr>
            <w:tcW w:w="580" w:type="dxa"/>
            <w:vAlign w:val="bottom"/>
            <w:tcBorders>
              <w:right w:val="single" w:sz="8" w:color="auto"/>
            </w:tcBorders>
          </w:tcPr>
          <w:p>
            <w:pPr>
              <w:spacing w:after="0"/>
              <w:rPr>
                <w:sz w:val="11"/>
                <w:szCs w:val="11"/>
                <w:color w:val="auto"/>
              </w:rPr>
            </w:pPr>
          </w:p>
        </w:tc>
        <w:tc>
          <w:tcPr>
            <w:tcW w:w="136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Performance</w:t>
            </w:r>
          </w:p>
        </w:tc>
        <w:tc>
          <w:tcPr>
            <w:tcW w:w="100" w:type="dxa"/>
            <w:vAlign w:val="bottom"/>
            <w:vMerge w:val="restart"/>
          </w:tcPr>
          <w:p>
            <w:pPr>
              <w:ind w:left="20"/>
              <w:spacing w:after="0"/>
              <w:rPr>
                <w:sz w:val="20"/>
                <w:szCs w:val="20"/>
                <w:color w:val="auto"/>
              </w:rPr>
            </w:pPr>
            <w:r>
              <w:rPr>
                <w:rFonts w:ascii="Arial" w:cs="Arial" w:eastAsia="Arial" w:hAnsi="Arial"/>
                <w:sz w:val="18"/>
                <w:szCs w:val="18"/>
                <w:color w:val="auto"/>
                <w:w w:val="99"/>
              </w:rPr>
              <w:t>·</w:t>
            </w:r>
          </w:p>
        </w:tc>
        <w:tc>
          <w:tcPr>
            <w:tcW w:w="572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Absolute share price performance of Mynaric AG (weighted with 80%</w:t>
            </w:r>
          </w:p>
        </w:tc>
        <w:tc>
          <w:tcPr>
            <w:tcW w:w="0" w:type="dxa"/>
            <w:vAlign w:val="bottom"/>
          </w:tcPr>
          <w:p>
            <w:pPr>
              <w:spacing w:after="0"/>
              <w:rPr>
                <w:sz w:val="1"/>
                <w:szCs w:val="1"/>
                <w:color w:val="auto"/>
              </w:rPr>
            </w:pPr>
          </w:p>
        </w:tc>
      </w:tr>
      <w:tr>
        <w:trPr>
          <w:trHeight w:val="98"/>
        </w:trPr>
        <w:tc>
          <w:tcPr>
            <w:tcW w:w="1380" w:type="dxa"/>
            <w:vAlign w:val="bottom"/>
            <w:tcBorders>
              <w:left w:val="single" w:sz="8" w:color="auto"/>
              <w:right w:val="single" w:sz="8" w:color="auto"/>
            </w:tcBorders>
            <w:vMerge w:val="restart"/>
            <w:shd w:val="clear" w:color="auto" w:fill="E36C0A"/>
          </w:tcPr>
          <w:p>
            <w:pPr>
              <w:ind w:left="60"/>
              <w:spacing w:after="0"/>
              <w:rPr>
                <w:sz w:val="20"/>
                <w:szCs w:val="20"/>
                <w:color w:val="auto"/>
              </w:rPr>
            </w:pPr>
            <w:r>
              <w:rPr>
                <w:rFonts w:ascii="Arial" w:cs="Arial" w:eastAsia="Arial" w:hAnsi="Arial"/>
                <w:sz w:val="18"/>
                <w:szCs w:val="18"/>
                <w:b w:val="1"/>
                <w:bCs w:val="1"/>
                <w:color w:val="auto"/>
              </w:rPr>
              <w:t>remuneration</w:t>
            </w:r>
          </w:p>
        </w:tc>
        <w:tc>
          <w:tcPr>
            <w:tcW w:w="1340" w:type="dxa"/>
            <w:vAlign w:val="bottom"/>
            <w:tcBorders>
              <w:right w:val="single" w:sz="8" w:color="auto"/>
            </w:tcBorders>
            <w:vMerge w:val="restart"/>
            <w:shd w:val="clear" w:color="auto" w:fill="BFBFBF"/>
          </w:tcPr>
          <w:p>
            <w:pPr>
              <w:ind w:left="20"/>
              <w:spacing w:after="0"/>
              <w:rPr>
                <w:sz w:val="20"/>
                <w:szCs w:val="20"/>
                <w:color w:val="auto"/>
              </w:rPr>
            </w:pPr>
            <w:r>
              <w:rPr>
                <w:rFonts w:ascii="Arial" w:cs="Arial" w:eastAsia="Arial" w:hAnsi="Arial"/>
                <w:sz w:val="18"/>
                <w:szCs w:val="18"/>
                <w:b w:val="1"/>
                <w:bCs w:val="1"/>
                <w:color w:val="auto"/>
              </w:rPr>
              <w:t>(LTI)</w:t>
            </w:r>
          </w:p>
        </w:tc>
        <w:tc>
          <w:tcPr>
            <w:tcW w:w="760" w:type="dxa"/>
            <w:vAlign w:val="bottom"/>
          </w:tcPr>
          <w:p>
            <w:pPr>
              <w:spacing w:after="0"/>
              <w:rPr>
                <w:sz w:val="8"/>
                <w:szCs w:val="8"/>
                <w:color w:val="auto"/>
              </w:rPr>
            </w:pPr>
          </w:p>
        </w:tc>
        <w:tc>
          <w:tcPr>
            <w:tcW w:w="580" w:type="dxa"/>
            <w:vAlign w:val="bottom"/>
            <w:tcBorders>
              <w:right w:val="single" w:sz="8" w:color="auto"/>
            </w:tcBorders>
          </w:tcPr>
          <w:p>
            <w:pPr>
              <w:spacing w:after="0"/>
              <w:rPr>
                <w:sz w:val="8"/>
                <w:szCs w:val="8"/>
                <w:color w:val="auto"/>
              </w:rPr>
            </w:pPr>
          </w:p>
        </w:tc>
        <w:tc>
          <w:tcPr>
            <w:tcW w:w="1360" w:type="dxa"/>
            <w:vAlign w:val="bottom"/>
            <w:tcBorders>
              <w:right w:val="single" w:sz="8" w:color="auto"/>
            </w:tcBorders>
            <w:vMerge w:val="continue"/>
          </w:tcPr>
          <w:p>
            <w:pPr>
              <w:spacing w:after="0"/>
              <w:rPr>
                <w:sz w:val="8"/>
                <w:szCs w:val="8"/>
                <w:color w:val="auto"/>
              </w:rPr>
            </w:pPr>
          </w:p>
        </w:tc>
        <w:tc>
          <w:tcPr>
            <w:tcW w:w="100" w:type="dxa"/>
            <w:vAlign w:val="bottom"/>
            <w:vMerge w:val="continue"/>
          </w:tcPr>
          <w:p>
            <w:pPr>
              <w:spacing w:after="0"/>
              <w:rPr>
                <w:sz w:val="8"/>
                <w:szCs w:val="8"/>
                <w:color w:val="auto"/>
              </w:rPr>
            </w:pPr>
          </w:p>
        </w:tc>
        <w:tc>
          <w:tcPr>
            <w:tcW w:w="572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6"/>
        </w:trPr>
        <w:tc>
          <w:tcPr>
            <w:tcW w:w="1380" w:type="dxa"/>
            <w:vAlign w:val="bottom"/>
            <w:tcBorders>
              <w:left w:val="single" w:sz="8" w:color="auto"/>
              <w:right w:val="single" w:sz="8" w:color="auto"/>
            </w:tcBorders>
            <w:vMerge w:val="continue"/>
            <w:shd w:val="clear" w:color="auto" w:fill="E36C0A"/>
          </w:tcPr>
          <w:p>
            <w:pPr>
              <w:spacing w:after="0"/>
              <w:rPr>
                <w:sz w:val="11"/>
                <w:szCs w:val="11"/>
                <w:color w:val="auto"/>
              </w:rPr>
            </w:pPr>
          </w:p>
        </w:tc>
        <w:tc>
          <w:tcPr>
            <w:tcW w:w="1340" w:type="dxa"/>
            <w:vAlign w:val="bottom"/>
            <w:tcBorders>
              <w:right w:val="single" w:sz="8" w:color="auto"/>
            </w:tcBorders>
            <w:vMerge w:val="continue"/>
            <w:shd w:val="clear" w:color="auto" w:fill="BFBFBF"/>
          </w:tcPr>
          <w:p>
            <w:pPr>
              <w:spacing w:after="0"/>
              <w:rPr>
                <w:sz w:val="11"/>
                <w:szCs w:val="11"/>
                <w:color w:val="auto"/>
              </w:rPr>
            </w:pPr>
          </w:p>
        </w:tc>
        <w:tc>
          <w:tcPr>
            <w:tcW w:w="760" w:type="dxa"/>
            <w:vAlign w:val="bottom"/>
          </w:tcPr>
          <w:p>
            <w:pPr>
              <w:spacing w:after="0"/>
              <w:rPr>
                <w:sz w:val="11"/>
                <w:szCs w:val="11"/>
                <w:color w:val="auto"/>
              </w:rPr>
            </w:pPr>
          </w:p>
        </w:tc>
        <w:tc>
          <w:tcPr>
            <w:tcW w:w="580" w:type="dxa"/>
            <w:vAlign w:val="bottom"/>
            <w:tcBorders>
              <w:right w:val="single" w:sz="8" w:color="auto"/>
            </w:tcBorders>
          </w:tcPr>
          <w:p>
            <w:pPr>
              <w:spacing w:after="0"/>
              <w:rPr>
                <w:sz w:val="11"/>
                <w:szCs w:val="11"/>
                <w:color w:val="auto"/>
              </w:rPr>
            </w:pPr>
          </w:p>
        </w:tc>
        <w:tc>
          <w:tcPr>
            <w:tcW w:w="136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criteria</w:t>
            </w:r>
          </w:p>
        </w:tc>
        <w:tc>
          <w:tcPr>
            <w:tcW w:w="5820" w:type="dxa"/>
            <w:vAlign w:val="bottom"/>
            <w:tcBorders>
              <w:right w:val="single" w:sz="8" w:color="auto"/>
            </w:tcBorders>
            <w:gridSpan w:val="2"/>
            <w:vMerge w:val="restart"/>
          </w:tcPr>
          <w:p>
            <w:pPr>
              <w:ind w:left="20"/>
              <w:spacing w:after="0"/>
              <w:rPr>
                <w:sz w:val="20"/>
                <w:szCs w:val="20"/>
                <w:color w:val="auto"/>
              </w:rPr>
            </w:pPr>
            <w:r>
              <w:rPr>
                <w:rFonts w:ascii="Arial" w:cs="Arial" w:eastAsia="Arial" w:hAnsi="Arial"/>
                <w:sz w:val="18"/>
                <w:szCs w:val="18"/>
                <w:color w:val="auto"/>
              </w:rPr>
              <w:t>within the overall target achievement)</w:t>
            </w:r>
          </w:p>
        </w:tc>
        <w:tc>
          <w:tcPr>
            <w:tcW w:w="0" w:type="dxa"/>
            <w:vAlign w:val="bottom"/>
          </w:tcPr>
          <w:p>
            <w:pPr>
              <w:spacing w:after="0"/>
              <w:rPr>
                <w:sz w:val="1"/>
                <w:szCs w:val="1"/>
                <w:color w:val="auto"/>
              </w:rPr>
            </w:pPr>
          </w:p>
        </w:tc>
      </w:tr>
      <w:tr>
        <w:trPr>
          <w:trHeight w:val="94"/>
        </w:trPr>
        <w:tc>
          <w:tcPr>
            <w:tcW w:w="1380" w:type="dxa"/>
            <w:vAlign w:val="bottom"/>
            <w:tcBorders>
              <w:left w:val="single" w:sz="8" w:color="auto"/>
              <w:right w:val="single" w:sz="8" w:color="auto"/>
            </w:tcBorders>
            <w:shd w:val="clear" w:color="auto" w:fill="E36C0A"/>
          </w:tcPr>
          <w:p>
            <w:pPr>
              <w:spacing w:after="0"/>
              <w:rPr>
                <w:sz w:val="8"/>
                <w:szCs w:val="8"/>
                <w:color w:val="auto"/>
              </w:rPr>
            </w:pPr>
          </w:p>
        </w:tc>
        <w:tc>
          <w:tcPr>
            <w:tcW w:w="1340" w:type="dxa"/>
            <w:vAlign w:val="bottom"/>
            <w:tcBorders>
              <w:right w:val="single" w:sz="8" w:color="auto"/>
            </w:tcBorders>
            <w:shd w:val="clear" w:color="auto" w:fill="BFBFBF"/>
          </w:tcPr>
          <w:p>
            <w:pPr>
              <w:spacing w:after="0"/>
              <w:rPr>
                <w:sz w:val="8"/>
                <w:szCs w:val="8"/>
                <w:color w:val="auto"/>
              </w:rPr>
            </w:pPr>
          </w:p>
        </w:tc>
        <w:tc>
          <w:tcPr>
            <w:tcW w:w="760" w:type="dxa"/>
            <w:vAlign w:val="bottom"/>
          </w:tcPr>
          <w:p>
            <w:pPr>
              <w:spacing w:after="0"/>
              <w:rPr>
                <w:sz w:val="8"/>
                <w:szCs w:val="8"/>
                <w:color w:val="auto"/>
              </w:rPr>
            </w:pPr>
          </w:p>
        </w:tc>
        <w:tc>
          <w:tcPr>
            <w:tcW w:w="580" w:type="dxa"/>
            <w:vAlign w:val="bottom"/>
            <w:tcBorders>
              <w:right w:val="single" w:sz="8" w:color="auto"/>
            </w:tcBorders>
          </w:tcPr>
          <w:p>
            <w:pPr>
              <w:spacing w:after="0"/>
              <w:rPr>
                <w:sz w:val="8"/>
                <w:szCs w:val="8"/>
                <w:color w:val="auto"/>
              </w:rPr>
            </w:pPr>
          </w:p>
        </w:tc>
        <w:tc>
          <w:tcPr>
            <w:tcW w:w="1360" w:type="dxa"/>
            <w:vAlign w:val="bottom"/>
            <w:tcBorders>
              <w:right w:val="single" w:sz="8" w:color="auto"/>
            </w:tcBorders>
            <w:vMerge w:val="continue"/>
          </w:tcPr>
          <w:p>
            <w:pPr>
              <w:spacing w:after="0"/>
              <w:rPr>
                <w:sz w:val="8"/>
                <w:szCs w:val="8"/>
                <w:color w:val="auto"/>
              </w:rPr>
            </w:pPr>
          </w:p>
        </w:tc>
        <w:tc>
          <w:tcPr>
            <w:tcW w:w="5820" w:type="dxa"/>
            <w:vAlign w:val="bottom"/>
            <w:tcBorders>
              <w:right w:val="single" w:sz="8" w:color="auto"/>
            </w:tcBorders>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418"/>
        </w:trPr>
        <w:tc>
          <w:tcPr>
            <w:tcW w:w="1380" w:type="dxa"/>
            <w:vAlign w:val="bottom"/>
            <w:tcBorders>
              <w:left w:val="single" w:sz="8" w:color="auto"/>
              <w:right w:val="single" w:sz="8" w:color="auto"/>
            </w:tcBorders>
            <w:shd w:val="clear" w:color="auto" w:fill="E36C0A"/>
          </w:tcPr>
          <w:p>
            <w:pPr>
              <w:spacing w:after="0"/>
              <w:rPr>
                <w:sz w:val="24"/>
                <w:szCs w:val="24"/>
                <w:color w:val="auto"/>
              </w:rPr>
            </w:pPr>
          </w:p>
        </w:tc>
        <w:tc>
          <w:tcPr>
            <w:tcW w:w="1340" w:type="dxa"/>
            <w:vAlign w:val="bottom"/>
            <w:tcBorders>
              <w:right w:val="single" w:sz="8" w:color="auto"/>
            </w:tcBorders>
            <w:shd w:val="clear" w:color="auto" w:fill="BFBFBF"/>
          </w:tcPr>
          <w:p>
            <w:pPr>
              <w:spacing w:after="0"/>
              <w:rPr>
                <w:sz w:val="24"/>
                <w:szCs w:val="24"/>
                <w:color w:val="auto"/>
              </w:rPr>
            </w:pPr>
          </w:p>
        </w:tc>
        <w:tc>
          <w:tcPr>
            <w:tcW w:w="760" w:type="dxa"/>
            <w:vAlign w:val="bottom"/>
          </w:tcPr>
          <w:p>
            <w:pPr>
              <w:spacing w:after="0"/>
              <w:rPr>
                <w:sz w:val="24"/>
                <w:szCs w:val="24"/>
                <w:color w:val="auto"/>
              </w:rPr>
            </w:pPr>
          </w:p>
        </w:tc>
        <w:tc>
          <w:tcPr>
            <w:tcW w:w="580" w:type="dxa"/>
            <w:vAlign w:val="bottom"/>
            <w:tcBorders>
              <w:right w:val="single" w:sz="8" w:color="auto"/>
            </w:tcBorders>
          </w:tcPr>
          <w:p>
            <w:pPr>
              <w:spacing w:after="0"/>
              <w:rPr>
                <w:sz w:val="24"/>
                <w:szCs w:val="24"/>
                <w:color w:val="auto"/>
              </w:rPr>
            </w:pPr>
          </w:p>
        </w:tc>
        <w:tc>
          <w:tcPr>
            <w:tcW w:w="1360" w:type="dxa"/>
            <w:vAlign w:val="bottom"/>
            <w:tcBorders>
              <w:right w:val="single" w:sz="8" w:color="auto"/>
            </w:tcBorders>
          </w:tcPr>
          <w:p>
            <w:pPr>
              <w:spacing w:after="0"/>
              <w:rPr>
                <w:sz w:val="24"/>
                <w:szCs w:val="24"/>
                <w:color w:val="auto"/>
              </w:rPr>
            </w:pPr>
          </w:p>
        </w:tc>
        <w:tc>
          <w:tcPr>
            <w:tcW w:w="10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57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w w:val="97"/>
              </w:rPr>
              <w:t>ESG target consisting of a diversity target and an employee engagement</w:t>
            </w:r>
          </w:p>
        </w:tc>
        <w:tc>
          <w:tcPr>
            <w:tcW w:w="0" w:type="dxa"/>
            <w:vAlign w:val="bottom"/>
          </w:tcPr>
          <w:p>
            <w:pPr>
              <w:spacing w:after="0"/>
              <w:rPr>
                <w:sz w:val="1"/>
                <w:szCs w:val="1"/>
                <w:color w:val="auto"/>
              </w:rPr>
            </w:pPr>
          </w:p>
        </w:tc>
      </w:tr>
      <w:tr>
        <w:trPr>
          <w:trHeight w:val="230"/>
        </w:trPr>
        <w:tc>
          <w:tcPr>
            <w:tcW w:w="1380" w:type="dxa"/>
            <w:vAlign w:val="bottom"/>
            <w:tcBorders>
              <w:left w:val="single" w:sz="8" w:color="auto"/>
              <w:right w:val="single" w:sz="8" w:color="auto"/>
            </w:tcBorders>
            <w:shd w:val="clear" w:color="auto" w:fill="E36C0A"/>
          </w:tcPr>
          <w:p>
            <w:pPr>
              <w:spacing w:after="0"/>
              <w:rPr>
                <w:sz w:val="20"/>
                <w:szCs w:val="20"/>
                <w:color w:val="auto"/>
              </w:rPr>
            </w:pPr>
          </w:p>
        </w:tc>
        <w:tc>
          <w:tcPr>
            <w:tcW w:w="1340" w:type="dxa"/>
            <w:vAlign w:val="bottom"/>
            <w:tcBorders>
              <w:right w:val="single" w:sz="8" w:color="auto"/>
            </w:tcBorders>
            <w:shd w:val="clear" w:color="auto" w:fill="BFBFBF"/>
          </w:tcPr>
          <w:p>
            <w:pPr>
              <w:spacing w:after="0"/>
              <w:rPr>
                <w:sz w:val="20"/>
                <w:szCs w:val="20"/>
                <w:color w:val="auto"/>
              </w:rPr>
            </w:pPr>
          </w:p>
        </w:tc>
        <w:tc>
          <w:tcPr>
            <w:tcW w:w="760" w:type="dxa"/>
            <w:vAlign w:val="bottom"/>
          </w:tcPr>
          <w:p>
            <w:pPr>
              <w:spacing w:after="0"/>
              <w:rPr>
                <w:sz w:val="20"/>
                <w:szCs w:val="20"/>
                <w:color w:val="auto"/>
              </w:rPr>
            </w:pPr>
          </w:p>
        </w:tc>
        <w:tc>
          <w:tcPr>
            <w:tcW w:w="580" w:type="dxa"/>
            <w:vAlign w:val="bottom"/>
            <w:tcBorders>
              <w:right w:val="single" w:sz="8" w:color="auto"/>
            </w:tcBorders>
          </w:tcPr>
          <w:p>
            <w:pPr>
              <w:spacing w:after="0"/>
              <w:rPr>
                <w:sz w:val="20"/>
                <w:szCs w:val="20"/>
                <w:color w:val="auto"/>
              </w:rPr>
            </w:pPr>
          </w:p>
        </w:tc>
        <w:tc>
          <w:tcPr>
            <w:tcW w:w="1360" w:type="dxa"/>
            <w:vAlign w:val="bottom"/>
            <w:tcBorders>
              <w:right w:val="single" w:sz="8" w:color="auto"/>
            </w:tcBorders>
          </w:tcPr>
          <w:p>
            <w:pPr>
              <w:spacing w:after="0"/>
              <w:rPr>
                <w:sz w:val="20"/>
                <w:szCs w:val="20"/>
                <w:color w:val="auto"/>
              </w:rPr>
            </w:pPr>
          </w:p>
        </w:tc>
        <w:tc>
          <w:tcPr>
            <w:tcW w:w="582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rPr>
              <w:t>target (weighted with 20% within the overall target achievement).</w:t>
            </w:r>
          </w:p>
        </w:tc>
        <w:tc>
          <w:tcPr>
            <w:tcW w:w="0" w:type="dxa"/>
            <w:vAlign w:val="bottom"/>
          </w:tcPr>
          <w:p>
            <w:pPr>
              <w:spacing w:after="0"/>
              <w:rPr>
                <w:sz w:val="1"/>
                <w:szCs w:val="1"/>
                <w:color w:val="auto"/>
              </w:rPr>
            </w:pPr>
          </w:p>
        </w:tc>
      </w:tr>
      <w:tr>
        <w:trPr>
          <w:trHeight w:val="40"/>
        </w:trPr>
        <w:tc>
          <w:tcPr>
            <w:tcW w:w="1380" w:type="dxa"/>
            <w:vAlign w:val="bottom"/>
            <w:tcBorders>
              <w:left w:val="single" w:sz="8" w:color="auto"/>
              <w:bottom w:val="single" w:sz="8" w:color="E36C0A"/>
              <w:right w:val="single" w:sz="8" w:color="auto"/>
            </w:tcBorders>
            <w:shd w:val="clear" w:color="auto" w:fill="E36C0A"/>
          </w:tcPr>
          <w:p>
            <w:pPr>
              <w:spacing w:after="0"/>
              <w:rPr>
                <w:sz w:val="3"/>
                <w:szCs w:val="3"/>
                <w:color w:val="auto"/>
              </w:rPr>
            </w:pPr>
          </w:p>
        </w:tc>
        <w:tc>
          <w:tcPr>
            <w:tcW w:w="1340" w:type="dxa"/>
            <w:vAlign w:val="bottom"/>
            <w:tcBorders>
              <w:bottom w:val="single" w:sz="8" w:color="BFBFBF"/>
              <w:right w:val="single" w:sz="8" w:color="auto"/>
            </w:tcBorders>
            <w:shd w:val="clear" w:color="auto" w:fill="BFBFBF"/>
          </w:tcPr>
          <w:p>
            <w:pPr>
              <w:spacing w:after="0"/>
              <w:rPr>
                <w:sz w:val="3"/>
                <w:szCs w:val="3"/>
                <w:color w:val="auto"/>
              </w:rPr>
            </w:pPr>
          </w:p>
        </w:tc>
        <w:tc>
          <w:tcPr>
            <w:tcW w:w="760" w:type="dxa"/>
            <w:vAlign w:val="bottom"/>
          </w:tcPr>
          <w:p>
            <w:pPr>
              <w:spacing w:after="0"/>
              <w:rPr>
                <w:sz w:val="3"/>
                <w:szCs w:val="3"/>
                <w:color w:val="auto"/>
              </w:rPr>
            </w:pPr>
          </w:p>
        </w:tc>
        <w:tc>
          <w:tcPr>
            <w:tcW w:w="580" w:type="dxa"/>
            <w:vAlign w:val="bottom"/>
            <w:tcBorders>
              <w:right w:val="single" w:sz="8" w:color="auto"/>
            </w:tcBorders>
          </w:tcPr>
          <w:p>
            <w:pPr>
              <w:spacing w:after="0"/>
              <w:rPr>
                <w:sz w:val="3"/>
                <w:szCs w:val="3"/>
                <w:color w:val="auto"/>
              </w:rPr>
            </w:pPr>
          </w:p>
        </w:tc>
        <w:tc>
          <w:tcPr>
            <w:tcW w:w="1360" w:type="dxa"/>
            <w:vAlign w:val="bottom"/>
            <w:tcBorders>
              <w:bottom w:val="single" w:sz="8" w:color="auto"/>
              <w:right w:val="single" w:sz="8" w:color="auto"/>
            </w:tcBorders>
          </w:tcPr>
          <w:p>
            <w:pPr>
              <w:spacing w:after="0"/>
              <w:rPr>
                <w:sz w:val="3"/>
                <w:szCs w:val="3"/>
                <w:color w:val="auto"/>
              </w:rPr>
            </w:pPr>
          </w:p>
        </w:tc>
        <w:tc>
          <w:tcPr>
            <w:tcW w:w="5820" w:type="dxa"/>
            <w:vAlign w:val="bottom"/>
            <w:tcBorders>
              <w:bottom w:val="single" w:sz="8" w:color="auto"/>
              <w:right w:val="single" w:sz="8" w:color="auto"/>
            </w:tcBorders>
            <w:gridSpan w:val="2"/>
          </w:tcPr>
          <w:p>
            <w:pPr>
              <w:spacing w:after="0"/>
              <w:rPr>
                <w:sz w:val="3"/>
                <w:szCs w:val="3"/>
                <w:color w:val="auto"/>
              </w:rPr>
            </w:pPr>
          </w:p>
        </w:tc>
        <w:tc>
          <w:tcPr>
            <w:tcW w:w="0" w:type="dxa"/>
            <w:vAlign w:val="bottom"/>
          </w:tcPr>
          <w:p>
            <w:pPr>
              <w:spacing w:after="0"/>
              <w:rPr>
                <w:sz w:val="1"/>
                <w:szCs w:val="1"/>
                <w:color w:val="auto"/>
              </w:rPr>
            </w:pPr>
          </w:p>
        </w:tc>
      </w:tr>
      <w:tr>
        <w:trPr>
          <w:trHeight w:val="236"/>
        </w:trPr>
        <w:tc>
          <w:tcPr>
            <w:tcW w:w="1380" w:type="dxa"/>
            <w:vAlign w:val="bottom"/>
            <w:tcBorders>
              <w:left w:val="single" w:sz="8" w:color="auto"/>
              <w:right w:val="single" w:sz="8" w:color="auto"/>
            </w:tcBorders>
            <w:shd w:val="clear" w:color="auto" w:fill="E36C0A"/>
          </w:tcPr>
          <w:p>
            <w:pPr>
              <w:spacing w:after="0"/>
              <w:rPr>
                <w:sz w:val="20"/>
                <w:szCs w:val="20"/>
                <w:color w:val="auto"/>
              </w:rPr>
            </w:pPr>
          </w:p>
        </w:tc>
        <w:tc>
          <w:tcPr>
            <w:tcW w:w="1340" w:type="dxa"/>
            <w:vAlign w:val="bottom"/>
            <w:tcBorders>
              <w:right w:val="single" w:sz="8" w:color="auto"/>
            </w:tcBorders>
            <w:shd w:val="clear" w:color="auto" w:fill="BFBFBF"/>
          </w:tcPr>
          <w:p>
            <w:pPr>
              <w:spacing w:after="0"/>
              <w:rPr>
                <w:sz w:val="20"/>
                <w:szCs w:val="20"/>
                <w:color w:val="auto"/>
              </w:rPr>
            </w:pPr>
          </w:p>
        </w:tc>
        <w:tc>
          <w:tcPr>
            <w:tcW w:w="760" w:type="dxa"/>
            <w:vAlign w:val="bottom"/>
          </w:tcPr>
          <w:p>
            <w:pPr>
              <w:spacing w:after="0"/>
              <w:rPr>
                <w:sz w:val="20"/>
                <w:szCs w:val="20"/>
                <w:color w:val="auto"/>
              </w:rPr>
            </w:pPr>
          </w:p>
        </w:tc>
        <w:tc>
          <w:tcPr>
            <w:tcW w:w="580" w:type="dxa"/>
            <w:vAlign w:val="bottom"/>
            <w:tcBorders>
              <w:right w:val="single" w:sz="8" w:color="auto"/>
            </w:tcBorders>
          </w:tcPr>
          <w:p>
            <w:pPr>
              <w:spacing w:after="0"/>
              <w:rPr>
                <w:sz w:val="20"/>
                <w:szCs w:val="20"/>
                <w:color w:val="auto"/>
              </w:rPr>
            </w:pPr>
          </w:p>
        </w:tc>
        <w:tc>
          <w:tcPr>
            <w:tcW w:w="136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Maximum limit</w:t>
            </w:r>
          </w:p>
        </w:tc>
        <w:tc>
          <w:tcPr>
            <w:tcW w:w="582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w w:val="98"/>
              </w:rPr>
              <w:t>A maximum of 100% of the originally granted number of stock options will</w:t>
            </w:r>
          </w:p>
        </w:tc>
        <w:tc>
          <w:tcPr>
            <w:tcW w:w="0" w:type="dxa"/>
            <w:vAlign w:val="bottom"/>
          </w:tcPr>
          <w:p>
            <w:pPr>
              <w:spacing w:after="0"/>
              <w:rPr>
                <w:sz w:val="1"/>
                <w:szCs w:val="1"/>
                <w:color w:val="auto"/>
              </w:rPr>
            </w:pPr>
          </w:p>
        </w:tc>
      </w:tr>
      <w:tr>
        <w:trPr>
          <w:trHeight w:val="271"/>
        </w:trPr>
        <w:tc>
          <w:tcPr>
            <w:tcW w:w="1380" w:type="dxa"/>
            <w:vAlign w:val="bottom"/>
            <w:tcBorders>
              <w:left w:val="single" w:sz="8" w:color="auto"/>
              <w:bottom w:val="single" w:sz="8" w:color="E36C0A"/>
              <w:right w:val="single" w:sz="8" w:color="auto"/>
            </w:tcBorders>
            <w:shd w:val="clear" w:color="auto" w:fill="E36C0A"/>
          </w:tcPr>
          <w:p>
            <w:pPr>
              <w:spacing w:after="0"/>
              <w:rPr>
                <w:sz w:val="23"/>
                <w:szCs w:val="23"/>
                <w:color w:val="auto"/>
              </w:rPr>
            </w:pPr>
          </w:p>
        </w:tc>
        <w:tc>
          <w:tcPr>
            <w:tcW w:w="1340" w:type="dxa"/>
            <w:vAlign w:val="bottom"/>
            <w:tcBorders>
              <w:bottom w:val="single" w:sz="8" w:color="BFBFBF"/>
              <w:right w:val="single" w:sz="8" w:color="auto"/>
            </w:tcBorders>
            <w:shd w:val="clear" w:color="auto" w:fill="BFBFBF"/>
          </w:tcPr>
          <w:p>
            <w:pPr>
              <w:spacing w:after="0"/>
              <w:rPr>
                <w:sz w:val="23"/>
                <w:szCs w:val="23"/>
                <w:color w:val="auto"/>
              </w:rPr>
            </w:pPr>
          </w:p>
        </w:tc>
        <w:tc>
          <w:tcPr>
            <w:tcW w:w="760" w:type="dxa"/>
            <w:vAlign w:val="bottom"/>
          </w:tcPr>
          <w:p>
            <w:pPr>
              <w:spacing w:after="0"/>
              <w:rPr>
                <w:sz w:val="23"/>
                <w:szCs w:val="23"/>
                <w:color w:val="auto"/>
              </w:rPr>
            </w:pPr>
          </w:p>
        </w:tc>
        <w:tc>
          <w:tcPr>
            <w:tcW w:w="580" w:type="dxa"/>
            <w:vAlign w:val="bottom"/>
            <w:tcBorders>
              <w:right w:val="single" w:sz="8" w:color="auto"/>
            </w:tcBorders>
          </w:tcPr>
          <w:p>
            <w:pPr>
              <w:spacing w:after="0"/>
              <w:rPr>
                <w:sz w:val="23"/>
                <w:szCs w:val="23"/>
                <w:color w:val="auto"/>
              </w:rPr>
            </w:pPr>
          </w:p>
        </w:tc>
        <w:tc>
          <w:tcPr>
            <w:tcW w:w="1360" w:type="dxa"/>
            <w:vAlign w:val="bottom"/>
            <w:tcBorders>
              <w:right w:val="single" w:sz="8" w:color="auto"/>
            </w:tcBorders>
          </w:tcPr>
          <w:p>
            <w:pPr>
              <w:spacing w:after="0"/>
              <w:rPr>
                <w:sz w:val="23"/>
                <w:szCs w:val="23"/>
                <w:color w:val="auto"/>
              </w:rPr>
            </w:pPr>
          </w:p>
        </w:tc>
        <w:tc>
          <w:tcPr>
            <w:tcW w:w="582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rPr>
              <w:t>actually become exercisable</w:t>
            </w:r>
          </w:p>
        </w:tc>
        <w:tc>
          <w:tcPr>
            <w:tcW w:w="0" w:type="dxa"/>
            <w:vAlign w:val="bottom"/>
          </w:tcPr>
          <w:p>
            <w:pPr>
              <w:spacing w:after="0"/>
              <w:rPr>
                <w:sz w:val="1"/>
                <w:szCs w:val="1"/>
                <w:color w:val="auto"/>
              </w:rPr>
            </w:pPr>
          </w:p>
        </w:tc>
      </w:tr>
      <w:tr>
        <w:trPr>
          <w:trHeight w:val="642"/>
        </w:trPr>
        <w:tc>
          <w:tcPr>
            <w:tcW w:w="1380" w:type="dxa"/>
            <w:vAlign w:val="bottom"/>
            <w:tcBorders>
              <w:top w:val="single" w:sz="8" w:color="auto"/>
              <w:bottom w:val="single" w:sz="8" w:color="auto"/>
            </w:tcBorders>
          </w:tcPr>
          <w:p>
            <w:pPr>
              <w:spacing w:after="0"/>
              <w:rPr>
                <w:sz w:val="24"/>
                <w:szCs w:val="24"/>
                <w:color w:val="auto"/>
              </w:rPr>
            </w:pPr>
          </w:p>
        </w:tc>
        <w:tc>
          <w:tcPr>
            <w:tcW w:w="1340" w:type="dxa"/>
            <w:vAlign w:val="bottom"/>
            <w:tcBorders>
              <w:top w:val="single" w:sz="8" w:color="auto"/>
              <w:bottom w:val="single" w:sz="8" w:color="auto"/>
            </w:tcBorders>
          </w:tcPr>
          <w:p>
            <w:pPr>
              <w:spacing w:after="0"/>
              <w:rPr>
                <w:sz w:val="24"/>
                <w:szCs w:val="24"/>
                <w:color w:val="auto"/>
              </w:rPr>
            </w:pPr>
          </w:p>
        </w:tc>
        <w:tc>
          <w:tcPr>
            <w:tcW w:w="760" w:type="dxa"/>
            <w:vAlign w:val="bottom"/>
            <w:tcBorders>
              <w:top w:val="single" w:sz="8" w:color="auto"/>
              <w:bottom w:val="single" w:sz="8" w:color="auto"/>
            </w:tcBorders>
          </w:tcPr>
          <w:p>
            <w:pPr>
              <w:spacing w:after="0"/>
              <w:rPr>
                <w:sz w:val="24"/>
                <w:szCs w:val="24"/>
                <w:color w:val="auto"/>
              </w:rPr>
            </w:pPr>
          </w:p>
        </w:tc>
        <w:tc>
          <w:tcPr>
            <w:tcW w:w="580" w:type="dxa"/>
            <w:vAlign w:val="bottom"/>
            <w:tcBorders>
              <w:top w:val="single" w:sz="8" w:color="auto"/>
              <w:bottom w:val="single" w:sz="8" w:color="auto"/>
            </w:tcBorders>
          </w:tcPr>
          <w:p>
            <w:pPr>
              <w:spacing w:after="0"/>
              <w:rPr>
                <w:sz w:val="24"/>
                <w:szCs w:val="24"/>
                <w:color w:val="auto"/>
              </w:rPr>
            </w:pPr>
          </w:p>
        </w:tc>
        <w:tc>
          <w:tcPr>
            <w:tcW w:w="136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5720" w:type="dxa"/>
            <w:vAlign w:val="bottom"/>
            <w:tcBorders>
              <w:top w:val="single" w:sz="8" w:color="auto"/>
              <w:bottom w:val="single" w:sz="8" w:color="auto"/>
            </w:tcBorders>
          </w:tcPr>
          <w:p>
            <w:pPr>
              <w:jc w:val="right"/>
              <w:ind w:right="5430"/>
              <w:spacing w:after="0"/>
              <w:rPr>
                <w:sz w:val="20"/>
                <w:szCs w:val="20"/>
                <w:color w:val="auto"/>
              </w:rPr>
            </w:pPr>
            <w:r>
              <w:rPr>
                <w:rFonts w:ascii="Arial" w:cs="Arial" w:eastAsia="Arial" w:hAnsi="Arial"/>
                <w:sz w:val="18"/>
                <w:szCs w:val="18"/>
                <w:color w:val="auto"/>
                <w:w w:val="89"/>
              </w:rPr>
              <w:t>27</w:t>
            </w:r>
          </w:p>
        </w:tc>
        <w:tc>
          <w:tcPr>
            <w:tcW w:w="0" w:type="dxa"/>
            <w:vAlign w:val="bottom"/>
          </w:tcPr>
          <w:p>
            <w:pPr>
              <w:spacing w:after="0"/>
              <w:rPr>
                <w:sz w:val="1"/>
                <w:szCs w:val="1"/>
                <w:color w:val="auto"/>
              </w:rPr>
            </w:pPr>
          </w:p>
        </w:tc>
      </w:tr>
    </w:tbl>
    <w:p>
      <w:pPr>
        <w:sectPr>
          <w:pgSz w:w="11900" w:h="16838" w:orient="portrait"/>
          <w:cols w:equalWidth="0" w:num="1">
            <w:col w:w="11240"/>
          </w:cols>
          <w:pgMar w:left="320" w:top="551" w:right="339" w:bottom="1440" w:gutter="0" w:footer="0" w:header="0"/>
        </w:sectPr>
      </w:pPr>
    </w:p>
    <w:bookmarkStart w:id="31" w:name="page32"/>
    <w:bookmarkEnd w:id="31"/>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52"/>
        </w:trPr>
        <w:tc>
          <w:tcPr>
            <w:tcW w:w="1380" w:type="dxa"/>
            <w:vAlign w:val="bottom"/>
            <w:tcBorders>
              <w:top w:val="single" w:sz="8" w:color="auto"/>
              <w:left w:val="single" w:sz="8" w:color="auto"/>
              <w:right w:val="single" w:sz="8" w:color="auto"/>
            </w:tcBorders>
            <w:shd w:val="clear" w:color="auto" w:fill="E36C0A"/>
          </w:tcPr>
          <w:p>
            <w:pPr>
              <w:spacing w:after="0"/>
              <w:rPr>
                <w:sz w:val="21"/>
                <w:szCs w:val="21"/>
                <w:color w:val="auto"/>
              </w:rPr>
            </w:pPr>
          </w:p>
        </w:tc>
        <w:tc>
          <w:tcPr>
            <w:tcW w:w="1100" w:type="dxa"/>
            <w:vAlign w:val="bottom"/>
            <w:tcBorders>
              <w:top w:val="single" w:sz="8" w:color="auto"/>
            </w:tcBorders>
            <w:shd w:val="clear" w:color="auto" w:fill="BFBFBF"/>
          </w:tcPr>
          <w:p>
            <w:pPr>
              <w:spacing w:after="0"/>
              <w:rPr>
                <w:sz w:val="21"/>
                <w:szCs w:val="21"/>
                <w:color w:val="auto"/>
              </w:rPr>
            </w:pPr>
          </w:p>
        </w:tc>
        <w:tc>
          <w:tcPr>
            <w:tcW w:w="240" w:type="dxa"/>
            <w:vAlign w:val="bottom"/>
            <w:tcBorders>
              <w:top w:val="single" w:sz="8" w:color="auto"/>
              <w:right w:val="single" w:sz="8" w:color="auto"/>
            </w:tcBorders>
            <w:shd w:val="clear" w:color="auto" w:fill="BFBFBF"/>
          </w:tcPr>
          <w:p>
            <w:pPr>
              <w:spacing w:after="0"/>
              <w:rPr>
                <w:sz w:val="21"/>
                <w:szCs w:val="21"/>
                <w:color w:val="auto"/>
              </w:rPr>
            </w:pPr>
          </w:p>
        </w:tc>
        <w:tc>
          <w:tcPr>
            <w:tcW w:w="1340" w:type="dxa"/>
            <w:vAlign w:val="bottom"/>
            <w:tcBorders>
              <w:top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Stock</w:t>
            </w:r>
          </w:p>
        </w:tc>
        <w:tc>
          <w:tcPr>
            <w:tcW w:w="1360" w:type="dxa"/>
            <w:vAlign w:val="bottom"/>
            <w:tcBorders>
              <w:top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Structure</w:t>
            </w:r>
          </w:p>
        </w:tc>
        <w:tc>
          <w:tcPr>
            <w:tcW w:w="5820" w:type="dxa"/>
            <w:vAlign w:val="bottom"/>
            <w:tcBorders>
              <w:top w:val="single" w:sz="8" w:color="auto"/>
              <w:right w:val="single" w:sz="8" w:color="auto"/>
            </w:tcBorders>
            <w:gridSpan w:val="2"/>
          </w:tcPr>
          <w:p>
            <w:pPr>
              <w:ind w:left="20"/>
              <w:spacing w:after="0"/>
              <w:rPr>
                <w:sz w:val="20"/>
                <w:szCs w:val="20"/>
                <w:color w:val="auto"/>
              </w:rPr>
            </w:pPr>
            <w:r>
              <w:rPr>
                <w:rFonts w:ascii="Arial" w:cs="Arial" w:eastAsia="Arial" w:hAnsi="Arial"/>
                <w:sz w:val="18"/>
                <w:szCs w:val="18"/>
                <w:color w:val="auto"/>
                <w:w w:val="91"/>
              </w:rPr>
              <w:t>Share-based remuneration program consisting of stock appreciation rights with</w:t>
            </w:r>
          </w:p>
        </w:tc>
        <w:tc>
          <w:tcPr>
            <w:tcW w:w="0" w:type="dxa"/>
            <w:vAlign w:val="bottom"/>
          </w:tcPr>
          <w:p>
            <w:pPr>
              <w:spacing w:after="0"/>
              <w:rPr>
                <w:sz w:val="1"/>
                <w:szCs w:val="1"/>
                <w:color w:val="auto"/>
              </w:rPr>
            </w:pPr>
          </w:p>
        </w:tc>
      </w:tr>
      <w:tr>
        <w:trPr>
          <w:trHeight w:val="216"/>
        </w:trPr>
        <w:tc>
          <w:tcPr>
            <w:tcW w:w="1380" w:type="dxa"/>
            <w:vAlign w:val="bottom"/>
            <w:tcBorders>
              <w:left w:val="single" w:sz="8" w:color="auto"/>
              <w:right w:val="single" w:sz="8" w:color="auto"/>
            </w:tcBorders>
            <w:shd w:val="clear" w:color="auto" w:fill="E36C0A"/>
          </w:tcPr>
          <w:p>
            <w:pPr>
              <w:spacing w:after="0"/>
              <w:rPr>
                <w:sz w:val="18"/>
                <w:szCs w:val="18"/>
                <w:color w:val="auto"/>
              </w:rPr>
            </w:pPr>
          </w:p>
        </w:tc>
        <w:tc>
          <w:tcPr>
            <w:tcW w:w="1100" w:type="dxa"/>
            <w:vAlign w:val="bottom"/>
            <w:shd w:val="clear" w:color="auto" w:fill="BFBFBF"/>
          </w:tcPr>
          <w:p>
            <w:pPr>
              <w:spacing w:after="0"/>
              <w:rPr>
                <w:sz w:val="18"/>
                <w:szCs w:val="18"/>
                <w:color w:val="auto"/>
              </w:rPr>
            </w:pPr>
          </w:p>
        </w:tc>
        <w:tc>
          <w:tcPr>
            <w:tcW w:w="240" w:type="dxa"/>
            <w:vAlign w:val="bottom"/>
            <w:tcBorders>
              <w:right w:val="single" w:sz="8" w:color="auto"/>
            </w:tcBorders>
            <w:shd w:val="clear" w:color="auto" w:fill="BFBFBF"/>
          </w:tcPr>
          <w:p>
            <w:pPr>
              <w:spacing w:after="0"/>
              <w:rPr>
                <w:sz w:val="18"/>
                <w:szCs w:val="18"/>
                <w:color w:val="auto"/>
              </w:rPr>
            </w:pPr>
          </w:p>
        </w:tc>
        <w:tc>
          <w:tcPr>
            <w:tcW w:w="1340" w:type="dxa"/>
            <w:vAlign w:val="bottom"/>
            <w:tcBorders>
              <w:right w:val="single" w:sz="8" w:color="auto"/>
            </w:tcBorders>
          </w:tcPr>
          <w:p>
            <w:pPr>
              <w:ind w:left="40"/>
              <w:spacing w:after="0"/>
              <w:rPr>
                <w:sz w:val="20"/>
                <w:szCs w:val="20"/>
                <w:color w:val="auto"/>
              </w:rPr>
            </w:pPr>
            <w:r>
              <w:rPr>
                <w:rFonts w:ascii="Arial" w:cs="Arial" w:eastAsia="Arial" w:hAnsi="Arial"/>
                <w:sz w:val="18"/>
                <w:szCs w:val="18"/>
                <w:b w:val="1"/>
                <w:bCs w:val="1"/>
                <w:color w:val="auto"/>
              </w:rPr>
              <w:t>Appreciation</w:t>
            </w:r>
          </w:p>
        </w:tc>
        <w:tc>
          <w:tcPr>
            <w:tcW w:w="1360" w:type="dxa"/>
            <w:vAlign w:val="bottom"/>
            <w:tcBorders>
              <w:right w:val="single" w:sz="8" w:color="auto"/>
            </w:tcBorders>
          </w:tcPr>
          <w:p>
            <w:pPr>
              <w:spacing w:after="0"/>
              <w:rPr>
                <w:sz w:val="18"/>
                <w:szCs w:val="18"/>
                <w:color w:val="auto"/>
              </w:rPr>
            </w:pPr>
          </w:p>
        </w:tc>
        <w:tc>
          <w:tcPr>
            <w:tcW w:w="582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rPr>
              <w:t>a four-year waiting period, which are generally settled in cash</w:t>
            </w:r>
          </w:p>
        </w:tc>
        <w:tc>
          <w:tcPr>
            <w:tcW w:w="0" w:type="dxa"/>
            <w:vAlign w:val="bottom"/>
          </w:tcPr>
          <w:p>
            <w:pPr>
              <w:spacing w:after="0"/>
              <w:rPr>
                <w:sz w:val="1"/>
                <w:szCs w:val="1"/>
                <w:color w:val="auto"/>
              </w:rPr>
            </w:pPr>
          </w:p>
        </w:tc>
      </w:tr>
      <w:tr>
        <w:trPr>
          <w:trHeight w:val="59"/>
        </w:trPr>
        <w:tc>
          <w:tcPr>
            <w:tcW w:w="1380" w:type="dxa"/>
            <w:vAlign w:val="bottom"/>
            <w:tcBorders>
              <w:left w:val="single" w:sz="8" w:color="auto"/>
              <w:bottom w:val="single" w:sz="8" w:color="E36C0A"/>
              <w:right w:val="single" w:sz="8" w:color="auto"/>
            </w:tcBorders>
            <w:shd w:val="clear" w:color="auto" w:fill="E36C0A"/>
          </w:tcPr>
          <w:p>
            <w:pPr>
              <w:spacing w:after="0"/>
              <w:rPr>
                <w:sz w:val="5"/>
                <w:szCs w:val="5"/>
                <w:color w:val="auto"/>
              </w:rPr>
            </w:pPr>
          </w:p>
        </w:tc>
        <w:tc>
          <w:tcPr>
            <w:tcW w:w="1100" w:type="dxa"/>
            <w:vAlign w:val="bottom"/>
            <w:tcBorders>
              <w:bottom w:val="single" w:sz="8" w:color="BFBFBF"/>
            </w:tcBorders>
            <w:shd w:val="clear" w:color="auto" w:fill="BFBFBF"/>
          </w:tcPr>
          <w:p>
            <w:pPr>
              <w:spacing w:after="0"/>
              <w:rPr>
                <w:sz w:val="5"/>
                <w:szCs w:val="5"/>
                <w:color w:val="auto"/>
              </w:rPr>
            </w:pPr>
          </w:p>
        </w:tc>
        <w:tc>
          <w:tcPr>
            <w:tcW w:w="240" w:type="dxa"/>
            <w:vAlign w:val="bottom"/>
            <w:tcBorders>
              <w:bottom w:val="single" w:sz="8" w:color="BFBFBF"/>
              <w:right w:val="single" w:sz="8" w:color="auto"/>
            </w:tcBorders>
            <w:shd w:val="clear" w:color="auto" w:fill="BFBFBF"/>
          </w:tcPr>
          <w:p>
            <w:pPr>
              <w:spacing w:after="0"/>
              <w:rPr>
                <w:sz w:val="5"/>
                <w:szCs w:val="5"/>
                <w:color w:val="auto"/>
              </w:rPr>
            </w:pPr>
          </w:p>
        </w:tc>
        <w:tc>
          <w:tcPr>
            <w:tcW w:w="13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b w:val="1"/>
                <w:bCs w:val="1"/>
                <w:color w:val="auto"/>
              </w:rPr>
              <w:t>Rights</w:t>
            </w:r>
          </w:p>
        </w:tc>
        <w:tc>
          <w:tcPr>
            <w:tcW w:w="1360" w:type="dxa"/>
            <w:vAlign w:val="bottom"/>
            <w:tcBorders>
              <w:bottom w:val="single" w:sz="8" w:color="auto"/>
              <w:right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57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56"/>
        </w:trPr>
        <w:tc>
          <w:tcPr>
            <w:tcW w:w="1380" w:type="dxa"/>
            <w:vAlign w:val="bottom"/>
            <w:tcBorders>
              <w:left w:val="single" w:sz="8" w:color="auto"/>
              <w:right w:val="single" w:sz="8" w:color="auto"/>
            </w:tcBorders>
            <w:shd w:val="clear" w:color="auto" w:fill="E36C0A"/>
          </w:tcPr>
          <w:p>
            <w:pPr>
              <w:spacing w:after="0"/>
              <w:rPr>
                <w:sz w:val="13"/>
                <w:szCs w:val="13"/>
                <w:color w:val="auto"/>
              </w:rPr>
            </w:pPr>
          </w:p>
        </w:tc>
        <w:tc>
          <w:tcPr>
            <w:tcW w:w="1100" w:type="dxa"/>
            <w:vAlign w:val="bottom"/>
            <w:shd w:val="clear" w:color="auto" w:fill="BFBFBF"/>
          </w:tcPr>
          <w:p>
            <w:pPr>
              <w:spacing w:after="0"/>
              <w:rPr>
                <w:sz w:val="13"/>
                <w:szCs w:val="13"/>
                <w:color w:val="auto"/>
              </w:rPr>
            </w:pPr>
          </w:p>
        </w:tc>
        <w:tc>
          <w:tcPr>
            <w:tcW w:w="240" w:type="dxa"/>
            <w:vAlign w:val="bottom"/>
            <w:tcBorders>
              <w:right w:val="single" w:sz="8" w:color="auto"/>
            </w:tcBorders>
            <w:shd w:val="clear" w:color="auto" w:fill="BFBFBF"/>
          </w:tcPr>
          <w:p>
            <w:pPr>
              <w:spacing w:after="0"/>
              <w:rPr>
                <w:sz w:val="13"/>
                <w:szCs w:val="13"/>
                <w:color w:val="auto"/>
              </w:rPr>
            </w:pPr>
          </w:p>
        </w:tc>
        <w:tc>
          <w:tcPr>
            <w:tcW w:w="1340" w:type="dxa"/>
            <w:vAlign w:val="bottom"/>
            <w:tcBorders>
              <w:right w:val="single" w:sz="8" w:color="auto"/>
            </w:tcBorders>
            <w:vMerge w:val="continue"/>
          </w:tcPr>
          <w:p>
            <w:pPr>
              <w:spacing w:after="0"/>
              <w:rPr>
                <w:sz w:val="13"/>
                <w:szCs w:val="13"/>
                <w:color w:val="auto"/>
              </w:rPr>
            </w:pPr>
          </w:p>
        </w:tc>
        <w:tc>
          <w:tcPr>
            <w:tcW w:w="136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Performance</w:t>
            </w:r>
          </w:p>
        </w:tc>
        <w:tc>
          <w:tcPr>
            <w:tcW w:w="100" w:type="dxa"/>
            <w:vAlign w:val="bottom"/>
            <w:vMerge w:val="restart"/>
          </w:tcPr>
          <w:p>
            <w:pPr>
              <w:ind w:left="20"/>
              <w:spacing w:after="0"/>
              <w:rPr>
                <w:sz w:val="20"/>
                <w:szCs w:val="20"/>
                <w:color w:val="auto"/>
              </w:rPr>
            </w:pPr>
            <w:r>
              <w:rPr>
                <w:rFonts w:ascii="Arial" w:cs="Arial" w:eastAsia="Arial" w:hAnsi="Arial"/>
                <w:sz w:val="18"/>
                <w:szCs w:val="18"/>
                <w:color w:val="auto"/>
                <w:w w:val="99"/>
              </w:rPr>
              <w:t>·</w:t>
            </w:r>
          </w:p>
        </w:tc>
        <w:tc>
          <w:tcPr>
            <w:tcW w:w="572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Absolute share price performance of Mynaric AG (weighted with 80%</w:t>
            </w:r>
          </w:p>
        </w:tc>
        <w:tc>
          <w:tcPr>
            <w:tcW w:w="0" w:type="dxa"/>
            <w:vAlign w:val="bottom"/>
          </w:tcPr>
          <w:p>
            <w:pPr>
              <w:spacing w:after="0"/>
              <w:rPr>
                <w:sz w:val="1"/>
                <w:szCs w:val="1"/>
                <w:color w:val="auto"/>
              </w:rPr>
            </w:pPr>
          </w:p>
        </w:tc>
      </w:tr>
      <w:tr>
        <w:trPr>
          <w:trHeight w:val="80"/>
        </w:trPr>
        <w:tc>
          <w:tcPr>
            <w:tcW w:w="1380" w:type="dxa"/>
            <w:vAlign w:val="bottom"/>
            <w:tcBorders>
              <w:left w:val="single" w:sz="8" w:color="auto"/>
              <w:right w:val="single" w:sz="8" w:color="auto"/>
            </w:tcBorders>
            <w:shd w:val="clear" w:color="auto" w:fill="E36C0A"/>
          </w:tcPr>
          <w:p>
            <w:pPr>
              <w:spacing w:after="0"/>
              <w:rPr>
                <w:sz w:val="6"/>
                <w:szCs w:val="6"/>
                <w:color w:val="auto"/>
              </w:rPr>
            </w:pPr>
          </w:p>
        </w:tc>
        <w:tc>
          <w:tcPr>
            <w:tcW w:w="1100" w:type="dxa"/>
            <w:vAlign w:val="bottom"/>
            <w:shd w:val="clear" w:color="auto" w:fill="BFBFBF"/>
          </w:tcPr>
          <w:p>
            <w:pPr>
              <w:spacing w:after="0"/>
              <w:rPr>
                <w:sz w:val="6"/>
                <w:szCs w:val="6"/>
                <w:color w:val="auto"/>
              </w:rPr>
            </w:pPr>
          </w:p>
        </w:tc>
        <w:tc>
          <w:tcPr>
            <w:tcW w:w="240" w:type="dxa"/>
            <w:vAlign w:val="bottom"/>
            <w:tcBorders>
              <w:right w:val="single" w:sz="8" w:color="auto"/>
            </w:tcBorders>
            <w:shd w:val="clear" w:color="auto" w:fill="BFBFBF"/>
          </w:tcPr>
          <w:p>
            <w:pPr>
              <w:spacing w:after="0"/>
              <w:rPr>
                <w:sz w:val="6"/>
                <w:szCs w:val="6"/>
                <w:color w:val="auto"/>
              </w:rPr>
            </w:pPr>
          </w:p>
        </w:tc>
        <w:tc>
          <w:tcPr>
            <w:tcW w:w="1340" w:type="dxa"/>
            <w:vAlign w:val="bottom"/>
            <w:tcBorders>
              <w:right w:val="single" w:sz="8" w:color="auto"/>
            </w:tcBorders>
          </w:tcPr>
          <w:p>
            <w:pPr>
              <w:spacing w:after="0"/>
              <w:rPr>
                <w:sz w:val="6"/>
                <w:szCs w:val="6"/>
                <w:color w:val="auto"/>
              </w:rPr>
            </w:pPr>
          </w:p>
        </w:tc>
        <w:tc>
          <w:tcPr>
            <w:tcW w:w="1360" w:type="dxa"/>
            <w:vAlign w:val="bottom"/>
            <w:tcBorders>
              <w:right w:val="single" w:sz="8" w:color="auto"/>
            </w:tcBorders>
            <w:vMerge w:val="continue"/>
          </w:tcPr>
          <w:p>
            <w:pPr>
              <w:spacing w:after="0"/>
              <w:rPr>
                <w:sz w:val="6"/>
                <w:szCs w:val="6"/>
                <w:color w:val="auto"/>
              </w:rPr>
            </w:pPr>
          </w:p>
        </w:tc>
        <w:tc>
          <w:tcPr>
            <w:tcW w:w="100" w:type="dxa"/>
            <w:vAlign w:val="bottom"/>
            <w:vMerge w:val="continue"/>
          </w:tcPr>
          <w:p>
            <w:pPr>
              <w:spacing w:after="0"/>
              <w:rPr>
                <w:sz w:val="6"/>
                <w:szCs w:val="6"/>
                <w:color w:val="auto"/>
              </w:rPr>
            </w:pPr>
          </w:p>
        </w:tc>
        <w:tc>
          <w:tcPr>
            <w:tcW w:w="5720" w:type="dxa"/>
            <w:vAlign w:val="bottom"/>
            <w:tcBorders>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30"/>
        </w:trPr>
        <w:tc>
          <w:tcPr>
            <w:tcW w:w="1380" w:type="dxa"/>
            <w:vAlign w:val="bottom"/>
            <w:tcBorders>
              <w:left w:val="single" w:sz="8" w:color="auto"/>
              <w:right w:val="single" w:sz="8" w:color="auto"/>
            </w:tcBorders>
            <w:shd w:val="clear" w:color="auto" w:fill="E36C0A"/>
          </w:tcPr>
          <w:p>
            <w:pPr>
              <w:spacing w:after="0"/>
              <w:rPr>
                <w:sz w:val="20"/>
                <w:szCs w:val="20"/>
                <w:color w:val="auto"/>
              </w:rPr>
            </w:pPr>
          </w:p>
        </w:tc>
        <w:tc>
          <w:tcPr>
            <w:tcW w:w="1100" w:type="dxa"/>
            <w:vAlign w:val="bottom"/>
            <w:shd w:val="clear" w:color="auto" w:fill="BFBFBF"/>
          </w:tcPr>
          <w:p>
            <w:pPr>
              <w:spacing w:after="0"/>
              <w:rPr>
                <w:sz w:val="20"/>
                <w:szCs w:val="20"/>
                <w:color w:val="auto"/>
              </w:rPr>
            </w:pPr>
          </w:p>
        </w:tc>
        <w:tc>
          <w:tcPr>
            <w:tcW w:w="240" w:type="dxa"/>
            <w:vAlign w:val="bottom"/>
            <w:tcBorders>
              <w:right w:val="single" w:sz="8" w:color="auto"/>
            </w:tcBorders>
            <w:shd w:val="clear" w:color="auto" w:fill="BFBFBF"/>
          </w:tcPr>
          <w:p>
            <w:pPr>
              <w:spacing w:after="0"/>
              <w:rPr>
                <w:sz w:val="20"/>
                <w:szCs w:val="20"/>
                <w:color w:val="auto"/>
              </w:rPr>
            </w:pPr>
          </w:p>
        </w:tc>
        <w:tc>
          <w:tcPr>
            <w:tcW w:w="1340" w:type="dxa"/>
            <w:vAlign w:val="bottom"/>
            <w:tcBorders>
              <w:right w:val="single" w:sz="8" w:color="auto"/>
            </w:tcBorders>
          </w:tcPr>
          <w:p>
            <w:pPr>
              <w:spacing w:after="0"/>
              <w:rPr>
                <w:sz w:val="20"/>
                <w:szCs w:val="20"/>
                <w:color w:val="auto"/>
              </w:rPr>
            </w:pPr>
          </w:p>
        </w:tc>
        <w:tc>
          <w:tcPr>
            <w:tcW w:w="136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criteria</w:t>
            </w:r>
          </w:p>
        </w:tc>
        <w:tc>
          <w:tcPr>
            <w:tcW w:w="582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rPr>
              <w:t>within the overall target achievement)</w:t>
            </w:r>
          </w:p>
        </w:tc>
        <w:tc>
          <w:tcPr>
            <w:tcW w:w="0" w:type="dxa"/>
            <w:vAlign w:val="bottom"/>
          </w:tcPr>
          <w:p>
            <w:pPr>
              <w:spacing w:after="0"/>
              <w:rPr>
                <w:sz w:val="1"/>
                <w:szCs w:val="1"/>
                <w:color w:val="auto"/>
              </w:rPr>
            </w:pPr>
          </w:p>
        </w:tc>
      </w:tr>
      <w:tr>
        <w:trPr>
          <w:trHeight w:val="634"/>
        </w:trPr>
        <w:tc>
          <w:tcPr>
            <w:tcW w:w="1380" w:type="dxa"/>
            <w:vAlign w:val="bottom"/>
            <w:tcBorders>
              <w:left w:val="single" w:sz="8" w:color="auto"/>
              <w:right w:val="single" w:sz="8" w:color="auto"/>
            </w:tcBorders>
            <w:shd w:val="clear" w:color="auto" w:fill="E36C0A"/>
          </w:tcPr>
          <w:p>
            <w:pPr>
              <w:spacing w:after="0"/>
              <w:rPr>
                <w:sz w:val="24"/>
                <w:szCs w:val="24"/>
                <w:color w:val="auto"/>
              </w:rPr>
            </w:pPr>
          </w:p>
        </w:tc>
        <w:tc>
          <w:tcPr>
            <w:tcW w:w="1100" w:type="dxa"/>
            <w:vAlign w:val="bottom"/>
            <w:shd w:val="clear" w:color="auto" w:fill="BFBFBF"/>
          </w:tcPr>
          <w:p>
            <w:pPr>
              <w:spacing w:after="0"/>
              <w:rPr>
                <w:sz w:val="24"/>
                <w:szCs w:val="24"/>
                <w:color w:val="auto"/>
              </w:rPr>
            </w:pPr>
          </w:p>
        </w:tc>
        <w:tc>
          <w:tcPr>
            <w:tcW w:w="240" w:type="dxa"/>
            <w:vAlign w:val="bottom"/>
            <w:tcBorders>
              <w:right w:val="single" w:sz="8" w:color="auto"/>
            </w:tcBorders>
            <w:shd w:val="clear" w:color="auto" w:fill="BFBFBF"/>
          </w:tcPr>
          <w:p>
            <w:pPr>
              <w:spacing w:after="0"/>
              <w:rPr>
                <w:sz w:val="24"/>
                <w:szCs w:val="24"/>
                <w:color w:val="auto"/>
              </w:rPr>
            </w:pPr>
          </w:p>
        </w:tc>
        <w:tc>
          <w:tcPr>
            <w:tcW w:w="1340" w:type="dxa"/>
            <w:vAlign w:val="bottom"/>
            <w:tcBorders>
              <w:right w:val="single" w:sz="8" w:color="auto"/>
            </w:tcBorders>
          </w:tcPr>
          <w:p>
            <w:pPr>
              <w:spacing w:after="0"/>
              <w:rPr>
                <w:sz w:val="24"/>
                <w:szCs w:val="24"/>
                <w:color w:val="auto"/>
              </w:rPr>
            </w:pPr>
          </w:p>
        </w:tc>
        <w:tc>
          <w:tcPr>
            <w:tcW w:w="1360" w:type="dxa"/>
            <w:vAlign w:val="bottom"/>
            <w:tcBorders>
              <w:right w:val="single" w:sz="8" w:color="auto"/>
            </w:tcBorders>
          </w:tcPr>
          <w:p>
            <w:pPr>
              <w:spacing w:after="0"/>
              <w:rPr>
                <w:sz w:val="24"/>
                <w:szCs w:val="24"/>
                <w:color w:val="auto"/>
              </w:rPr>
            </w:pPr>
          </w:p>
        </w:tc>
        <w:tc>
          <w:tcPr>
            <w:tcW w:w="10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57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w w:val="97"/>
              </w:rPr>
              <w:t>ESG target consisting of a diversity target and an employee engagement</w:t>
            </w:r>
          </w:p>
        </w:tc>
        <w:tc>
          <w:tcPr>
            <w:tcW w:w="0" w:type="dxa"/>
            <w:vAlign w:val="bottom"/>
          </w:tcPr>
          <w:p>
            <w:pPr>
              <w:spacing w:after="0"/>
              <w:rPr>
                <w:sz w:val="1"/>
                <w:szCs w:val="1"/>
                <w:color w:val="auto"/>
              </w:rPr>
            </w:pPr>
          </w:p>
        </w:tc>
      </w:tr>
      <w:tr>
        <w:trPr>
          <w:trHeight w:val="230"/>
        </w:trPr>
        <w:tc>
          <w:tcPr>
            <w:tcW w:w="1380" w:type="dxa"/>
            <w:vAlign w:val="bottom"/>
            <w:tcBorders>
              <w:left w:val="single" w:sz="8" w:color="auto"/>
              <w:right w:val="single" w:sz="8" w:color="auto"/>
            </w:tcBorders>
            <w:shd w:val="clear" w:color="auto" w:fill="E36C0A"/>
          </w:tcPr>
          <w:p>
            <w:pPr>
              <w:spacing w:after="0"/>
              <w:rPr>
                <w:sz w:val="20"/>
                <w:szCs w:val="20"/>
                <w:color w:val="auto"/>
              </w:rPr>
            </w:pPr>
          </w:p>
        </w:tc>
        <w:tc>
          <w:tcPr>
            <w:tcW w:w="1100" w:type="dxa"/>
            <w:vAlign w:val="bottom"/>
            <w:shd w:val="clear" w:color="auto" w:fill="BFBFBF"/>
          </w:tcPr>
          <w:p>
            <w:pPr>
              <w:spacing w:after="0"/>
              <w:rPr>
                <w:sz w:val="20"/>
                <w:szCs w:val="20"/>
                <w:color w:val="auto"/>
              </w:rPr>
            </w:pPr>
          </w:p>
        </w:tc>
        <w:tc>
          <w:tcPr>
            <w:tcW w:w="240" w:type="dxa"/>
            <w:vAlign w:val="bottom"/>
            <w:tcBorders>
              <w:right w:val="single" w:sz="8" w:color="auto"/>
            </w:tcBorders>
            <w:shd w:val="clear" w:color="auto" w:fill="BFBFBF"/>
          </w:tcPr>
          <w:p>
            <w:pPr>
              <w:spacing w:after="0"/>
              <w:rPr>
                <w:sz w:val="20"/>
                <w:szCs w:val="20"/>
                <w:color w:val="auto"/>
              </w:rPr>
            </w:pPr>
          </w:p>
        </w:tc>
        <w:tc>
          <w:tcPr>
            <w:tcW w:w="1340" w:type="dxa"/>
            <w:vAlign w:val="bottom"/>
            <w:tcBorders>
              <w:right w:val="single" w:sz="8" w:color="auto"/>
            </w:tcBorders>
          </w:tcPr>
          <w:p>
            <w:pPr>
              <w:spacing w:after="0"/>
              <w:rPr>
                <w:sz w:val="20"/>
                <w:szCs w:val="20"/>
                <w:color w:val="auto"/>
              </w:rPr>
            </w:pPr>
          </w:p>
        </w:tc>
        <w:tc>
          <w:tcPr>
            <w:tcW w:w="1360" w:type="dxa"/>
            <w:vAlign w:val="bottom"/>
            <w:tcBorders>
              <w:right w:val="single" w:sz="8" w:color="auto"/>
            </w:tcBorders>
          </w:tcPr>
          <w:p>
            <w:pPr>
              <w:spacing w:after="0"/>
              <w:rPr>
                <w:sz w:val="20"/>
                <w:szCs w:val="20"/>
                <w:color w:val="auto"/>
              </w:rPr>
            </w:pPr>
          </w:p>
        </w:tc>
        <w:tc>
          <w:tcPr>
            <w:tcW w:w="582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rPr>
              <w:t>target (weighted with 20% within the overall target achievement).</w:t>
            </w:r>
          </w:p>
        </w:tc>
        <w:tc>
          <w:tcPr>
            <w:tcW w:w="0" w:type="dxa"/>
            <w:vAlign w:val="bottom"/>
          </w:tcPr>
          <w:p>
            <w:pPr>
              <w:spacing w:after="0"/>
              <w:rPr>
                <w:sz w:val="1"/>
                <w:szCs w:val="1"/>
                <w:color w:val="auto"/>
              </w:rPr>
            </w:pPr>
          </w:p>
        </w:tc>
      </w:tr>
      <w:tr>
        <w:trPr>
          <w:trHeight w:val="40"/>
        </w:trPr>
        <w:tc>
          <w:tcPr>
            <w:tcW w:w="1380" w:type="dxa"/>
            <w:vAlign w:val="bottom"/>
            <w:tcBorders>
              <w:left w:val="single" w:sz="8" w:color="auto"/>
              <w:bottom w:val="single" w:sz="8" w:color="E36C0A"/>
              <w:right w:val="single" w:sz="8" w:color="auto"/>
            </w:tcBorders>
            <w:shd w:val="clear" w:color="auto" w:fill="E36C0A"/>
          </w:tcPr>
          <w:p>
            <w:pPr>
              <w:spacing w:after="0"/>
              <w:rPr>
                <w:sz w:val="3"/>
                <w:szCs w:val="3"/>
                <w:color w:val="auto"/>
              </w:rPr>
            </w:pPr>
          </w:p>
        </w:tc>
        <w:tc>
          <w:tcPr>
            <w:tcW w:w="1100" w:type="dxa"/>
            <w:vAlign w:val="bottom"/>
            <w:tcBorders>
              <w:bottom w:val="single" w:sz="8" w:color="BFBFBF"/>
            </w:tcBorders>
            <w:shd w:val="clear" w:color="auto" w:fill="BFBFBF"/>
          </w:tcPr>
          <w:p>
            <w:pPr>
              <w:spacing w:after="0"/>
              <w:rPr>
                <w:sz w:val="3"/>
                <w:szCs w:val="3"/>
                <w:color w:val="auto"/>
              </w:rPr>
            </w:pPr>
          </w:p>
        </w:tc>
        <w:tc>
          <w:tcPr>
            <w:tcW w:w="240" w:type="dxa"/>
            <w:vAlign w:val="bottom"/>
            <w:tcBorders>
              <w:bottom w:val="single" w:sz="8" w:color="BFBFBF"/>
              <w:right w:val="single" w:sz="8" w:color="auto"/>
            </w:tcBorders>
            <w:shd w:val="clear" w:color="auto" w:fill="BFBFBF"/>
          </w:tcPr>
          <w:p>
            <w:pPr>
              <w:spacing w:after="0"/>
              <w:rPr>
                <w:sz w:val="3"/>
                <w:szCs w:val="3"/>
                <w:color w:val="auto"/>
              </w:rPr>
            </w:pPr>
          </w:p>
        </w:tc>
        <w:tc>
          <w:tcPr>
            <w:tcW w:w="1340" w:type="dxa"/>
            <w:vAlign w:val="bottom"/>
            <w:tcBorders>
              <w:right w:val="single" w:sz="8" w:color="auto"/>
            </w:tcBorders>
          </w:tcPr>
          <w:p>
            <w:pPr>
              <w:spacing w:after="0"/>
              <w:rPr>
                <w:sz w:val="3"/>
                <w:szCs w:val="3"/>
                <w:color w:val="auto"/>
              </w:rPr>
            </w:pPr>
          </w:p>
        </w:tc>
        <w:tc>
          <w:tcPr>
            <w:tcW w:w="1360" w:type="dxa"/>
            <w:vAlign w:val="bottom"/>
            <w:tcBorders>
              <w:bottom w:val="single" w:sz="8" w:color="auto"/>
              <w:right w:val="single" w:sz="8" w:color="auto"/>
            </w:tcBorders>
          </w:tcPr>
          <w:p>
            <w:pPr>
              <w:spacing w:after="0"/>
              <w:rPr>
                <w:sz w:val="3"/>
                <w:szCs w:val="3"/>
                <w:color w:val="auto"/>
              </w:rPr>
            </w:pPr>
          </w:p>
        </w:tc>
        <w:tc>
          <w:tcPr>
            <w:tcW w:w="5820" w:type="dxa"/>
            <w:vAlign w:val="bottom"/>
            <w:tcBorders>
              <w:bottom w:val="single" w:sz="8" w:color="auto"/>
              <w:right w:val="single" w:sz="8" w:color="auto"/>
            </w:tcBorders>
            <w:gridSpan w:val="2"/>
          </w:tcPr>
          <w:p>
            <w:pPr>
              <w:spacing w:after="0"/>
              <w:rPr>
                <w:sz w:val="3"/>
                <w:szCs w:val="3"/>
                <w:color w:val="auto"/>
              </w:rPr>
            </w:pPr>
          </w:p>
        </w:tc>
        <w:tc>
          <w:tcPr>
            <w:tcW w:w="0" w:type="dxa"/>
            <w:vAlign w:val="bottom"/>
          </w:tcPr>
          <w:p>
            <w:pPr>
              <w:spacing w:after="0"/>
              <w:rPr>
                <w:sz w:val="1"/>
                <w:szCs w:val="1"/>
                <w:color w:val="auto"/>
              </w:rPr>
            </w:pPr>
          </w:p>
        </w:tc>
      </w:tr>
      <w:tr>
        <w:trPr>
          <w:trHeight w:val="291"/>
        </w:trPr>
        <w:tc>
          <w:tcPr>
            <w:tcW w:w="1380" w:type="dxa"/>
            <w:vAlign w:val="bottom"/>
            <w:tcBorders>
              <w:left w:val="single" w:sz="8" w:color="auto"/>
              <w:bottom w:val="single" w:sz="8" w:color="E36C0A"/>
              <w:right w:val="single" w:sz="8" w:color="auto"/>
            </w:tcBorders>
            <w:shd w:val="clear" w:color="auto" w:fill="E36C0A"/>
          </w:tcPr>
          <w:p>
            <w:pPr>
              <w:spacing w:after="0"/>
              <w:rPr>
                <w:sz w:val="24"/>
                <w:szCs w:val="24"/>
                <w:color w:val="auto"/>
              </w:rPr>
            </w:pPr>
          </w:p>
        </w:tc>
        <w:tc>
          <w:tcPr>
            <w:tcW w:w="1100" w:type="dxa"/>
            <w:vAlign w:val="bottom"/>
            <w:tcBorders>
              <w:bottom w:val="single" w:sz="8" w:color="BFBFBF"/>
            </w:tcBorders>
            <w:shd w:val="clear" w:color="auto" w:fill="BFBFBF"/>
          </w:tcPr>
          <w:p>
            <w:pPr>
              <w:spacing w:after="0"/>
              <w:rPr>
                <w:sz w:val="24"/>
                <w:szCs w:val="24"/>
                <w:color w:val="auto"/>
              </w:rPr>
            </w:pPr>
          </w:p>
        </w:tc>
        <w:tc>
          <w:tcPr>
            <w:tcW w:w="240" w:type="dxa"/>
            <w:vAlign w:val="bottom"/>
            <w:tcBorders>
              <w:bottom w:val="single" w:sz="8" w:color="BFBFBF"/>
              <w:right w:val="single" w:sz="8" w:color="auto"/>
            </w:tcBorders>
            <w:shd w:val="clear" w:color="auto" w:fill="BFBFBF"/>
          </w:tcPr>
          <w:p>
            <w:pPr>
              <w:spacing w:after="0"/>
              <w:rPr>
                <w:sz w:val="24"/>
                <w:szCs w:val="24"/>
                <w:color w:val="auto"/>
              </w:rPr>
            </w:pPr>
          </w:p>
        </w:tc>
        <w:tc>
          <w:tcPr>
            <w:tcW w:w="1340" w:type="dxa"/>
            <w:vAlign w:val="bottom"/>
            <w:tcBorders>
              <w:right w:val="single" w:sz="8" w:color="auto"/>
            </w:tcBorders>
          </w:tcPr>
          <w:p>
            <w:pPr>
              <w:spacing w:after="0"/>
              <w:rPr>
                <w:sz w:val="24"/>
                <w:szCs w:val="24"/>
                <w:color w:val="auto"/>
              </w:rPr>
            </w:pPr>
          </w:p>
        </w:tc>
        <w:tc>
          <w:tcPr>
            <w:tcW w:w="136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Maximum limit</w:t>
            </w:r>
          </w:p>
        </w:tc>
        <w:tc>
          <w:tcPr>
            <w:tcW w:w="582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rPr>
              <w:t>200% of the initial grant volume if settled in cash</w:t>
            </w:r>
          </w:p>
        </w:tc>
        <w:tc>
          <w:tcPr>
            <w:tcW w:w="0" w:type="dxa"/>
            <w:vAlign w:val="bottom"/>
          </w:tcPr>
          <w:p>
            <w:pPr>
              <w:spacing w:after="0"/>
              <w:rPr>
                <w:sz w:val="1"/>
                <w:szCs w:val="1"/>
                <w:color w:val="auto"/>
              </w:rPr>
            </w:pPr>
          </w:p>
        </w:tc>
      </w:tr>
      <w:tr>
        <w:trPr>
          <w:trHeight w:val="232"/>
        </w:trPr>
        <w:tc>
          <w:tcPr>
            <w:tcW w:w="1380" w:type="dxa"/>
            <w:vAlign w:val="bottom"/>
            <w:tcBorders>
              <w:top w:val="single" w:sz="8" w:color="auto"/>
              <w:left w:val="single" w:sz="8" w:color="auto"/>
              <w:right w:val="single" w:sz="8" w:color="auto"/>
            </w:tcBorders>
            <w:shd w:val="clear" w:color="auto" w:fill="E36C0A"/>
          </w:tcPr>
          <w:p>
            <w:pPr>
              <w:ind w:left="60"/>
              <w:spacing w:after="0"/>
              <w:rPr>
                <w:sz w:val="20"/>
                <w:szCs w:val="20"/>
                <w:color w:val="auto"/>
              </w:rPr>
            </w:pPr>
            <w:r>
              <w:rPr>
                <w:rFonts w:ascii="Arial" w:cs="Arial" w:eastAsia="Arial" w:hAnsi="Arial"/>
                <w:sz w:val="18"/>
                <w:szCs w:val="18"/>
                <w:b w:val="1"/>
                <w:bCs w:val="1"/>
                <w:color w:val="auto"/>
              </w:rPr>
              <w:t>Further</w:t>
            </w:r>
          </w:p>
        </w:tc>
        <w:tc>
          <w:tcPr>
            <w:tcW w:w="1100" w:type="dxa"/>
            <w:vAlign w:val="bottom"/>
            <w:tcBorders>
              <w:top w:val="single" w:sz="8" w:color="auto"/>
            </w:tcBorders>
            <w:shd w:val="clear" w:color="auto" w:fill="BFBFBF"/>
          </w:tcPr>
          <w:p>
            <w:pPr>
              <w:ind w:left="20"/>
              <w:spacing w:after="0"/>
              <w:rPr>
                <w:sz w:val="20"/>
                <w:szCs w:val="20"/>
                <w:color w:val="auto"/>
              </w:rPr>
            </w:pPr>
            <w:r>
              <w:rPr>
                <w:rFonts w:ascii="Arial" w:cs="Arial" w:eastAsia="Arial" w:hAnsi="Arial"/>
                <w:sz w:val="18"/>
                <w:szCs w:val="18"/>
                <w:b w:val="1"/>
                <w:bCs w:val="1"/>
                <w:color w:val="auto"/>
              </w:rPr>
              <w:t>Maximum</w:t>
            </w:r>
          </w:p>
        </w:tc>
        <w:tc>
          <w:tcPr>
            <w:tcW w:w="240" w:type="dxa"/>
            <w:vAlign w:val="bottom"/>
            <w:tcBorders>
              <w:top w:val="single" w:sz="8" w:color="auto"/>
              <w:right w:val="single" w:sz="8" w:color="auto"/>
            </w:tcBorders>
            <w:shd w:val="clear" w:color="auto" w:fill="BFBFBF"/>
          </w:tcPr>
          <w:p>
            <w:pPr>
              <w:spacing w:after="0"/>
              <w:rPr>
                <w:sz w:val="20"/>
                <w:szCs w:val="20"/>
                <w:color w:val="auto"/>
              </w:rPr>
            </w:pPr>
          </w:p>
        </w:tc>
        <w:tc>
          <w:tcPr>
            <w:tcW w:w="8520" w:type="dxa"/>
            <w:vAlign w:val="bottom"/>
            <w:tcBorders>
              <w:top w:val="single" w:sz="8" w:color="auto"/>
              <w:right w:val="single" w:sz="8" w:color="auto"/>
            </w:tcBorders>
            <w:gridSpan w:val="4"/>
          </w:tcPr>
          <w:p>
            <w:pPr>
              <w:ind w:left="40"/>
              <w:spacing w:after="0"/>
              <w:rPr>
                <w:sz w:val="20"/>
                <w:szCs w:val="20"/>
                <w:color w:val="auto"/>
              </w:rPr>
            </w:pPr>
            <w:r>
              <w:rPr>
                <w:rFonts w:ascii="Arial" w:cs="Arial" w:eastAsia="Arial" w:hAnsi="Arial"/>
                <w:sz w:val="18"/>
                <w:szCs w:val="18"/>
                <w:color w:val="auto"/>
                <w:w w:val="95"/>
              </w:rPr>
              <w:t>€6 million for the chairman of the Management Board / €4 million for each ordinary member of the Management</w:t>
            </w:r>
          </w:p>
        </w:tc>
        <w:tc>
          <w:tcPr>
            <w:tcW w:w="0" w:type="dxa"/>
            <w:vAlign w:val="bottom"/>
          </w:tcPr>
          <w:p>
            <w:pPr>
              <w:spacing w:after="0"/>
              <w:rPr>
                <w:sz w:val="1"/>
                <w:szCs w:val="1"/>
                <w:color w:val="auto"/>
              </w:rPr>
            </w:pPr>
          </w:p>
        </w:tc>
      </w:tr>
      <w:tr>
        <w:trPr>
          <w:trHeight w:val="234"/>
        </w:trPr>
        <w:tc>
          <w:tcPr>
            <w:tcW w:w="1380" w:type="dxa"/>
            <w:vAlign w:val="bottom"/>
            <w:tcBorders>
              <w:left w:val="single" w:sz="8" w:color="auto"/>
              <w:right w:val="single" w:sz="8" w:color="auto"/>
            </w:tcBorders>
            <w:shd w:val="clear" w:color="auto" w:fill="E36C0A"/>
          </w:tcPr>
          <w:p>
            <w:pPr>
              <w:ind w:left="60"/>
              <w:spacing w:after="0"/>
              <w:rPr>
                <w:sz w:val="20"/>
                <w:szCs w:val="20"/>
                <w:color w:val="auto"/>
              </w:rPr>
            </w:pPr>
            <w:r>
              <w:rPr>
                <w:rFonts w:ascii="Arial" w:cs="Arial" w:eastAsia="Arial" w:hAnsi="Arial"/>
                <w:sz w:val="18"/>
                <w:szCs w:val="18"/>
                <w:b w:val="1"/>
                <w:bCs w:val="1"/>
                <w:color w:val="auto"/>
              </w:rPr>
              <w:t>provisions</w:t>
            </w:r>
          </w:p>
        </w:tc>
        <w:tc>
          <w:tcPr>
            <w:tcW w:w="1100" w:type="dxa"/>
            <w:vAlign w:val="bottom"/>
            <w:shd w:val="clear" w:color="auto" w:fill="BFBFBF"/>
          </w:tcPr>
          <w:p>
            <w:pPr>
              <w:ind w:left="20"/>
              <w:spacing w:after="0"/>
              <w:rPr>
                <w:sz w:val="20"/>
                <w:szCs w:val="20"/>
                <w:color w:val="auto"/>
              </w:rPr>
            </w:pPr>
            <w:r>
              <w:rPr>
                <w:rFonts w:ascii="Arial" w:cs="Arial" w:eastAsia="Arial" w:hAnsi="Arial"/>
                <w:sz w:val="18"/>
                <w:szCs w:val="18"/>
                <w:b w:val="1"/>
                <w:bCs w:val="1"/>
                <w:color w:val="auto"/>
                <w:w w:val="92"/>
              </w:rPr>
              <w:t>remuneration</w:t>
            </w:r>
          </w:p>
        </w:tc>
        <w:tc>
          <w:tcPr>
            <w:tcW w:w="240" w:type="dxa"/>
            <w:vAlign w:val="bottom"/>
            <w:tcBorders>
              <w:right w:val="single" w:sz="8" w:color="auto"/>
            </w:tcBorders>
            <w:shd w:val="clear" w:color="auto" w:fill="BFBFBF"/>
          </w:tcPr>
          <w:p>
            <w:pPr>
              <w:spacing w:after="0"/>
              <w:rPr>
                <w:sz w:val="20"/>
                <w:szCs w:val="20"/>
                <w:color w:val="auto"/>
              </w:rPr>
            </w:pPr>
          </w:p>
        </w:tc>
        <w:tc>
          <w:tcPr>
            <w:tcW w:w="1340" w:type="dxa"/>
            <w:vAlign w:val="bottom"/>
          </w:tcPr>
          <w:p>
            <w:pPr>
              <w:ind w:left="40"/>
              <w:spacing w:after="0"/>
              <w:rPr>
                <w:sz w:val="20"/>
                <w:szCs w:val="20"/>
                <w:color w:val="auto"/>
              </w:rPr>
            </w:pPr>
            <w:r>
              <w:rPr>
                <w:rFonts w:ascii="Arial" w:cs="Arial" w:eastAsia="Arial" w:hAnsi="Arial"/>
                <w:sz w:val="18"/>
                <w:szCs w:val="18"/>
                <w:color w:val="auto"/>
              </w:rPr>
              <w:t>Board</w:t>
            </w: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7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1380" w:type="dxa"/>
            <w:vAlign w:val="bottom"/>
            <w:tcBorders>
              <w:left w:val="single" w:sz="8" w:color="auto"/>
              <w:bottom w:val="single" w:sz="8" w:color="E36C0A"/>
              <w:right w:val="single" w:sz="8" w:color="auto"/>
            </w:tcBorders>
            <w:shd w:val="clear" w:color="auto" w:fill="E36C0A"/>
          </w:tcPr>
          <w:p>
            <w:pPr>
              <w:spacing w:after="0"/>
              <w:rPr>
                <w:sz w:val="22"/>
                <w:szCs w:val="22"/>
                <w:color w:val="auto"/>
              </w:rPr>
            </w:pPr>
          </w:p>
        </w:tc>
        <w:tc>
          <w:tcPr>
            <w:tcW w:w="1100" w:type="dxa"/>
            <w:vAlign w:val="bottom"/>
            <w:tcBorders>
              <w:bottom w:val="single" w:sz="8" w:color="auto"/>
            </w:tcBorders>
            <w:shd w:val="clear" w:color="auto" w:fill="BFBFBF"/>
          </w:tcPr>
          <w:p>
            <w:pPr>
              <w:spacing w:after="0"/>
              <w:rPr>
                <w:sz w:val="22"/>
                <w:szCs w:val="22"/>
                <w:color w:val="auto"/>
              </w:rPr>
            </w:pPr>
          </w:p>
        </w:tc>
        <w:tc>
          <w:tcPr>
            <w:tcW w:w="240" w:type="dxa"/>
            <w:vAlign w:val="bottom"/>
            <w:tcBorders>
              <w:bottom w:val="single" w:sz="8" w:color="auto"/>
              <w:right w:val="single" w:sz="8" w:color="auto"/>
            </w:tcBorders>
            <w:shd w:val="clear" w:color="auto" w:fill="BFBFBF"/>
          </w:tcPr>
          <w:p>
            <w:pPr>
              <w:spacing w:after="0"/>
              <w:rPr>
                <w:sz w:val="22"/>
                <w:szCs w:val="22"/>
                <w:color w:val="auto"/>
              </w:rPr>
            </w:pPr>
          </w:p>
        </w:tc>
        <w:tc>
          <w:tcPr>
            <w:tcW w:w="8520" w:type="dxa"/>
            <w:vAlign w:val="bottom"/>
            <w:tcBorders>
              <w:bottom w:val="single" w:sz="8" w:color="auto"/>
              <w:right w:val="single" w:sz="8" w:color="auto"/>
            </w:tcBorders>
            <w:gridSpan w:val="4"/>
          </w:tcPr>
          <w:p>
            <w:pPr>
              <w:spacing w:after="0"/>
              <w:rPr>
                <w:sz w:val="22"/>
                <w:szCs w:val="22"/>
                <w:color w:val="auto"/>
              </w:rPr>
            </w:pPr>
          </w:p>
        </w:tc>
        <w:tc>
          <w:tcPr>
            <w:tcW w:w="0" w:type="dxa"/>
            <w:vAlign w:val="bottom"/>
          </w:tcPr>
          <w:p>
            <w:pPr>
              <w:spacing w:after="0"/>
              <w:rPr>
                <w:sz w:val="1"/>
                <w:szCs w:val="1"/>
                <w:color w:val="auto"/>
              </w:rPr>
            </w:pPr>
          </w:p>
        </w:tc>
      </w:tr>
      <w:tr>
        <w:trPr>
          <w:trHeight w:val="232"/>
        </w:trPr>
        <w:tc>
          <w:tcPr>
            <w:tcW w:w="1380" w:type="dxa"/>
            <w:vAlign w:val="bottom"/>
            <w:tcBorders>
              <w:left w:val="single" w:sz="8" w:color="auto"/>
              <w:right w:val="single" w:sz="8" w:color="auto"/>
            </w:tcBorders>
            <w:shd w:val="clear" w:color="auto" w:fill="E36C0A"/>
          </w:tcPr>
          <w:p>
            <w:pPr>
              <w:spacing w:after="0"/>
              <w:rPr>
                <w:sz w:val="20"/>
                <w:szCs w:val="20"/>
                <w:color w:val="auto"/>
              </w:rPr>
            </w:pPr>
          </w:p>
        </w:tc>
        <w:tc>
          <w:tcPr>
            <w:tcW w:w="1100" w:type="dxa"/>
            <w:vAlign w:val="bottom"/>
            <w:shd w:val="clear" w:color="auto" w:fill="BFBFBF"/>
          </w:tcPr>
          <w:p>
            <w:pPr>
              <w:ind w:left="20"/>
              <w:spacing w:after="0"/>
              <w:rPr>
                <w:sz w:val="20"/>
                <w:szCs w:val="20"/>
                <w:color w:val="auto"/>
              </w:rPr>
            </w:pPr>
            <w:r>
              <w:rPr>
                <w:rFonts w:ascii="Arial" w:cs="Arial" w:eastAsia="Arial" w:hAnsi="Arial"/>
                <w:sz w:val="18"/>
                <w:szCs w:val="18"/>
                <w:b w:val="1"/>
                <w:bCs w:val="1"/>
                <w:color w:val="auto"/>
              </w:rPr>
              <w:t>Malus</w:t>
            </w:r>
          </w:p>
        </w:tc>
        <w:tc>
          <w:tcPr>
            <w:tcW w:w="240" w:type="dxa"/>
            <w:vAlign w:val="bottom"/>
            <w:tcBorders>
              <w:right w:val="single" w:sz="8" w:color="auto"/>
            </w:tcBorders>
            <w:shd w:val="clear" w:color="auto" w:fill="BFBFBF"/>
          </w:tcPr>
          <w:p>
            <w:pPr>
              <w:jc w:val="right"/>
              <w:spacing w:after="0"/>
              <w:rPr>
                <w:sz w:val="20"/>
                <w:szCs w:val="20"/>
                <w:color w:val="auto"/>
              </w:rPr>
            </w:pPr>
            <w:r>
              <w:rPr>
                <w:rFonts w:ascii="Arial" w:cs="Arial" w:eastAsia="Arial" w:hAnsi="Arial"/>
                <w:sz w:val="18"/>
                <w:szCs w:val="18"/>
                <w:b w:val="1"/>
                <w:bCs w:val="1"/>
                <w:color w:val="auto"/>
              </w:rPr>
              <w:t>/</w:t>
            </w:r>
          </w:p>
        </w:tc>
        <w:tc>
          <w:tcPr>
            <w:tcW w:w="8520" w:type="dxa"/>
            <w:vAlign w:val="bottom"/>
            <w:tcBorders>
              <w:right w:val="single" w:sz="8" w:color="auto"/>
            </w:tcBorders>
            <w:gridSpan w:val="4"/>
          </w:tcPr>
          <w:p>
            <w:pPr>
              <w:ind w:left="40"/>
              <w:spacing w:after="0"/>
              <w:rPr>
                <w:sz w:val="20"/>
                <w:szCs w:val="20"/>
                <w:color w:val="auto"/>
              </w:rPr>
            </w:pPr>
            <w:r>
              <w:rPr>
                <w:rFonts w:ascii="Arial" w:cs="Arial" w:eastAsia="Arial" w:hAnsi="Arial"/>
                <w:sz w:val="18"/>
                <w:szCs w:val="18"/>
                <w:color w:val="auto"/>
                <w:w w:val="93"/>
              </w:rPr>
              <w:t>Right of the Supervisory Board to withhold or reclaim variable remuneration components, in particular in the event</w:t>
            </w:r>
          </w:p>
        </w:tc>
        <w:tc>
          <w:tcPr>
            <w:tcW w:w="0" w:type="dxa"/>
            <w:vAlign w:val="bottom"/>
          </w:tcPr>
          <w:p>
            <w:pPr>
              <w:spacing w:after="0"/>
              <w:rPr>
                <w:sz w:val="1"/>
                <w:szCs w:val="1"/>
                <w:color w:val="auto"/>
              </w:rPr>
            </w:pPr>
          </w:p>
        </w:tc>
      </w:tr>
      <w:tr>
        <w:trPr>
          <w:trHeight w:val="275"/>
        </w:trPr>
        <w:tc>
          <w:tcPr>
            <w:tcW w:w="1380" w:type="dxa"/>
            <w:vAlign w:val="bottom"/>
            <w:tcBorders>
              <w:left w:val="single" w:sz="8" w:color="auto"/>
              <w:bottom w:val="single" w:sz="8" w:color="E36C0A"/>
              <w:right w:val="single" w:sz="8" w:color="auto"/>
            </w:tcBorders>
            <w:shd w:val="clear" w:color="auto" w:fill="E36C0A"/>
          </w:tcPr>
          <w:p>
            <w:pPr>
              <w:spacing w:after="0"/>
              <w:rPr>
                <w:sz w:val="23"/>
                <w:szCs w:val="23"/>
                <w:color w:val="auto"/>
              </w:rPr>
            </w:pPr>
          </w:p>
        </w:tc>
        <w:tc>
          <w:tcPr>
            <w:tcW w:w="1100" w:type="dxa"/>
            <w:vAlign w:val="bottom"/>
            <w:tcBorders>
              <w:bottom w:val="single" w:sz="8" w:color="BFBFBF"/>
            </w:tcBorders>
            <w:shd w:val="clear" w:color="auto" w:fill="BFBFBF"/>
          </w:tcPr>
          <w:p>
            <w:pPr>
              <w:ind w:left="20"/>
              <w:spacing w:after="0"/>
              <w:rPr>
                <w:sz w:val="20"/>
                <w:szCs w:val="20"/>
                <w:color w:val="auto"/>
              </w:rPr>
            </w:pPr>
            <w:r>
              <w:rPr>
                <w:rFonts w:ascii="Arial" w:cs="Arial" w:eastAsia="Arial" w:hAnsi="Arial"/>
                <w:sz w:val="18"/>
                <w:szCs w:val="18"/>
                <w:b w:val="1"/>
                <w:bCs w:val="1"/>
                <w:color w:val="auto"/>
              </w:rPr>
              <w:t>Clawback</w:t>
            </w:r>
          </w:p>
        </w:tc>
        <w:tc>
          <w:tcPr>
            <w:tcW w:w="240" w:type="dxa"/>
            <w:vAlign w:val="bottom"/>
            <w:tcBorders>
              <w:bottom w:val="single" w:sz="8" w:color="BFBFBF"/>
              <w:right w:val="single" w:sz="8" w:color="auto"/>
            </w:tcBorders>
            <w:shd w:val="clear" w:color="auto" w:fill="BFBFBF"/>
          </w:tcPr>
          <w:p>
            <w:pPr>
              <w:spacing w:after="0"/>
              <w:rPr>
                <w:sz w:val="23"/>
                <w:szCs w:val="23"/>
                <w:color w:val="auto"/>
              </w:rPr>
            </w:pPr>
          </w:p>
        </w:tc>
        <w:tc>
          <w:tcPr>
            <w:tcW w:w="8520" w:type="dxa"/>
            <w:vAlign w:val="bottom"/>
            <w:tcBorders>
              <w:right w:val="single" w:sz="8" w:color="auto"/>
            </w:tcBorders>
            <w:gridSpan w:val="4"/>
          </w:tcPr>
          <w:p>
            <w:pPr>
              <w:ind w:left="40"/>
              <w:spacing w:after="0"/>
              <w:rPr>
                <w:sz w:val="20"/>
                <w:szCs w:val="20"/>
                <w:color w:val="auto"/>
              </w:rPr>
            </w:pPr>
            <w:r>
              <w:rPr>
                <w:rFonts w:ascii="Arial" w:cs="Arial" w:eastAsia="Arial" w:hAnsi="Arial"/>
                <w:sz w:val="18"/>
                <w:szCs w:val="18"/>
                <w:color w:val="auto"/>
              </w:rPr>
              <w:t>of violations by a member of the Management Board of statutory obligations or internal codes of conduct</w:t>
            </w:r>
          </w:p>
        </w:tc>
        <w:tc>
          <w:tcPr>
            <w:tcW w:w="0" w:type="dxa"/>
            <w:vAlign w:val="bottom"/>
          </w:tcPr>
          <w:p>
            <w:pPr>
              <w:spacing w:after="0"/>
              <w:rPr>
                <w:sz w:val="1"/>
                <w:szCs w:val="1"/>
                <w:color w:val="auto"/>
              </w:rPr>
            </w:pPr>
          </w:p>
        </w:tc>
      </w:tr>
      <w:tr>
        <w:trPr>
          <w:trHeight w:val="236"/>
        </w:trPr>
        <w:tc>
          <w:tcPr>
            <w:tcW w:w="1380" w:type="dxa"/>
            <w:vAlign w:val="bottom"/>
            <w:tcBorders>
              <w:top w:val="single" w:sz="8" w:color="E36C0A"/>
              <w:left w:val="single" w:sz="8" w:color="auto"/>
              <w:right w:val="single" w:sz="8" w:color="auto"/>
            </w:tcBorders>
            <w:shd w:val="clear" w:color="auto" w:fill="E36C0A"/>
          </w:tcPr>
          <w:p>
            <w:pPr>
              <w:spacing w:after="0"/>
              <w:rPr>
                <w:sz w:val="20"/>
                <w:szCs w:val="20"/>
                <w:color w:val="auto"/>
              </w:rPr>
            </w:pPr>
          </w:p>
        </w:tc>
        <w:tc>
          <w:tcPr>
            <w:tcW w:w="1340" w:type="dxa"/>
            <w:vAlign w:val="bottom"/>
            <w:tcBorders>
              <w:top w:val="single" w:sz="8" w:color="auto"/>
              <w:right w:val="single" w:sz="8" w:color="auto"/>
            </w:tcBorders>
            <w:gridSpan w:val="2"/>
            <w:shd w:val="clear" w:color="auto" w:fill="BFBFBF"/>
          </w:tcPr>
          <w:p>
            <w:pPr>
              <w:ind w:left="20"/>
              <w:spacing w:after="0"/>
              <w:rPr>
                <w:sz w:val="20"/>
                <w:szCs w:val="20"/>
                <w:color w:val="auto"/>
              </w:rPr>
            </w:pPr>
            <w:r>
              <w:rPr>
                <w:rFonts w:ascii="Arial" w:cs="Arial" w:eastAsia="Arial" w:hAnsi="Arial"/>
                <w:sz w:val="18"/>
                <w:szCs w:val="18"/>
                <w:b w:val="1"/>
                <w:bCs w:val="1"/>
                <w:color w:val="auto"/>
                <w:w w:val="99"/>
              </w:rPr>
              <w:t>Severance Cap</w:t>
            </w:r>
          </w:p>
        </w:tc>
        <w:tc>
          <w:tcPr>
            <w:tcW w:w="8520" w:type="dxa"/>
            <w:vAlign w:val="bottom"/>
            <w:tcBorders>
              <w:top w:val="single" w:sz="8" w:color="auto"/>
              <w:right w:val="single" w:sz="8" w:color="auto"/>
            </w:tcBorders>
            <w:gridSpan w:val="4"/>
          </w:tcPr>
          <w:p>
            <w:pPr>
              <w:ind w:left="40"/>
              <w:spacing w:after="0"/>
              <w:rPr>
                <w:sz w:val="20"/>
                <w:szCs w:val="20"/>
                <w:color w:val="auto"/>
              </w:rPr>
            </w:pPr>
            <w:r>
              <w:rPr>
                <w:rFonts w:ascii="Arial" w:cs="Arial" w:eastAsia="Arial" w:hAnsi="Arial"/>
                <w:sz w:val="18"/>
                <w:szCs w:val="18"/>
                <w:color w:val="auto"/>
                <w:w w:val="91"/>
              </w:rPr>
              <w:t>Severance payments shall not exceed the value of two years’ remuneration and shall not remunerate more than the</w:t>
            </w:r>
          </w:p>
        </w:tc>
        <w:tc>
          <w:tcPr>
            <w:tcW w:w="0" w:type="dxa"/>
            <w:vAlign w:val="bottom"/>
          </w:tcPr>
          <w:p>
            <w:pPr>
              <w:spacing w:after="0"/>
              <w:rPr>
                <w:sz w:val="1"/>
                <w:szCs w:val="1"/>
                <w:color w:val="auto"/>
              </w:rPr>
            </w:pPr>
          </w:p>
        </w:tc>
      </w:tr>
      <w:tr>
        <w:trPr>
          <w:trHeight w:val="271"/>
        </w:trPr>
        <w:tc>
          <w:tcPr>
            <w:tcW w:w="1380" w:type="dxa"/>
            <w:vAlign w:val="bottom"/>
            <w:tcBorders>
              <w:left w:val="single" w:sz="8" w:color="auto"/>
              <w:bottom w:val="single" w:sz="8" w:color="E36C0A"/>
              <w:right w:val="single" w:sz="8" w:color="auto"/>
            </w:tcBorders>
            <w:shd w:val="clear" w:color="auto" w:fill="E36C0A"/>
          </w:tcPr>
          <w:p>
            <w:pPr>
              <w:spacing w:after="0"/>
              <w:rPr>
                <w:sz w:val="23"/>
                <w:szCs w:val="23"/>
                <w:color w:val="auto"/>
              </w:rPr>
            </w:pPr>
          </w:p>
        </w:tc>
        <w:tc>
          <w:tcPr>
            <w:tcW w:w="1100" w:type="dxa"/>
            <w:vAlign w:val="bottom"/>
            <w:tcBorders>
              <w:bottom w:val="single" w:sz="8" w:color="BFBFBF"/>
            </w:tcBorders>
            <w:shd w:val="clear" w:color="auto" w:fill="BFBFBF"/>
          </w:tcPr>
          <w:p>
            <w:pPr>
              <w:spacing w:after="0"/>
              <w:rPr>
                <w:sz w:val="23"/>
                <w:szCs w:val="23"/>
                <w:color w:val="auto"/>
              </w:rPr>
            </w:pPr>
          </w:p>
        </w:tc>
        <w:tc>
          <w:tcPr>
            <w:tcW w:w="240" w:type="dxa"/>
            <w:vAlign w:val="bottom"/>
            <w:tcBorders>
              <w:bottom w:val="single" w:sz="8" w:color="BFBFBF"/>
              <w:right w:val="single" w:sz="8" w:color="auto"/>
            </w:tcBorders>
            <w:shd w:val="clear" w:color="auto" w:fill="BFBFBF"/>
          </w:tcPr>
          <w:p>
            <w:pPr>
              <w:spacing w:after="0"/>
              <w:rPr>
                <w:sz w:val="23"/>
                <w:szCs w:val="23"/>
                <w:color w:val="auto"/>
              </w:rPr>
            </w:pPr>
          </w:p>
        </w:tc>
        <w:tc>
          <w:tcPr>
            <w:tcW w:w="2700" w:type="dxa"/>
            <w:vAlign w:val="bottom"/>
            <w:gridSpan w:val="2"/>
          </w:tcPr>
          <w:p>
            <w:pPr>
              <w:ind w:left="40"/>
              <w:spacing w:after="0"/>
              <w:rPr>
                <w:sz w:val="20"/>
                <w:szCs w:val="20"/>
                <w:color w:val="auto"/>
              </w:rPr>
            </w:pPr>
            <w:r>
              <w:rPr>
                <w:rFonts w:ascii="Arial" w:cs="Arial" w:eastAsia="Arial" w:hAnsi="Arial"/>
                <w:sz w:val="18"/>
                <w:szCs w:val="18"/>
                <w:color w:val="auto"/>
              </w:rPr>
              <w:t>remaining term of the contract</w:t>
            </w:r>
          </w:p>
        </w:tc>
        <w:tc>
          <w:tcPr>
            <w:tcW w:w="100" w:type="dxa"/>
            <w:vAlign w:val="bottom"/>
          </w:tcPr>
          <w:p>
            <w:pPr>
              <w:spacing w:after="0"/>
              <w:rPr>
                <w:sz w:val="23"/>
                <w:szCs w:val="23"/>
                <w:color w:val="auto"/>
              </w:rPr>
            </w:pPr>
          </w:p>
        </w:tc>
        <w:tc>
          <w:tcPr>
            <w:tcW w:w="57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32"/>
        </w:trPr>
        <w:tc>
          <w:tcPr>
            <w:tcW w:w="1380" w:type="dxa"/>
            <w:vAlign w:val="bottom"/>
            <w:tcBorders>
              <w:top w:val="single" w:sz="8" w:color="E36C0A"/>
              <w:left w:val="single" w:sz="8" w:color="auto"/>
              <w:right w:val="single" w:sz="8" w:color="auto"/>
            </w:tcBorders>
            <w:shd w:val="clear" w:color="auto" w:fill="E36C0A"/>
          </w:tcPr>
          <w:p>
            <w:pPr>
              <w:spacing w:after="0"/>
              <w:rPr>
                <w:sz w:val="20"/>
                <w:szCs w:val="20"/>
                <w:color w:val="auto"/>
              </w:rPr>
            </w:pPr>
          </w:p>
        </w:tc>
        <w:tc>
          <w:tcPr>
            <w:tcW w:w="1100" w:type="dxa"/>
            <w:vAlign w:val="bottom"/>
            <w:tcBorders>
              <w:top w:val="single" w:sz="8" w:color="auto"/>
            </w:tcBorders>
            <w:shd w:val="clear" w:color="auto" w:fill="BFBFBF"/>
          </w:tcPr>
          <w:p>
            <w:pPr>
              <w:ind w:left="20"/>
              <w:spacing w:after="0"/>
              <w:rPr>
                <w:sz w:val="20"/>
                <w:szCs w:val="20"/>
                <w:color w:val="auto"/>
              </w:rPr>
            </w:pPr>
            <w:r>
              <w:rPr>
                <w:rFonts w:ascii="Arial" w:cs="Arial" w:eastAsia="Arial" w:hAnsi="Arial"/>
                <w:sz w:val="18"/>
                <w:szCs w:val="18"/>
                <w:b w:val="1"/>
                <w:bCs w:val="1"/>
                <w:color w:val="auto"/>
              </w:rPr>
              <w:t>Change</w:t>
            </w:r>
          </w:p>
        </w:tc>
        <w:tc>
          <w:tcPr>
            <w:tcW w:w="240" w:type="dxa"/>
            <w:vAlign w:val="bottom"/>
            <w:tcBorders>
              <w:top w:val="single" w:sz="8" w:color="auto"/>
              <w:right w:val="single" w:sz="8" w:color="auto"/>
            </w:tcBorders>
            <w:shd w:val="clear" w:color="auto" w:fill="BFBFBF"/>
          </w:tcPr>
          <w:p>
            <w:pPr>
              <w:jc w:val="right"/>
              <w:spacing w:after="0"/>
              <w:rPr>
                <w:sz w:val="20"/>
                <w:szCs w:val="20"/>
                <w:color w:val="auto"/>
              </w:rPr>
            </w:pPr>
            <w:r>
              <w:rPr>
                <w:rFonts w:ascii="Arial" w:cs="Arial" w:eastAsia="Arial" w:hAnsi="Arial"/>
                <w:sz w:val="18"/>
                <w:szCs w:val="18"/>
                <w:b w:val="1"/>
                <w:bCs w:val="1"/>
                <w:color w:val="auto"/>
                <w:w w:val="93"/>
              </w:rPr>
              <w:t>of</w:t>
            </w:r>
          </w:p>
        </w:tc>
        <w:tc>
          <w:tcPr>
            <w:tcW w:w="8520" w:type="dxa"/>
            <w:vAlign w:val="bottom"/>
            <w:tcBorders>
              <w:top w:val="single" w:sz="8" w:color="auto"/>
              <w:right w:val="single" w:sz="8" w:color="auto"/>
            </w:tcBorders>
            <w:gridSpan w:val="4"/>
          </w:tcPr>
          <w:p>
            <w:pPr>
              <w:ind w:left="40"/>
              <w:spacing w:after="0"/>
              <w:rPr>
                <w:sz w:val="20"/>
                <w:szCs w:val="20"/>
                <w:color w:val="auto"/>
              </w:rPr>
            </w:pPr>
            <w:r>
              <w:rPr>
                <w:rFonts w:ascii="Arial" w:cs="Arial" w:eastAsia="Arial" w:hAnsi="Arial"/>
                <w:sz w:val="18"/>
                <w:szCs w:val="18"/>
                <w:color w:val="auto"/>
                <w:w w:val="90"/>
              </w:rPr>
              <w:t>Right of Management Board members to cancel stock options or stock appreciation rights in the event of a change of</w:t>
            </w:r>
          </w:p>
        </w:tc>
        <w:tc>
          <w:tcPr>
            <w:tcW w:w="0" w:type="dxa"/>
            <w:vAlign w:val="bottom"/>
          </w:tcPr>
          <w:p>
            <w:pPr>
              <w:spacing w:after="0"/>
              <w:rPr>
                <w:sz w:val="1"/>
                <w:szCs w:val="1"/>
                <w:color w:val="auto"/>
              </w:rPr>
            </w:pPr>
          </w:p>
        </w:tc>
      </w:tr>
      <w:tr>
        <w:trPr>
          <w:trHeight w:val="275"/>
        </w:trPr>
        <w:tc>
          <w:tcPr>
            <w:tcW w:w="1380" w:type="dxa"/>
            <w:vAlign w:val="bottom"/>
            <w:tcBorders>
              <w:left w:val="single" w:sz="8" w:color="auto"/>
              <w:bottom w:val="single" w:sz="8" w:color="E36C0A"/>
              <w:right w:val="single" w:sz="8" w:color="auto"/>
            </w:tcBorders>
            <w:shd w:val="clear" w:color="auto" w:fill="E36C0A"/>
          </w:tcPr>
          <w:p>
            <w:pPr>
              <w:spacing w:after="0"/>
              <w:rPr>
                <w:sz w:val="23"/>
                <w:szCs w:val="23"/>
                <w:color w:val="auto"/>
              </w:rPr>
            </w:pPr>
          </w:p>
        </w:tc>
        <w:tc>
          <w:tcPr>
            <w:tcW w:w="1100" w:type="dxa"/>
            <w:vAlign w:val="bottom"/>
            <w:tcBorders>
              <w:bottom w:val="single" w:sz="8" w:color="BFBFBF"/>
            </w:tcBorders>
            <w:shd w:val="clear" w:color="auto" w:fill="BFBFBF"/>
          </w:tcPr>
          <w:p>
            <w:pPr>
              <w:ind w:left="20"/>
              <w:spacing w:after="0"/>
              <w:rPr>
                <w:sz w:val="20"/>
                <w:szCs w:val="20"/>
                <w:color w:val="auto"/>
              </w:rPr>
            </w:pPr>
            <w:r>
              <w:rPr>
                <w:rFonts w:ascii="Arial" w:cs="Arial" w:eastAsia="Arial" w:hAnsi="Arial"/>
                <w:sz w:val="18"/>
                <w:szCs w:val="18"/>
                <w:b w:val="1"/>
                <w:bCs w:val="1"/>
                <w:color w:val="auto"/>
              </w:rPr>
              <w:t>control</w:t>
            </w:r>
          </w:p>
        </w:tc>
        <w:tc>
          <w:tcPr>
            <w:tcW w:w="240" w:type="dxa"/>
            <w:vAlign w:val="bottom"/>
            <w:tcBorders>
              <w:bottom w:val="single" w:sz="8" w:color="BFBFBF"/>
              <w:right w:val="single" w:sz="8" w:color="auto"/>
            </w:tcBorders>
            <w:shd w:val="clear" w:color="auto" w:fill="BFBFBF"/>
          </w:tcPr>
          <w:p>
            <w:pPr>
              <w:spacing w:after="0"/>
              <w:rPr>
                <w:sz w:val="23"/>
                <w:szCs w:val="23"/>
                <w:color w:val="auto"/>
              </w:rPr>
            </w:pPr>
          </w:p>
        </w:tc>
        <w:tc>
          <w:tcPr>
            <w:tcW w:w="8520" w:type="dxa"/>
            <w:vAlign w:val="bottom"/>
            <w:tcBorders>
              <w:right w:val="single" w:sz="8" w:color="auto"/>
            </w:tcBorders>
            <w:gridSpan w:val="4"/>
          </w:tcPr>
          <w:p>
            <w:pPr>
              <w:ind w:left="40"/>
              <w:spacing w:after="0"/>
              <w:rPr>
                <w:sz w:val="20"/>
                <w:szCs w:val="20"/>
                <w:color w:val="auto"/>
              </w:rPr>
            </w:pPr>
            <w:r>
              <w:rPr>
                <w:rFonts w:ascii="Arial" w:cs="Arial" w:eastAsia="Arial" w:hAnsi="Arial"/>
                <w:sz w:val="18"/>
                <w:szCs w:val="18"/>
                <w:color w:val="auto"/>
              </w:rPr>
              <w:t>control against payment of a severance payment</w:t>
            </w:r>
          </w:p>
        </w:tc>
        <w:tc>
          <w:tcPr>
            <w:tcW w:w="0" w:type="dxa"/>
            <w:vAlign w:val="bottom"/>
          </w:tcPr>
          <w:p>
            <w:pPr>
              <w:spacing w:after="0"/>
              <w:rPr>
                <w:sz w:val="1"/>
                <w:szCs w:val="1"/>
                <w:color w:val="auto"/>
              </w:rPr>
            </w:pPr>
          </w:p>
        </w:tc>
      </w:tr>
      <w:tr>
        <w:trPr>
          <w:trHeight w:val="858"/>
        </w:trPr>
        <w:tc>
          <w:tcPr>
            <w:tcW w:w="1380" w:type="dxa"/>
            <w:vAlign w:val="bottom"/>
            <w:tcBorders>
              <w:top w:val="single" w:sz="8" w:color="auto"/>
              <w:bottom w:val="single" w:sz="8" w:color="auto"/>
            </w:tcBorders>
          </w:tcPr>
          <w:p>
            <w:pPr>
              <w:spacing w:after="0"/>
              <w:rPr>
                <w:sz w:val="24"/>
                <w:szCs w:val="24"/>
                <w:color w:val="auto"/>
              </w:rPr>
            </w:pPr>
          </w:p>
        </w:tc>
        <w:tc>
          <w:tcPr>
            <w:tcW w:w="1100" w:type="dxa"/>
            <w:vAlign w:val="bottom"/>
            <w:tcBorders>
              <w:top w:val="single" w:sz="8" w:color="auto"/>
              <w:bottom w:val="single" w:sz="8" w:color="auto"/>
            </w:tcBorders>
          </w:tcPr>
          <w:p>
            <w:pPr>
              <w:spacing w:after="0"/>
              <w:rPr>
                <w:sz w:val="24"/>
                <w:szCs w:val="24"/>
                <w:color w:val="auto"/>
              </w:rPr>
            </w:pPr>
          </w:p>
        </w:tc>
        <w:tc>
          <w:tcPr>
            <w:tcW w:w="240" w:type="dxa"/>
            <w:vAlign w:val="bottom"/>
            <w:tcBorders>
              <w:top w:val="single" w:sz="8" w:color="auto"/>
              <w:bottom w:val="single" w:sz="8" w:color="auto"/>
            </w:tcBorders>
          </w:tcPr>
          <w:p>
            <w:pPr>
              <w:spacing w:after="0"/>
              <w:rPr>
                <w:sz w:val="24"/>
                <w:szCs w:val="24"/>
                <w:color w:val="auto"/>
              </w:rPr>
            </w:pPr>
          </w:p>
        </w:tc>
        <w:tc>
          <w:tcPr>
            <w:tcW w:w="1340" w:type="dxa"/>
            <w:vAlign w:val="bottom"/>
            <w:tcBorders>
              <w:top w:val="single" w:sz="8" w:color="auto"/>
              <w:bottom w:val="single" w:sz="8" w:color="auto"/>
            </w:tcBorders>
          </w:tcPr>
          <w:p>
            <w:pPr>
              <w:spacing w:after="0"/>
              <w:rPr>
                <w:sz w:val="24"/>
                <w:szCs w:val="24"/>
                <w:color w:val="auto"/>
              </w:rPr>
            </w:pPr>
          </w:p>
        </w:tc>
        <w:tc>
          <w:tcPr>
            <w:tcW w:w="136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5720" w:type="dxa"/>
            <w:vAlign w:val="bottom"/>
            <w:tcBorders>
              <w:top w:val="single" w:sz="8" w:color="auto"/>
              <w:bottom w:val="single" w:sz="8" w:color="auto"/>
            </w:tcBorders>
          </w:tcPr>
          <w:p>
            <w:pPr>
              <w:jc w:val="right"/>
              <w:ind w:right="5430"/>
              <w:spacing w:after="0"/>
              <w:rPr>
                <w:sz w:val="20"/>
                <w:szCs w:val="20"/>
                <w:color w:val="auto"/>
              </w:rPr>
            </w:pPr>
            <w:r>
              <w:rPr>
                <w:rFonts w:ascii="Arial" w:cs="Arial" w:eastAsia="Arial" w:hAnsi="Arial"/>
                <w:sz w:val="18"/>
                <w:szCs w:val="18"/>
                <w:color w:val="auto"/>
                <w:w w:val="89"/>
              </w:rPr>
              <w:t>28</w:t>
            </w:r>
          </w:p>
        </w:tc>
        <w:tc>
          <w:tcPr>
            <w:tcW w:w="0" w:type="dxa"/>
            <w:vAlign w:val="bottom"/>
          </w:tcPr>
          <w:p>
            <w:pPr>
              <w:spacing w:after="0"/>
              <w:rPr>
                <w:sz w:val="1"/>
                <w:szCs w:val="1"/>
                <w:color w:val="auto"/>
              </w:rPr>
            </w:pPr>
          </w:p>
        </w:tc>
      </w:tr>
    </w:tbl>
    <w:p>
      <w:pPr>
        <w:sectPr>
          <w:pgSz w:w="11900" w:h="16838" w:orient="portrait"/>
          <w:cols w:equalWidth="0" w:num="1">
            <w:col w:w="11240"/>
          </w:cols>
          <w:pgMar w:left="320" w:top="767" w:right="339" w:bottom="1440" w:gutter="0" w:footer="0" w:header="0"/>
        </w:sectPr>
      </w:pPr>
    </w:p>
    <w:bookmarkStart w:id="32" w:name="page33"/>
    <w:bookmarkEnd w:id="32"/>
    <w:p>
      <w:pPr>
        <w:jc w:val="both"/>
        <w:spacing w:after="0" w:line="275" w:lineRule="auto"/>
        <w:rPr>
          <w:sz w:val="20"/>
          <w:szCs w:val="20"/>
          <w:color w:val="auto"/>
        </w:rPr>
      </w:pPr>
      <w:r>
        <w:rPr>
          <w:rFonts w:ascii="Arial" w:cs="Arial" w:eastAsia="Arial" w:hAnsi="Arial"/>
          <w:sz w:val="17"/>
          <w:szCs w:val="17"/>
          <w:color w:val="auto"/>
        </w:rPr>
        <w:t>The Supervisory Board, with the support of its Compensation Committee and with the assistance of an external remuneration expert, regularly reviews the appropriateness and market conformity of the remuneration of the members of the Management Board. For this purpose, the Supervisory Board reviews a peer group of industry-specific European and U.S. as well as German listed tech companies, consisting of German, U.S. and European tech companies of comparable size. Furthermore, the Supervisory Board also considers the remuneration structure of the first two management levels within the Mynaric Group as well as the average remuneration of the total workforce of the Mynaric Group over time.</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2.2. Non-performance-related remuneration components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Annual base salary</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members of the Management Board receive a fixed annual base salary, which is generally paid in equal installments. For the financial year 2022, the annual base salary for the individual members of the Management Board was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114935</wp:posOffset>
            </wp:positionV>
            <wp:extent cx="7136130" cy="43307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6130" cy="433070"/>
                    </a:xfrm>
                    <a:prstGeom prst="rect">
                      <a:avLst/>
                    </a:prstGeom>
                    <a:noFill/>
                  </pic:spPr>
                </pic:pic>
              </a:graphicData>
            </a:graphic>
          </wp:anchor>
        </w:drawing>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5360" w:type="dxa"/>
            <w:vAlign w:val="bottom"/>
            <w:shd w:val="clear" w:color="auto" w:fill="E36C0A"/>
          </w:tcPr>
          <w:p>
            <w:pPr>
              <w:ind w:left="1920"/>
              <w:spacing w:after="0"/>
              <w:rPr>
                <w:sz w:val="20"/>
                <w:szCs w:val="20"/>
                <w:color w:val="auto"/>
              </w:rPr>
            </w:pPr>
            <w:r>
              <w:rPr>
                <w:rFonts w:ascii="Arial" w:cs="Arial" w:eastAsia="Arial" w:hAnsi="Arial"/>
                <w:sz w:val="18"/>
                <w:szCs w:val="18"/>
                <w:b w:val="1"/>
                <w:bCs w:val="1"/>
                <w:color w:val="auto"/>
              </w:rPr>
              <w:t>Management Board</w:t>
            </w:r>
          </w:p>
        </w:tc>
        <w:tc>
          <w:tcPr>
            <w:tcW w:w="2540" w:type="dxa"/>
            <w:vAlign w:val="bottom"/>
            <w:shd w:val="clear" w:color="auto" w:fill="E36C0A"/>
          </w:tcPr>
          <w:p>
            <w:pPr>
              <w:jc w:val="center"/>
              <w:spacing w:after="0"/>
              <w:rPr>
                <w:sz w:val="20"/>
                <w:szCs w:val="20"/>
                <w:color w:val="auto"/>
              </w:rPr>
            </w:pPr>
            <w:r>
              <w:rPr>
                <w:rFonts w:ascii="Arial" w:cs="Arial" w:eastAsia="Arial" w:hAnsi="Arial"/>
                <w:sz w:val="18"/>
                <w:szCs w:val="18"/>
                <w:b w:val="1"/>
                <w:bCs w:val="1"/>
                <w:color w:val="auto"/>
                <w:w w:val="89"/>
              </w:rPr>
              <w:t>2022</w:t>
            </w:r>
          </w:p>
        </w:tc>
        <w:tc>
          <w:tcPr>
            <w:tcW w:w="3340" w:type="dxa"/>
            <w:vAlign w:val="bottom"/>
            <w:shd w:val="clear" w:color="auto" w:fill="E36C0A"/>
          </w:tcPr>
          <w:p>
            <w:pPr>
              <w:jc w:val="center"/>
              <w:spacing w:after="0"/>
              <w:rPr>
                <w:sz w:val="20"/>
                <w:szCs w:val="20"/>
                <w:color w:val="auto"/>
              </w:rPr>
            </w:pPr>
            <w:r>
              <w:rPr>
                <w:rFonts w:ascii="Arial" w:cs="Arial" w:eastAsia="Arial" w:hAnsi="Arial"/>
                <w:sz w:val="18"/>
                <w:szCs w:val="18"/>
                <w:b w:val="1"/>
                <w:bCs w:val="1"/>
                <w:color w:val="auto"/>
                <w:w w:val="89"/>
              </w:rPr>
              <w:t>2021</w:t>
            </w:r>
          </w:p>
        </w:tc>
      </w:tr>
      <w:tr>
        <w:trPr>
          <w:trHeight w:val="234"/>
        </w:trPr>
        <w:tc>
          <w:tcPr>
            <w:tcW w:w="5360" w:type="dxa"/>
            <w:vAlign w:val="bottom"/>
            <w:shd w:val="clear" w:color="auto" w:fill="E36C0A"/>
          </w:tcPr>
          <w:p>
            <w:pPr>
              <w:ind w:left="2380"/>
              <w:spacing w:after="0"/>
              <w:rPr>
                <w:sz w:val="20"/>
                <w:szCs w:val="20"/>
                <w:color w:val="auto"/>
              </w:rPr>
            </w:pPr>
            <w:r>
              <w:rPr>
                <w:rFonts w:ascii="Arial" w:cs="Arial" w:eastAsia="Arial" w:hAnsi="Arial"/>
                <w:sz w:val="18"/>
                <w:szCs w:val="18"/>
                <w:b w:val="1"/>
                <w:bCs w:val="1"/>
                <w:color w:val="auto"/>
              </w:rPr>
              <w:t>member</w:t>
            </w:r>
          </w:p>
        </w:tc>
        <w:tc>
          <w:tcPr>
            <w:tcW w:w="2540" w:type="dxa"/>
            <w:vAlign w:val="bottom"/>
            <w:shd w:val="clear" w:color="auto" w:fill="E36C0A"/>
          </w:tcPr>
          <w:p>
            <w:pPr>
              <w:ind w:left="1080"/>
              <w:spacing w:after="0"/>
              <w:rPr>
                <w:sz w:val="20"/>
                <w:szCs w:val="20"/>
                <w:color w:val="auto"/>
              </w:rPr>
            </w:pPr>
            <w:r>
              <w:rPr>
                <w:rFonts w:ascii="Arial" w:cs="Arial" w:eastAsia="Arial" w:hAnsi="Arial"/>
                <w:sz w:val="18"/>
                <w:szCs w:val="18"/>
                <w:color w:val="auto"/>
              </w:rPr>
              <w:t>in k€</w:t>
            </w:r>
          </w:p>
        </w:tc>
        <w:tc>
          <w:tcPr>
            <w:tcW w:w="3340" w:type="dxa"/>
            <w:vAlign w:val="bottom"/>
            <w:shd w:val="clear" w:color="auto" w:fill="E36C0A"/>
          </w:tcPr>
          <w:p>
            <w:pPr>
              <w:ind w:left="1480"/>
              <w:spacing w:after="0"/>
              <w:rPr>
                <w:sz w:val="20"/>
                <w:szCs w:val="20"/>
                <w:color w:val="auto"/>
              </w:rPr>
            </w:pPr>
            <w:r>
              <w:rPr>
                <w:rFonts w:ascii="Arial" w:cs="Arial" w:eastAsia="Arial" w:hAnsi="Arial"/>
                <w:sz w:val="18"/>
                <w:szCs w:val="18"/>
                <w:color w:val="auto"/>
              </w:rPr>
              <w:t>in k€</w:t>
            </w:r>
          </w:p>
        </w:tc>
      </w:tr>
      <w:tr>
        <w:trPr>
          <w:trHeight w:val="229"/>
        </w:trPr>
        <w:tc>
          <w:tcPr>
            <w:tcW w:w="5360" w:type="dxa"/>
            <w:vAlign w:val="bottom"/>
            <w:shd w:val="clear" w:color="auto" w:fill="E36C0A"/>
          </w:tcPr>
          <w:p>
            <w:pPr>
              <w:spacing w:after="0"/>
              <w:rPr>
                <w:sz w:val="19"/>
                <w:szCs w:val="19"/>
                <w:color w:val="auto"/>
              </w:rPr>
            </w:pPr>
          </w:p>
        </w:tc>
        <w:tc>
          <w:tcPr>
            <w:tcW w:w="2540" w:type="dxa"/>
            <w:vAlign w:val="bottom"/>
            <w:shd w:val="clear" w:color="auto" w:fill="E36C0A"/>
          </w:tcPr>
          <w:p>
            <w:pPr>
              <w:spacing w:after="0"/>
              <w:rPr>
                <w:sz w:val="19"/>
                <w:szCs w:val="19"/>
                <w:color w:val="auto"/>
              </w:rPr>
            </w:pPr>
          </w:p>
        </w:tc>
        <w:tc>
          <w:tcPr>
            <w:tcW w:w="3340" w:type="dxa"/>
            <w:vAlign w:val="bottom"/>
            <w:shd w:val="clear" w:color="auto" w:fill="E36C0A"/>
          </w:tcPr>
          <w:p>
            <w:pPr>
              <w:spacing w:after="0"/>
              <w:rPr>
                <w:sz w:val="19"/>
                <w:szCs w:val="19"/>
                <w:color w:val="auto"/>
              </w:rPr>
            </w:pPr>
          </w:p>
        </w:tc>
      </w:tr>
      <w:tr>
        <w:trPr>
          <w:trHeight w:val="230"/>
        </w:trPr>
        <w:tc>
          <w:tcPr>
            <w:tcW w:w="5360" w:type="dxa"/>
            <w:vAlign w:val="bottom"/>
            <w:shd w:val="clear" w:color="auto" w:fill="F0F2F5"/>
          </w:tcPr>
          <w:p>
            <w:pPr>
              <w:spacing w:after="0"/>
              <w:rPr>
                <w:sz w:val="20"/>
                <w:szCs w:val="20"/>
                <w:color w:val="auto"/>
              </w:rPr>
            </w:pPr>
            <w:r>
              <w:rPr>
                <w:rFonts w:ascii="Arial" w:cs="Arial" w:eastAsia="Arial" w:hAnsi="Arial"/>
                <w:sz w:val="18"/>
                <w:szCs w:val="18"/>
                <w:color w:val="auto"/>
              </w:rPr>
              <w:t>Bulent Altan</w:t>
            </w:r>
          </w:p>
        </w:tc>
        <w:tc>
          <w:tcPr>
            <w:tcW w:w="2540" w:type="dxa"/>
            <w:vAlign w:val="bottom"/>
            <w:shd w:val="clear" w:color="auto" w:fill="F0F2F5"/>
          </w:tcPr>
          <w:p>
            <w:pPr>
              <w:jc w:val="center"/>
              <w:spacing w:after="0"/>
              <w:rPr>
                <w:sz w:val="20"/>
                <w:szCs w:val="20"/>
                <w:color w:val="auto"/>
              </w:rPr>
            </w:pPr>
            <w:r>
              <w:rPr>
                <w:rFonts w:ascii="Arial" w:cs="Arial" w:eastAsia="Arial" w:hAnsi="Arial"/>
                <w:sz w:val="18"/>
                <w:szCs w:val="18"/>
                <w:color w:val="auto"/>
                <w:w w:val="86"/>
              </w:rPr>
              <w:t>430</w:t>
            </w:r>
          </w:p>
        </w:tc>
        <w:tc>
          <w:tcPr>
            <w:tcW w:w="3340" w:type="dxa"/>
            <w:vAlign w:val="bottom"/>
            <w:shd w:val="clear" w:color="auto" w:fill="F0F2F5"/>
          </w:tcPr>
          <w:p>
            <w:pPr>
              <w:jc w:val="center"/>
              <w:spacing w:after="0"/>
              <w:rPr>
                <w:sz w:val="20"/>
                <w:szCs w:val="20"/>
                <w:color w:val="auto"/>
              </w:rPr>
            </w:pPr>
            <w:r>
              <w:rPr>
                <w:rFonts w:ascii="Arial" w:cs="Arial" w:eastAsia="Arial" w:hAnsi="Arial"/>
                <w:sz w:val="18"/>
                <w:szCs w:val="18"/>
                <w:color w:val="auto"/>
                <w:w w:val="93"/>
              </w:rPr>
              <w:t>248</w:t>
            </w:r>
          </w:p>
        </w:tc>
      </w:tr>
      <w:tr>
        <w:trPr>
          <w:trHeight w:val="202"/>
        </w:trPr>
        <w:tc>
          <w:tcPr>
            <w:tcW w:w="5360" w:type="dxa"/>
            <w:vAlign w:val="bottom"/>
            <w:shd w:val="clear" w:color="auto" w:fill="F0F2F5"/>
          </w:tcPr>
          <w:p>
            <w:pPr>
              <w:spacing w:after="0"/>
              <w:rPr>
                <w:sz w:val="17"/>
                <w:szCs w:val="17"/>
                <w:color w:val="auto"/>
              </w:rPr>
            </w:pPr>
          </w:p>
        </w:tc>
        <w:tc>
          <w:tcPr>
            <w:tcW w:w="2540" w:type="dxa"/>
            <w:vAlign w:val="bottom"/>
            <w:shd w:val="clear" w:color="auto" w:fill="F0F2F5"/>
          </w:tcPr>
          <w:p>
            <w:pPr>
              <w:spacing w:after="0"/>
              <w:rPr>
                <w:sz w:val="17"/>
                <w:szCs w:val="17"/>
                <w:color w:val="auto"/>
              </w:rPr>
            </w:pPr>
          </w:p>
        </w:tc>
        <w:tc>
          <w:tcPr>
            <w:tcW w:w="3340" w:type="dxa"/>
            <w:vAlign w:val="bottom"/>
            <w:shd w:val="clear" w:color="auto" w:fill="F0F2F5"/>
          </w:tcPr>
          <w:p>
            <w:pPr>
              <w:spacing w:after="0"/>
              <w:rPr>
                <w:sz w:val="17"/>
                <w:szCs w:val="17"/>
                <w:color w:val="auto"/>
              </w:rPr>
            </w:pPr>
          </w:p>
        </w:tc>
      </w:tr>
      <w:tr>
        <w:trPr>
          <w:trHeight w:val="230"/>
        </w:trPr>
        <w:tc>
          <w:tcPr>
            <w:tcW w:w="5360" w:type="dxa"/>
            <w:vAlign w:val="bottom"/>
          </w:tcPr>
          <w:p>
            <w:pPr>
              <w:spacing w:after="0"/>
              <w:rPr>
                <w:sz w:val="20"/>
                <w:szCs w:val="20"/>
                <w:color w:val="auto"/>
              </w:rPr>
            </w:pPr>
            <w:r>
              <w:rPr>
                <w:rFonts w:ascii="Arial" w:cs="Arial" w:eastAsia="Arial" w:hAnsi="Arial"/>
                <w:sz w:val="18"/>
                <w:szCs w:val="18"/>
                <w:color w:val="auto"/>
              </w:rPr>
              <w:t>Stefan Berndt-von Bülow</w:t>
            </w:r>
          </w:p>
        </w:tc>
        <w:tc>
          <w:tcPr>
            <w:tcW w:w="2540" w:type="dxa"/>
            <w:vAlign w:val="bottom"/>
          </w:tcPr>
          <w:p>
            <w:pPr>
              <w:jc w:val="center"/>
              <w:spacing w:after="0"/>
              <w:rPr>
                <w:sz w:val="20"/>
                <w:szCs w:val="20"/>
                <w:color w:val="auto"/>
              </w:rPr>
            </w:pPr>
            <w:r>
              <w:rPr>
                <w:rFonts w:ascii="Arial" w:cs="Arial" w:eastAsia="Arial" w:hAnsi="Arial"/>
                <w:sz w:val="18"/>
                <w:szCs w:val="18"/>
                <w:color w:val="auto"/>
                <w:w w:val="86"/>
              </w:rPr>
              <w:t>263</w:t>
            </w:r>
          </w:p>
        </w:tc>
        <w:tc>
          <w:tcPr>
            <w:tcW w:w="3340" w:type="dxa"/>
            <w:vAlign w:val="bottom"/>
          </w:tcPr>
          <w:p>
            <w:pPr>
              <w:jc w:val="center"/>
              <w:spacing w:after="0"/>
              <w:rPr>
                <w:sz w:val="20"/>
                <w:szCs w:val="20"/>
                <w:color w:val="auto"/>
              </w:rPr>
            </w:pPr>
            <w:r>
              <w:rPr>
                <w:rFonts w:ascii="Arial" w:cs="Arial" w:eastAsia="Arial" w:hAnsi="Arial"/>
                <w:sz w:val="18"/>
                <w:szCs w:val="18"/>
                <w:color w:val="auto"/>
                <w:w w:val="93"/>
              </w:rPr>
              <w:t>200</w:t>
            </w:r>
          </w:p>
        </w:tc>
      </w:tr>
      <w:tr>
        <w:trPr>
          <w:trHeight w:val="202"/>
        </w:trPr>
        <w:tc>
          <w:tcPr>
            <w:tcW w:w="536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3340" w:type="dxa"/>
            <w:vAlign w:val="bottom"/>
          </w:tcPr>
          <w:p>
            <w:pPr>
              <w:spacing w:after="0"/>
              <w:rPr>
                <w:sz w:val="17"/>
                <w:szCs w:val="17"/>
                <w:color w:val="auto"/>
              </w:rPr>
            </w:pPr>
          </w:p>
        </w:tc>
      </w:tr>
      <w:tr>
        <w:trPr>
          <w:trHeight w:val="390"/>
        </w:trPr>
        <w:tc>
          <w:tcPr>
            <w:tcW w:w="5360" w:type="dxa"/>
            <w:vAlign w:val="bottom"/>
            <w:shd w:val="clear" w:color="auto" w:fill="F0F2F5"/>
          </w:tcPr>
          <w:p>
            <w:pPr>
              <w:spacing w:after="0"/>
              <w:rPr>
                <w:sz w:val="20"/>
                <w:szCs w:val="20"/>
                <w:color w:val="auto"/>
              </w:rPr>
            </w:pPr>
            <w:r>
              <w:rPr>
                <w:rFonts w:ascii="Arial" w:cs="Arial" w:eastAsia="Arial" w:hAnsi="Arial"/>
                <w:sz w:val="18"/>
                <w:szCs w:val="18"/>
                <w:color w:val="auto"/>
              </w:rPr>
              <w:t>Joachim Horwath</w:t>
            </w:r>
            <w:r>
              <w:rPr>
                <w:rFonts w:ascii="Arial" w:cs="Arial" w:eastAsia="Arial" w:hAnsi="Arial"/>
                <w:sz w:val="29"/>
                <w:szCs w:val="29"/>
                <w:color w:val="auto"/>
                <w:vertAlign w:val="superscript"/>
              </w:rPr>
              <w:t>1</w:t>
            </w:r>
          </w:p>
        </w:tc>
        <w:tc>
          <w:tcPr>
            <w:tcW w:w="2540" w:type="dxa"/>
            <w:vAlign w:val="bottom"/>
            <w:shd w:val="clear" w:color="auto" w:fill="F0F2F5"/>
          </w:tcPr>
          <w:p>
            <w:pPr>
              <w:jc w:val="center"/>
              <w:spacing w:after="0"/>
              <w:rPr>
                <w:sz w:val="20"/>
                <w:szCs w:val="20"/>
                <w:color w:val="auto"/>
              </w:rPr>
            </w:pPr>
            <w:r>
              <w:rPr>
                <w:rFonts w:ascii="Arial" w:cs="Arial" w:eastAsia="Arial" w:hAnsi="Arial"/>
                <w:sz w:val="18"/>
                <w:szCs w:val="18"/>
                <w:color w:val="auto"/>
                <w:w w:val="86"/>
              </w:rPr>
              <w:t>263</w:t>
            </w:r>
          </w:p>
        </w:tc>
        <w:tc>
          <w:tcPr>
            <w:tcW w:w="3340" w:type="dxa"/>
            <w:vAlign w:val="bottom"/>
            <w:shd w:val="clear" w:color="auto" w:fill="F0F2F5"/>
          </w:tcPr>
          <w:p>
            <w:pPr>
              <w:jc w:val="center"/>
              <w:spacing w:after="0"/>
              <w:rPr>
                <w:sz w:val="20"/>
                <w:szCs w:val="20"/>
                <w:color w:val="auto"/>
              </w:rPr>
            </w:pPr>
            <w:r>
              <w:rPr>
                <w:rFonts w:ascii="Arial" w:cs="Arial" w:eastAsia="Arial" w:hAnsi="Arial"/>
                <w:sz w:val="18"/>
                <w:szCs w:val="18"/>
                <w:color w:val="auto"/>
                <w:w w:val="93"/>
              </w:rPr>
              <w:t>174</w:t>
            </w:r>
          </w:p>
        </w:tc>
      </w:tr>
      <w:tr>
        <w:trPr>
          <w:trHeight w:val="82"/>
        </w:trPr>
        <w:tc>
          <w:tcPr>
            <w:tcW w:w="5360" w:type="dxa"/>
            <w:vAlign w:val="bottom"/>
            <w:shd w:val="clear" w:color="auto" w:fill="F0F2F5"/>
          </w:tcPr>
          <w:p>
            <w:pPr>
              <w:spacing w:after="0"/>
              <w:rPr>
                <w:sz w:val="7"/>
                <w:szCs w:val="7"/>
                <w:color w:val="auto"/>
              </w:rPr>
            </w:pPr>
          </w:p>
        </w:tc>
        <w:tc>
          <w:tcPr>
            <w:tcW w:w="2540" w:type="dxa"/>
            <w:vAlign w:val="bottom"/>
            <w:shd w:val="clear" w:color="auto" w:fill="F0F2F5"/>
          </w:tcPr>
          <w:p>
            <w:pPr>
              <w:spacing w:after="0"/>
              <w:rPr>
                <w:sz w:val="7"/>
                <w:szCs w:val="7"/>
                <w:color w:val="auto"/>
              </w:rPr>
            </w:pPr>
          </w:p>
        </w:tc>
        <w:tc>
          <w:tcPr>
            <w:tcW w:w="3340" w:type="dxa"/>
            <w:vAlign w:val="bottom"/>
            <w:shd w:val="clear" w:color="auto" w:fill="F0F2F5"/>
          </w:tcPr>
          <w:p>
            <w:pPr>
              <w:spacing w:after="0"/>
              <w:rPr>
                <w:sz w:val="7"/>
                <w:szCs w:val="7"/>
                <w:color w:val="auto"/>
              </w:rPr>
            </w:pPr>
          </w:p>
        </w:tc>
      </w:tr>
      <w:tr>
        <w:trPr>
          <w:trHeight w:val="390"/>
        </w:trPr>
        <w:tc>
          <w:tcPr>
            <w:tcW w:w="5360" w:type="dxa"/>
            <w:vAlign w:val="bottom"/>
          </w:tcPr>
          <w:p>
            <w:pPr>
              <w:spacing w:after="0"/>
              <w:rPr>
                <w:sz w:val="20"/>
                <w:szCs w:val="20"/>
                <w:color w:val="auto"/>
              </w:rPr>
            </w:pPr>
            <w:r>
              <w:rPr>
                <w:rFonts w:ascii="Arial" w:cs="Arial" w:eastAsia="Arial" w:hAnsi="Arial"/>
                <w:sz w:val="18"/>
                <w:szCs w:val="18"/>
                <w:color w:val="auto"/>
              </w:rPr>
              <w:t>Mustafa Veziroglu</w:t>
            </w:r>
            <w:r>
              <w:rPr>
                <w:rFonts w:ascii="Arial" w:cs="Arial" w:eastAsia="Arial" w:hAnsi="Arial"/>
                <w:sz w:val="29"/>
                <w:szCs w:val="29"/>
                <w:color w:val="auto"/>
                <w:vertAlign w:val="superscript"/>
              </w:rPr>
              <w:t>2</w:t>
            </w:r>
          </w:p>
        </w:tc>
        <w:tc>
          <w:tcPr>
            <w:tcW w:w="2540" w:type="dxa"/>
            <w:vAlign w:val="bottom"/>
          </w:tcPr>
          <w:p>
            <w:pPr>
              <w:jc w:val="center"/>
              <w:spacing w:after="0"/>
              <w:rPr>
                <w:sz w:val="20"/>
                <w:szCs w:val="20"/>
                <w:color w:val="auto"/>
              </w:rPr>
            </w:pPr>
            <w:r>
              <w:rPr>
                <w:rFonts w:ascii="Arial" w:cs="Arial" w:eastAsia="Arial" w:hAnsi="Arial"/>
                <w:sz w:val="18"/>
                <w:szCs w:val="18"/>
                <w:color w:val="auto"/>
                <w:w w:val="86"/>
              </w:rPr>
              <w:t>129</w:t>
            </w:r>
          </w:p>
        </w:tc>
        <w:tc>
          <w:tcPr>
            <w:tcW w:w="3340" w:type="dxa"/>
            <w:vAlign w:val="bottom"/>
          </w:tcPr>
          <w:p>
            <w:pPr>
              <w:jc w:val="center"/>
              <w:spacing w:after="0"/>
              <w:rPr>
                <w:sz w:val="20"/>
                <w:szCs w:val="20"/>
                <w:color w:val="auto"/>
              </w:rPr>
            </w:pPr>
            <w:r>
              <w:rPr>
                <w:rFonts w:ascii="Arial" w:cs="Arial" w:eastAsia="Arial" w:hAnsi="Arial"/>
                <w:sz w:val="18"/>
                <w:szCs w:val="18"/>
                <w:color w:val="auto"/>
                <w:w w:val="92"/>
              </w:rPr>
              <w:t>./.</w:t>
            </w:r>
          </w:p>
        </w:tc>
      </w:tr>
      <w:tr>
        <w:trPr>
          <w:trHeight w:val="96"/>
        </w:trPr>
        <w:tc>
          <w:tcPr>
            <w:tcW w:w="5360" w:type="dxa"/>
            <w:vAlign w:val="bottom"/>
          </w:tcPr>
          <w:p>
            <w:pPr>
              <w:spacing w:after="0"/>
              <w:rPr>
                <w:sz w:val="8"/>
                <w:szCs w:val="8"/>
                <w:color w:val="auto"/>
              </w:rPr>
            </w:pPr>
          </w:p>
        </w:tc>
        <w:tc>
          <w:tcPr>
            <w:tcW w:w="2540" w:type="dxa"/>
            <w:vAlign w:val="bottom"/>
          </w:tcPr>
          <w:p>
            <w:pPr>
              <w:spacing w:after="0"/>
              <w:rPr>
                <w:sz w:val="8"/>
                <w:szCs w:val="8"/>
                <w:color w:val="auto"/>
              </w:rPr>
            </w:pPr>
          </w:p>
        </w:tc>
        <w:tc>
          <w:tcPr>
            <w:tcW w:w="3340" w:type="dxa"/>
            <w:vAlign w:val="bottom"/>
          </w:tcPr>
          <w:p>
            <w:pPr>
              <w:spacing w:after="0"/>
              <w:rPr>
                <w:sz w:val="8"/>
                <w:szCs w:val="8"/>
                <w:color w:val="auto"/>
              </w:rPr>
            </w:pPr>
          </w:p>
        </w:tc>
      </w:tr>
      <w:tr>
        <w:trPr>
          <w:trHeight w:val="234"/>
        </w:trPr>
        <w:tc>
          <w:tcPr>
            <w:tcW w:w="5360" w:type="dxa"/>
            <w:vAlign w:val="bottom"/>
            <w:shd w:val="clear" w:color="auto" w:fill="F0F2F5"/>
          </w:tcPr>
          <w:p>
            <w:pPr>
              <w:spacing w:after="0"/>
              <w:rPr>
                <w:sz w:val="20"/>
                <w:szCs w:val="20"/>
                <w:color w:val="auto"/>
              </w:rPr>
            </w:pPr>
            <w:r>
              <w:rPr>
                <w:rFonts w:ascii="Arial" w:cs="Arial" w:eastAsia="Arial" w:hAnsi="Arial"/>
                <w:sz w:val="18"/>
                <w:szCs w:val="18"/>
                <w:b w:val="1"/>
                <w:bCs w:val="1"/>
                <w:color w:val="auto"/>
              </w:rPr>
              <w:t>Total</w:t>
            </w:r>
          </w:p>
        </w:tc>
        <w:tc>
          <w:tcPr>
            <w:tcW w:w="2540" w:type="dxa"/>
            <w:vAlign w:val="bottom"/>
            <w:shd w:val="clear" w:color="auto" w:fill="F0F2F5"/>
          </w:tcPr>
          <w:p>
            <w:pPr>
              <w:jc w:val="center"/>
              <w:spacing w:after="0"/>
              <w:rPr>
                <w:sz w:val="20"/>
                <w:szCs w:val="20"/>
                <w:color w:val="auto"/>
              </w:rPr>
            </w:pPr>
            <w:r>
              <w:rPr>
                <w:rFonts w:ascii="Arial" w:cs="Arial" w:eastAsia="Arial" w:hAnsi="Arial"/>
                <w:sz w:val="18"/>
                <w:szCs w:val="18"/>
                <w:b w:val="1"/>
                <w:bCs w:val="1"/>
                <w:color w:val="auto"/>
                <w:w w:val="93"/>
              </w:rPr>
              <w:t>1,085</w:t>
            </w:r>
          </w:p>
        </w:tc>
        <w:tc>
          <w:tcPr>
            <w:tcW w:w="3340" w:type="dxa"/>
            <w:vAlign w:val="bottom"/>
            <w:shd w:val="clear" w:color="auto" w:fill="F0F2F5"/>
          </w:tcPr>
          <w:p>
            <w:pPr>
              <w:jc w:val="center"/>
              <w:spacing w:after="0"/>
              <w:rPr>
                <w:sz w:val="20"/>
                <w:szCs w:val="20"/>
                <w:color w:val="auto"/>
              </w:rPr>
            </w:pPr>
            <w:r>
              <w:rPr>
                <w:rFonts w:ascii="Arial" w:cs="Arial" w:eastAsia="Arial" w:hAnsi="Arial"/>
                <w:sz w:val="18"/>
                <w:szCs w:val="18"/>
                <w:b w:val="1"/>
                <w:bCs w:val="1"/>
                <w:color w:val="auto"/>
                <w:w w:val="93"/>
              </w:rPr>
              <w:t>622</w:t>
            </w:r>
          </w:p>
        </w:tc>
      </w:tr>
      <w:tr>
        <w:trPr>
          <w:trHeight w:val="198"/>
        </w:trPr>
        <w:tc>
          <w:tcPr>
            <w:tcW w:w="5360" w:type="dxa"/>
            <w:vAlign w:val="bottom"/>
            <w:shd w:val="clear" w:color="auto" w:fill="F0F2F5"/>
          </w:tcPr>
          <w:p>
            <w:pPr>
              <w:spacing w:after="0"/>
              <w:rPr>
                <w:sz w:val="17"/>
                <w:szCs w:val="17"/>
                <w:color w:val="auto"/>
              </w:rPr>
            </w:pPr>
          </w:p>
        </w:tc>
        <w:tc>
          <w:tcPr>
            <w:tcW w:w="2540" w:type="dxa"/>
            <w:vAlign w:val="bottom"/>
            <w:shd w:val="clear" w:color="auto" w:fill="F0F2F5"/>
          </w:tcPr>
          <w:p>
            <w:pPr>
              <w:spacing w:after="0"/>
              <w:rPr>
                <w:sz w:val="17"/>
                <w:szCs w:val="17"/>
                <w:color w:val="auto"/>
              </w:rPr>
            </w:pPr>
          </w:p>
        </w:tc>
        <w:tc>
          <w:tcPr>
            <w:tcW w:w="3340" w:type="dxa"/>
            <w:vAlign w:val="bottom"/>
            <w:shd w:val="clear" w:color="auto" w:fill="F0F2F5"/>
          </w:tcPr>
          <w:p>
            <w:pPr>
              <w:spacing w:after="0"/>
              <w:rPr>
                <w:sz w:val="17"/>
                <w:szCs w:val="17"/>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The annual base salary of the Chief Executive Officer Bulent Altan also includes the fixed remuneration he receives for his activities as Chief Executive</w:t>
      </w:r>
    </w:p>
    <w:p>
      <w:pPr>
        <w:spacing w:after="0" w:line="6" w:lineRule="exact"/>
        <w:rPr>
          <w:sz w:val="20"/>
          <w:szCs w:val="20"/>
          <w:color w:val="auto"/>
        </w:rPr>
      </w:pPr>
    </w:p>
    <w:p>
      <w:pPr>
        <w:spacing w:after="0"/>
        <w:rPr>
          <w:sz w:val="20"/>
          <w:szCs w:val="20"/>
          <w:color w:val="auto"/>
        </w:rPr>
      </w:pPr>
      <w:r>
        <w:rPr>
          <w:rFonts w:ascii="Arial" w:cs="Arial" w:eastAsia="Arial" w:hAnsi="Arial"/>
          <w:sz w:val="16"/>
          <w:szCs w:val="16"/>
          <w:color w:val="auto"/>
        </w:rPr>
        <w:t>Officer (CEO) of the 100% subsidiary of the Company Mynaric USA Inc. in the amount of € 280</w:t>
      </w:r>
      <w:r>
        <w:rPr>
          <w:rFonts w:ascii="Arial" w:cs="Arial" w:eastAsia="Arial" w:hAnsi="Arial"/>
          <w:sz w:val="26"/>
          <w:szCs w:val="26"/>
          <w:color w:val="auto"/>
          <w:vertAlign w:val="superscript"/>
        </w:rPr>
        <w:t>3</w:t>
      </w:r>
      <w:r>
        <w:rPr>
          <w:rFonts w:ascii="Arial" w:cs="Arial" w:eastAsia="Arial" w:hAnsi="Arial"/>
          <w:sz w:val="16"/>
          <w:szCs w:val="16"/>
          <w:color w:val="auto"/>
        </w:rPr>
        <w:t xml:space="preserve"> thousand (for the financial year 2021: € 123</w:t>
      </w:r>
      <w:r>
        <w:rPr>
          <w:rFonts w:ascii="Arial" w:cs="Arial" w:eastAsia="Arial" w:hAnsi="Arial"/>
          <w:sz w:val="26"/>
          <w:szCs w:val="26"/>
          <w:color w:val="auto"/>
          <w:vertAlign w:val="superscript"/>
        </w:rPr>
        <w:t>4</w:t>
      </w:r>
      <w:r>
        <w:rPr>
          <w:rFonts w:ascii="Arial" w:cs="Arial" w:eastAsia="Arial" w:hAnsi="Arial"/>
          <w:sz w:val="16"/>
          <w:szCs w:val="16"/>
          <w:color w:val="auto"/>
        </w:rPr>
        <w:t xml:space="preserve"> thousand).</w:t>
      </w:r>
    </w:p>
    <w:p>
      <w:pPr>
        <w:spacing w:after="0"/>
        <w:rPr>
          <w:sz w:val="20"/>
          <w:szCs w:val="20"/>
          <w:color w:val="auto"/>
        </w:rPr>
      </w:pPr>
      <w:r>
        <w:rPr>
          <w:rFonts w:ascii="Arial" w:cs="Arial" w:eastAsia="Arial" w:hAnsi="Arial"/>
          <w:sz w:val="18"/>
          <w:szCs w:val="18"/>
          <w:color w:val="auto"/>
        </w:rPr>
        <w:t>The other members of the Management Board received no remuneration for activities in subsidiaries of Mynaric AG.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197104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971040" cy="8890"/>
                    </a:xfrm>
                    <a:prstGeom prst="rect">
                      <a:avLst/>
                    </a:prstGeom>
                    <a:noFill/>
                  </pic:spPr>
                </pic:pic>
              </a:graphicData>
            </a:graphic>
          </wp:anchor>
        </w:drawing>
      </w:r>
    </w:p>
    <w:p>
      <w:pPr>
        <w:spacing w:after="0" w:line="121" w:lineRule="exact"/>
        <w:rPr>
          <w:sz w:val="20"/>
          <w:szCs w:val="20"/>
          <w:color w:val="auto"/>
        </w:rPr>
      </w:pPr>
    </w:p>
    <w:p>
      <w:pPr>
        <w:ind w:left="120" w:hanging="112"/>
        <w:spacing w:after="0"/>
        <w:tabs>
          <w:tab w:leader="none" w:pos="120" w:val="left"/>
        </w:tabs>
        <w:numPr>
          <w:ilvl w:val="0"/>
          <w:numId w:val="28"/>
        </w:numPr>
        <w:rPr>
          <w:rFonts w:ascii="Arial" w:cs="Arial" w:eastAsia="Arial" w:hAnsi="Arial"/>
          <w:sz w:val="30"/>
          <w:szCs w:val="30"/>
          <w:color w:val="auto"/>
          <w:vertAlign w:val="superscript"/>
        </w:rPr>
      </w:pPr>
      <w:r>
        <w:rPr>
          <w:rFonts w:ascii="Arial" w:cs="Arial" w:eastAsia="Arial" w:hAnsi="Arial"/>
          <w:sz w:val="18"/>
          <w:szCs w:val="18"/>
          <w:color w:val="auto"/>
        </w:rPr>
        <w:t>Member of the Management Board since February 17, 2021.</w:t>
      </w:r>
    </w:p>
    <w:p>
      <w:pPr>
        <w:spacing w:after="0" w:line="55" w:lineRule="exact"/>
        <w:rPr>
          <w:rFonts w:ascii="Arial" w:cs="Arial" w:eastAsia="Arial" w:hAnsi="Arial"/>
          <w:sz w:val="30"/>
          <w:szCs w:val="30"/>
          <w:color w:val="auto"/>
          <w:vertAlign w:val="superscript"/>
        </w:rPr>
      </w:pPr>
    </w:p>
    <w:p>
      <w:pPr>
        <w:ind w:right="6880"/>
        <w:spacing w:after="0" w:line="235" w:lineRule="auto"/>
        <w:rPr>
          <w:rFonts w:ascii="Arial" w:cs="Arial" w:eastAsia="Arial" w:hAnsi="Arial"/>
          <w:sz w:val="30"/>
          <w:szCs w:val="30"/>
          <w:color w:val="auto"/>
          <w:vertAlign w:val="superscript"/>
        </w:rPr>
      </w:pPr>
      <w:r>
        <w:rPr>
          <w:rFonts w:ascii="Arial" w:cs="Arial" w:eastAsia="Arial" w:hAnsi="Arial"/>
          <w:sz w:val="26"/>
          <w:szCs w:val="26"/>
          <w:color w:val="auto"/>
          <w:vertAlign w:val="superscript"/>
        </w:rPr>
        <w:t>2</w:t>
      </w:r>
      <w:r>
        <w:rPr>
          <w:rFonts w:ascii="Arial" w:cs="Arial" w:eastAsia="Arial" w:hAnsi="Arial"/>
          <w:sz w:val="16"/>
          <w:szCs w:val="16"/>
          <w:color w:val="auto"/>
        </w:rPr>
        <w:t xml:space="preserve"> Member of the Management Board since August 15, 2022. </w:t>
      </w:r>
      <w:r>
        <w:rPr>
          <w:rFonts w:ascii="Arial" w:cs="Arial" w:eastAsia="Arial" w:hAnsi="Arial"/>
          <w:sz w:val="26"/>
          <w:szCs w:val="26"/>
          <w:color w:val="auto"/>
          <w:vertAlign w:val="superscript"/>
        </w:rPr>
        <w:t>3</w:t>
      </w:r>
      <w:r>
        <w:rPr>
          <w:rFonts w:ascii="Arial" w:cs="Arial" w:eastAsia="Arial" w:hAnsi="Arial"/>
          <w:sz w:val="16"/>
          <w:szCs w:val="16"/>
          <w:color w:val="auto"/>
        </w:rPr>
        <w:t xml:space="preserve"> k$ 294 at an average exchange rate 2022 $/€: 0.95441.</w:t>
      </w: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b) Fringe benefits and further payments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addition to their annual base salary, the members of the Management Board receive fringe benefits, which may mainly consist of contributions to a private pension plan, subsidies for health and long-term care insurance, rent subsidies and other benefits in kind.</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the occasion of his appointment as a member of the Management Board, Mustafa Veziroglu was also granted a payment of € 80 thousand for his relocation and the move of his family from the USA to Germany.</w:t>
      </w:r>
    </w:p>
    <w:p>
      <w:pPr>
        <w:spacing w:after="0" w:line="174" w:lineRule="exact"/>
        <w:rPr>
          <w:sz w:val="20"/>
          <w:szCs w:val="20"/>
          <w:color w:val="auto"/>
        </w:rPr>
      </w:pPr>
    </w:p>
    <w:p>
      <w:pPr>
        <w:jc w:val="both"/>
        <w:spacing w:after="0" w:line="230" w:lineRule="auto"/>
        <w:rPr>
          <w:sz w:val="20"/>
          <w:szCs w:val="20"/>
          <w:color w:val="auto"/>
        </w:rPr>
      </w:pPr>
      <w:r>
        <w:rPr>
          <w:rFonts w:ascii="Arial" w:cs="Arial" w:eastAsia="Arial" w:hAnsi="Arial"/>
          <w:sz w:val="18"/>
          <w:szCs w:val="18"/>
          <w:color w:val="auto"/>
        </w:rPr>
        <w:t>In addition, the chairman of the Management Board, Bulent Altan, was granted an extraordinary payment in the amount of € 51,818</w:t>
      </w:r>
      <w:r>
        <w:rPr>
          <w:rFonts w:ascii="Arial" w:cs="Arial" w:eastAsia="Arial" w:hAnsi="Arial"/>
          <w:sz w:val="29"/>
          <w:szCs w:val="29"/>
          <w:color w:val="auto"/>
          <w:vertAlign w:val="superscript"/>
        </w:rPr>
        <w:t>5</w:t>
      </w:r>
      <w:r>
        <w:rPr>
          <w:rFonts w:ascii="Arial" w:cs="Arial" w:eastAsia="Arial" w:hAnsi="Arial"/>
          <w:sz w:val="18"/>
          <w:szCs w:val="18"/>
          <w:color w:val="auto"/>
        </w:rPr>
        <w:t xml:space="preserve"> on the occasion of the extension of his appointment as a member of the Management Board. The members of the Management Board Stefan Berndt-von Bülow and Joachim Horwath were each granted an extraordinary payment in the amount of € 62,500 on the occasion of the extension of their appointment as members of the Management Board.</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2.3. Performance-related remuneration components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Annual bonus (Short Term Incentive, STI)</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members of the Management Board receive a short-term variable remuneration in the form of an annual bonus designed to reward the operational implementation of the corporate strategy in the respective financial year.</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amount of the annual bonus is generally based on the achievement of specific performance targets set by the Supervisory Board. For this purpose, the Supervisory Board has set a target amount that determines the amount of the bonus in the event of 100% target achievement and that corresponds to 50% of the annual (gross) base salary of each Management Board member, in the case of Bulent Altan 50% of the total annual (gross) base salary paid by both Mynaric AG and Mynaric USA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101600</wp:posOffset>
            </wp:positionV>
            <wp:extent cx="197104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971040" cy="8255"/>
                    </a:xfrm>
                    <a:prstGeom prst="rect">
                      <a:avLst/>
                    </a:prstGeom>
                    <a:noFill/>
                  </pic:spPr>
                </pic:pic>
              </a:graphicData>
            </a:graphic>
          </wp:anchor>
        </w:drawing>
      </w:r>
    </w:p>
    <w:p>
      <w:pPr>
        <w:spacing w:after="0" w:line="98" w:lineRule="exact"/>
        <w:rPr>
          <w:sz w:val="20"/>
          <w:szCs w:val="20"/>
          <w:color w:val="auto"/>
        </w:rPr>
      </w:pPr>
    </w:p>
    <w:p>
      <w:pPr>
        <w:ind w:left="120" w:hanging="112"/>
        <w:spacing w:after="0"/>
        <w:tabs>
          <w:tab w:leader="none" w:pos="120" w:val="left"/>
        </w:tabs>
        <w:numPr>
          <w:ilvl w:val="0"/>
          <w:numId w:val="29"/>
        </w:numPr>
        <w:rPr>
          <w:rFonts w:ascii="Arial" w:cs="Arial" w:eastAsia="Arial" w:hAnsi="Arial"/>
          <w:sz w:val="30"/>
          <w:szCs w:val="30"/>
          <w:color w:val="auto"/>
          <w:vertAlign w:val="superscript"/>
        </w:rPr>
      </w:pPr>
      <w:r>
        <w:rPr>
          <w:rFonts w:ascii="Arial" w:cs="Arial" w:eastAsia="Arial" w:hAnsi="Arial"/>
          <w:sz w:val="18"/>
          <w:szCs w:val="18"/>
          <w:color w:val="auto"/>
        </w:rPr>
        <w:t>k$ 145 at an average 2021 $/€ exchange rate: 0.848188.</w:t>
      </w:r>
    </w:p>
    <w:p>
      <w:pPr>
        <w:spacing w:after="0" w:line="9" w:lineRule="exact"/>
        <w:rPr>
          <w:sz w:val="20"/>
          <w:szCs w:val="20"/>
          <w:color w:val="auto"/>
        </w:rPr>
      </w:pPr>
    </w:p>
    <w:p>
      <w:pPr>
        <w:spacing w:after="0"/>
        <w:rPr>
          <w:sz w:val="20"/>
          <w:szCs w:val="20"/>
          <w:color w:val="auto"/>
        </w:rPr>
      </w:pPr>
      <w:r>
        <w:rPr>
          <w:rFonts w:ascii="Arial" w:cs="Arial" w:eastAsia="Arial" w:hAnsi="Arial"/>
          <w:sz w:val="28"/>
          <w:szCs w:val="28"/>
          <w:color w:val="auto"/>
          <w:vertAlign w:val="superscript"/>
        </w:rPr>
        <w:t>5</w:t>
      </w:r>
      <w:r>
        <w:rPr>
          <w:rFonts w:ascii="Arial" w:cs="Arial" w:eastAsia="Arial" w:hAnsi="Arial"/>
          <w:sz w:val="17"/>
          <w:szCs w:val="17"/>
          <w:color w:val="auto"/>
        </w:rPr>
        <w:t>Composition: € 8,125 paid out by Mynaric AG; € 43,693 paid out by Mynaric USA ($ 45,780 at an average exchange rate 2022 $/€: 0.95441)</w:t>
      </w: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34" w:name="page35"/>
    <w:bookmarkEnd w:id="34"/>
    <w:p>
      <w:pPr>
        <w:jc w:val="both"/>
        <w:spacing w:after="0" w:line="259" w:lineRule="auto"/>
        <w:rPr>
          <w:sz w:val="20"/>
          <w:szCs w:val="20"/>
          <w:color w:val="auto"/>
        </w:rPr>
      </w:pPr>
      <w:r>
        <w:rPr>
          <w:rFonts w:ascii="Arial" w:cs="Arial" w:eastAsia="Arial" w:hAnsi="Arial"/>
          <w:sz w:val="18"/>
          <w:szCs w:val="18"/>
          <w:color w:val="auto"/>
        </w:rPr>
        <w:t>At the beginning of the following financial year, the Supervisory Board assesses the degree of achievement of the defined performance targets and determines the amount of the annual bonus based on the defined weighting for each performance target, with the payout amount capped at 200% of the target amount (i.e. 50% of the annual (gross) base salary of each Management Board member and, in the case of Bulent Altan, 50% of the total annual (gross) base salary of both Mynaric AG and Mynaric USA Inc.</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the annual bonus 2021 was not paid to the members of the Management Board until June 2022, the annual bonus 2021 is attributed to the remuneration awarded and due within the meaning of section 162 para. 1 sentence 1 AktG in the financial year 2022 and is therefore disclosed in this remuneration report. The amount of the annual bonus for the 2022 financial year will be determined and paid in the financial year 2023 and is therefore attributable to the remuneration awarded and due in the financial year 2023 within the meaning of section 162 para. 1 sentence 1 AktG. The annual bonus 2022 shall therefore be disclosed in the remuneration report for the financial year 2023.</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targets for the annual bonus 2021</w:t>
      </w:r>
    </w:p>
    <w:p>
      <w:pPr>
        <w:spacing w:after="0" w:line="225" w:lineRule="exact"/>
        <w:rPr>
          <w:sz w:val="20"/>
          <w:szCs w:val="20"/>
          <w:color w:val="auto"/>
        </w:rPr>
      </w:pPr>
    </w:p>
    <w:p>
      <w:pPr>
        <w:jc w:val="both"/>
        <w:spacing w:after="0" w:line="281" w:lineRule="auto"/>
        <w:rPr>
          <w:sz w:val="20"/>
          <w:szCs w:val="20"/>
          <w:color w:val="auto"/>
        </w:rPr>
      </w:pPr>
      <w:r>
        <w:rPr>
          <w:rFonts w:ascii="Arial" w:cs="Arial" w:eastAsia="Arial" w:hAnsi="Arial"/>
          <w:sz w:val="17"/>
          <w:szCs w:val="17"/>
          <w:color w:val="auto"/>
        </w:rPr>
        <w:t>For the annual bonus 2021, the Supervisory Board has set two performance targets, an operational target (the “</w:t>
      </w:r>
      <w:r>
        <w:rPr>
          <w:rFonts w:ascii="Arial" w:cs="Arial" w:eastAsia="Arial" w:hAnsi="Arial"/>
          <w:sz w:val="17"/>
          <w:szCs w:val="17"/>
          <w:b w:val="1"/>
          <w:bCs w:val="1"/>
          <w:color w:val="auto"/>
        </w:rPr>
        <w:t>Operational Target</w:t>
      </w:r>
      <w:r>
        <w:rPr>
          <w:rFonts w:ascii="Arial" w:cs="Arial" w:eastAsia="Arial" w:hAnsi="Arial"/>
          <w:sz w:val="17"/>
          <w:szCs w:val="17"/>
          <w:color w:val="auto"/>
        </w:rPr>
        <w:t>”) and a financial target (the “</w:t>
      </w:r>
      <w:r>
        <w:rPr>
          <w:rFonts w:ascii="Arial" w:cs="Arial" w:eastAsia="Arial" w:hAnsi="Arial"/>
          <w:sz w:val="17"/>
          <w:szCs w:val="17"/>
          <w:b w:val="1"/>
          <w:bCs w:val="1"/>
          <w:color w:val="auto"/>
        </w:rPr>
        <w:t>Financial Target</w:t>
      </w:r>
      <w:r>
        <w:rPr>
          <w:rFonts w:ascii="Arial" w:cs="Arial" w:eastAsia="Arial" w:hAnsi="Arial"/>
          <w:sz w:val="17"/>
          <w:szCs w:val="17"/>
          <w:color w:val="auto"/>
        </w:rPr>
        <w:t>”), with both the Operational Target and the Financial Target each being weighted at 50% within the overall target achievement. In addition, the Supervisory Board has the possibility of honoring the Management Board members’ performance that is not appropriately reflected in the annual bonus by adjusting the target achievement of the annual bonus by up to 30% (so-called “</w:t>
      </w:r>
      <w:r>
        <w:rPr>
          <w:rFonts w:ascii="Arial" w:cs="Arial" w:eastAsia="Arial" w:hAnsi="Arial"/>
          <w:sz w:val="17"/>
          <w:szCs w:val="17"/>
          <w:b w:val="1"/>
          <w:bCs w:val="1"/>
          <w:color w:val="auto"/>
        </w:rPr>
        <w:t>Discretionary Target</w:t>
      </w:r>
      <w:r>
        <w:rPr>
          <w:rFonts w:ascii="Arial" w:cs="Arial" w:eastAsia="Arial" w:hAnsi="Arial"/>
          <w:sz w:val="17"/>
          <w:szCs w:val="17"/>
          <w:color w:val="auto"/>
        </w:rPr>
        <w:t>”).</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i w:val="1"/>
          <w:iCs w:val="1"/>
          <w:color w:val="auto"/>
        </w:rPr>
        <w:t>Operational Target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target achievement for the Operational Target is determined as follows: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Supervisory Board has based the Operational Target on the number of terminals delivered to customers in the financial year 2021. For this purpose, the Supervisory Board set a target value of 23 terminals delivered to customers for the Operational Target, which corresponds to a target achievement of 100%. Less than 15 terminals delivered to customers correspond to a target achievement of 0% and 40 terminals delivered to customers corresponds to a target achievement of 300%. It is not possible to increase the target achievement beyond 300% (cap). Between the percentage points, the target achievement increases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990600</wp:posOffset>
            </wp:positionH>
            <wp:positionV relativeFrom="paragraph">
              <wp:posOffset>128270</wp:posOffset>
            </wp:positionV>
            <wp:extent cx="5168900" cy="318008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168900" cy="3180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i w:val="1"/>
          <w:iCs w:val="1"/>
          <w:color w:val="auto"/>
        </w:rPr>
        <w:t>Financial Target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target achievement for the Financial Target is determined as follows: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Supervisory Board has based the Financial Target on the amount of payments received from customers in the financial year 2021. For this purpose, the Supervisory Board has set a target value of € 10.0 million for the Financial Target, which corresponds to a target achievement of 100%. Payments in the amount of less than € 7.0 million correspond to a target achievement of 0% and payments in the amount of € 20.0 million correspond to a target achievement of 300%. An increase in target achievement beyond 300% is not possible (cap). Between the percentage points, the target achievement increases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1024890</wp:posOffset>
            </wp:positionH>
            <wp:positionV relativeFrom="paragraph">
              <wp:posOffset>128270</wp:posOffset>
            </wp:positionV>
            <wp:extent cx="5100320" cy="248602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100320" cy="24860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Target achievement for the annual bonus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achievement of the Operational Target and the Financial Target was determined as follows:</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the financial year 2021, only one terminal was delivered to customers, resulting in an achievement of the Operational Target of 0%. Payments from customer contracts amounted to €3.9 million in the financial year 2021, resulting in an achievement of the Financial Target of also 0%. Based on the achievement of the Operational Target and the Financial Target, the overall target achievement of the annual bonus in 2021 was 0%.</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Discretionary Target</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Supervisory Board of the Company has the right to adjust the target achievement of the annual bonus by up to 30% at its discretion depending on the achievement of Company targets not included in the Operational Target or the Financial Target. In exceptional cases, this gives the Supervisory Board the opportunity to reward extraordinary performance of the Management Board members that is not appropriately reflected in the target achievement for the annual bonus.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37" w:name="page38"/>
    <w:bookmarkEnd w:id="37"/>
    <w:p>
      <w:pPr>
        <w:jc w:val="both"/>
        <w:spacing w:after="0" w:line="293" w:lineRule="auto"/>
        <w:rPr>
          <w:sz w:val="20"/>
          <w:szCs w:val="20"/>
          <w:color w:val="auto"/>
        </w:rPr>
      </w:pPr>
      <w:r>
        <w:rPr>
          <w:rFonts w:ascii="Arial" w:cs="Arial" w:eastAsia="Arial" w:hAnsi="Arial"/>
          <w:sz w:val="16"/>
          <w:szCs w:val="16"/>
          <w:color w:val="auto"/>
        </w:rPr>
        <w:t>In the financial year 2021, Mynaric AG successfully completed its IPO on the NASDAQ Global Select Market in the U.S., in the course of which the Company placed approximately four million so-called American Depositary Shares (ADS). However, as the thresholds set by the Supervisory Board for the gross issue proceeds to be generated were not reached, the IPO special bonus originally intended for the members of the Management Board was not paid out. However, the Supervisory Board is of the opinion that the outstanding commitment of the members of the Management Board in connection with the IPO, which was also reflected in particular in the acquisition of renowned investors, and the correspondingly high workload should be appropriately rewarded in the financial year. For this reason, the Supervisory Board determined the following payout amounts for the annual bonus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111125</wp:posOffset>
            </wp:positionV>
            <wp:extent cx="7136130" cy="7067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6130" cy="706755"/>
                    </a:xfrm>
                    <a:prstGeom prst="rect">
                      <a:avLst/>
                    </a:prstGeom>
                    <a:noFill/>
                  </pic:spPr>
                </pic:pic>
              </a:graphicData>
            </a:graphic>
          </wp:anchor>
        </w:drawing>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1960" w:type="dxa"/>
            <w:vAlign w:val="bottom"/>
            <w:shd w:val="clear" w:color="auto" w:fill="E36C0A"/>
          </w:tcPr>
          <w:p>
            <w:pPr>
              <w:jc w:val="center"/>
              <w:spacing w:after="0"/>
              <w:rPr>
                <w:sz w:val="20"/>
                <w:szCs w:val="20"/>
                <w:color w:val="auto"/>
              </w:rPr>
            </w:pPr>
            <w:r>
              <w:rPr>
                <w:rFonts w:ascii="Arial" w:cs="Arial" w:eastAsia="Arial" w:hAnsi="Arial"/>
                <w:sz w:val="18"/>
                <w:szCs w:val="18"/>
                <w:b w:val="1"/>
                <w:bCs w:val="1"/>
                <w:color w:val="auto"/>
                <w:w w:val="90"/>
              </w:rPr>
              <w:t>Management</w:t>
            </w:r>
          </w:p>
        </w:tc>
        <w:tc>
          <w:tcPr>
            <w:tcW w:w="1940" w:type="dxa"/>
            <w:vAlign w:val="bottom"/>
            <w:shd w:val="clear" w:color="auto" w:fill="E36C0A"/>
          </w:tcPr>
          <w:p>
            <w:pPr>
              <w:jc w:val="center"/>
              <w:spacing w:after="0"/>
              <w:rPr>
                <w:sz w:val="20"/>
                <w:szCs w:val="20"/>
                <w:color w:val="auto"/>
              </w:rPr>
            </w:pPr>
            <w:r>
              <w:rPr>
                <w:rFonts w:ascii="Arial" w:cs="Arial" w:eastAsia="Arial" w:hAnsi="Arial"/>
                <w:sz w:val="18"/>
                <w:szCs w:val="18"/>
                <w:b w:val="1"/>
                <w:bCs w:val="1"/>
                <w:color w:val="auto"/>
                <w:w w:val="90"/>
              </w:rPr>
              <w:t>Target</w:t>
            </w:r>
          </w:p>
        </w:tc>
        <w:tc>
          <w:tcPr>
            <w:tcW w:w="1960" w:type="dxa"/>
            <w:vAlign w:val="bottom"/>
            <w:shd w:val="clear" w:color="auto" w:fill="E36C0A"/>
          </w:tcPr>
          <w:p>
            <w:pPr>
              <w:jc w:val="center"/>
              <w:spacing w:after="0"/>
              <w:rPr>
                <w:sz w:val="20"/>
                <w:szCs w:val="20"/>
                <w:color w:val="auto"/>
              </w:rPr>
            </w:pPr>
            <w:r>
              <w:rPr>
                <w:rFonts w:ascii="Arial" w:cs="Arial" w:eastAsia="Arial" w:hAnsi="Arial"/>
                <w:sz w:val="18"/>
                <w:szCs w:val="18"/>
                <w:b w:val="1"/>
                <w:bCs w:val="1"/>
                <w:color w:val="auto"/>
                <w:w w:val="96"/>
              </w:rPr>
              <w:t>Maximum</w:t>
            </w:r>
          </w:p>
        </w:tc>
        <w:tc>
          <w:tcPr>
            <w:tcW w:w="2240" w:type="dxa"/>
            <w:vAlign w:val="bottom"/>
            <w:shd w:val="clear" w:color="auto" w:fill="E36C0A"/>
          </w:tcPr>
          <w:p>
            <w:pPr>
              <w:jc w:val="center"/>
              <w:spacing w:after="0"/>
              <w:rPr>
                <w:sz w:val="20"/>
                <w:szCs w:val="20"/>
                <w:color w:val="auto"/>
              </w:rPr>
            </w:pPr>
            <w:r>
              <w:rPr>
                <w:rFonts w:ascii="Arial" w:cs="Arial" w:eastAsia="Arial" w:hAnsi="Arial"/>
                <w:sz w:val="18"/>
                <w:szCs w:val="18"/>
                <w:b w:val="1"/>
                <w:bCs w:val="1"/>
                <w:color w:val="auto"/>
                <w:w w:val="94"/>
              </w:rPr>
              <w:t>Overall target</w:t>
            </w:r>
          </w:p>
        </w:tc>
        <w:tc>
          <w:tcPr>
            <w:tcW w:w="1640" w:type="dxa"/>
            <w:vAlign w:val="bottom"/>
            <w:shd w:val="clear" w:color="auto" w:fill="E36C0A"/>
          </w:tcPr>
          <w:p>
            <w:pPr>
              <w:jc w:val="center"/>
              <w:spacing w:after="0"/>
              <w:rPr>
                <w:sz w:val="20"/>
                <w:szCs w:val="20"/>
                <w:color w:val="auto"/>
              </w:rPr>
            </w:pPr>
            <w:r>
              <w:rPr>
                <w:rFonts w:ascii="Arial" w:cs="Arial" w:eastAsia="Arial" w:hAnsi="Arial"/>
                <w:sz w:val="18"/>
                <w:szCs w:val="18"/>
                <w:b w:val="1"/>
                <w:bCs w:val="1"/>
                <w:color w:val="auto"/>
                <w:w w:val="90"/>
              </w:rPr>
              <w:t>Discretionary</w:t>
            </w:r>
          </w:p>
        </w:tc>
        <w:tc>
          <w:tcPr>
            <w:tcW w:w="1500" w:type="dxa"/>
            <w:vAlign w:val="bottom"/>
            <w:shd w:val="clear" w:color="auto" w:fill="E36C0A"/>
          </w:tcPr>
          <w:p>
            <w:pPr>
              <w:jc w:val="center"/>
              <w:spacing w:after="0"/>
              <w:rPr>
                <w:sz w:val="20"/>
                <w:szCs w:val="20"/>
                <w:color w:val="auto"/>
              </w:rPr>
            </w:pPr>
            <w:r>
              <w:rPr>
                <w:rFonts w:ascii="Arial" w:cs="Arial" w:eastAsia="Arial" w:hAnsi="Arial"/>
                <w:sz w:val="18"/>
                <w:szCs w:val="18"/>
                <w:b w:val="1"/>
                <w:bCs w:val="1"/>
                <w:color w:val="auto"/>
                <w:w w:val="89"/>
              </w:rPr>
              <w:t>Payout</w:t>
            </w:r>
          </w:p>
        </w:tc>
      </w:tr>
      <w:tr>
        <w:trPr>
          <w:trHeight w:val="229"/>
        </w:trPr>
        <w:tc>
          <w:tcPr>
            <w:tcW w:w="1960" w:type="dxa"/>
            <w:vAlign w:val="bottom"/>
            <w:shd w:val="clear" w:color="auto" w:fill="E36C0A"/>
          </w:tcPr>
          <w:p>
            <w:pPr>
              <w:jc w:val="center"/>
              <w:spacing w:after="0"/>
              <w:rPr>
                <w:sz w:val="20"/>
                <w:szCs w:val="20"/>
                <w:color w:val="auto"/>
              </w:rPr>
            </w:pPr>
            <w:r>
              <w:rPr>
                <w:rFonts w:ascii="Arial" w:cs="Arial" w:eastAsia="Arial" w:hAnsi="Arial"/>
                <w:sz w:val="18"/>
                <w:szCs w:val="18"/>
                <w:b w:val="1"/>
                <w:bCs w:val="1"/>
                <w:color w:val="auto"/>
                <w:w w:val="92"/>
              </w:rPr>
              <w:t>Board</w:t>
            </w:r>
          </w:p>
        </w:tc>
        <w:tc>
          <w:tcPr>
            <w:tcW w:w="1940" w:type="dxa"/>
            <w:vAlign w:val="bottom"/>
            <w:shd w:val="clear" w:color="auto" w:fill="E36C0A"/>
          </w:tcPr>
          <w:p>
            <w:pPr>
              <w:jc w:val="center"/>
              <w:spacing w:after="0" w:line="228" w:lineRule="exact"/>
              <w:rPr>
                <w:sz w:val="20"/>
                <w:szCs w:val="20"/>
                <w:color w:val="auto"/>
              </w:rPr>
            </w:pPr>
            <w:r>
              <w:rPr>
                <w:rFonts w:ascii="Arial" w:cs="Arial" w:eastAsia="Arial" w:hAnsi="Arial"/>
                <w:sz w:val="16"/>
                <w:szCs w:val="16"/>
                <w:b w:val="1"/>
                <w:bCs w:val="1"/>
                <w:color w:val="auto"/>
                <w:w w:val="97"/>
              </w:rPr>
              <w:t>amount</w:t>
            </w:r>
            <w:r>
              <w:rPr>
                <w:rFonts w:ascii="Arial" w:cs="Arial" w:eastAsia="Arial" w:hAnsi="Arial"/>
                <w:sz w:val="26"/>
                <w:szCs w:val="26"/>
                <w:b w:val="1"/>
                <w:bCs w:val="1"/>
                <w:color w:val="auto"/>
                <w:w w:val="97"/>
                <w:vertAlign w:val="superscript"/>
              </w:rPr>
              <w:t>6</w:t>
            </w:r>
          </w:p>
        </w:tc>
        <w:tc>
          <w:tcPr>
            <w:tcW w:w="1960" w:type="dxa"/>
            <w:vAlign w:val="bottom"/>
            <w:shd w:val="clear" w:color="auto" w:fill="E36C0A"/>
          </w:tcPr>
          <w:p>
            <w:pPr>
              <w:jc w:val="center"/>
              <w:spacing w:after="0"/>
              <w:rPr>
                <w:sz w:val="20"/>
                <w:szCs w:val="20"/>
                <w:color w:val="auto"/>
              </w:rPr>
            </w:pPr>
            <w:r>
              <w:rPr>
                <w:rFonts w:ascii="Arial" w:cs="Arial" w:eastAsia="Arial" w:hAnsi="Arial"/>
                <w:sz w:val="18"/>
                <w:szCs w:val="18"/>
                <w:b w:val="1"/>
                <w:bCs w:val="1"/>
                <w:color w:val="auto"/>
                <w:w w:val="89"/>
              </w:rPr>
              <w:t>payout amount</w:t>
            </w:r>
          </w:p>
        </w:tc>
        <w:tc>
          <w:tcPr>
            <w:tcW w:w="2240" w:type="dxa"/>
            <w:vAlign w:val="bottom"/>
            <w:shd w:val="clear" w:color="auto" w:fill="E36C0A"/>
          </w:tcPr>
          <w:p>
            <w:pPr>
              <w:jc w:val="center"/>
              <w:spacing w:after="0"/>
              <w:rPr>
                <w:sz w:val="20"/>
                <w:szCs w:val="20"/>
                <w:color w:val="auto"/>
              </w:rPr>
            </w:pPr>
            <w:r>
              <w:rPr>
                <w:rFonts w:ascii="Arial" w:cs="Arial" w:eastAsia="Arial" w:hAnsi="Arial"/>
                <w:sz w:val="18"/>
                <w:szCs w:val="18"/>
                <w:b w:val="1"/>
                <w:bCs w:val="1"/>
                <w:color w:val="auto"/>
                <w:w w:val="88"/>
              </w:rPr>
              <w:t>achievement 2021</w:t>
            </w:r>
          </w:p>
        </w:tc>
        <w:tc>
          <w:tcPr>
            <w:tcW w:w="1640" w:type="dxa"/>
            <w:vAlign w:val="bottom"/>
            <w:shd w:val="clear" w:color="auto" w:fill="E36C0A"/>
          </w:tcPr>
          <w:p>
            <w:pPr>
              <w:jc w:val="center"/>
              <w:spacing w:after="0"/>
              <w:rPr>
                <w:sz w:val="20"/>
                <w:szCs w:val="20"/>
                <w:color w:val="auto"/>
              </w:rPr>
            </w:pPr>
            <w:r>
              <w:rPr>
                <w:rFonts w:ascii="Arial" w:cs="Arial" w:eastAsia="Arial" w:hAnsi="Arial"/>
                <w:sz w:val="18"/>
                <w:szCs w:val="18"/>
                <w:b w:val="1"/>
                <w:bCs w:val="1"/>
                <w:color w:val="auto"/>
                <w:w w:val="91"/>
              </w:rPr>
              <w:t>target</w:t>
            </w:r>
          </w:p>
        </w:tc>
        <w:tc>
          <w:tcPr>
            <w:tcW w:w="1500" w:type="dxa"/>
            <w:vAlign w:val="bottom"/>
            <w:shd w:val="clear" w:color="auto" w:fill="E36C0A"/>
          </w:tcPr>
          <w:p>
            <w:pPr>
              <w:jc w:val="center"/>
              <w:spacing w:after="0"/>
              <w:rPr>
                <w:sz w:val="20"/>
                <w:szCs w:val="20"/>
                <w:color w:val="auto"/>
              </w:rPr>
            </w:pPr>
            <w:r>
              <w:rPr>
                <w:rFonts w:ascii="Arial" w:cs="Arial" w:eastAsia="Arial" w:hAnsi="Arial"/>
                <w:sz w:val="18"/>
                <w:szCs w:val="18"/>
                <w:b w:val="1"/>
                <w:bCs w:val="1"/>
                <w:color w:val="auto"/>
                <w:w w:val="89"/>
              </w:rPr>
              <w:t>amount</w:t>
            </w:r>
          </w:p>
        </w:tc>
      </w:tr>
      <w:tr>
        <w:trPr>
          <w:trHeight w:val="210"/>
        </w:trPr>
        <w:tc>
          <w:tcPr>
            <w:tcW w:w="1960" w:type="dxa"/>
            <w:vAlign w:val="bottom"/>
            <w:shd w:val="clear" w:color="auto" w:fill="E36C0A"/>
          </w:tcPr>
          <w:p>
            <w:pPr>
              <w:jc w:val="center"/>
              <w:spacing w:after="0"/>
              <w:rPr>
                <w:sz w:val="20"/>
                <w:szCs w:val="20"/>
                <w:color w:val="auto"/>
              </w:rPr>
            </w:pPr>
            <w:r>
              <w:rPr>
                <w:rFonts w:ascii="Arial" w:cs="Arial" w:eastAsia="Arial" w:hAnsi="Arial"/>
                <w:sz w:val="18"/>
                <w:szCs w:val="18"/>
                <w:b w:val="1"/>
                <w:bCs w:val="1"/>
                <w:color w:val="auto"/>
                <w:w w:val="91"/>
              </w:rPr>
              <w:t>member</w:t>
            </w:r>
          </w:p>
        </w:tc>
        <w:tc>
          <w:tcPr>
            <w:tcW w:w="1940" w:type="dxa"/>
            <w:vAlign w:val="bottom"/>
            <w:shd w:val="clear" w:color="auto" w:fill="E36C0A"/>
          </w:tcPr>
          <w:p>
            <w:pPr>
              <w:jc w:val="center"/>
              <w:spacing w:after="0"/>
              <w:rPr>
                <w:sz w:val="20"/>
                <w:szCs w:val="20"/>
                <w:color w:val="auto"/>
              </w:rPr>
            </w:pPr>
            <w:r>
              <w:rPr>
                <w:rFonts w:ascii="Arial" w:cs="Arial" w:eastAsia="Arial" w:hAnsi="Arial"/>
                <w:sz w:val="18"/>
                <w:szCs w:val="18"/>
                <w:color w:val="auto"/>
                <w:w w:val="99"/>
              </w:rPr>
              <w:t>in k€</w:t>
            </w:r>
          </w:p>
        </w:tc>
        <w:tc>
          <w:tcPr>
            <w:tcW w:w="1960" w:type="dxa"/>
            <w:vAlign w:val="bottom"/>
            <w:shd w:val="clear" w:color="auto" w:fill="E36C0A"/>
          </w:tcPr>
          <w:p>
            <w:pPr>
              <w:jc w:val="center"/>
              <w:spacing w:after="0"/>
              <w:rPr>
                <w:sz w:val="20"/>
                <w:szCs w:val="20"/>
                <w:color w:val="auto"/>
              </w:rPr>
            </w:pPr>
            <w:r>
              <w:rPr>
                <w:rFonts w:ascii="Arial" w:cs="Arial" w:eastAsia="Arial" w:hAnsi="Arial"/>
                <w:sz w:val="18"/>
                <w:szCs w:val="18"/>
                <w:color w:val="auto"/>
                <w:w w:val="94"/>
              </w:rPr>
              <w:t>in k€</w:t>
            </w:r>
          </w:p>
        </w:tc>
        <w:tc>
          <w:tcPr>
            <w:tcW w:w="2240" w:type="dxa"/>
            <w:vAlign w:val="bottom"/>
            <w:shd w:val="clear" w:color="auto" w:fill="E36C0A"/>
          </w:tcPr>
          <w:p>
            <w:pPr>
              <w:jc w:val="center"/>
              <w:spacing w:after="0"/>
              <w:rPr>
                <w:sz w:val="20"/>
                <w:szCs w:val="20"/>
                <w:color w:val="auto"/>
              </w:rPr>
            </w:pPr>
            <w:r>
              <w:rPr>
                <w:rFonts w:ascii="Arial" w:cs="Arial" w:eastAsia="Arial" w:hAnsi="Arial"/>
                <w:sz w:val="18"/>
                <w:szCs w:val="18"/>
                <w:color w:val="auto"/>
                <w:w w:val="96"/>
              </w:rPr>
              <w:t>in %</w:t>
            </w:r>
          </w:p>
        </w:tc>
        <w:tc>
          <w:tcPr>
            <w:tcW w:w="1640" w:type="dxa"/>
            <w:vAlign w:val="bottom"/>
            <w:shd w:val="clear" w:color="auto" w:fill="E36C0A"/>
          </w:tcPr>
          <w:p>
            <w:pPr>
              <w:jc w:val="center"/>
              <w:spacing w:after="0"/>
              <w:rPr>
                <w:sz w:val="20"/>
                <w:szCs w:val="20"/>
                <w:color w:val="auto"/>
              </w:rPr>
            </w:pPr>
            <w:r>
              <w:rPr>
                <w:rFonts w:ascii="Arial" w:cs="Arial" w:eastAsia="Arial" w:hAnsi="Arial"/>
                <w:sz w:val="18"/>
                <w:szCs w:val="18"/>
                <w:b w:val="1"/>
                <w:bCs w:val="1"/>
                <w:color w:val="auto"/>
                <w:w w:val="87"/>
              </w:rPr>
              <w:t>achievement</w:t>
            </w:r>
          </w:p>
        </w:tc>
        <w:tc>
          <w:tcPr>
            <w:tcW w:w="1500" w:type="dxa"/>
            <w:vAlign w:val="bottom"/>
            <w:shd w:val="clear" w:color="auto" w:fill="E36C0A"/>
          </w:tcPr>
          <w:p>
            <w:pPr>
              <w:jc w:val="center"/>
              <w:spacing w:after="0"/>
              <w:rPr>
                <w:sz w:val="20"/>
                <w:szCs w:val="20"/>
                <w:color w:val="auto"/>
              </w:rPr>
            </w:pPr>
            <w:r>
              <w:rPr>
                <w:rFonts w:ascii="Arial" w:cs="Arial" w:eastAsia="Arial" w:hAnsi="Arial"/>
                <w:sz w:val="18"/>
                <w:szCs w:val="18"/>
                <w:color w:val="auto"/>
                <w:w w:val="99"/>
              </w:rPr>
              <w:t>in k€</w:t>
            </w:r>
          </w:p>
        </w:tc>
      </w:tr>
      <w:tr>
        <w:trPr>
          <w:trHeight w:val="230"/>
        </w:trPr>
        <w:tc>
          <w:tcPr>
            <w:tcW w:w="1960" w:type="dxa"/>
            <w:vAlign w:val="bottom"/>
            <w:shd w:val="clear" w:color="auto" w:fill="E36C0A"/>
          </w:tcPr>
          <w:p>
            <w:pPr>
              <w:spacing w:after="0"/>
              <w:rPr>
                <w:sz w:val="20"/>
                <w:szCs w:val="20"/>
                <w:color w:val="auto"/>
              </w:rPr>
            </w:pPr>
          </w:p>
        </w:tc>
        <w:tc>
          <w:tcPr>
            <w:tcW w:w="1940" w:type="dxa"/>
            <w:vAlign w:val="bottom"/>
            <w:shd w:val="clear" w:color="auto" w:fill="E36C0A"/>
          </w:tcPr>
          <w:p>
            <w:pPr>
              <w:spacing w:after="0"/>
              <w:rPr>
                <w:sz w:val="20"/>
                <w:szCs w:val="20"/>
                <w:color w:val="auto"/>
              </w:rPr>
            </w:pPr>
          </w:p>
        </w:tc>
        <w:tc>
          <w:tcPr>
            <w:tcW w:w="1960" w:type="dxa"/>
            <w:vAlign w:val="bottom"/>
            <w:shd w:val="clear" w:color="auto" w:fill="E36C0A"/>
          </w:tcPr>
          <w:p>
            <w:pPr>
              <w:spacing w:after="0"/>
              <w:rPr>
                <w:sz w:val="20"/>
                <w:szCs w:val="20"/>
                <w:color w:val="auto"/>
              </w:rPr>
            </w:pPr>
          </w:p>
        </w:tc>
        <w:tc>
          <w:tcPr>
            <w:tcW w:w="2240" w:type="dxa"/>
            <w:vAlign w:val="bottom"/>
            <w:shd w:val="clear" w:color="auto" w:fill="E36C0A"/>
          </w:tcPr>
          <w:p>
            <w:pPr>
              <w:spacing w:after="0"/>
              <w:rPr>
                <w:sz w:val="20"/>
                <w:szCs w:val="20"/>
                <w:color w:val="auto"/>
              </w:rPr>
            </w:pPr>
          </w:p>
        </w:tc>
        <w:tc>
          <w:tcPr>
            <w:tcW w:w="1640" w:type="dxa"/>
            <w:vAlign w:val="bottom"/>
            <w:shd w:val="clear" w:color="auto" w:fill="E36C0A"/>
          </w:tcPr>
          <w:p>
            <w:pPr>
              <w:jc w:val="center"/>
              <w:spacing w:after="0"/>
              <w:rPr>
                <w:sz w:val="20"/>
                <w:szCs w:val="20"/>
                <w:color w:val="auto"/>
              </w:rPr>
            </w:pPr>
            <w:r>
              <w:rPr>
                <w:rFonts w:ascii="Arial" w:cs="Arial" w:eastAsia="Arial" w:hAnsi="Arial"/>
                <w:sz w:val="18"/>
                <w:szCs w:val="18"/>
                <w:color w:val="auto"/>
                <w:w w:val="94"/>
              </w:rPr>
              <w:t>in k€</w:t>
            </w:r>
          </w:p>
        </w:tc>
        <w:tc>
          <w:tcPr>
            <w:tcW w:w="1500" w:type="dxa"/>
            <w:vAlign w:val="bottom"/>
            <w:shd w:val="clear" w:color="auto" w:fill="E36C0A"/>
          </w:tcPr>
          <w:p>
            <w:pPr>
              <w:spacing w:after="0"/>
              <w:rPr>
                <w:sz w:val="20"/>
                <w:szCs w:val="20"/>
                <w:color w:val="auto"/>
              </w:rPr>
            </w:pPr>
          </w:p>
        </w:tc>
      </w:tr>
      <w:tr>
        <w:trPr>
          <w:trHeight w:val="229"/>
        </w:trPr>
        <w:tc>
          <w:tcPr>
            <w:tcW w:w="1960" w:type="dxa"/>
            <w:vAlign w:val="bottom"/>
            <w:shd w:val="clear" w:color="auto" w:fill="E36C0A"/>
          </w:tcPr>
          <w:p>
            <w:pPr>
              <w:spacing w:after="0"/>
              <w:rPr>
                <w:sz w:val="19"/>
                <w:szCs w:val="19"/>
                <w:color w:val="auto"/>
              </w:rPr>
            </w:pPr>
          </w:p>
        </w:tc>
        <w:tc>
          <w:tcPr>
            <w:tcW w:w="1940" w:type="dxa"/>
            <w:vAlign w:val="bottom"/>
            <w:shd w:val="clear" w:color="auto" w:fill="E36C0A"/>
          </w:tcPr>
          <w:p>
            <w:pPr>
              <w:spacing w:after="0"/>
              <w:rPr>
                <w:sz w:val="19"/>
                <w:szCs w:val="19"/>
                <w:color w:val="auto"/>
              </w:rPr>
            </w:pPr>
          </w:p>
        </w:tc>
        <w:tc>
          <w:tcPr>
            <w:tcW w:w="1960" w:type="dxa"/>
            <w:vAlign w:val="bottom"/>
            <w:shd w:val="clear" w:color="auto" w:fill="E36C0A"/>
          </w:tcPr>
          <w:p>
            <w:pPr>
              <w:spacing w:after="0"/>
              <w:rPr>
                <w:sz w:val="19"/>
                <w:szCs w:val="19"/>
                <w:color w:val="auto"/>
              </w:rPr>
            </w:pPr>
          </w:p>
        </w:tc>
        <w:tc>
          <w:tcPr>
            <w:tcW w:w="2240" w:type="dxa"/>
            <w:vAlign w:val="bottom"/>
            <w:shd w:val="clear" w:color="auto" w:fill="E36C0A"/>
          </w:tcPr>
          <w:p>
            <w:pPr>
              <w:spacing w:after="0"/>
              <w:rPr>
                <w:sz w:val="19"/>
                <w:szCs w:val="19"/>
                <w:color w:val="auto"/>
              </w:rPr>
            </w:pPr>
          </w:p>
        </w:tc>
        <w:tc>
          <w:tcPr>
            <w:tcW w:w="1640" w:type="dxa"/>
            <w:vAlign w:val="bottom"/>
            <w:shd w:val="clear" w:color="auto" w:fill="E36C0A"/>
          </w:tcPr>
          <w:p>
            <w:pPr>
              <w:spacing w:after="0"/>
              <w:rPr>
                <w:sz w:val="19"/>
                <w:szCs w:val="19"/>
                <w:color w:val="auto"/>
              </w:rPr>
            </w:pPr>
          </w:p>
        </w:tc>
        <w:tc>
          <w:tcPr>
            <w:tcW w:w="1500" w:type="dxa"/>
            <w:vAlign w:val="bottom"/>
            <w:shd w:val="clear" w:color="auto" w:fill="E36C0A"/>
          </w:tcPr>
          <w:p>
            <w:pPr>
              <w:spacing w:after="0"/>
              <w:rPr>
                <w:sz w:val="19"/>
                <w:szCs w:val="19"/>
                <w:color w:val="auto"/>
              </w:rPr>
            </w:pPr>
          </w:p>
        </w:tc>
      </w:tr>
      <w:tr>
        <w:trPr>
          <w:trHeight w:val="390"/>
        </w:trPr>
        <w:tc>
          <w:tcPr>
            <w:tcW w:w="1960" w:type="dxa"/>
            <w:vAlign w:val="bottom"/>
            <w:shd w:val="clear" w:color="auto" w:fill="F0F2F5"/>
          </w:tcPr>
          <w:p>
            <w:pPr>
              <w:spacing w:after="0"/>
              <w:rPr>
                <w:sz w:val="20"/>
                <w:szCs w:val="20"/>
                <w:color w:val="auto"/>
              </w:rPr>
            </w:pPr>
            <w:r>
              <w:rPr>
                <w:rFonts w:ascii="Arial" w:cs="Arial" w:eastAsia="Arial" w:hAnsi="Arial"/>
                <w:sz w:val="18"/>
                <w:szCs w:val="18"/>
                <w:color w:val="auto"/>
              </w:rPr>
              <w:t>Bulent Altan</w:t>
            </w:r>
          </w:p>
        </w:tc>
        <w:tc>
          <w:tcPr>
            <w:tcW w:w="1940" w:type="dxa"/>
            <w:vAlign w:val="bottom"/>
            <w:shd w:val="clear" w:color="auto" w:fill="F0F2F5"/>
          </w:tcPr>
          <w:p>
            <w:pPr>
              <w:jc w:val="center"/>
              <w:spacing w:after="0"/>
              <w:rPr>
                <w:sz w:val="20"/>
                <w:szCs w:val="20"/>
                <w:color w:val="auto"/>
              </w:rPr>
            </w:pPr>
            <w:r>
              <w:rPr>
                <w:rFonts w:ascii="Arial" w:cs="Arial" w:eastAsia="Arial" w:hAnsi="Arial"/>
                <w:sz w:val="18"/>
                <w:szCs w:val="18"/>
                <w:color w:val="auto"/>
                <w:w w:val="86"/>
              </w:rPr>
              <w:t>124</w:t>
            </w:r>
          </w:p>
        </w:tc>
        <w:tc>
          <w:tcPr>
            <w:tcW w:w="1960" w:type="dxa"/>
            <w:vAlign w:val="bottom"/>
            <w:shd w:val="clear" w:color="auto" w:fill="F0F2F5"/>
          </w:tcPr>
          <w:p>
            <w:pPr>
              <w:jc w:val="center"/>
              <w:spacing w:after="0"/>
              <w:rPr>
                <w:sz w:val="20"/>
                <w:szCs w:val="20"/>
                <w:color w:val="auto"/>
              </w:rPr>
            </w:pPr>
            <w:r>
              <w:rPr>
                <w:rFonts w:ascii="Arial" w:cs="Arial" w:eastAsia="Arial" w:hAnsi="Arial"/>
                <w:sz w:val="18"/>
                <w:szCs w:val="18"/>
                <w:color w:val="auto"/>
                <w:w w:val="86"/>
              </w:rPr>
              <w:t>248</w:t>
            </w:r>
          </w:p>
        </w:tc>
        <w:tc>
          <w:tcPr>
            <w:tcW w:w="2240" w:type="dxa"/>
            <w:vAlign w:val="bottom"/>
            <w:shd w:val="clear" w:color="auto" w:fill="F0F2F5"/>
          </w:tcPr>
          <w:p>
            <w:pPr>
              <w:jc w:val="center"/>
              <w:spacing w:after="0"/>
              <w:rPr>
                <w:sz w:val="20"/>
                <w:szCs w:val="20"/>
                <w:color w:val="auto"/>
              </w:rPr>
            </w:pPr>
            <w:r>
              <w:rPr>
                <w:rFonts w:ascii="Arial" w:cs="Arial" w:eastAsia="Arial" w:hAnsi="Arial"/>
                <w:sz w:val="18"/>
                <w:szCs w:val="18"/>
                <w:color w:val="auto"/>
                <w:w w:val="99"/>
              </w:rPr>
              <w:t>0</w:t>
            </w:r>
          </w:p>
        </w:tc>
        <w:tc>
          <w:tcPr>
            <w:tcW w:w="1640" w:type="dxa"/>
            <w:vAlign w:val="bottom"/>
            <w:shd w:val="clear" w:color="auto" w:fill="F0F2F5"/>
          </w:tcPr>
          <w:p>
            <w:pPr>
              <w:jc w:val="center"/>
              <w:spacing w:after="0"/>
              <w:rPr>
                <w:sz w:val="20"/>
                <w:szCs w:val="20"/>
                <w:color w:val="auto"/>
              </w:rPr>
            </w:pPr>
            <w:r>
              <w:rPr>
                <w:rFonts w:ascii="Arial" w:cs="Arial" w:eastAsia="Arial" w:hAnsi="Arial"/>
                <w:sz w:val="18"/>
                <w:szCs w:val="18"/>
                <w:color w:val="auto"/>
                <w:w w:val="89"/>
              </w:rPr>
              <w:t>40</w:t>
            </w:r>
          </w:p>
        </w:tc>
        <w:tc>
          <w:tcPr>
            <w:tcW w:w="1500" w:type="dxa"/>
            <w:vAlign w:val="bottom"/>
            <w:shd w:val="clear" w:color="auto" w:fill="F0F2F5"/>
          </w:tcPr>
          <w:p>
            <w:pPr>
              <w:jc w:val="center"/>
              <w:spacing w:after="0"/>
              <w:rPr>
                <w:sz w:val="20"/>
                <w:szCs w:val="20"/>
                <w:color w:val="auto"/>
              </w:rPr>
            </w:pPr>
            <w:r>
              <w:rPr>
                <w:rFonts w:ascii="Arial" w:cs="Arial" w:eastAsia="Arial" w:hAnsi="Arial"/>
                <w:sz w:val="18"/>
                <w:szCs w:val="18"/>
                <w:color w:val="auto"/>
                <w:w w:val="84"/>
              </w:rPr>
              <w:t>40</w:t>
            </w:r>
            <w:r>
              <w:rPr>
                <w:rFonts w:ascii="Arial" w:cs="Arial" w:eastAsia="Arial" w:hAnsi="Arial"/>
                <w:sz w:val="29"/>
                <w:szCs w:val="29"/>
                <w:color w:val="auto"/>
                <w:w w:val="84"/>
                <w:vertAlign w:val="superscript"/>
              </w:rPr>
              <w:t>7</w:t>
            </w:r>
          </w:p>
        </w:tc>
      </w:tr>
      <w:tr>
        <w:trPr>
          <w:trHeight w:val="82"/>
        </w:trPr>
        <w:tc>
          <w:tcPr>
            <w:tcW w:w="1960" w:type="dxa"/>
            <w:vAlign w:val="bottom"/>
            <w:shd w:val="clear" w:color="auto" w:fill="F0F2F5"/>
          </w:tcPr>
          <w:p>
            <w:pPr>
              <w:spacing w:after="0"/>
              <w:rPr>
                <w:sz w:val="7"/>
                <w:szCs w:val="7"/>
                <w:color w:val="auto"/>
              </w:rPr>
            </w:pPr>
          </w:p>
        </w:tc>
        <w:tc>
          <w:tcPr>
            <w:tcW w:w="1940" w:type="dxa"/>
            <w:vAlign w:val="bottom"/>
            <w:shd w:val="clear" w:color="auto" w:fill="F0F2F5"/>
          </w:tcPr>
          <w:p>
            <w:pPr>
              <w:spacing w:after="0"/>
              <w:rPr>
                <w:sz w:val="7"/>
                <w:szCs w:val="7"/>
                <w:color w:val="auto"/>
              </w:rPr>
            </w:pPr>
          </w:p>
        </w:tc>
        <w:tc>
          <w:tcPr>
            <w:tcW w:w="1960" w:type="dxa"/>
            <w:vAlign w:val="bottom"/>
            <w:shd w:val="clear" w:color="auto" w:fill="F0F2F5"/>
          </w:tcPr>
          <w:p>
            <w:pPr>
              <w:spacing w:after="0"/>
              <w:rPr>
                <w:sz w:val="7"/>
                <w:szCs w:val="7"/>
                <w:color w:val="auto"/>
              </w:rPr>
            </w:pPr>
          </w:p>
        </w:tc>
        <w:tc>
          <w:tcPr>
            <w:tcW w:w="2240" w:type="dxa"/>
            <w:vAlign w:val="bottom"/>
            <w:shd w:val="clear" w:color="auto" w:fill="F0F2F5"/>
          </w:tcPr>
          <w:p>
            <w:pPr>
              <w:spacing w:after="0"/>
              <w:rPr>
                <w:sz w:val="7"/>
                <w:szCs w:val="7"/>
                <w:color w:val="auto"/>
              </w:rPr>
            </w:pPr>
          </w:p>
        </w:tc>
        <w:tc>
          <w:tcPr>
            <w:tcW w:w="1640" w:type="dxa"/>
            <w:vAlign w:val="bottom"/>
            <w:shd w:val="clear" w:color="auto" w:fill="F0F2F5"/>
          </w:tcPr>
          <w:p>
            <w:pPr>
              <w:spacing w:after="0"/>
              <w:rPr>
                <w:sz w:val="7"/>
                <w:szCs w:val="7"/>
                <w:color w:val="auto"/>
              </w:rPr>
            </w:pPr>
          </w:p>
        </w:tc>
        <w:tc>
          <w:tcPr>
            <w:tcW w:w="1500" w:type="dxa"/>
            <w:vAlign w:val="bottom"/>
            <w:shd w:val="clear" w:color="auto" w:fill="F0F2F5"/>
          </w:tcPr>
          <w:p>
            <w:pPr>
              <w:spacing w:after="0"/>
              <w:rPr>
                <w:sz w:val="7"/>
                <w:szCs w:val="7"/>
                <w:color w:val="auto"/>
              </w:rPr>
            </w:pPr>
          </w:p>
        </w:tc>
      </w:tr>
      <w:tr>
        <w:trPr>
          <w:trHeight w:val="230"/>
        </w:trPr>
        <w:tc>
          <w:tcPr>
            <w:tcW w:w="1960" w:type="dxa"/>
            <w:vAlign w:val="bottom"/>
          </w:tcPr>
          <w:p>
            <w:pPr>
              <w:spacing w:after="0"/>
              <w:rPr>
                <w:sz w:val="20"/>
                <w:szCs w:val="20"/>
                <w:color w:val="auto"/>
              </w:rPr>
            </w:pPr>
            <w:r>
              <w:rPr>
                <w:rFonts w:ascii="Arial" w:cs="Arial" w:eastAsia="Arial" w:hAnsi="Arial"/>
                <w:sz w:val="18"/>
                <w:szCs w:val="18"/>
                <w:color w:val="auto"/>
                <w:w w:val="97"/>
              </w:rPr>
              <w:t>Stefan Berndt-von Bülow</w:t>
            </w:r>
          </w:p>
        </w:tc>
        <w:tc>
          <w:tcPr>
            <w:tcW w:w="1940" w:type="dxa"/>
            <w:vAlign w:val="bottom"/>
          </w:tcPr>
          <w:p>
            <w:pPr>
              <w:jc w:val="center"/>
              <w:spacing w:after="0"/>
              <w:rPr>
                <w:sz w:val="20"/>
                <w:szCs w:val="20"/>
                <w:color w:val="auto"/>
              </w:rPr>
            </w:pPr>
            <w:r>
              <w:rPr>
                <w:rFonts w:ascii="Arial" w:cs="Arial" w:eastAsia="Arial" w:hAnsi="Arial"/>
                <w:sz w:val="18"/>
                <w:szCs w:val="18"/>
                <w:color w:val="auto"/>
                <w:w w:val="86"/>
              </w:rPr>
              <w:t>100</w:t>
            </w:r>
          </w:p>
        </w:tc>
        <w:tc>
          <w:tcPr>
            <w:tcW w:w="1960" w:type="dxa"/>
            <w:vAlign w:val="bottom"/>
          </w:tcPr>
          <w:p>
            <w:pPr>
              <w:jc w:val="center"/>
              <w:spacing w:after="0"/>
              <w:rPr>
                <w:sz w:val="20"/>
                <w:szCs w:val="20"/>
                <w:color w:val="auto"/>
              </w:rPr>
            </w:pPr>
            <w:r>
              <w:rPr>
                <w:rFonts w:ascii="Arial" w:cs="Arial" w:eastAsia="Arial" w:hAnsi="Arial"/>
                <w:sz w:val="18"/>
                <w:szCs w:val="18"/>
                <w:color w:val="auto"/>
                <w:w w:val="86"/>
              </w:rPr>
              <w:t>200</w:t>
            </w:r>
          </w:p>
        </w:tc>
        <w:tc>
          <w:tcPr>
            <w:tcW w:w="2240" w:type="dxa"/>
            <w:vAlign w:val="bottom"/>
          </w:tcPr>
          <w:p>
            <w:pPr>
              <w:jc w:val="center"/>
              <w:spacing w:after="0"/>
              <w:rPr>
                <w:sz w:val="20"/>
                <w:szCs w:val="20"/>
                <w:color w:val="auto"/>
              </w:rPr>
            </w:pPr>
            <w:r>
              <w:rPr>
                <w:rFonts w:ascii="Arial" w:cs="Arial" w:eastAsia="Arial" w:hAnsi="Arial"/>
                <w:sz w:val="18"/>
                <w:szCs w:val="18"/>
                <w:color w:val="auto"/>
                <w:w w:val="99"/>
              </w:rPr>
              <w:t>0</w:t>
            </w:r>
          </w:p>
        </w:tc>
        <w:tc>
          <w:tcPr>
            <w:tcW w:w="1640" w:type="dxa"/>
            <w:vAlign w:val="bottom"/>
          </w:tcPr>
          <w:p>
            <w:pPr>
              <w:jc w:val="center"/>
              <w:spacing w:after="0"/>
              <w:rPr>
                <w:sz w:val="20"/>
                <w:szCs w:val="20"/>
                <w:color w:val="auto"/>
              </w:rPr>
            </w:pPr>
            <w:r>
              <w:rPr>
                <w:rFonts w:ascii="Arial" w:cs="Arial" w:eastAsia="Arial" w:hAnsi="Arial"/>
                <w:sz w:val="18"/>
                <w:szCs w:val="18"/>
                <w:color w:val="auto"/>
                <w:w w:val="89"/>
              </w:rPr>
              <w:t>30</w:t>
            </w:r>
          </w:p>
        </w:tc>
        <w:tc>
          <w:tcPr>
            <w:tcW w:w="1500" w:type="dxa"/>
            <w:vAlign w:val="bottom"/>
          </w:tcPr>
          <w:p>
            <w:pPr>
              <w:jc w:val="center"/>
              <w:spacing w:after="0"/>
              <w:rPr>
                <w:sz w:val="20"/>
                <w:szCs w:val="20"/>
                <w:color w:val="auto"/>
              </w:rPr>
            </w:pPr>
            <w:r>
              <w:rPr>
                <w:rFonts w:ascii="Arial" w:cs="Arial" w:eastAsia="Arial" w:hAnsi="Arial"/>
                <w:sz w:val="18"/>
                <w:szCs w:val="18"/>
                <w:color w:val="auto"/>
                <w:w w:val="89"/>
              </w:rPr>
              <w:t>30</w:t>
            </w:r>
          </w:p>
        </w:tc>
      </w:tr>
      <w:tr>
        <w:trPr>
          <w:trHeight w:val="202"/>
        </w:trPr>
        <w:tc>
          <w:tcPr>
            <w:tcW w:w="196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500" w:type="dxa"/>
            <w:vAlign w:val="bottom"/>
          </w:tcPr>
          <w:p>
            <w:pPr>
              <w:spacing w:after="0"/>
              <w:rPr>
                <w:sz w:val="17"/>
                <w:szCs w:val="17"/>
                <w:color w:val="auto"/>
              </w:rPr>
            </w:pPr>
          </w:p>
        </w:tc>
      </w:tr>
      <w:tr>
        <w:trPr>
          <w:trHeight w:val="230"/>
        </w:trPr>
        <w:tc>
          <w:tcPr>
            <w:tcW w:w="1960" w:type="dxa"/>
            <w:vAlign w:val="bottom"/>
            <w:shd w:val="clear" w:color="auto" w:fill="F0F2F5"/>
          </w:tcPr>
          <w:p>
            <w:pPr>
              <w:spacing w:after="0"/>
              <w:rPr>
                <w:sz w:val="20"/>
                <w:szCs w:val="20"/>
                <w:color w:val="auto"/>
              </w:rPr>
            </w:pPr>
            <w:r>
              <w:rPr>
                <w:rFonts w:ascii="Arial" w:cs="Arial" w:eastAsia="Arial" w:hAnsi="Arial"/>
                <w:sz w:val="18"/>
                <w:szCs w:val="18"/>
                <w:color w:val="auto"/>
              </w:rPr>
              <w:t>Joachim Horwath</w:t>
            </w:r>
          </w:p>
        </w:tc>
        <w:tc>
          <w:tcPr>
            <w:tcW w:w="1940" w:type="dxa"/>
            <w:vAlign w:val="bottom"/>
            <w:shd w:val="clear" w:color="auto" w:fill="F0F2F5"/>
          </w:tcPr>
          <w:p>
            <w:pPr>
              <w:jc w:val="center"/>
              <w:spacing w:after="0"/>
              <w:rPr>
                <w:sz w:val="20"/>
                <w:szCs w:val="20"/>
                <w:color w:val="auto"/>
              </w:rPr>
            </w:pPr>
            <w:r>
              <w:rPr>
                <w:rFonts w:ascii="Arial" w:cs="Arial" w:eastAsia="Arial" w:hAnsi="Arial"/>
                <w:sz w:val="18"/>
                <w:szCs w:val="18"/>
                <w:color w:val="auto"/>
                <w:w w:val="89"/>
              </w:rPr>
              <w:t>87</w:t>
            </w:r>
          </w:p>
        </w:tc>
        <w:tc>
          <w:tcPr>
            <w:tcW w:w="1960" w:type="dxa"/>
            <w:vAlign w:val="bottom"/>
            <w:shd w:val="clear" w:color="auto" w:fill="F0F2F5"/>
          </w:tcPr>
          <w:p>
            <w:pPr>
              <w:jc w:val="center"/>
              <w:spacing w:after="0"/>
              <w:rPr>
                <w:sz w:val="20"/>
                <w:szCs w:val="20"/>
                <w:color w:val="auto"/>
              </w:rPr>
            </w:pPr>
            <w:r>
              <w:rPr>
                <w:rFonts w:ascii="Arial" w:cs="Arial" w:eastAsia="Arial" w:hAnsi="Arial"/>
                <w:sz w:val="18"/>
                <w:szCs w:val="18"/>
                <w:color w:val="auto"/>
                <w:w w:val="86"/>
              </w:rPr>
              <w:t>174</w:t>
            </w:r>
          </w:p>
        </w:tc>
        <w:tc>
          <w:tcPr>
            <w:tcW w:w="2240" w:type="dxa"/>
            <w:vAlign w:val="bottom"/>
            <w:shd w:val="clear" w:color="auto" w:fill="F0F2F5"/>
          </w:tcPr>
          <w:p>
            <w:pPr>
              <w:jc w:val="center"/>
              <w:spacing w:after="0"/>
              <w:rPr>
                <w:sz w:val="20"/>
                <w:szCs w:val="20"/>
                <w:color w:val="auto"/>
              </w:rPr>
            </w:pPr>
            <w:r>
              <w:rPr>
                <w:rFonts w:ascii="Arial" w:cs="Arial" w:eastAsia="Arial" w:hAnsi="Arial"/>
                <w:sz w:val="18"/>
                <w:szCs w:val="18"/>
                <w:color w:val="auto"/>
                <w:w w:val="99"/>
              </w:rPr>
              <w:t>0</w:t>
            </w:r>
          </w:p>
        </w:tc>
        <w:tc>
          <w:tcPr>
            <w:tcW w:w="1640" w:type="dxa"/>
            <w:vAlign w:val="bottom"/>
            <w:shd w:val="clear" w:color="auto" w:fill="F0F2F5"/>
          </w:tcPr>
          <w:p>
            <w:pPr>
              <w:jc w:val="center"/>
              <w:spacing w:after="0"/>
              <w:rPr>
                <w:sz w:val="20"/>
                <w:szCs w:val="20"/>
                <w:color w:val="auto"/>
              </w:rPr>
            </w:pPr>
            <w:r>
              <w:rPr>
                <w:rFonts w:ascii="Arial" w:cs="Arial" w:eastAsia="Arial" w:hAnsi="Arial"/>
                <w:sz w:val="18"/>
                <w:szCs w:val="18"/>
                <w:color w:val="auto"/>
                <w:w w:val="89"/>
              </w:rPr>
              <w:t>30</w:t>
            </w:r>
          </w:p>
        </w:tc>
        <w:tc>
          <w:tcPr>
            <w:tcW w:w="1500" w:type="dxa"/>
            <w:vAlign w:val="bottom"/>
            <w:shd w:val="clear" w:color="auto" w:fill="F0F2F5"/>
          </w:tcPr>
          <w:p>
            <w:pPr>
              <w:jc w:val="center"/>
              <w:spacing w:after="0"/>
              <w:rPr>
                <w:sz w:val="20"/>
                <w:szCs w:val="20"/>
                <w:color w:val="auto"/>
              </w:rPr>
            </w:pPr>
            <w:r>
              <w:rPr>
                <w:rFonts w:ascii="Arial" w:cs="Arial" w:eastAsia="Arial" w:hAnsi="Arial"/>
                <w:sz w:val="18"/>
                <w:szCs w:val="18"/>
                <w:color w:val="auto"/>
                <w:w w:val="89"/>
              </w:rPr>
              <w:t>30</w:t>
            </w:r>
          </w:p>
        </w:tc>
      </w:tr>
      <w:tr>
        <w:trPr>
          <w:trHeight w:val="202"/>
        </w:trPr>
        <w:tc>
          <w:tcPr>
            <w:tcW w:w="1960" w:type="dxa"/>
            <w:vAlign w:val="bottom"/>
            <w:shd w:val="clear" w:color="auto" w:fill="F0F2F5"/>
          </w:tcPr>
          <w:p>
            <w:pPr>
              <w:spacing w:after="0"/>
              <w:rPr>
                <w:sz w:val="17"/>
                <w:szCs w:val="17"/>
                <w:color w:val="auto"/>
              </w:rPr>
            </w:pPr>
          </w:p>
        </w:tc>
        <w:tc>
          <w:tcPr>
            <w:tcW w:w="1940" w:type="dxa"/>
            <w:vAlign w:val="bottom"/>
            <w:shd w:val="clear" w:color="auto" w:fill="F0F2F5"/>
          </w:tcPr>
          <w:p>
            <w:pPr>
              <w:spacing w:after="0"/>
              <w:rPr>
                <w:sz w:val="17"/>
                <w:szCs w:val="17"/>
                <w:color w:val="auto"/>
              </w:rPr>
            </w:pPr>
          </w:p>
        </w:tc>
        <w:tc>
          <w:tcPr>
            <w:tcW w:w="1960" w:type="dxa"/>
            <w:vAlign w:val="bottom"/>
            <w:shd w:val="clear" w:color="auto" w:fill="F0F2F5"/>
          </w:tcPr>
          <w:p>
            <w:pPr>
              <w:spacing w:after="0"/>
              <w:rPr>
                <w:sz w:val="17"/>
                <w:szCs w:val="17"/>
                <w:color w:val="auto"/>
              </w:rPr>
            </w:pPr>
          </w:p>
        </w:tc>
        <w:tc>
          <w:tcPr>
            <w:tcW w:w="2240" w:type="dxa"/>
            <w:vAlign w:val="bottom"/>
            <w:shd w:val="clear" w:color="auto" w:fill="F0F2F5"/>
          </w:tcPr>
          <w:p>
            <w:pPr>
              <w:spacing w:after="0"/>
              <w:rPr>
                <w:sz w:val="17"/>
                <w:szCs w:val="17"/>
                <w:color w:val="auto"/>
              </w:rPr>
            </w:pPr>
          </w:p>
        </w:tc>
        <w:tc>
          <w:tcPr>
            <w:tcW w:w="1640" w:type="dxa"/>
            <w:vAlign w:val="bottom"/>
            <w:shd w:val="clear" w:color="auto" w:fill="F0F2F5"/>
          </w:tcPr>
          <w:p>
            <w:pPr>
              <w:spacing w:after="0"/>
              <w:rPr>
                <w:sz w:val="17"/>
                <w:szCs w:val="17"/>
                <w:color w:val="auto"/>
              </w:rPr>
            </w:pPr>
          </w:p>
        </w:tc>
        <w:tc>
          <w:tcPr>
            <w:tcW w:w="1500" w:type="dxa"/>
            <w:vAlign w:val="bottom"/>
            <w:shd w:val="clear" w:color="auto" w:fill="F0F2F5"/>
          </w:tcPr>
          <w:p>
            <w:pPr>
              <w:spacing w:after="0"/>
              <w:rPr>
                <w:sz w:val="17"/>
                <w:szCs w:val="17"/>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Mustafa Veziroglu was not a member of the Management Board of Mynaric AG in the financial year 2021 and therefore did not receive an annual bonus for financial year 2021.</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remuneration system approved by the Annual General Meeting 2022 no longer provides for the possibility of adjusting the target achievement for the annual bonus at the discretion of the Supervisory Board.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Bonus on the occasion of the investment of L3Harris in the financial year 2022</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members of the Management Board may also receive a bonus for investments by strategic investors in the Company exceeding 5% of the respective share capital of the Company. The bonus payment corresponds to an amount equal to 1% of the investment amount, up to a maximum of €1 million. However, in the event of new funds being raised by way of a capital increase, payment will only be made to the extent that the investor invests funds in excess of his existing shareholding in the Company (i.e., does not merely exercise existing subscription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179959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799590" cy="8255"/>
                    </a:xfrm>
                    <a:prstGeom prst="rect">
                      <a:avLst/>
                    </a:prstGeom>
                    <a:noFill/>
                  </pic:spPr>
                </pic:pic>
              </a:graphicData>
            </a:graphic>
          </wp:anchor>
        </w:drawing>
      </w:r>
    </w:p>
    <w:p>
      <w:pPr>
        <w:spacing w:after="0" w:line="83" w:lineRule="exact"/>
        <w:rPr>
          <w:sz w:val="20"/>
          <w:szCs w:val="20"/>
          <w:color w:val="auto"/>
        </w:rPr>
      </w:pPr>
    </w:p>
    <w:p>
      <w:pPr>
        <w:ind w:left="120" w:hanging="112"/>
        <w:spacing w:after="0"/>
        <w:tabs>
          <w:tab w:leader="none" w:pos="120" w:val="left"/>
        </w:tabs>
        <w:numPr>
          <w:ilvl w:val="0"/>
          <w:numId w:val="30"/>
        </w:numPr>
        <w:rPr>
          <w:rFonts w:ascii="Arial" w:cs="Arial" w:eastAsia="Arial" w:hAnsi="Arial"/>
          <w:sz w:val="30"/>
          <w:szCs w:val="30"/>
          <w:color w:val="auto"/>
          <w:vertAlign w:val="superscript"/>
        </w:rPr>
      </w:pPr>
      <w:r>
        <w:rPr>
          <w:rFonts w:ascii="Arial" w:cs="Arial" w:eastAsia="Arial" w:hAnsi="Arial"/>
          <w:sz w:val="18"/>
          <w:szCs w:val="18"/>
          <w:color w:val="auto"/>
        </w:rPr>
        <w:t>Based on 100% target achievement.</w:t>
      </w:r>
    </w:p>
    <w:p>
      <w:pPr>
        <w:spacing w:after="0" w:line="40" w:lineRule="exact"/>
        <w:rPr>
          <w:sz w:val="20"/>
          <w:szCs w:val="20"/>
          <w:color w:val="auto"/>
        </w:rPr>
      </w:pPr>
    </w:p>
    <w:p>
      <w:pPr>
        <w:ind w:left="5540" w:right="980" w:hanging="5532"/>
        <w:spacing w:after="0" w:line="862" w:lineRule="auto"/>
        <w:tabs>
          <w:tab w:leader="none" w:pos="127" w:val="left"/>
        </w:tabs>
        <w:numPr>
          <w:ilvl w:val="0"/>
          <w:numId w:val="31"/>
        </w:numPr>
        <w:rPr>
          <w:rFonts w:ascii="Arial" w:cs="Arial" w:eastAsia="Arial" w:hAnsi="Arial"/>
          <w:sz w:val="30"/>
          <w:szCs w:val="30"/>
          <w:color w:val="auto"/>
          <w:vertAlign w:val="superscript"/>
        </w:rPr>
      </w:pPr>
      <w:r>
        <w:rPr>
          <w:rFonts w:ascii="Arial" w:cs="Arial" w:eastAsia="Arial" w:hAnsi="Arial"/>
          <w:sz w:val="18"/>
          <w:szCs w:val="18"/>
          <w:color w:val="auto"/>
        </w:rPr>
        <w:t>Paid out by Mynaric AG in the amount of k€ 19 and in the amount of k$ 22 by Mynaric USA at an average exchange rate 2022 $/€: 0.95441.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-567055</wp:posOffset>
            </wp:positionV>
            <wp:extent cx="71323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38" w:name="page39"/>
    <w:bookmarkEnd w:id="38"/>
    <w:p>
      <w:pPr>
        <w:jc w:val="both"/>
        <w:spacing w:after="0" w:line="257" w:lineRule="auto"/>
        <w:rPr>
          <w:sz w:val="20"/>
          <w:szCs w:val="20"/>
          <w:color w:val="auto"/>
        </w:rPr>
      </w:pPr>
      <w:r>
        <w:rPr>
          <w:rFonts w:ascii="Arial" w:cs="Arial" w:eastAsia="Arial" w:hAnsi="Arial"/>
          <w:sz w:val="18"/>
          <w:szCs w:val="18"/>
          <w:color w:val="auto"/>
        </w:rPr>
        <w:t>In the financial year 2022, the members of the Management Board – with the exception of Mustafa Veziroglu, who was not yet a member of the Company’s Management Board at the relevant time – were granted a bonus on the occasion of the investment in the Company by the strategic investor L3Harris. In return for an investment of around €11.2 million, L3Harris subscribed for shares representing around 7.8% of the Company’s share capital of € 5,242,948.00 at the time. On this basis, the bonus paid to the members of the Management Board amounted to € 112 thousand (1% of the investment amount of around € 11.2 million).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Long-term variable remuneration (LTI)</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members of the Management Board also receive long-term variable remuneration in the form of participation in the Company’s stock option plan, which in the opinion of the Supervisory Board provides an incentive for the members of the Management Board to contribute to the long-term and sustainable development of the Company and links the interests of the Management Board members with those of the shareholders.</w:t>
      </w:r>
    </w:p>
    <w:p>
      <w:pPr>
        <w:spacing w:after="0" w:line="16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the financial year 2022, a total of 108,000 stock options were granted to the current members of the Management Board under the Stock Option Plan 2022.</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One stock option entitles the members of the Management Board, after the expiry of a four-year waiting period, to subscribe to one share of the Company against payment of an exercise price equal to the six-month volume-weighted average price of the Mynaric AG share prior to the grant date or of the right or certificate representing the Mynaric AG share in the trading system with the highest total trading volume in shares of the Company prior to the grant date. The Company has the discretion to settle the stock options also in cash.</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stock options can be exercised within a period of five years after expiry of the four-year waiting period. The final number of exercisable stock options depends on the achievement of two performance targets as follows: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performance targets set for the Stock Option Plan 2022 are linked to the absolute share price performance of the Company (weighted at 80% within the overall target achievement) and an ESG target (weighted at 20% within the overall target achievement).</w:t>
      </w:r>
    </w:p>
    <w:p>
      <w:pPr>
        <w:spacing w:after="0" w:line="170" w:lineRule="exact"/>
        <w:rPr>
          <w:sz w:val="20"/>
          <w:szCs w:val="20"/>
          <w:color w:val="auto"/>
        </w:rPr>
      </w:pPr>
    </w:p>
    <w:p>
      <w:pPr>
        <w:jc w:val="both"/>
        <w:ind w:left="460" w:hanging="452"/>
        <w:spacing w:after="0" w:line="271" w:lineRule="auto"/>
        <w:tabs>
          <w:tab w:leader="none" w:pos="46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absolute share price performance target is linked to the development of the Company’s share price during the waiting period. To determine whether the performance target has been achieved, the last year of the waiting period is divided into four quarters and the three-month volume-weighted average price of the Company’s share or the three-month volume-weighted average price, to be converted into amounts per share, of the right or certificate representing the share in the trading system with the highest total trading volume in shares of the Company or in rights or certificates representing such shares (in each case a “</w:t>
      </w:r>
      <w:r>
        <w:rPr>
          <w:rFonts w:ascii="Arial" w:cs="Arial" w:eastAsia="Arial" w:hAnsi="Arial"/>
          <w:sz w:val="17"/>
          <w:szCs w:val="17"/>
          <w:b w:val="1"/>
          <w:bCs w:val="1"/>
          <w:color w:val="auto"/>
        </w:rPr>
        <w:t>Relevant Closing Price</w:t>
      </w:r>
      <w:r>
        <w:rPr>
          <w:rFonts w:ascii="Arial" w:cs="Arial" w:eastAsia="Arial" w:hAnsi="Arial"/>
          <w:sz w:val="17"/>
          <w:szCs w:val="17"/>
          <w:color w:val="auto"/>
        </w:rPr>
        <w:t>”) is determined at the end of each quarter. The performance target is 100% achieved if at least one Relevant Closing Price is at least 50% above the exercise price. The absolute share price performance is weighted at 80% within the overall target achievement. If the absolute share price performance target is not achieved, the target achievement for this performance target is 0 %. A target achievement of more than 100 % is not possible.</w:t>
      </w:r>
    </w:p>
    <w:p>
      <w:pPr>
        <w:spacing w:after="0" w:line="178" w:lineRule="exact"/>
        <w:rPr>
          <w:rFonts w:ascii="Arial" w:cs="Arial" w:eastAsia="Arial" w:hAnsi="Arial"/>
          <w:sz w:val="17"/>
          <w:szCs w:val="17"/>
          <w:color w:val="auto"/>
        </w:rPr>
      </w:pPr>
    </w:p>
    <w:p>
      <w:pPr>
        <w:ind w:left="460" w:hanging="452"/>
        <w:spacing w:after="0"/>
        <w:tabs>
          <w:tab w:leader="none" w:pos="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ESG target is composed of a diversity target and an employee engagement target as follows: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39" w:name="page40"/>
    <w:bookmarkEnd w:id="39"/>
    <w:p>
      <w:pPr>
        <w:jc w:val="both"/>
        <w:ind w:left="620"/>
        <w:spacing w:after="0" w:line="255" w:lineRule="auto"/>
        <w:rPr>
          <w:sz w:val="20"/>
          <w:szCs w:val="20"/>
          <w:color w:val="auto"/>
        </w:rPr>
      </w:pPr>
      <w:r>
        <w:rPr>
          <w:rFonts w:ascii="Arial" w:cs="Arial" w:eastAsia="Arial" w:hAnsi="Arial"/>
          <w:sz w:val="18"/>
          <w:szCs w:val="18"/>
          <w:color w:val="auto"/>
        </w:rPr>
        <w:t>To determine the achievement of the diversity target, the Supervisory Board determines the percentage of women within the Mynaric Group at the beginning of the waiting period. The diversity target is achieved if the percentage of women within the Mynaric Group at the end of the waiting period is five percentage points higher than the percentage of women determined at the beginning of the waiting period. If the proportion of women at the beginning of the waiting period is at least 30% or if the proportion of women within the Mynaric group achieves at least 30% during the waiting period, the diversity target is achieved if the proportion of women within the Mynaric group is still at least 30% at the end of the waiting period.</w:t>
      </w:r>
    </w:p>
    <w:p>
      <w:pPr>
        <w:spacing w:after="0" w:line="192" w:lineRule="exact"/>
        <w:rPr>
          <w:sz w:val="20"/>
          <w:szCs w:val="20"/>
          <w:color w:val="auto"/>
        </w:rPr>
      </w:pPr>
    </w:p>
    <w:p>
      <w:pPr>
        <w:jc w:val="both"/>
        <w:ind w:left="620"/>
        <w:spacing w:after="0" w:line="301" w:lineRule="auto"/>
        <w:rPr>
          <w:sz w:val="20"/>
          <w:szCs w:val="20"/>
          <w:color w:val="auto"/>
        </w:rPr>
      </w:pPr>
      <w:r>
        <w:rPr>
          <w:rFonts w:ascii="Arial" w:cs="Arial" w:eastAsia="Arial" w:hAnsi="Arial"/>
          <w:sz w:val="16"/>
          <w:szCs w:val="16"/>
          <w:color w:val="auto"/>
        </w:rPr>
        <w:t>The employee engagement target is achieved if the employee engagement within the Mynaric Group at the end of the waiting period, as determined by an external service provider, is at least five percentage points higher than the employee engagement at the beginning of the waiting period. If the employee engagement is at least 80% at the beginning of the waiting period or if an employee engagement of 80% is achieved during the waiting period, the employee engagement target is achieved if the employee engagement is still at least 80% at the end of the waiting period.</w:t>
      </w:r>
    </w:p>
    <w:p>
      <w:pPr>
        <w:spacing w:after="0" w:line="157" w:lineRule="exact"/>
        <w:rPr>
          <w:sz w:val="20"/>
          <w:szCs w:val="20"/>
          <w:color w:val="auto"/>
        </w:rPr>
      </w:pPr>
    </w:p>
    <w:p>
      <w:pPr>
        <w:jc w:val="both"/>
        <w:ind w:left="620"/>
        <w:spacing w:after="0" w:line="259" w:lineRule="auto"/>
        <w:rPr>
          <w:sz w:val="20"/>
          <w:szCs w:val="20"/>
          <w:color w:val="auto"/>
        </w:rPr>
      </w:pPr>
      <w:r>
        <w:rPr>
          <w:rFonts w:ascii="Arial" w:cs="Arial" w:eastAsia="Arial" w:hAnsi="Arial"/>
          <w:sz w:val="18"/>
          <w:szCs w:val="18"/>
          <w:color w:val="auto"/>
        </w:rPr>
        <w:t>At the end of the waiting period, the Supervisory Board determines the target achievement for the ESG target as follows: If none of the above targets has been achieved by the end of the waiting period, the target achievement for the ESG target is 0%. If one of the above targets has been achieved, the target achievement for the ESG target is 50%. If both of the above targets are achieved, the target achievement for the ESG target is 100%. Achievement of the ESG target above 100% is not possible.</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the overall target achievement, the achievement of the absolute share price performance target is weighted with 80% and the ESG target with 20%. The result forms the overall target achievement level (in percent), which (rounded down to the nearest whole number) determines the number of exercisable stock options.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40" w:name="page41"/>
    <w:bookmarkEnd w:id="40"/>
    <w:p>
      <w:pPr>
        <w:jc w:val="both"/>
        <w:spacing w:after="0" w:line="277" w:lineRule="auto"/>
        <w:rPr>
          <w:sz w:val="20"/>
          <w:szCs w:val="20"/>
          <w:color w:val="auto"/>
        </w:rPr>
      </w:pPr>
      <w:r>
        <w:rPr>
          <w:rFonts w:ascii="Arial" w:cs="Arial" w:eastAsia="Arial" w:hAnsi="Arial"/>
          <w:sz w:val="18"/>
          <w:szCs w:val="18"/>
          <w:color w:val="auto"/>
        </w:rPr>
        <w:t>The following table shows the stock options granted to members of the Management Board under the Stock Option Plan 2022 and the main conditions for their exercise in accordance with section 162 para. 1 sentence 1 no. 3 AktG: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114935</wp:posOffset>
            </wp:positionV>
            <wp:extent cx="7136130" cy="84391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6130" cy="843915"/>
                    </a:xfrm>
                    <a:prstGeom prst="rect">
                      <a:avLst/>
                    </a:prstGeom>
                    <a:noFill/>
                  </pic:spPr>
                </pic:pic>
              </a:graphicData>
            </a:graphic>
          </wp:anchor>
        </w:drawing>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2120" w:type="dxa"/>
            <w:vAlign w:val="bottom"/>
            <w:shd w:val="clear" w:color="auto" w:fill="E36C0A"/>
          </w:tcPr>
          <w:p>
            <w:pPr>
              <w:spacing w:after="0"/>
              <w:rPr>
                <w:sz w:val="18"/>
                <w:szCs w:val="18"/>
                <w:color w:val="auto"/>
              </w:rPr>
            </w:pPr>
          </w:p>
        </w:tc>
        <w:tc>
          <w:tcPr>
            <w:tcW w:w="1540" w:type="dxa"/>
            <w:vAlign w:val="bottom"/>
            <w:shd w:val="clear" w:color="auto" w:fill="E36C0A"/>
          </w:tcPr>
          <w:p>
            <w:pPr>
              <w:spacing w:after="0"/>
              <w:rPr>
                <w:sz w:val="18"/>
                <w:szCs w:val="18"/>
                <w:color w:val="auto"/>
              </w:rPr>
            </w:pPr>
          </w:p>
        </w:tc>
        <w:tc>
          <w:tcPr>
            <w:tcW w:w="1360" w:type="dxa"/>
            <w:vAlign w:val="bottom"/>
            <w:shd w:val="clear" w:color="auto" w:fill="E36C0A"/>
          </w:tcPr>
          <w:p>
            <w:pPr>
              <w:spacing w:after="0"/>
              <w:rPr>
                <w:sz w:val="18"/>
                <w:szCs w:val="18"/>
                <w:color w:val="auto"/>
              </w:rPr>
            </w:pPr>
          </w:p>
        </w:tc>
        <w:tc>
          <w:tcPr>
            <w:tcW w:w="1680" w:type="dxa"/>
            <w:vAlign w:val="bottom"/>
            <w:shd w:val="clear" w:color="auto" w:fill="E36C0A"/>
          </w:tcPr>
          <w:p>
            <w:pPr>
              <w:spacing w:after="0"/>
              <w:rPr>
                <w:sz w:val="18"/>
                <w:szCs w:val="18"/>
                <w:color w:val="auto"/>
              </w:rPr>
            </w:pPr>
          </w:p>
        </w:tc>
        <w:tc>
          <w:tcPr>
            <w:tcW w:w="1500" w:type="dxa"/>
            <w:vAlign w:val="bottom"/>
            <w:shd w:val="clear" w:color="auto" w:fill="E36C0A"/>
          </w:tcPr>
          <w:p>
            <w:pPr>
              <w:spacing w:after="0"/>
              <w:rPr>
                <w:sz w:val="18"/>
                <w:szCs w:val="18"/>
                <w:color w:val="auto"/>
              </w:rPr>
            </w:pPr>
          </w:p>
        </w:tc>
        <w:tc>
          <w:tcPr>
            <w:tcW w:w="1820" w:type="dxa"/>
            <w:vAlign w:val="bottom"/>
            <w:shd w:val="clear" w:color="auto" w:fill="E36C0A"/>
          </w:tcPr>
          <w:p>
            <w:pPr>
              <w:jc w:val="center"/>
              <w:spacing w:after="0"/>
              <w:rPr>
                <w:sz w:val="20"/>
                <w:szCs w:val="20"/>
                <w:color w:val="auto"/>
              </w:rPr>
            </w:pPr>
            <w:r>
              <w:rPr>
                <w:rFonts w:ascii="Arial" w:cs="Arial" w:eastAsia="Arial" w:hAnsi="Arial"/>
                <w:sz w:val="18"/>
                <w:szCs w:val="18"/>
                <w:b w:val="1"/>
                <w:bCs w:val="1"/>
                <w:color w:val="auto"/>
                <w:w w:val="92"/>
              </w:rPr>
              <w:t>Fair value</w:t>
            </w:r>
          </w:p>
        </w:tc>
        <w:tc>
          <w:tcPr>
            <w:tcW w:w="1220" w:type="dxa"/>
            <w:vAlign w:val="bottom"/>
            <w:shd w:val="clear" w:color="auto" w:fill="E36C0A"/>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20" w:type="dxa"/>
            <w:vAlign w:val="bottom"/>
            <w:vMerge w:val="restart"/>
            <w:shd w:val="clear" w:color="auto" w:fill="E36C0A"/>
          </w:tcPr>
          <w:p>
            <w:pPr>
              <w:ind w:left="560"/>
              <w:spacing w:after="0"/>
              <w:rPr>
                <w:sz w:val="20"/>
                <w:szCs w:val="20"/>
                <w:color w:val="auto"/>
              </w:rPr>
            </w:pPr>
            <w:r>
              <w:rPr>
                <w:rFonts w:ascii="Arial" w:cs="Arial" w:eastAsia="Arial" w:hAnsi="Arial"/>
                <w:sz w:val="18"/>
                <w:szCs w:val="18"/>
                <w:b w:val="1"/>
                <w:bCs w:val="1"/>
                <w:color w:val="auto"/>
              </w:rPr>
              <w:t>Management</w:t>
            </w:r>
          </w:p>
        </w:tc>
        <w:tc>
          <w:tcPr>
            <w:tcW w:w="1540" w:type="dxa"/>
            <w:vAlign w:val="bottom"/>
            <w:shd w:val="clear" w:color="auto" w:fill="E36C0A"/>
          </w:tcPr>
          <w:p>
            <w:pPr>
              <w:jc w:val="center"/>
              <w:spacing w:after="0"/>
              <w:rPr>
                <w:sz w:val="20"/>
                <w:szCs w:val="20"/>
                <w:color w:val="auto"/>
              </w:rPr>
            </w:pPr>
            <w:r>
              <w:rPr>
                <w:rFonts w:ascii="Arial" w:cs="Arial" w:eastAsia="Arial" w:hAnsi="Arial"/>
                <w:sz w:val="18"/>
                <w:szCs w:val="18"/>
                <w:b w:val="1"/>
                <w:bCs w:val="1"/>
                <w:color w:val="auto"/>
                <w:w w:val="95"/>
              </w:rPr>
              <w:t>Grant date</w:t>
            </w:r>
          </w:p>
        </w:tc>
        <w:tc>
          <w:tcPr>
            <w:tcW w:w="1360" w:type="dxa"/>
            <w:vAlign w:val="bottom"/>
            <w:shd w:val="clear" w:color="auto" w:fill="E36C0A"/>
          </w:tcPr>
          <w:p>
            <w:pPr>
              <w:jc w:val="center"/>
              <w:spacing w:after="0"/>
              <w:rPr>
                <w:sz w:val="20"/>
                <w:szCs w:val="20"/>
                <w:color w:val="auto"/>
              </w:rPr>
            </w:pPr>
            <w:r>
              <w:rPr>
                <w:rFonts w:ascii="Arial" w:cs="Arial" w:eastAsia="Arial" w:hAnsi="Arial"/>
                <w:sz w:val="18"/>
                <w:szCs w:val="18"/>
                <w:b w:val="1"/>
                <w:bCs w:val="1"/>
                <w:color w:val="auto"/>
                <w:w w:val="92"/>
              </w:rPr>
              <w:t>End of</w:t>
            </w:r>
          </w:p>
        </w:tc>
        <w:tc>
          <w:tcPr>
            <w:tcW w:w="1680" w:type="dxa"/>
            <w:vAlign w:val="bottom"/>
            <w:shd w:val="clear" w:color="auto" w:fill="E36C0A"/>
          </w:tcPr>
          <w:p>
            <w:pPr>
              <w:jc w:val="center"/>
              <w:spacing w:after="0"/>
              <w:rPr>
                <w:sz w:val="20"/>
                <w:szCs w:val="20"/>
                <w:color w:val="auto"/>
              </w:rPr>
            </w:pPr>
            <w:r>
              <w:rPr>
                <w:rFonts w:ascii="Arial" w:cs="Arial" w:eastAsia="Arial" w:hAnsi="Arial"/>
                <w:sz w:val="18"/>
                <w:szCs w:val="18"/>
                <w:b w:val="1"/>
                <w:bCs w:val="1"/>
                <w:color w:val="auto"/>
                <w:w w:val="91"/>
              </w:rPr>
              <w:t>Number of</w:t>
            </w:r>
          </w:p>
        </w:tc>
        <w:tc>
          <w:tcPr>
            <w:tcW w:w="1500" w:type="dxa"/>
            <w:vAlign w:val="bottom"/>
            <w:shd w:val="clear" w:color="auto" w:fill="E36C0A"/>
          </w:tcPr>
          <w:p>
            <w:pPr>
              <w:spacing w:after="0"/>
              <w:rPr>
                <w:sz w:val="18"/>
                <w:szCs w:val="18"/>
                <w:color w:val="auto"/>
              </w:rPr>
            </w:pPr>
          </w:p>
        </w:tc>
        <w:tc>
          <w:tcPr>
            <w:tcW w:w="1820" w:type="dxa"/>
            <w:vAlign w:val="bottom"/>
            <w:shd w:val="clear" w:color="auto" w:fill="E36C0A"/>
          </w:tcPr>
          <w:p>
            <w:pPr>
              <w:jc w:val="center"/>
              <w:spacing w:after="0"/>
              <w:rPr>
                <w:sz w:val="20"/>
                <w:szCs w:val="20"/>
                <w:color w:val="auto"/>
              </w:rPr>
            </w:pPr>
            <w:r>
              <w:rPr>
                <w:rFonts w:ascii="Arial" w:cs="Arial" w:eastAsia="Arial" w:hAnsi="Arial"/>
                <w:sz w:val="18"/>
                <w:szCs w:val="18"/>
                <w:b w:val="1"/>
                <w:bCs w:val="1"/>
                <w:color w:val="auto"/>
                <w:w w:val="87"/>
              </w:rPr>
              <w:t>per stock</w:t>
            </w:r>
          </w:p>
        </w:tc>
        <w:tc>
          <w:tcPr>
            <w:tcW w:w="1220" w:type="dxa"/>
            <w:vAlign w:val="bottom"/>
            <w:shd w:val="clear" w:color="auto" w:fill="E36C0A"/>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120" w:type="dxa"/>
            <w:vAlign w:val="bottom"/>
            <w:vMerge w:val="continue"/>
            <w:shd w:val="clear" w:color="auto" w:fill="E36C0A"/>
          </w:tcPr>
          <w:p>
            <w:pPr>
              <w:spacing w:after="0"/>
              <w:rPr>
                <w:sz w:val="9"/>
                <w:szCs w:val="9"/>
                <w:color w:val="auto"/>
              </w:rPr>
            </w:pPr>
          </w:p>
        </w:tc>
        <w:tc>
          <w:tcPr>
            <w:tcW w:w="1540" w:type="dxa"/>
            <w:vAlign w:val="bottom"/>
            <w:vMerge w:val="restart"/>
            <w:shd w:val="clear" w:color="auto" w:fill="E36C0A"/>
          </w:tcPr>
          <w:p>
            <w:pPr>
              <w:jc w:val="center"/>
              <w:spacing w:after="0"/>
              <w:rPr>
                <w:sz w:val="20"/>
                <w:szCs w:val="20"/>
                <w:color w:val="auto"/>
              </w:rPr>
            </w:pPr>
            <w:r>
              <w:rPr>
                <w:rFonts w:ascii="Arial" w:cs="Arial" w:eastAsia="Arial" w:hAnsi="Arial"/>
                <w:sz w:val="18"/>
                <w:szCs w:val="18"/>
                <w:b w:val="1"/>
                <w:bCs w:val="1"/>
                <w:color w:val="auto"/>
                <w:w w:val="92"/>
              </w:rPr>
              <w:t>and start</w:t>
            </w:r>
          </w:p>
        </w:tc>
        <w:tc>
          <w:tcPr>
            <w:tcW w:w="1360" w:type="dxa"/>
            <w:vAlign w:val="bottom"/>
            <w:vMerge w:val="restart"/>
            <w:shd w:val="clear" w:color="auto" w:fill="E36C0A"/>
          </w:tcPr>
          <w:p>
            <w:pPr>
              <w:jc w:val="center"/>
              <w:spacing w:after="0"/>
              <w:rPr>
                <w:sz w:val="20"/>
                <w:szCs w:val="20"/>
                <w:color w:val="auto"/>
              </w:rPr>
            </w:pPr>
            <w:r>
              <w:rPr>
                <w:rFonts w:ascii="Arial" w:cs="Arial" w:eastAsia="Arial" w:hAnsi="Arial"/>
                <w:sz w:val="18"/>
                <w:szCs w:val="18"/>
                <w:b w:val="1"/>
                <w:bCs w:val="1"/>
                <w:color w:val="auto"/>
                <w:w w:val="88"/>
              </w:rPr>
              <w:t>the</w:t>
            </w:r>
          </w:p>
        </w:tc>
        <w:tc>
          <w:tcPr>
            <w:tcW w:w="1680" w:type="dxa"/>
            <w:vAlign w:val="bottom"/>
            <w:vMerge w:val="restart"/>
            <w:shd w:val="clear" w:color="auto" w:fill="E36C0A"/>
          </w:tcPr>
          <w:p>
            <w:pPr>
              <w:jc w:val="center"/>
              <w:spacing w:after="0"/>
              <w:rPr>
                <w:sz w:val="20"/>
                <w:szCs w:val="20"/>
                <w:color w:val="auto"/>
              </w:rPr>
            </w:pPr>
            <w:r>
              <w:rPr>
                <w:rFonts w:ascii="Arial" w:cs="Arial" w:eastAsia="Arial" w:hAnsi="Arial"/>
                <w:sz w:val="18"/>
                <w:szCs w:val="18"/>
                <w:b w:val="1"/>
                <w:bCs w:val="1"/>
                <w:color w:val="auto"/>
                <w:w w:val="84"/>
              </w:rPr>
              <w:t>stock</w:t>
            </w:r>
          </w:p>
        </w:tc>
        <w:tc>
          <w:tcPr>
            <w:tcW w:w="1500" w:type="dxa"/>
            <w:vAlign w:val="bottom"/>
            <w:vMerge w:val="restart"/>
            <w:shd w:val="clear" w:color="auto" w:fill="E36C0A"/>
          </w:tcPr>
          <w:p>
            <w:pPr>
              <w:jc w:val="center"/>
              <w:spacing w:after="0"/>
              <w:rPr>
                <w:sz w:val="20"/>
                <w:szCs w:val="20"/>
                <w:color w:val="auto"/>
              </w:rPr>
            </w:pPr>
            <w:r>
              <w:rPr>
                <w:rFonts w:ascii="Arial" w:cs="Arial" w:eastAsia="Arial" w:hAnsi="Arial"/>
                <w:sz w:val="18"/>
                <w:szCs w:val="18"/>
                <w:b w:val="1"/>
                <w:bCs w:val="1"/>
                <w:color w:val="auto"/>
                <w:w w:val="86"/>
              </w:rPr>
              <w:t>Exercise</w:t>
            </w:r>
          </w:p>
        </w:tc>
        <w:tc>
          <w:tcPr>
            <w:tcW w:w="1820" w:type="dxa"/>
            <w:vAlign w:val="bottom"/>
            <w:vMerge w:val="restart"/>
            <w:shd w:val="clear" w:color="auto" w:fill="E36C0A"/>
          </w:tcPr>
          <w:p>
            <w:pPr>
              <w:jc w:val="center"/>
              <w:spacing w:after="0"/>
              <w:rPr>
                <w:sz w:val="20"/>
                <w:szCs w:val="20"/>
                <w:color w:val="auto"/>
              </w:rPr>
            </w:pPr>
            <w:r>
              <w:rPr>
                <w:rFonts w:ascii="Arial" w:cs="Arial" w:eastAsia="Arial" w:hAnsi="Arial"/>
                <w:sz w:val="18"/>
                <w:szCs w:val="18"/>
                <w:b w:val="1"/>
                <w:bCs w:val="1"/>
                <w:color w:val="auto"/>
                <w:w w:val="90"/>
              </w:rPr>
              <w:t>option at the</w:t>
            </w:r>
          </w:p>
        </w:tc>
        <w:tc>
          <w:tcPr>
            <w:tcW w:w="1220" w:type="dxa"/>
            <w:vAlign w:val="bottom"/>
            <w:shd w:val="clear" w:color="auto" w:fill="E36C0A"/>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120" w:type="dxa"/>
            <w:vAlign w:val="bottom"/>
            <w:vMerge w:val="restart"/>
            <w:shd w:val="clear" w:color="auto" w:fill="E36C0A"/>
          </w:tcPr>
          <w:p>
            <w:pPr>
              <w:ind w:left="480"/>
              <w:spacing w:after="0"/>
              <w:rPr>
                <w:sz w:val="20"/>
                <w:szCs w:val="20"/>
                <w:color w:val="auto"/>
              </w:rPr>
            </w:pPr>
            <w:r>
              <w:rPr>
                <w:rFonts w:ascii="Arial" w:cs="Arial" w:eastAsia="Arial" w:hAnsi="Arial"/>
                <w:sz w:val="18"/>
                <w:szCs w:val="18"/>
                <w:b w:val="1"/>
                <w:bCs w:val="1"/>
                <w:color w:val="auto"/>
              </w:rPr>
              <w:t>Board member</w:t>
            </w:r>
          </w:p>
        </w:tc>
        <w:tc>
          <w:tcPr>
            <w:tcW w:w="1540" w:type="dxa"/>
            <w:vAlign w:val="bottom"/>
            <w:vMerge w:val="continue"/>
            <w:shd w:val="clear" w:color="auto" w:fill="E36C0A"/>
          </w:tcPr>
          <w:p>
            <w:pPr>
              <w:spacing w:after="0"/>
              <w:rPr>
                <w:sz w:val="9"/>
                <w:szCs w:val="9"/>
                <w:color w:val="auto"/>
              </w:rPr>
            </w:pPr>
          </w:p>
        </w:tc>
        <w:tc>
          <w:tcPr>
            <w:tcW w:w="1360" w:type="dxa"/>
            <w:vAlign w:val="bottom"/>
            <w:vMerge w:val="continue"/>
            <w:shd w:val="clear" w:color="auto" w:fill="E36C0A"/>
          </w:tcPr>
          <w:p>
            <w:pPr>
              <w:spacing w:after="0"/>
              <w:rPr>
                <w:sz w:val="9"/>
                <w:szCs w:val="9"/>
                <w:color w:val="auto"/>
              </w:rPr>
            </w:pPr>
          </w:p>
        </w:tc>
        <w:tc>
          <w:tcPr>
            <w:tcW w:w="1680" w:type="dxa"/>
            <w:vAlign w:val="bottom"/>
            <w:vMerge w:val="continue"/>
            <w:shd w:val="clear" w:color="auto" w:fill="E36C0A"/>
          </w:tcPr>
          <w:p>
            <w:pPr>
              <w:spacing w:after="0"/>
              <w:rPr>
                <w:sz w:val="9"/>
                <w:szCs w:val="9"/>
                <w:color w:val="auto"/>
              </w:rPr>
            </w:pPr>
          </w:p>
        </w:tc>
        <w:tc>
          <w:tcPr>
            <w:tcW w:w="1500" w:type="dxa"/>
            <w:vAlign w:val="bottom"/>
            <w:vMerge w:val="continue"/>
            <w:shd w:val="clear" w:color="auto" w:fill="E36C0A"/>
          </w:tcPr>
          <w:p>
            <w:pPr>
              <w:spacing w:after="0"/>
              <w:rPr>
                <w:sz w:val="9"/>
                <w:szCs w:val="9"/>
                <w:color w:val="auto"/>
              </w:rPr>
            </w:pPr>
          </w:p>
        </w:tc>
        <w:tc>
          <w:tcPr>
            <w:tcW w:w="1820" w:type="dxa"/>
            <w:vAlign w:val="bottom"/>
            <w:vMerge w:val="continue"/>
            <w:shd w:val="clear" w:color="auto" w:fill="E36C0A"/>
          </w:tcPr>
          <w:p>
            <w:pPr>
              <w:spacing w:after="0"/>
              <w:rPr>
                <w:sz w:val="9"/>
                <w:szCs w:val="9"/>
                <w:color w:val="auto"/>
              </w:rPr>
            </w:pPr>
          </w:p>
        </w:tc>
        <w:tc>
          <w:tcPr>
            <w:tcW w:w="1220" w:type="dxa"/>
            <w:vAlign w:val="bottom"/>
            <w:shd w:val="clear" w:color="auto" w:fill="E36C0A"/>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2120" w:type="dxa"/>
            <w:vAlign w:val="bottom"/>
            <w:vMerge w:val="continue"/>
            <w:shd w:val="clear" w:color="auto" w:fill="E36C0A"/>
          </w:tcPr>
          <w:p>
            <w:pPr>
              <w:spacing w:after="0"/>
              <w:rPr>
                <w:sz w:val="10"/>
                <w:szCs w:val="10"/>
                <w:color w:val="auto"/>
              </w:rPr>
            </w:pPr>
          </w:p>
        </w:tc>
        <w:tc>
          <w:tcPr>
            <w:tcW w:w="1540" w:type="dxa"/>
            <w:vAlign w:val="bottom"/>
            <w:vMerge w:val="restart"/>
            <w:shd w:val="clear" w:color="auto" w:fill="E36C0A"/>
          </w:tcPr>
          <w:p>
            <w:pPr>
              <w:jc w:val="center"/>
              <w:spacing w:after="0"/>
              <w:rPr>
                <w:sz w:val="20"/>
                <w:szCs w:val="20"/>
                <w:color w:val="auto"/>
              </w:rPr>
            </w:pPr>
            <w:r>
              <w:rPr>
                <w:rFonts w:ascii="Arial" w:cs="Arial" w:eastAsia="Arial" w:hAnsi="Arial"/>
                <w:sz w:val="18"/>
                <w:szCs w:val="18"/>
                <w:b w:val="1"/>
                <w:bCs w:val="1"/>
                <w:color w:val="auto"/>
                <w:w w:val="85"/>
              </w:rPr>
              <w:t>of the</w:t>
            </w:r>
          </w:p>
        </w:tc>
        <w:tc>
          <w:tcPr>
            <w:tcW w:w="1360" w:type="dxa"/>
            <w:vAlign w:val="bottom"/>
            <w:vMerge w:val="restart"/>
            <w:shd w:val="clear" w:color="auto" w:fill="E36C0A"/>
          </w:tcPr>
          <w:p>
            <w:pPr>
              <w:jc w:val="center"/>
              <w:spacing w:after="0"/>
              <w:rPr>
                <w:sz w:val="20"/>
                <w:szCs w:val="20"/>
                <w:color w:val="auto"/>
              </w:rPr>
            </w:pPr>
            <w:r>
              <w:rPr>
                <w:rFonts w:ascii="Arial" w:cs="Arial" w:eastAsia="Arial" w:hAnsi="Arial"/>
                <w:sz w:val="18"/>
                <w:szCs w:val="18"/>
                <w:b w:val="1"/>
                <w:bCs w:val="1"/>
                <w:color w:val="auto"/>
                <w:w w:val="93"/>
              </w:rPr>
              <w:t>waiting</w:t>
            </w:r>
          </w:p>
        </w:tc>
        <w:tc>
          <w:tcPr>
            <w:tcW w:w="1680" w:type="dxa"/>
            <w:vAlign w:val="bottom"/>
            <w:vMerge w:val="restart"/>
            <w:shd w:val="clear" w:color="auto" w:fill="E36C0A"/>
          </w:tcPr>
          <w:p>
            <w:pPr>
              <w:jc w:val="center"/>
              <w:spacing w:after="0"/>
              <w:rPr>
                <w:sz w:val="20"/>
                <w:szCs w:val="20"/>
                <w:color w:val="auto"/>
              </w:rPr>
            </w:pPr>
            <w:r>
              <w:rPr>
                <w:rFonts w:ascii="Arial" w:cs="Arial" w:eastAsia="Arial" w:hAnsi="Arial"/>
                <w:sz w:val="18"/>
                <w:szCs w:val="18"/>
                <w:b w:val="1"/>
                <w:bCs w:val="1"/>
                <w:color w:val="auto"/>
                <w:w w:val="86"/>
              </w:rPr>
              <w:t>options</w:t>
            </w:r>
          </w:p>
        </w:tc>
        <w:tc>
          <w:tcPr>
            <w:tcW w:w="1500" w:type="dxa"/>
            <w:vAlign w:val="bottom"/>
            <w:vMerge w:val="restart"/>
            <w:shd w:val="clear" w:color="auto" w:fill="E36C0A"/>
          </w:tcPr>
          <w:p>
            <w:pPr>
              <w:jc w:val="center"/>
              <w:spacing w:after="0"/>
              <w:rPr>
                <w:sz w:val="20"/>
                <w:szCs w:val="20"/>
                <w:color w:val="auto"/>
              </w:rPr>
            </w:pPr>
            <w:r>
              <w:rPr>
                <w:rFonts w:ascii="Arial" w:cs="Arial" w:eastAsia="Arial" w:hAnsi="Arial"/>
                <w:sz w:val="18"/>
                <w:szCs w:val="18"/>
                <w:b w:val="1"/>
                <w:bCs w:val="1"/>
                <w:color w:val="auto"/>
                <w:w w:val="88"/>
              </w:rPr>
              <w:t>price</w:t>
            </w:r>
          </w:p>
        </w:tc>
        <w:tc>
          <w:tcPr>
            <w:tcW w:w="1820" w:type="dxa"/>
            <w:vAlign w:val="bottom"/>
            <w:vMerge w:val="restart"/>
            <w:shd w:val="clear" w:color="auto" w:fill="E36C0A"/>
          </w:tcPr>
          <w:p>
            <w:pPr>
              <w:jc w:val="center"/>
              <w:spacing w:after="0"/>
              <w:rPr>
                <w:sz w:val="20"/>
                <w:szCs w:val="20"/>
                <w:color w:val="auto"/>
              </w:rPr>
            </w:pPr>
            <w:r>
              <w:rPr>
                <w:rFonts w:ascii="Arial" w:cs="Arial" w:eastAsia="Arial" w:hAnsi="Arial"/>
                <w:sz w:val="18"/>
                <w:szCs w:val="18"/>
                <w:b w:val="1"/>
                <w:bCs w:val="1"/>
                <w:color w:val="auto"/>
                <w:w w:val="87"/>
              </w:rPr>
              <w:t>time of issue</w:t>
            </w:r>
          </w:p>
        </w:tc>
        <w:tc>
          <w:tcPr>
            <w:tcW w:w="1220" w:type="dxa"/>
            <w:vAlign w:val="bottom"/>
            <w:vMerge w:val="restart"/>
            <w:shd w:val="clear" w:color="auto" w:fill="E36C0A"/>
          </w:tcPr>
          <w:p>
            <w:pPr>
              <w:ind w:left="42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90"/>
        </w:trPr>
        <w:tc>
          <w:tcPr>
            <w:tcW w:w="2120" w:type="dxa"/>
            <w:vAlign w:val="bottom"/>
            <w:shd w:val="clear" w:color="auto" w:fill="E36C0A"/>
          </w:tcPr>
          <w:p>
            <w:pPr>
              <w:spacing w:after="0"/>
              <w:rPr>
                <w:sz w:val="7"/>
                <w:szCs w:val="7"/>
                <w:color w:val="auto"/>
              </w:rPr>
            </w:pPr>
          </w:p>
        </w:tc>
        <w:tc>
          <w:tcPr>
            <w:tcW w:w="1540" w:type="dxa"/>
            <w:vAlign w:val="bottom"/>
            <w:vMerge w:val="continue"/>
            <w:shd w:val="clear" w:color="auto" w:fill="E36C0A"/>
          </w:tcPr>
          <w:p>
            <w:pPr>
              <w:spacing w:after="0"/>
              <w:rPr>
                <w:sz w:val="7"/>
                <w:szCs w:val="7"/>
                <w:color w:val="auto"/>
              </w:rPr>
            </w:pPr>
          </w:p>
        </w:tc>
        <w:tc>
          <w:tcPr>
            <w:tcW w:w="1360" w:type="dxa"/>
            <w:vAlign w:val="bottom"/>
            <w:vMerge w:val="continue"/>
            <w:shd w:val="clear" w:color="auto" w:fill="E36C0A"/>
          </w:tcPr>
          <w:p>
            <w:pPr>
              <w:spacing w:after="0"/>
              <w:rPr>
                <w:sz w:val="7"/>
                <w:szCs w:val="7"/>
                <w:color w:val="auto"/>
              </w:rPr>
            </w:pPr>
          </w:p>
        </w:tc>
        <w:tc>
          <w:tcPr>
            <w:tcW w:w="1680" w:type="dxa"/>
            <w:vAlign w:val="bottom"/>
            <w:vMerge w:val="continue"/>
            <w:shd w:val="clear" w:color="auto" w:fill="E36C0A"/>
          </w:tcPr>
          <w:p>
            <w:pPr>
              <w:spacing w:after="0"/>
              <w:rPr>
                <w:sz w:val="7"/>
                <w:szCs w:val="7"/>
                <w:color w:val="auto"/>
              </w:rPr>
            </w:pPr>
          </w:p>
        </w:tc>
        <w:tc>
          <w:tcPr>
            <w:tcW w:w="1500" w:type="dxa"/>
            <w:vAlign w:val="bottom"/>
            <w:vMerge w:val="continue"/>
            <w:shd w:val="clear" w:color="auto" w:fill="E36C0A"/>
          </w:tcPr>
          <w:p>
            <w:pPr>
              <w:spacing w:after="0"/>
              <w:rPr>
                <w:sz w:val="7"/>
                <w:szCs w:val="7"/>
                <w:color w:val="auto"/>
              </w:rPr>
            </w:pPr>
          </w:p>
        </w:tc>
        <w:tc>
          <w:tcPr>
            <w:tcW w:w="1820" w:type="dxa"/>
            <w:vAlign w:val="bottom"/>
            <w:vMerge w:val="continue"/>
            <w:shd w:val="clear" w:color="auto" w:fill="E36C0A"/>
          </w:tcPr>
          <w:p>
            <w:pPr>
              <w:spacing w:after="0"/>
              <w:rPr>
                <w:sz w:val="7"/>
                <w:szCs w:val="7"/>
                <w:color w:val="auto"/>
              </w:rPr>
            </w:pPr>
          </w:p>
        </w:tc>
        <w:tc>
          <w:tcPr>
            <w:tcW w:w="1220" w:type="dxa"/>
            <w:vAlign w:val="bottom"/>
            <w:vMerge w:val="continue"/>
            <w:shd w:val="clear" w:color="auto" w:fill="E36C0A"/>
          </w:tcPr>
          <w:p>
            <w:pPr>
              <w:spacing w:after="0"/>
              <w:rPr>
                <w:sz w:val="7"/>
                <w:szCs w:val="7"/>
                <w:color w:val="auto"/>
              </w:rPr>
            </w:pPr>
          </w:p>
        </w:tc>
        <w:tc>
          <w:tcPr>
            <w:tcW w:w="0" w:type="dxa"/>
            <w:vAlign w:val="bottom"/>
          </w:tcPr>
          <w:p>
            <w:pPr>
              <w:spacing w:after="0"/>
              <w:rPr>
                <w:sz w:val="1"/>
                <w:szCs w:val="1"/>
                <w:color w:val="auto"/>
              </w:rPr>
            </w:pPr>
          </w:p>
        </w:tc>
      </w:tr>
      <w:tr>
        <w:trPr>
          <w:trHeight w:val="234"/>
        </w:trPr>
        <w:tc>
          <w:tcPr>
            <w:tcW w:w="2120" w:type="dxa"/>
            <w:vAlign w:val="bottom"/>
            <w:shd w:val="clear" w:color="auto" w:fill="E36C0A"/>
          </w:tcPr>
          <w:p>
            <w:pPr>
              <w:spacing w:after="0"/>
              <w:rPr>
                <w:sz w:val="20"/>
                <w:szCs w:val="20"/>
                <w:color w:val="auto"/>
              </w:rPr>
            </w:pPr>
          </w:p>
        </w:tc>
        <w:tc>
          <w:tcPr>
            <w:tcW w:w="1540" w:type="dxa"/>
            <w:vAlign w:val="bottom"/>
            <w:shd w:val="clear" w:color="auto" w:fill="E36C0A"/>
          </w:tcPr>
          <w:p>
            <w:pPr>
              <w:jc w:val="center"/>
              <w:spacing w:after="0"/>
              <w:rPr>
                <w:sz w:val="20"/>
                <w:szCs w:val="20"/>
                <w:color w:val="auto"/>
              </w:rPr>
            </w:pPr>
            <w:r>
              <w:rPr>
                <w:rFonts w:ascii="Arial" w:cs="Arial" w:eastAsia="Arial" w:hAnsi="Arial"/>
                <w:sz w:val="18"/>
                <w:szCs w:val="18"/>
                <w:b w:val="1"/>
                <w:bCs w:val="1"/>
                <w:color w:val="auto"/>
                <w:w w:val="90"/>
              </w:rPr>
              <w:t>waiting period</w:t>
            </w:r>
          </w:p>
        </w:tc>
        <w:tc>
          <w:tcPr>
            <w:tcW w:w="1360" w:type="dxa"/>
            <w:vAlign w:val="bottom"/>
            <w:shd w:val="clear" w:color="auto" w:fill="E36C0A"/>
          </w:tcPr>
          <w:p>
            <w:pPr>
              <w:jc w:val="center"/>
              <w:spacing w:after="0"/>
              <w:rPr>
                <w:sz w:val="20"/>
                <w:szCs w:val="20"/>
                <w:color w:val="auto"/>
              </w:rPr>
            </w:pPr>
            <w:r>
              <w:rPr>
                <w:rFonts w:ascii="Arial" w:cs="Arial" w:eastAsia="Arial" w:hAnsi="Arial"/>
                <w:sz w:val="18"/>
                <w:szCs w:val="18"/>
                <w:b w:val="1"/>
                <w:bCs w:val="1"/>
                <w:color w:val="auto"/>
                <w:w w:val="90"/>
              </w:rPr>
              <w:t>period</w:t>
            </w:r>
          </w:p>
        </w:tc>
        <w:tc>
          <w:tcPr>
            <w:tcW w:w="1680" w:type="dxa"/>
            <w:vAlign w:val="bottom"/>
            <w:shd w:val="clear" w:color="auto" w:fill="E36C0A"/>
          </w:tcPr>
          <w:p>
            <w:pPr>
              <w:jc w:val="center"/>
              <w:spacing w:after="0"/>
              <w:rPr>
                <w:sz w:val="20"/>
                <w:szCs w:val="20"/>
                <w:color w:val="auto"/>
              </w:rPr>
            </w:pPr>
            <w:r>
              <w:rPr>
                <w:rFonts w:ascii="Arial" w:cs="Arial" w:eastAsia="Arial" w:hAnsi="Arial"/>
                <w:sz w:val="18"/>
                <w:szCs w:val="18"/>
                <w:b w:val="1"/>
                <w:bCs w:val="1"/>
                <w:color w:val="auto"/>
                <w:w w:val="90"/>
              </w:rPr>
              <w:t>granted</w:t>
            </w:r>
          </w:p>
        </w:tc>
        <w:tc>
          <w:tcPr>
            <w:tcW w:w="1500" w:type="dxa"/>
            <w:vAlign w:val="bottom"/>
            <w:shd w:val="clear" w:color="auto" w:fill="E36C0A"/>
          </w:tcPr>
          <w:p>
            <w:pPr>
              <w:jc w:val="center"/>
              <w:spacing w:after="0"/>
              <w:rPr>
                <w:sz w:val="20"/>
                <w:szCs w:val="20"/>
                <w:color w:val="auto"/>
              </w:rPr>
            </w:pPr>
            <w:r>
              <w:rPr>
                <w:rFonts w:ascii="Arial" w:cs="Arial" w:eastAsia="Arial" w:hAnsi="Arial"/>
                <w:sz w:val="18"/>
                <w:szCs w:val="18"/>
                <w:b w:val="1"/>
                <w:bCs w:val="1"/>
                <w:color w:val="auto"/>
                <w:w w:val="90"/>
              </w:rPr>
              <w:t>in €</w:t>
            </w:r>
          </w:p>
        </w:tc>
        <w:tc>
          <w:tcPr>
            <w:tcW w:w="1820" w:type="dxa"/>
            <w:vAlign w:val="bottom"/>
            <w:shd w:val="clear" w:color="auto" w:fill="E36C0A"/>
          </w:tcPr>
          <w:p>
            <w:pPr>
              <w:jc w:val="center"/>
              <w:spacing w:after="0"/>
              <w:rPr>
                <w:sz w:val="20"/>
                <w:szCs w:val="20"/>
                <w:color w:val="auto"/>
              </w:rPr>
            </w:pPr>
            <w:r>
              <w:rPr>
                <w:rFonts w:ascii="Arial" w:cs="Arial" w:eastAsia="Arial" w:hAnsi="Arial"/>
                <w:sz w:val="18"/>
                <w:szCs w:val="18"/>
                <w:b w:val="1"/>
                <w:bCs w:val="1"/>
                <w:color w:val="auto"/>
                <w:w w:val="90"/>
              </w:rPr>
              <w:t>in €</w:t>
            </w:r>
          </w:p>
        </w:tc>
        <w:tc>
          <w:tcPr>
            <w:tcW w:w="1220" w:type="dxa"/>
            <w:vAlign w:val="bottom"/>
            <w:shd w:val="clear" w:color="auto" w:fill="E36C0A"/>
          </w:tcPr>
          <w:p>
            <w:pPr>
              <w:ind w:left="420"/>
              <w:spacing w:after="0"/>
              <w:rPr>
                <w:sz w:val="20"/>
                <w:szCs w:val="20"/>
                <w:color w:val="auto"/>
              </w:rPr>
            </w:pPr>
            <w:r>
              <w:rPr>
                <w:rFonts w:ascii="Arial" w:cs="Arial" w:eastAsia="Arial" w:hAnsi="Arial"/>
                <w:sz w:val="18"/>
                <w:szCs w:val="18"/>
                <w:b w:val="1"/>
                <w:bCs w:val="1"/>
                <w:color w:val="auto"/>
              </w:rPr>
              <w:t>in k€</w:t>
            </w:r>
          </w:p>
        </w:tc>
        <w:tc>
          <w:tcPr>
            <w:tcW w:w="0" w:type="dxa"/>
            <w:vAlign w:val="bottom"/>
          </w:tcPr>
          <w:p>
            <w:pPr>
              <w:spacing w:after="0"/>
              <w:rPr>
                <w:sz w:val="1"/>
                <w:szCs w:val="1"/>
                <w:color w:val="auto"/>
              </w:rPr>
            </w:pPr>
          </w:p>
        </w:tc>
      </w:tr>
      <w:tr>
        <w:trPr>
          <w:trHeight w:val="230"/>
        </w:trPr>
        <w:tc>
          <w:tcPr>
            <w:tcW w:w="2120" w:type="dxa"/>
            <w:vAlign w:val="bottom"/>
            <w:shd w:val="clear" w:color="auto" w:fill="E36C0A"/>
          </w:tcPr>
          <w:p>
            <w:pPr>
              <w:spacing w:after="0"/>
              <w:rPr>
                <w:sz w:val="19"/>
                <w:szCs w:val="19"/>
                <w:color w:val="auto"/>
              </w:rPr>
            </w:pPr>
          </w:p>
        </w:tc>
        <w:tc>
          <w:tcPr>
            <w:tcW w:w="1540" w:type="dxa"/>
            <w:vAlign w:val="bottom"/>
            <w:shd w:val="clear" w:color="auto" w:fill="E36C0A"/>
          </w:tcPr>
          <w:p>
            <w:pPr>
              <w:spacing w:after="0"/>
              <w:rPr>
                <w:sz w:val="19"/>
                <w:szCs w:val="19"/>
                <w:color w:val="auto"/>
              </w:rPr>
            </w:pPr>
          </w:p>
        </w:tc>
        <w:tc>
          <w:tcPr>
            <w:tcW w:w="1360" w:type="dxa"/>
            <w:vAlign w:val="bottom"/>
            <w:shd w:val="clear" w:color="auto" w:fill="E36C0A"/>
          </w:tcPr>
          <w:p>
            <w:pPr>
              <w:spacing w:after="0"/>
              <w:rPr>
                <w:sz w:val="19"/>
                <w:szCs w:val="19"/>
                <w:color w:val="auto"/>
              </w:rPr>
            </w:pPr>
          </w:p>
        </w:tc>
        <w:tc>
          <w:tcPr>
            <w:tcW w:w="1680" w:type="dxa"/>
            <w:vAlign w:val="bottom"/>
            <w:shd w:val="clear" w:color="auto" w:fill="E36C0A"/>
          </w:tcPr>
          <w:p>
            <w:pPr>
              <w:spacing w:after="0"/>
              <w:rPr>
                <w:sz w:val="19"/>
                <w:szCs w:val="19"/>
                <w:color w:val="auto"/>
              </w:rPr>
            </w:pPr>
          </w:p>
        </w:tc>
        <w:tc>
          <w:tcPr>
            <w:tcW w:w="1500" w:type="dxa"/>
            <w:vAlign w:val="bottom"/>
            <w:shd w:val="clear" w:color="auto" w:fill="E36C0A"/>
          </w:tcPr>
          <w:p>
            <w:pPr>
              <w:spacing w:after="0"/>
              <w:rPr>
                <w:sz w:val="19"/>
                <w:szCs w:val="19"/>
                <w:color w:val="auto"/>
              </w:rPr>
            </w:pPr>
          </w:p>
        </w:tc>
        <w:tc>
          <w:tcPr>
            <w:tcW w:w="1820" w:type="dxa"/>
            <w:vAlign w:val="bottom"/>
            <w:shd w:val="clear" w:color="auto" w:fill="E36C0A"/>
          </w:tcPr>
          <w:p>
            <w:pPr>
              <w:spacing w:after="0"/>
              <w:rPr>
                <w:sz w:val="19"/>
                <w:szCs w:val="19"/>
                <w:color w:val="auto"/>
              </w:rPr>
            </w:pPr>
          </w:p>
        </w:tc>
        <w:tc>
          <w:tcPr>
            <w:tcW w:w="1220" w:type="dxa"/>
            <w:vAlign w:val="bottom"/>
            <w:shd w:val="clear" w:color="auto" w:fill="E36C0A"/>
          </w:tcPr>
          <w:p>
            <w:pPr>
              <w:spacing w:after="0"/>
              <w:rPr>
                <w:sz w:val="19"/>
                <w:szCs w:val="19"/>
                <w:color w:val="auto"/>
              </w:rPr>
            </w:pPr>
          </w:p>
        </w:tc>
        <w:tc>
          <w:tcPr>
            <w:tcW w:w="0" w:type="dxa"/>
            <w:vAlign w:val="bottom"/>
          </w:tcPr>
          <w:p>
            <w:pPr>
              <w:spacing w:after="0"/>
              <w:rPr>
                <w:sz w:val="1"/>
                <w:szCs w:val="1"/>
                <w:color w:val="auto"/>
              </w:rPr>
            </w:pPr>
          </w:p>
        </w:tc>
      </w:tr>
      <w:tr>
        <w:trPr>
          <w:trHeight w:val="390"/>
        </w:trPr>
        <w:tc>
          <w:tcPr>
            <w:tcW w:w="2120" w:type="dxa"/>
            <w:vAlign w:val="bottom"/>
            <w:shd w:val="clear" w:color="auto" w:fill="F0F2F5"/>
          </w:tcPr>
          <w:p>
            <w:pPr>
              <w:spacing w:after="0"/>
              <w:rPr>
                <w:sz w:val="20"/>
                <w:szCs w:val="20"/>
                <w:color w:val="auto"/>
              </w:rPr>
            </w:pPr>
            <w:r>
              <w:rPr>
                <w:rFonts w:ascii="Arial" w:cs="Arial" w:eastAsia="Arial" w:hAnsi="Arial"/>
                <w:sz w:val="18"/>
                <w:szCs w:val="18"/>
                <w:color w:val="auto"/>
              </w:rPr>
              <w:t>Bulent Altan</w:t>
            </w:r>
            <w:r>
              <w:rPr>
                <w:rFonts w:ascii="Arial" w:cs="Arial" w:eastAsia="Arial" w:hAnsi="Arial"/>
                <w:sz w:val="29"/>
                <w:szCs w:val="29"/>
                <w:color w:val="auto"/>
                <w:vertAlign w:val="superscript"/>
              </w:rPr>
              <w:t>8</w:t>
            </w:r>
          </w:p>
        </w:tc>
        <w:tc>
          <w:tcPr>
            <w:tcW w:w="1540" w:type="dxa"/>
            <w:vAlign w:val="bottom"/>
            <w:shd w:val="clear" w:color="auto" w:fill="F0F2F5"/>
          </w:tcPr>
          <w:p>
            <w:pPr>
              <w:jc w:val="center"/>
              <w:spacing w:after="0"/>
              <w:rPr>
                <w:sz w:val="20"/>
                <w:szCs w:val="20"/>
                <w:color w:val="auto"/>
              </w:rPr>
            </w:pPr>
            <w:r>
              <w:rPr>
                <w:rFonts w:ascii="Arial" w:cs="Arial" w:eastAsia="Arial" w:hAnsi="Arial"/>
                <w:sz w:val="18"/>
                <w:szCs w:val="18"/>
                <w:color w:val="auto"/>
                <w:w w:val="90"/>
              </w:rPr>
              <w:t>09/30/2022</w:t>
            </w:r>
          </w:p>
        </w:tc>
        <w:tc>
          <w:tcPr>
            <w:tcW w:w="1360" w:type="dxa"/>
            <w:vAlign w:val="bottom"/>
            <w:shd w:val="clear" w:color="auto" w:fill="F0F2F5"/>
          </w:tcPr>
          <w:p>
            <w:pPr>
              <w:jc w:val="center"/>
              <w:spacing w:after="0"/>
              <w:rPr>
                <w:sz w:val="20"/>
                <w:szCs w:val="20"/>
                <w:color w:val="auto"/>
              </w:rPr>
            </w:pPr>
            <w:r>
              <w:rPr>
                <w:rFonts w:ascii="Arial" w:cs="Arial" w:eastAsia="Arial" w:hAnsi="Arial"/>
                <w:sz w:val="18"/>
                <w:szCs w:val="18"/>
                <w:color w:val="auto"/>
                <w:w w:val="90"/>
              </w:rPr>
              <w:t>09/30/2026</w:t>
            </w:r>
          </w:p>
        </w:tc>
        <w:tc>
          <w:tcPr>
            <w:tcW w:w="1680" w:type="dxa"/>
            <w:vAlign w:val="bottom"/>
            <w:shd w:val="clear" w:color="auto" w:fill="F0F2F5"/>
          </w:tcPr>
          <w:p>
            <w:pPr>
              <w:jc w:val="center"/>
              <w:spacing w:after="0"/>
              <w:rPr>
                <w:sz w:val="20"/>
                <w:szCs w:val="20"/>
                <w:color w:val="auto"/>
              </w:rPr>
            </w:pPr>
            <w:r>
              <w:rPr>
                <w:rFonts w:ascii="Arial" w:cs="Arial" w:eastAsia="Arial" w:hAnsi="Arial"/>
                <w:sz w:val="18"/>
                <w:szCs w:val="18"/>
                <w:color w:val="auto"/>
                <w:w w:val="90"/>
              </w:rPr>
              <w:t>33,000</w:t>
            </w:r>
          </w:p>
        </w:tc>
        <w:tc>
          <w:tcPr>
            <w:tcW w:w="1500" w:type="dxa"/>
            <w:vAlign w:val="bottom"/>
            <w:shd w:val="clear" w:color="auto" w:fill="F0F2F5"/>
          </w:tcPr>
          <w:p>
            <w:pPr>
              <w:jc w:val="center"/>
              <w:spacing w:after="0"/>
              <w:rPr>
                <w:sz w:val="20"/>
                <w:szCs w:val="20"/>
                <w:color w:val="auto"/>
              </w:rPr>
            </w:pPr>
            <w:r>
              <w:rPr>
                <w:rFonts w:ascii="Arial" w:cs="Arial" w:eastAsia="Arial" w:hAnsi="Arial"/>
                <w:sz w:val="18"/>
                <w:szCs w:val="18"/>
                <w:color w:val="auto"/>
                <w:w w:val="88"/>
              </w:rPr>
              <w:t>32.90</w:t>
            </w:r>
          </w:p>
        </w:tc>
        <w:tc>
          <w:tcPr>
            <w:tcW w:w="1820" w:type="dxa"/>
            <w:vAlign w:val="bottom"/>
            <w:shd w:val="clear" w:color="auto" w:fill="F0F2F5"/>
          </w:tcPr>
          <w:p>
            <w:pPr>
              <w:jc w:val="center"/>
              <w:spacing w:after="0"/>
              <w:rPr>
                <w:sz w:val="20"/>
                <w:szCs w:val="20"/>
                <w:color w:val="auto"/>
              </w:rPr>
            </w:pPr>
            <w:r>
              <w:rPr>
                <w:rFonts w:ascii="Arial" w:cs="Arial" w:eastAsia="Arial" w:hAnsi="Arial"/>
                <w:sz w:val="18"/>
                <w:szCs w:val="18"/>
                <w:color w:val="auto"/>
                <w:w w:val="91"/>
              </w:rPr>
              <w:t>1.98</w:t>
            </w:r>
          </w:p>
        </w:tc>
        <w:tc>
          <w:tcPr>
            <w:tcW w:w="1220" w:type="dxa"/>
            <w:vAlign w:val="bottom"/>
            <w:shd w:val="clear" w:color="auto" w:fill="F0F2F5"/>
          </w:tcPr>
          <w:p>
            <w:pPr>
              <w:jc w:val="center"/>
              <w:spacing w:after="0"/>
              <w:rPr>
                <w:sz w:val="20"/>
                <w:szCs w:val="20"/>
                <w:color w:val="auto"/>
              </w:rPr>
            </w:pPr>
            <w:r>
              <w:rPr>
                <w:rFonts w:ascii="Arial" w:cs="Arial" w:eastAsia="Arial" w:hAnsi="Arial"/>
                <w:sz w:val="18"/>
                <w:szCs w:val="18"/>
                <w:color w:val="auto"/>
                <w:w w:val="89"/>
              </w:rPr>
              <w:t>65</w:t>
            </w:r>
          </w:p>
        </w:tc>
        <w:tc>
          <w:tcPr>
            <w:tcW w:w="0" w:type="dxa"/>
            <w:vAlign w:val="bottom"/>
          </w:tcPr>
          <w:p>
            <w:pPr>
              <w:spacing w:after="0"/>
              <w:rPr>
                <w:sz w:val="1"/>
                <w:szCs w:val="1"/>
                <w:color w:val="auto"/>
              </w:rPr>
            </w:pPr>
          </w:p>
        </w:tc>
      </w:tr>
      <w:tr>
        <w:trPr>
          <w:trHeight w:val="82"/>
        </w:trPr>
        <w:tc>
          <w:tcPr>
            <w:tcW w:w="2120" w:type="dxa"/>
            <w:vAlign w:val="bottom"/>
            <w:shd w:val="clear" w:color="auto" w:fill="F0F2F5"/>
          </w:tcPr>
          <w:p>
            <w:pPr>
              <w:spacing w:after="0"/>
              <w:rPr>
                <w:sz w:val="7"/>
                <w:szCs w:val="7"/>
                <w:color w:val="auto"/>
              </w:rPr>
            </w:pPr>
          </w:p>
        </w:tc>
        <w:tc>
          <w:tcPr>
            <w:tcW w:w="1540" w:type="dxa"/>
            <w:vAlign w:val="bottom"/>
            <w:shd w:val="clear" w:color="auto" w:fill="F0F2F5"/>
          </w:tcPr>
          <w:p>
            <w:pPr>
              <w:spacing w:after="0"/>
              <w:rPr>
                <w:sz w:val="7"/>
                <w:szCs w:val="7"/>
                <w:color w:val="auto"/>
              </w:rPr>
            </w:pPr>
          </w:p>
        </w:tc>
        <w:tc>
          <w:tcPr>
            <w:tcW w:w="1360" w:type="dxa"/>
            <w:vAlign w:val="bottom"/>
            <w:shd w:val="clear" w:color="auto" w:fill="F0F2F5"/>
          </w:tcPr>
          <w:p>
            <w:pPr>
              <w:spacing w:after="0"/>
              <w:rPr>
                <w:sz w:val="7"/>
                <w:szCs w:val="7"/>
                <w:color w:val="auto"/>
              </w:rPr>
            </w:pPr>
          </w:p>
        </w:tc>
        <w:tc>
          <w:tcPr>
            <w:tcW w:w="1680" w:type="dxa"/>
            <w:vAlign w:val="bottom"/>
            <w:shd w:val="clear" w:color="auto" w:fill="F0F2F5"/>
          </w:tcPr>
          <w:p>
            <w:pPr>
              <w:spacing w:after="0"/>
              <w:rPr>
                <w:sz w:val="7"/>
                <w:szCs w:val="7"/>
                <w:color w:val="auto"/>
              </w:rPr>
            </w:pPr>
          </w:p>
        </w:tc>
        <w:tc>
          <w:tcPr>
            <w:tcW w:w="1500" w:type="dxa"/>
            <w:vAlign w:val="bottom"/>
            <w:shd w:val="clear" w:color="auto" w:fill="F0F2F5"/>
          </w:tcPr>
          <w:p>
            <w:pPr>
              <w:spacing w:after="0"/>
              <w:rPr>
                <w:sz w:val="7"/>
                <w:szCs w:val="7"/>
                <w:color w:val="auto"/>
              </w:rPr>
            </w:pPr>
          </w:p>
        </w:tc>
        <w:tc>
          <w:tcPr>
            <w:tcW w:w="1820" w:type="dxa"/>
            <w:vAlign w:val="bottom"/>
            <w:shd w:val="clear" w:color="auto" w:fill="F0F2F5"/>
          </w:tcPr>
          <w:p>
            <w:pPr>
              <w:spacing w:after="0"/>
              <w:rPr>
                <w:sz w:val="7"/>
                <w:szCs w:val="7"/>
                <w:color w:val="auto"/>
              </w:rPr>
            </w:pPr>
          </w:p>
        </w:tc>
        <w:tc>
          <w:tcPr>
            <w:tcW w:w="1220" w:type="dxa"/>
            <w:vAlign w:val="bottom"/>
            <w:shd w:val="clear" w:color="auto" w:fill="F0F2F5"/>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120" w:type="dxa"/>
            <w:vAlign w:val="bottom"/>
          </w:tcPr>
          <w:p>
            <w:pPr>
              <w:spacing w:after="0"/>
              <w:rPr>
                <w:sz w:val="20"/>
                <w:szCs w:val="20"/>
                <w:color w:val="auto"/>
              </w:rPr>
            </w:pPr>
            <w:r>
              <w:rPr>
                <w:rFonts w:ascii="Arial" w:cs="Arial" w:eastAsia="Arial" w:hAnsi="Arial"/>
                <w:sz w:val="18"/>
                <w:szCs w:val="18"/>
                <w:color w:val="auto"/>
              </w:rPr>
              <w:t>Stefan Berndt-von Bülow</w:t>
            </w:r>
          </w:p>
        </w:tc>
        <w:tc>
          <w:tcPr>
            <w:tcW w:w="1540" w:type="dxa"/>
            <w:vAlign w:val="bottom"/>
          </w:tcPr>
          <w:p>
            <w:pPr>
              <w:jc w:val="center"/>
              <w:spacing w:after="0"/>
              <w:rPr>
                <w:sz w:val="20"/>
                <w:szCs w:val="20"/>
                <w:color w:val="auto"/>
              </w:rPr>
            </w:pPr>
            <w:r>
              <w:rPr>
                <w:rFonts w:ascii="Arial" w:cs="Arial" w:eastAsia="Arial" w:hAnsi="Arial"/>
                <w:sz w:val="18"/>
                <w:szCs w:val="18"/>
                <w:color w:val="auto"/>
                <w:w w:val="90"/>
              </w:rPr>
              <w:t>09/30/2022</w:t>
            </w:r>
          </w:p>
        </w:tc>
        <w:tc>
          <w:tcPr>
            <w:tcW w:w="1360" w:type="dxa"/>
            <w:vAlign w:val="bottom"/>
          </w:tcPr>
          <w:p>
            <w:pPr>
              <w:jc w:val="center"/>
              <w:spacing w:after="0"/>
              <w:rPr>
                <w:sz w:val="20"/>
                <w:szCs w:val="20"/>
                <w:color w:val="auto"/>
              </w:rPr>
            </w:pPr>
            <w:r>
              <w:rPr>
                <w:rFonts w:ascii="Arial" w:cs="Arial" w:eastAsia="Arial" w:hAnsi="Arial"/>
                <w:sz w:val="18"/>
                <w:szCs w:val="18"/>
                <w:color w:val="auto"/>
                <w:w w:val="90"/>
              </w:rPr>
              <w:t>09/30/2026</w:t>
            </w:r>
          </w:p>
        </w:tc>
        <w:tc>
          <w:tcPr>
            <w:tcW w:w="1680" w:type="dxa"/>
            <w:vAlign w:val="bottom"/>
          </w:tcPr>
          <w:p>
            <w:pPr>
              <w:jc w:val="center"/>
              <w:spacing w:after="0"/>
              <w:rPr>
                <w:sz w:val="20"/>
                <w:szCs w:val="20"/>
                <w:color w:val="auto"/>
              </w:rPr>
            </w:pPr>
            <w:r>
              <w:rPr>
                <w:rFonts w:ascii="Arial" w:cs="Arial" w:eastAsia="Arial" w:hAnsi="Arial"/>
                <w:sz w:val="18"/>
                <w:szCs w:val="18"/>
                <w:color w:val="auto"/>
                <w:w w:val="90"/>
              </w:rPr>
              <w:t>25,000</w:t>
            </w:r>
          </w:p>
        </w:tc>
        <w:tc>
          <w:tcPr>
            <w:tcW w:w="1500" w:type="dxa"/>
            <w:vAlign w:val="bottom"/>
          </w:tcPr>
          <w:p>
            <w:pPr>
              <w:jc w:val="center"/>
              <w:spacing w:after="0"/>
              <w:rPr>
                <w:sz w:val="20"/>
                <w:szCs w:val="20"/>
                <w:color w:val="auto"/>
              </w:rPr>
            </w:pPr>
            <w:r>
              <w:rPr>
                <w:rFonts w:ascii="Arial" w:cs="Arial" w:eastAsia="Arial" w:hAnsi="Arial"/>
                <w:sz w:val="18"/>
                <w:szCs w:val="18"/>
                <w:color w:val="auto"/>
                <w:w w:val="88"/>
              </w:rPr>
              <w:t>32.90</w:t>
            </w:r>
          </w:p>
        </w:tc>
        <w:tc>
          <w:tcPr>
            <w:tcW w:w="1820" w:type="dxa"/>
            <w:vAlign w:val="bottom"/>
          </w:tcPr>
          <w:p>
            <w:pPr>
              <w:jc w:val="center"/>
              <w:spacing w:after="0"/>
              <w:rPr>
                <w:sz w:val="20"/>
                <w:szCs w:val="20"/>
                <w:color w:val="auto"/>
              </w:rPr>
            </w:pPr>
            <w:r>
              <w:rPr>
                <w:rFonts w:ascii="Arial" w:cs="Arial" w:eastAsia="Arial" w:hAnsi="Arial"/>
                <w:sz w:val="18"/>
                <w:szCs w:val="18"/>
                <w:color w:val="auto"/>
                <w:w w:val="91"/>
              </w:rPr>
              <w:t>1.98</w:t>
            </w:r>
          </w:p>
        </w:tc>
        <w:tc>
          <w:tcPr>
            <w:tcW w:w="1220" w:type="dxa"/>
            <w:vAlign w:val="bottom"/>
          </w:tcPr>
          <w:p>
            <w:pPr>
              <w:jc w:val="center"/>
              <w:spacing w:after="0"/>
              <w:rPr>
                <w:sz w:val="20"/>
                <w:szCs w:val="20"/>
                <w:color w:val="auto"/>
              </w:rPr>
            </w:pPr>
            <w:r>
              <w:rPr>
                <w:rFonts w:ascii="Arial" w:cs="Arial" w:eastAsia="Arial" w:hAnsi="Arial"/>
                <w:sz w:val="18"/>
                <w:szCs w:val="18"/>
                <w:color w:val="auto"/>
                <w:w w:val="89"/>
              </w:rPr>
              <w:t>50</w:t>
            </w:r>
          </w:p>
        </w:tc>
        <w:tc>
          <w:tcPr>
            <w:tcW w:w="0" w:type="dxa"/>
            <w:vAlign w:val="bottom"/>
          </w:tcPr>
          <w:p>
            <w:pPr>
              <w:spacing w:after="0"/>
              <w:rPr>
                <w:sz w:val="1"/>
                <w:szCs w:val="1"/>
                <w:color w:val="auto"/>
              </w:rPr>
            </w:pPr>
          </w:p>
        </w:tc>
      </w:tr>
      <w:tr>
        <w:trPr>
          <w:trHeight w:val="202"/>
        </w:trPr>
        <w:tc>
          <w:tcPr>
            <w:tcW w:w="21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120" w:type="dxa"/>
            <w:vAlign w:val="bottom"/>
            <w:shd w:val="clear" w:color="auto" w:fill="F0F2F5"/>
          </w:tcPr>
          <w:p>
            <w:pPr>
              <w:spacing w:after="0"/>
              <w:rPr>
                <w:sz w:val="20"/>
                <w:szCs w:val="20"/>
                <w:color w:val="auto"/>
              </w:rPr>
            </w:pPr>
            <w:r>
              <w:rPr>
                <w:rFonts w:ascii="Arial" w:cs="Arial" w:eastAsia="Arial" w:hAnsi="Arial"/>
                <w:sz w:val="18"/>
                <w:szCs w:val="18"/>
                <w:color w:val="auto"/>
              </w:rPr>
              <w:t>Joachim Horwath</w:t>
            </w:r>
          </w:p>
        </w:tc>
        <w:tc>
          <w:tcPr>
            <w:tcW w:w="1540" w:type="dxa"/>
            <w:vAlign w:val="bottom"/>
            <w:shd w:val="clear" w:color="auto" w:fill="F0F2F5"/>
          </w:tcPr>
          <w:p>
            <w:pPr>
              <w:jc w:val="center"/>
              <w:spacing w:after="0"/>
              <w:rPr>
                <w:sz w:val="20"/>
                <w:szCs w:val="20"/>
                <w:color w:val="auto"/>
              </w:rPr>
            </w:pPr>
            <w:r>
              <w:rPr>
                <w:rFonts w:ascii="Arial" w:cs="Arial" w:eastAsia="Arial" w:hAnsi="Arial"/>
                <w:sz w:val="18"/>
                <w:szCs w:val="18"/>
                <w:color w:val="auto"/>
                <w:w w:val="90"/>
              </w:rPr>
              <w:t>09/30/2022</w:t>
            </w:r>
          </w:p>
        </w:tc>
        <w:tc>
          <w:tcPr>
            <w:tcW w:w="1360" w:type="dxa"/>
            <w:vAlign w:val="bottom"/>
            <w:shd w:val="clear" w:color="auto" w:fill="F0F2F5"/>
          </w:tcPr>
          <w:p>
            <w:pPr>
              <w:jc w:val="center"/>
              <w:spacing w:after="0"/>
              <w:rPr>
                <w:sz w:val="20"/>
                <w:szCs w:val="20"/>
                <w:color w:val="auto"/>
              </w:rPr>
            </w:pPr>
            <w:r>
              <w:rPr>
                <w:rFonts w:ascii="Arial" w:cs="Arial" w:eastAsia="Arial" w:hAnsi="Arial"/>
                <w:sz w:val="18"/>
                <w:szCs w:val="18"/>
                <w:color w:val="auto"/>
                <w:w w:val="90"/>
              </w:rPr>
              <w:t>09/30/2026</w:t>
            </w:r>
          </w:p>
        </w:tc>
        <w:tc>
          <w:tcPr>
            <w:tcW w:w="1680" w:type="dxa"/>
            <w:vAlign w:val="bottom"/>
            <w:shd w:val="clear" w:color="auto" w:fill="F0F2F5"/>
          </w:tcPr>
          <w:p>
            <w:pPr>
              <w:jc w:val="center"/>
              <w:spacing w:after="0"/>
              <w:rPr>
                <w:sz w:val="20"/>
                <w:szCs w:val="20"/>
                <w:color w:val="auto"/>
              </w:rPr>
            </w:pPr>
            <w:r>
              <w:rPr>
                <w:rFonts w:ascii="Arial" w:cs="Arial" w:eastAsia="Arial" w:hAnsi="Arial"/>
                <w:sz w:val="18"/>
                <w:szCs w:val="18"/>
                <w:color w:val="auto"/>
                <w:w w:val="90"/>
              </w:rPr>
              <w:t>25,000</w:t>
            </w:r>
          </w:p>
        </w:tc>
        <w:tc>
          <w:tcPr>
            <w:tcW w:w="1500" w:type="dxa"/>
            <w:vAlign w:val="bottom"/>
            <w:shd w:val="clear" w:color="auto" w:fill="F0F2F5"/>
          </w:tcPr>
          <w:p>
            <w:pPr>
              <w:jc w:val="center"/>
              <w:spacing w:after="0"/>
              <w:rPr>
                <w:sz w:val="20"/>
                <w:szCs w:val="20"/>
                <w:color w:val="auto"/>
              </w:rPr>
            </w:pPr>
            <w:r>
              <w:rPr>
                <w:rFonts w:ascii="Arial" w:cs="Arial" w:eastAsia="Arial" w:hAnsi="Arial"/>
                <w:sz w:val="18"/>
                <w:szCs w:val="18"/>
                <w:color w:val="auto"/>
                <w:w w:val="88"/>
              </w:rPr>
              <w:t>32.90</w:t>
            </w:r>
          </w:p>
        </w:tc>
        <w:tc>
          <w:tcPr>
            <w:tcW w:w="1820" w:type="dxa"/>
            <w:vAlign w:val="bottom"/>
            <w:shd w:val="clear" w:color="auto" w:fill="F0F2F5"/>
          </w:tcPr>
          <w:p>
            <w:pPr>
              <w:jc w:val="center"/>
              <w:spacing w:after="0"/>
              <w:rPr>
                <w:sz w:val="20"/>
                <w:szCs w:val="20"/>
                <w:color w:val="auto"/>
              </w:rPr>
            </w:pPr>
            <w:r>
              <w:rPr>
                <w:rFonts w:ascii="Arial" w:cs="Arial" w:eastAsia="Arial" w:hAnsi="Arial"/>
                <w:sz w:val="18"/>
                <w:szCs w:val="18"/>
                <w:color w:val="auto"/>
                <w:w w:val="91"/>
              </w:rPr>
              <w:t>1.98</w:t>
            </w:r>
          </w:p>
        </w:tc>
        <w:tc>
          <w:tcPr>
            <w:tcW w:w="1220" w:type="dxa"/>
            <w:vAlign w:val="bottom"/>
            <w:shd w:val="clear" w:color="auto" w:fill="F0F2F5"/>
          </w:tcPr>
          <w:p>
            <w:pPr>
              <w:jc w:val="center"/>
              <w:spacing w:after="0"/>
              <w:rPr>
                <w:sz w:val="20"/>
                <w:szCs w:val="20"/>
                <w:color w:val="auto"/>
              </w:rPr>
            </w:pPr>
            <w:r>
              <w:rPr>
                <w:rFonts w:ascii="Arial" w:cs="Arial" w:eastAsia="Arial" w:hAnsi="Arial"/>
                <w:sz w:val="18"/>
                <w:szCs w:val="18"/>
                <w:color w:val="auto"/>
                <w:w w:val="89"/>
              </w:rPr>
              <w:t>50</w:t>
            </w:r>
          </w:p>
        </w:tc>
        <w:tc>
          <w:tcPr>
            <w:tcW w:w="0" w:type="dxa"/>
            <w:vAlign w:val="bottom"/>
          </w:tcPr>
          <w:p>
            <w:pPr>
              <w:spacing w:after="0"/>
              <w:rPr>
                <w:sz w:val="1"/>
                <w:szCs w:val="1"/>
                <w:color w:val="auto"/>
              </w:rPr>
            </w:pPr>
          </w:p>
        </w:tc>
      </w:tr>
      <w:tr>
        <w:trPr>
          <w:trHeight w:val="202"/>
        </w:trPr>
        <w:tc>
          <w:tcPr>
            <w:tcW w:w="2120" w:type="dxa"/>
            <w:vAlign w:val="bottom"/>
            <w:shd w:val="clear" w:color="auto" w:fill="F0F2F5"/>
          </w:tcPr>
          <w:p>
            <w:pPr>
              <w:spacing w:after="0"/>
              <w:rPr>
                <w:sz w:val="17"/>
                <w:szCs w:val="17"/>
                <w:color w:val="auto"/>
              </w:rPr>
            </w:pPr>
          </w:p>
        </w:tc>
        <w:tc>
          <w:tcPr>
            <w:tcW w:w="1540" w:type="dxa"/>
            <w:vAlign w:val="bottom"/>
            <w:shd w:val="clear" w:color="auto" w:fill="F0F2F5"/>
          </w:tcPr>
          <w:p>
            <w:pPr>
              <w:spacing w:after="0"/>
              <w:rPr>
                <w:sz w:val="17"/>
                <w:szCs w:val="17"/>
                <w:color w:val="auto"/>
              </w:rPr>
            </w:pPr>
          </w:p>
        </w:tc>
        <w:tc>
          <w:tcPr>
            <w:tcW w:w="1360" w:type="dxa"/>
            <w:vAlign w:val="bottom"/>
            <w:shd w:val="clear" w:color="auto" w:fill="F0F2F5"/>
          </w:tcPr>
          <w:p>
            <w:pPr>
              <w:spacing w:after="0"/>
              <w:rPr>
                <w:sz w:val="17"/>
                <w:szCs w:val="17"/>
                <w:color w:val="auto"/>
              </w:rPr>
            </w:pPr>
          </w:p>
        </w:tc>
        <w:tc>
          <w:tcPr>
            <w:tcW w:w="1680" w:type="dxa"/>
            <w:vAlign w:val="bottom"/>
            <w:shd w:val="clear" w:color="auto" w:fill="F0F2F5"/>
          </w:tcPr>
          <w:p>
            <w:pPr>
              <w:spacing w:after="0"/>
              <w:rPr>
                <w:sz w:val="17"/>
                <w:szCs w:val="17"/>
                <w:color w:val="auto"/>
              </w:rPr>
            </w:pPr>
          </w:p>
        </w:tc>
        <w:tc>
          <w:tcPr>
            <w:tcW w:w="1500" w:type="dxa"/>
            <w:vAlign w:val="bottom"/>
            <w:shd w:val="clear" w:color="auto" w:fill="F0F2F5"/>
          </w:tcPr>
          <w:p>
            <w:pPr>
              <w:spacing w:after="0"/>
              <w:rPr>
                <w:sz w:val="17"/>
                <w:szCs w:val="17"/>
                <w:color w:val="auto"/>
              </w:rPr>
            </w:pPr>
          </w:p>
        </w:tc>
        <w:tc>
          <w:tcPr>
            <w:tcW w:w="1820" w:type="dxa"/>
            <w:vAlign w:val="bottom"/>
            <w:shd w:val="clear" w:color="auto" w:fill="F0F2F5"/>
          </w:tcPr>
          <w:p>
            <w:pPr>
              <w:spacing w:after="0"/>
              <w:rPr>
                <w:sz w:val="17"/>
                <w:szCs w:val="17"/>
                <w:color w:val="auto"/>
              </w:rPr>
            </w:pPr>
          </w:p>
        </w:tc>
        <w:tc>
          <w:tcPr>
            <w:tcW w:w="1220" w:type="dxa"/>
            <w:vAlign w:val="bottom"/>
            <w:shd w:val="clear" w:color="auto" w:fill="F0F2F5"/>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120" w:type="dxa"/>
            <w:vAlign w:val="bottom"/>
          </w:tcPr>
          <w:p>
            <w:pPr>
              <w:spacing w:after="0"/>
              <w:rPr>
                <w:sz w:val="20"/>
                <w:szCs w:val="20"/>
                <w:color w:val="auto"/>
              </w:rPr>
            </w:pPr>
            <w:r>
              <w:rPr>
                <w:rFonts w:ascii="Arial" w:cs="Arial" w:eastAsia="Arial" w:hAnsi="Arial"/>
                <w:sz w:val="18"/>
                <w:szCs w:val="18"/>
                <w:color w:val="auto"/>
              </w:rPr>
              <w:t>Mustafa Veziroglu</w:t>
            </w:r>
          </w:p>
        </w:tc>
        <w:tc>
          <w:tcPr>
            <w:tcW w:w="1540" w:type="dxa"/>
            <w:vAlign w:val="bottom"/>
          </w:tcPr>
          <w:p>
            <w:pPr>
              <w:jc w:val="center"/>
              <w:spacing w:after="0"/>
              <w:rPr>
                <w:sz w:val="20"/>
                <w:szCs w:val="20"/>
                <w:color w:val="auto"/>
              </w:rPr>
            </w:pPr>
            <w:r>
              <w:rPr>
                <w:rFonts w:ascii="Arial" w:cs="Arial" w:eastAsia="Arial" w:hAnsi="Arial"/>
                <w:sz w:val="18"/>
                <w:szCs w:val="18"/>
                <w:color w:val="auto"/>
                <w:w w:val="90"/>
              </w:rPr>
              <w:t>09/30/2022</w:t>
            </w:r>
          </w:p>
        </w:tc>
        <w:tc>
          <w:tcPr>
            <w:tcW w:w="1360" w:type="dxa"/>
            <w:vAlign w:val="bottom"/>
          </w:tcPr>
          <w:p>
            <w:pPr>
              <w:jc w:val="center"/>
              <w:spacing w:after="0"/>
              <w:rPr>
                <w:sz w:val="20"/>
                <w:szCs w:val="20"/>
                <w:color w:val="auto"/>
              </w:rPr>
            </w:pPr>
            <w:r>
              <w:rPr>
                <w:rFonts w:ascii="Arial" w:cs="Arial" w:eastAsia="Arial" w:hAnsi="Arial"/>
                <w:sz w:val="18"/>
                <w:szCs w:val="18"/>
                <w:color w:val="auto"/>
                <w:w w:val="90"/>
              </w:rPr>
              <w:t>09/30/2026</w:t>
            </w:r>
          </w:p>
        </w:tc>
        <w:tc>
          <w:tcPr>
            <w:tcW w:w="1680" w:type="dxa"/>
            <w:vAlign w:val="bottom"/>
          </w:tcPr>
          <w:p>
            <w:pPr>
              <w:jc w:val="center"/>
              <w:spacing w:after="0"/>
              <w:rPr>
                <w:sz w:val="20"/>
                <w:szCs w:val="20"/>
                <w:color w:val="auto"/>
              </w:rPr>
            </w:pPr>
            <w:r>
              <w:rPr>
                <w:rFonts w:ascii="Arial" w:cs="Arial" w:eastAsia="Arial" w:hAnsi="Arial"/>
                <w:sz w:val="18"/>
                <w:szCs w:val="18"/>
                <w:color w:val="auto"/>
                <w:w w:val="90"/>
              </w:rPr>
              <w:t>25,000</w:t>
            </w:r>
          </w:p>
        </w:tc>
        <w:tc>
          <w:tcPr>
            <w:tcW w:w="1500" w:type="dxa"/>
            <w:vAlign w:val="bottom"/>
          </w:tcPr>
          <w:p>
            <w:pPr>
              <w:jc w:val="center"/>
              <w:spacing w:after="0"/>
              <w:rPr>
                <w:sz w:val="20"/>
                <w:szCs w:val="20"/>
                <w:color w:val="auto"/>
              </w:rPr>
            </w:pPr>
            <w:r>
              <w:rPr>
                <w:rFonts w:ascii="Arial" w:cs="Arial" w:eastAsia="Arial" w:hAnsi="Arial"/>
                <w:sz w:val="18"/>
                <w:szCs w:val="18"/>
                <w:color w:val="auto"/>
                <w:w w:val="88"/>
              </w:rPr>
              <w:t>32.90</w:t>
            </w:r>
          </w:p>
        </w:tc>
        <w:tc>
          <w:tcPr>
            <w:tcW w:w="1820" w:type="dxa"/>
            <w:vAlign w:val="bottom"/>
          </w:tcPr>
          <w:p>
            <w:pPr>
              <w:jc w:val="center"/>
              <w:spacing w:after="0"/>
              <w:rPr>
                <w:sz w:val="20"/>
                <w:szCs w:val="20"/>
                <w:color w:val="auto"/>
              </w:rPr>
            </w:pPr>
            <w:r>
              <w:rPr>
                <w:rFonts w:ascii="Arial" w:cs="Arial" w:eastAsia="Arial" w:hAnsi="Arial"/>
                <w:sz w:val="18"/>
                <w:szCs w:val="18"/>
                <w:color w:val="auto"/>
                <w:w w:val="91"/>
              </w:rPr>
              <w:t>1.98</w:t>
            </w:r>
          </w:p>
        </w:tc>
        <w:tc>
          <w:tcPr>
            <w:tcW w:w="1220" w:type="dxa"/>
            <w:vAlign w:val="bottom"/>
          </w:tcPr>
          <w:p>
            <w:pPr>
              <w:jc w:val="center"/>
              <w:spacing w:after="0"/>
              <w:rPr>
                <w:sz w:val="20"/>
                <w:szCs w:val="20"/>
                <w:color w:val="auto"/>
              </w:rPr>
            </w:pPr>
            <w:r>
              <w:rPr>
                <w:rFonts w:ascii="Arial" w:cs="Arial" w:eastAsia="Arial" w:hAnsi="Arial"/>
                <w:sz w:val="18"/>
                <w:szCs w:val="18"/>
                <w:color w:val="auto"/>
                <w:w w:val="89"/>
              </w:rPr>
              <w:t>50</w:t>
            </w:r>
          </w:p>
        </w:tc>
        <w:tc>
          <w:tcPr>
            <w:tcW w:w="0" w:type="dxa"/>
            <w:vAlign w:val="bottom"/>
          </w:tcPr>
          <w:p>
            <w:pPr>
              <w:spacing w:after="0"/>
              <w:rPr>
                <w:sz w:val="1"/>
                <w:szCs w:val="1"/>
                <w:color w:val="auto"/>
              </w:rPr>
            </w:pPr>
          </w:p>
        </w:tc>
      </w:tr>
      <w:tr>
        <w:trPr>
          <w:trHeight w:val="202"/>
        </w:trPr>
        <w:tc>
          <w:tcPr>
            <w:tcW w:w="21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120" w:type="dxa"/>
            <w:vAlign w:val="bottom"/>
            <w:shd w:val="clear" w:color="auto" w:fill="F0F2F5"/>
          </w:tcPr>
          <w:p>
            <w:pPr>
              <w:spacing w:after="0"/>
              <w:rPr>
                <w:sz w:val="20"/>
                <w:szCs w:val="20"/>
                <w:color w:val="auto"/>
              </w:rPr>
            </w:pPr>
            <w:r>
              <w:rPr>
                <w:rFonts w:ascii="Arial" w:cs="Arial" w:eastAsia="Arial" w:hAnsi="Arial"/>
                <w:sz w:val="18"/>
                <w:szCs w:val="18"/>
                <w:b w:val="1"/>
                <w:bCs w:val="1"/>
                <w:color w:val="auto"/>
              </w:rPr>
              <w:t>Total</w:t>
            </w:r>
          </w:p>
        </w:tc>
        <w:tc>
          <w:tcPr>
            <w:tcW w:w="1540" w:type="dxa"/>
            <w:vAlign w:val="bottom"/>
            <w:shd w:val="clear" w:color="auto" w:fill="F0F2F5"/>
          </w:tcPr>
          <w:p>
            <w:pPr>
              <w:spacing w:after="0"/>
              <w:rPr>
                <w:sz w:val="20"/>
                <w:szCs w:val="20"/>
                <w:color w:val="auto"/>
              </w:rPr>
            </w:pPr>
          </w:p>
        </w:tc>
        <w:tc>
          <w:tcPr>
            <w:tcW w:w="1360" w:type="dxa"/>
            <w:vAlign w:val="bottom"/>
            <w:shd w:val="clear" w:color="auto" w:fill="F0F2F5"/>
          </w:tcPr>
          <w:p>
            <w:pPr>
              <w:spacing w:after="0"/>
              <w:rPr>
                <w:sz w:val="20"/>
                <w:szCs w:val="20"/>
                <w:color w:val="auto"/>
              </w:rPr>
            </w:pPr>
          </w:p>
        </w:tc>
        <w:tc>
          <w:tcPr>
            <w:tcW w:w="1680" w:type="dxa"/>
            <w:vAlign w:val="bottom"/>
            <w:shd w:val="clear" w:color="auto" w:fill="F0F2F5"/>
          </w:tcPr>
          <w:p>
            <w:pPr>
              <w:jc w:val="center"/>
              <w:spacing w:after="0"/>
              <w:rPr>
                <w:sz w:val="20"/>
                <w:szCs w:val="20"/>
                <w:color w:val="auto"/>
              </w:rPr>
            </w:pPr>
            <w:r>
              <w:rPr>
                <w:rFonts w:ascii="Arial" w:cs="Arial" w:eastAsia="Arial" w:hAnsi="Arial"/>
                <w:sz w:val="18"/>
                <w:szCs w:val="18"/>
                <w:b w:val="1"/>
                <w:bCs w:val="1"/>
                <w:color w:val="auto"/>
                <w:w w:val="89"/>
              </w:rPr>
              <w:t>108,000</w:t>
            </w:r>
          </w:p>
        </w:tc>
        <w:tc>
          <w:tcPr>
            <w:tcW w:w="1500" w:type="dxa"/>
            <w:vAlign w:val="bottom"/>
            <w:shd w:val="clear" w:color="auto" w:fill="F0F2F5"/>
          </w:tcPr>
          <w:p>
            <w:pPr>
              <w:spacing w:after="0"/>
              <w:rPr>
                <w:sz w:val="20"/>
                <w:szCs w:val="20"/>
                <w:color w:val="auto"/>
              </w:rPr>
            </w:pPr>
          </w:p>
        </w:tc>
        <w:tc>
          <w:tcPr>
            <w:tcW w:w="1820" w:type="dxa"/>
            <w:vAlign w:val="bottom"/>
            <w:shd w:val="clear" w:color="auto" w:fill="F0F2F5"/>
          </w:tcPr>
          <w:p>
            <w:pPr>
              <w:spacing w:after="0"/>
              <w:rPr>
                <w:sz w:val="20"/>
                <w:szCs w:val="20"/>
                <w:color w:val="auto"/>
              </w:rPr>
            </w:pPr>
          </w:p>
        </w:tc>
        <w:tc>
          <w:tcPr>
            <w:tcW w:w="1220" w:type="dxa"/>
            <w:vAlign w:val="bottom"/>
            <w:shd w:val="clear" w:color="auto" w:fill="F0F2F5"/>
          </w:tcPr>
          <w:p>
            <w:pPr>
              <w:jc w:val="center"/>
              <w:spacing w:after="0"/>
              <w:rPr>
                <w:sz w:val="20"/>
                <w:szCs w:val="20"/>
                <w:color w:val="auto"/>
              </w:rPr>
            </w:pPr>
            <w:r>
              <w:rPr>
                <w:rFonts w:ascii="Arial" w:cs="Arial" w:eastAsia="Arial" w:hAnsi="Arial"/>
                <w:sz w:val="18"/>
                <w:szCs w:val="18"/>
                <w:b w:val="1"/>
                <w:bCs w:val="1"/>
                <w:color w:val="auto"/>
                <w:w w:val="86"/>
              </w:rPr>
              <w:t>215</w:t>
            </w:r>
          </w:p>
        </w:tc>
        <w:tc>
          <w:tcPr>
            <w:tcW w:w="0" w:type="dxa"/>
            <w:vAlign w:val="bottom"/>
          </w:tcPr>
          <w:p>
            <w:pPr>
              <w:spacing w:after="0"/>
              <w:rPr>
                <w:sz w:val="1"/>
                <w:szCs w:val="1"/>
                <w:color w:val="auto"/>
              </w:rPr>
            </w:pPr>
          </w:p>
        </w:tc>
      </w:tr>
      <w:tr>
        <w:trPr>
          <w:trHeight w:val="198"/>
        </w:trPr>
        <w:tc>
          <w:tcPr>
            <w:tcW w:w="2120" w:type="dxa"/>
            <w:vAlign w:val="bottom"/>
            <w:shd w:val="clear" w:color="auto" w:fill="F0F2F5"/>
          </w:tcPr>
          <w:p>
            <w:pPr>
              <w:spacing w:after="0"/>
              <w:rPr>
                <w:sz w:val="17"/>
                <w:szCs w:val="17"/>
                <w:color w:val="auto"/>
              </w:rPr>
            </w:pPr>
          </w:p>
        </w:tc>
        <w:tc>
          <w:tcPr>
            <w:tcW w:w="1540" w:type="dxa"/>
            <w:vAlign w:val="bottom"/>
            <w:shd w:val="clear" w:color="auto" w:fill="F0F2F5"/>
          </w:tcPr>
          <w:p>
            <w:pPr>
              <w:spacing w:after="0"/>
              <w:rPr>
                <w:sz w:val="17"/>
                <w:szCs w:val="17"/>
                <w:color w:val="auto"/>
              </w:rPr>
            </w:pPr>
          </w:p>
        </w:tc>
        <w:tc>
          <w:tcPr>
            <w:tcW w:w="1360" w:type="dxa"/>
            <w:vAlign w:val="bottom"/>
            <w:shd w:val="clear" w:color="auto" w:fill="F0F2F5"/>
          </w:tcPr>
          <w:p>
            <w:pPr>
              <w:spacing w:after="0"/>
              <w:rPr>
                <w:sz w:val="17"/>
                <w:szCs w:val="17"/>
                <w:color w:val="auto"/>
              </w:rPr>
            </w:pPr>
          </w:p>
        </w:tc>
        <w:tc>
          <w:tcPr>
            <w:tcW w:w="1680" w:type="dxa"/>
            <w:vAlign w:val="bottom"/>
            <w:shd w:val="clear" w:color="auto" w:fill="F0F2F5"/>
          </w:tcPr>
          <w:p>
            <w:pPr>
              <w:spacing w:after="0"/>
              <w:rPr>
                <w:sz w:val="17"/>
                <w:szCs w:val="17"/>
                <w:color w:val="auto"/>
              </w:rPr>
            </w:pPr>
          </w:p>
        </w:tc>
        <w:tc>
          <w:tcPr>
            <w:tcW w:w="1500" w:type="dxa"/>
            <w:vAlign w:val="bottom"/>
            <w:shd w:val="clear" w:color="auto" w:fill="F0F2F5"/>
          </w:tcPr>
          <w:p>
            <w:pPr>
              <w:spacing w:after="0"/>
              <w:rPr>
                <w:sz w:val="17"/>
                <w:szCs w:val="17"/>
                <w:color w:val="auto"/>
              </w:rPr>
            </w:pPr>
          </w:p>
        </w:tc>
        <w:tc>
          <w:tcPr>
            <w:tcW w:w="1820" w:type="dxa"/>
            <w:vAlign w:val="bottom"/>
            <w:shd w:val="clear" w:color="auto" w:fill="F0F2F5"/>
          </w:tcPr>
          <w:p>
            <w:pPr>
              <w:spacing w:after="0"/>
              <w:rPr>
                <w:sz w:val="17"/>
                <w:szCs w:val="17"/>
                <w:color w:val="auto"/>
              </w:rPr>
            </w:pPr>
          </w:p>
        </w:tc>
        <w:tc>
          <w:tcPr>
            <w:tcW w:w="1220" w:type="dxa"/>
            <w:vAlign w:val="bottom"/>
            <w:shd w:val="clear" w:color="auto" w:fill="F0F2F5"/>
          </w:tcPr>
          <w:p>
            <w:pPr>
              <w:spacing w:after="0"/>
              <w:rPr>
                <w:sz w:val="17"/>
                <w:szCs w:val="1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target achievement of the stock option plan and the development of the value of the stock options shall be disclosed in the remuneration report for the financial year 2026.</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2.4. Further remuneration-related agreements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Maximum remuneration</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Pursuant to section 87a para. 1 sentence 2 no. 1 AktG, the Supervisory Board has set a maximum remuneration for the members of the Management Board. The maximum remuneration amounts to € 6 million for the chairman of the Management Board and € 4 million for each ordinary member of the Management Board for one financial year, irrespective of whether a payment is made in this financial year or at a later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225425</wp:posOffset>
            </wp:positionV>
            <wp:extent cx="162814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628140" cy="8255"/>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ind w:firstLine="8"/>
        <w:spacing w:after="0" w:line="197" w:lineRule="auto"/>
        <w:tabs>
          <w:tab w:leader="none" w:pos="133" w:val="left"/>
        </w:tabs>
        <w:numPr>
          <w:ilvl w:val="0"/>
          <w:numId w:val="33"/>
        </w:numPr>
        <w:rPr>
          <w:rFonts w:ascii="Arial" w:cs="Arial" w:eastAsia="Arial" w:hAnsi="Arial"/>
          <w:sz w:val="30"/>
          <w:szCs w:val="30"/>
          <w:color w:val="auto"/>
          <w:vertAlign w:val="superscript"/>
        </w:rPr>
      </w:pPr>
      <w:r>
        <w:rPr>
          <w:rFonts w:ascii="Arial" w:cs="Arial" w:eastAsia="Arial" w:hAnsi="Arial"/>
          <w:sz w:val="18"/>
          <w:szCs w:val="18"/>
          <w:color w:val="auto"/>
        </w:rPr>
        <w:t>A total of 40,000 stock options granted to Bulent Altan under the Stock Option Plans 2019, 2020 and 2021 were cancelled in the course of issuing the stock options under the Stock Option Plan 2022.</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41" w:name="page42"/>
    <w:bookmarkEnd w:id="41"/>
    <w:p>
      <w:pPr>
        <w:jc w:val="both"/>
        <w:spacing w:after="0" w:line="259" w:lineRule="auto"/>
        <w:rPr>
          <w:sz w:val="20"/>
          <w:szCs w:val="20"/>
          <w:color w:val="auto"/>
        </w:rPr>
      </w:pPr>
      <w:r>
        <w:rPr>
          <w:rFonts w:ascii="Arial" w:cs="Arial" w:eastAsia="Arial" w:hAnsi="Arial"/>
          <w:sz w:val="18"/>
          <w:szCs w:val="18"/>
          <w:color w:val="auto"/>
        </w:rPr>
        <w:t>In the financial year 2022, the maximum remuneration only applied to the service agreement of the member of the Management Board Mustafa Veziroglu concluded with effect from August 15. However, the new service agreements of Management Board members Stefan Berndt-von Bülow and Joachim Horwath concluded with effect from July 1, 2022, also provide for a maximum remuneration corresponding to the maximum remuneration set out in the Remuneration System 2022.</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the stock options granted to the members of the Management Board under the Stock Option Plan 2022 will become exercisable for the first time in the financial year 2026, compliance with the maximum remuneration for the financial year 2022 shall be reported in the remuneration report for the financial year 2026.</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Malus and clawback provisions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service agreements of all Management Board members and the terms and conditions of the Stock Option Plan 2022 contain so-called malus and clawback provisions, according to which the Company is entitled in particular to withhold or reclaim variable remuneration in the event of intentional or grossly negligent breaches by the Management Board member of statutory obligations or internal Company policies by the Company or a subsidiary. The Company had no reason to make use of this option in the financial year 2022.</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 Benefits upon termination of the service agreements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Severance payments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service agreements of the members of the Management Board contain severance payment provisions that comply with the recommendations of the German Corporate Governance Code.</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the event of a premature termination of the position as a Management Board member, payments by the Company to the Management Board member, including fringe benefits, shall not exceed the value of two years’ remuneration (severance payment cap) and shall compensate no more than the remaining term of the service agreement. If the service agreement is terminated for good cause attributable to the Management Board member, no payments will be made to the Management Board member.</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severance payment cap is calculated on the basis of the total remuneration for the previous full financial year and, if applicable, also the expected total remuneration for the current financial year.</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i w:val="1"/>
          <w:iCs w:val="1"/>
          <w:color w:val="auto"/>
        </w:rPr>
        <w:t>Change of control</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With the exception of Bulent Altan’s service agreement, the service agreements of the Management Board members do not contain any provisions for the event of a change of control. According to Bulent Altan’s service agreement, in the event of a change of control both Bulent Altan and the Company have a right to terminate the service agreement against payment of a severance payment equivalent to the value of half a year’s remuneration (whereby no more than the remaining term of the service agreement is to be compensated), whereby a “change of control” is defined as the resignation from office of at least three Supervisory Board members.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In addition, the plan conditions of the Stock Option Plan 2022 provide for the following provision in the event of a change of control:</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 change of control occurs in this case if a shareholder holds more than 50% of the shares and/or voting rights in Mynaric AG. In the event of a change of control, the members of the Management Board have the right to cancel stock options against payment of a compensation payment in the amount of the purchase price paid in the course of the change of control (or offered to the shareholders in the event of a public offer) or, if such a purchase price is not known, in the amount of the price of the share of Mynaric AG or, respectively of the right or certificate representing the share of Mynaric AG in the trading system with the highest total trading volume in shares of the Company during the last 30 trading days prior to the day on which the Company becomes aware of the change of control and, in the case of stock options, less the exercise price.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Previous stock option plans include the following provision in the event of a change of control:</w:t>
      </w:r>
    </w:p>
    <w:p>
      <w:pPr>
        <w:spacing w:after="0" w:line="22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If the waiting period has not yet expired when the change of control becomes effective, or if the waiting period has expired but the conditions for exercising the stock option plan are not met, the members of the Management Board are entitled to waive the subscription rights within two weeks of the announcement of the change of control by making a unilateral declaration to the Company. In this case, the Management Board members are entitled to a compensation payment in the amount of the purchase price per share of Mynaric AG paid in the course of the change of control less the exercise price. A “change of control” in this sense is the acquisition of more than 50% of the shares of Mynaric AG by a new shareholder.</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Post-contractual non-competition clauses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The service agreements of the members of the Management Board currently do not provide for any post-contractual non-competition clauses.</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43" w:name="page44"/>
    <w:bookmarkEnd w:id="43"/>
    <w:p>
      <w:pPr>
        <w:ind w:right="2380"/>
        <w:spacing w:after="0" w:line="532" w:lineRule="auto"/>
        <w:rPr>
          <w:sz w:val="20"/>
          <w:szCs w:val="20"/>
          <w:color w:val="auto"/>
        </w:rPr>
      </w:pPr>
      <w:r>
        <w:rPr>
          <w:rFonts w:ascii="Arial" w:cs="Arial" w:eastAsia="Arial" w:hAnsi="Arial"/>
          <w:sz w:val="17"/>
          <w:szCs w:val="17"/>
          <w:b w:val="1"/>
          <w:bCs w:val="1"/>
          <w:color w:val="auto"/>
        </w:rPr>
        <w:t>2.5. Individual disclosure of the remuneration of the members of the Management Board for the financial year 2022 a) Target total remuneration of the current Management Board members for the financial year 2022</w:t>
      </w:r>
    </w:p>
    <w:p>
      <w:pPr>
        <w:spacing w:after="0" w:line="1" w:lineRule="exact"/>
        <w:rPr>
          <w:sz w:val="20"/>
          <w:szCs w:val="20"/>
          <w:color w:val="auto"/>
        </w:rPr>
      </w:pPr>
    </w:p>
    <w:p>
      <w:pPr>
        <w:spacing w:after="0" w:line="289" w:lineRule="auto"/>
        <w:rPr>
          <w:sz w:val="20"/>
          <w:szCs w:val="20"/>
          <w:color w:val="auto"/>
        </w:rPr>
      </w:pPr>
      <w:r>
        <w:rPr>
          <w:rFonts w:ascii="Arial" w:cs="Arial" w:eastAsia="Arial" w:hAnsi="Arial"/>
          <w:sz w:val="18"/>
          <w:szCs w:val="18"/>
          <w:color w:val="auto"/>
        </w:rPr>
        <w:t xml:space="preserve">The following table shows the respective target total remuneration of the Management Board members for the financial years 2022 and 2021, based on the target amount in case of a 100% target achievement for STI and LTI. </w:t>
      </w:r>
      <w:r>
        <w:rPr>
          <w:rFonts w:ascii="Arial" w:cs="Arial" w:eastAsia="Arial" w:hAnsi="Arial"/>
          <w:sz w:val="29"/>
          <w:szCs w:val="29"/>
          <w:color w:val="auto"/>
          <w:vertAlign w:val="superscript"/>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1074420</wp:posOffset>
            </wp:positionH>
            <wp:positionV relativeFrom="paragraph">
              <wp:posOffset>31115</wp:posOffset>
            </wp:positionV>
            <wp:extent cx="6064885" cy="5867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064885" cy="586740"/>
                    </a:xfrm>
                    <a:prstGeom prst="rect">
                      <a:avLst/>
                    </a:prstGeom>
                    <a:noFill/>
                  </pic:spPr>
                </pic:pic>
              </a:graphicData>
            </a:graphic>
          </wp:anchor>
        </w:drawing>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1740" w:type="dxa"/>
            <w:vAlign w:val="bottom"/>
            <w:vMerge w:val="restart"/>
            <w:shd w:val="clear" w:color="auto" w:fill="E36C0A"/>
          </w:tcPr>
          <w:p>
            <w:pPr>
              <w:ind w:left="80"/>
              <w:spacing w:after="0"/>
              <w:rPr>
                <w:sz w:val="20"/>
                <w:szCs w:val="20"/>
                <w:color w:val="auto"/>
              </w:rPr>
            </w:pPr>
            <w:r>
              <w:rPr>
                <w:rFonts w:ascii="Arial" w:cs="Arial" w:eastAsia="Arial" w:hAnsi="Arial"/>
                <w:sz w:val="18"/>
                <w:szCs w:val="18"/>
                <w:b w:val="1"/>
                <w:bCs w:val="1"/>
                <w:color w:val="auto"/>
                <w:w w:val="98"/>
              </w:rPr>
              <w:t>Management Board</w:t>
            </w:r>
          </w:p>
        </w:tc>
        <w:tc>
          <w:tcPr>
            <w:tcW w:w="660" w:type="dxa"/>
            <w:vAlign w:val="bottom"/>
            <w:shd w:val="clear" w:color="auto" w:fill="E36C0A"/>
          </w:tcPr>
          <w:p>
            <w:pPr>
              <w:spacing w:after="0"/>
              <w:rPr>
                <w:sz w:val="18"/>
                <w:szCs w:val="18"/>
                <w:color w:val="auto"/>
              </w:rPr>
            </w:pPr>
          </w:p>
        </w:tc>
        <w:tc>
          <w:tcPr>
            <w:tcW w:w="1680" w:type="dxa"/>
            <w:vAlign w:val="bottom"/>
            <w:gridSpan w:val="2"/>
            <w:vMerge w:val="restart"/>
            <w:shd w:val="clear" w:color="auto" w:fill="E36C0A"/>
          </w:tcPr>
          <w:p>
            <w:pPr>
              <w:ind w:left="100"/>
              <w:spacing w:after="0"/>
              <w:rPr>
                <w:sz w:val="20"/>
                <w:szCs w:val="20"/>
                <w:color w:val="auto"/>
              </w:rPr>
            </w:pPr>
            <w:r>
              <w:rPr>
                <w:rFonts w:ascii="Arial" w:cs="Arial" w:eastAsia="Arial" w:hAnsi="Arial"/>
                <w:sz w:val="18"/>
                <w:szCs w:val="18"/>
                <w:b w:val="1"/>
                <w:bCs w:val="1"/>
                <w:color w:val="auto"/>
                <w:w w:val="95"/>
              </w:rPr>
              <w:t>Annual base salary</w:t>
            </w:r>
          </w:p>
        </w:tc>
        <w:tc>
          <w:tcPr>
            <w:tcW w:w="1400" w:type="dxa"/>
            <w:vAlign w:val="bottom"/>
            <w:gridSpan w:val="2"/>
            <w:vMerge w:val="restart"/>
            <w:shd w:val="clear" w:color="auto" w:fill="E36C0A"/>
          </w:tcPr>
          <w:p>
            <w:pPr>
              <w:ind w:left="60"/>
              <w:spacing w:after="0"/>
              <w:rPr>
                <w:sz w:val="20"/>
                <w:szCs w:val="20"/>
                <w:color w:val="auto"/>
              </w:rPr>
            </w:pPr>
            <w:r>
              <w:rPr>
                <w:rFonts w:ascii="Arial" w:cs="Arial" w:eastAsia="Arial" w:hAnsi="Arial"/>
                <w:sz w:val="18"/>
                <w:szCs w:val="18"/>
                <w:b w:val="1"/>
                <w:bCs w:val="1"/>
                <w:color w:val="auto"/>
                <w:w w:val="92"/>
              </w:rPr>
              <w:t>Special payment</w:t>
            </w:r>
          </w:p>
        </w:tc>
        <w:tc>
          <w:tcPr>
            <w:tcW w:w="1540" w:type="dxa"/>
            <w:vAlign w:val="bottom"/>
            <w:gridSpan w:val="2"/>
            <w:vMerge w:val="restart"/>
            <w:shd w:val="clear" w:color="auto" w:fill="E36C0A"/>
          </w:tcPr>
          <w:p>
            <w:pPr>
              <w:ind w:left="200"/>
              <w:spacing w:after="0"/>
              <w:rPr>
                <w:sz w:val="20"/>
                <w:szCs w:val="20"/>
                <w:color w:val="auto"/>
              </w:rPr>
            </w:pPr>
            <w:r>
              <w:rPr>
                <w:rFonts w:ascii="Arial" w:cs="Arial" w:eastAsia="Arial" w:hAnsi="Arial"/>
                <w:sz w:val="18"/>
                <w:szCs w:val="18"/>
                <w:b w:val="1"/>
                <w:bCs w:val="1"/>
                <w:color w:val="auto"/>
              </w:rPr>
              <w:t>Fringe benefits</w:t>
            </w:r>
          </w:p>
        </w:tc>
        <w:tc>
          <w:tcPr>
            <w:tcW w:w="1700" w:type="dxa"/>
            <w:vAlign w:val="bottom"/>
            <w:gridSpan w:val="2"/>
            <w:shd w:val="clear" w:color="auto" w:fill="E36C0A"/>
          </w:tcPr>
          <w:p>
            <w:pPr>
              <w:ind w:left="80"/>
              <w:spacing w:after="0"/>
              <w:rPr>
                <w:sz w:val="20"/>
                <w:szCs w:val="20"/>
                <w:color w:val="auto"/>
              </w:rPr>
            </w:pPr>
            <w:r>
              <w:rPr>
                <w:rFonts w:ascii="Arial" w:cs="Arial" w:eastAsia="Arial" w:hAnsi="Arial"/>
                <w:sz w:val="18"/>
                <w:szCs w:val="18"/>
                <w:b w:val="1"/>
                <w:bCs w:val="1"/>
                <w:color w:val="auto"/>
                <w:w w:val="96"/>
              </w:rPr>
              <w:t>Short-term variable</w:t>
            </w:r>
          </w:p>
        </w:tc>
        <w:tc>
          <w:tcPr>
            <w:tcW w:w="1680" w:type="dxa"/>
            <w:vAlign w:val="bottom"/>
            <w:gridSpan w:val="2"/>
            <w:shd w:val="clear" w:color="auto" w:fill="E36C0A"/>
          </w:tcPr>
          <w:p>
            <w:pPr>
              <w:jc w:val="center"/>
              <w:spacing w:after="0"/>
              <w:rPr>
                <w:sz w:val="20"/>
                <w:szCs w:val="20"/>
                <w:color w:val="auto"/>
              </w:rPr>
            </w:pPr>
            <w:r>
              <w:rPr>
                <w:rFonts w:ascii="Arial" w:cs="Arial" w:eastAsia="Arial" w:hAnsi="Arial"/>
                <w:sz w:val="18"/>
                <w:szCs w:val="18"/>
                <w:b w:val="1"/>
                <w:bCs w:val="1"/>
                <w:color w:val="auto"/>
                <w:w w:val="92"/>
              </w:rPr>
              <w:t>Long-term variable</w:t>
            </w:r>
          </w:p>
        </w:tc>
        <w:tc>
          <w:tcPr>
            <w:tcW w:w="840" w:type="dxa"/>
            <w:vAlign w:val="bottom"/>
            <w:vMerge w:val="restart"/>
            <w:shd w:val="clear" w:color="auto" w:fill="E36C0A"/>
          </w:tcPr>
          <w:p>
            <w:pPr>
              <w:ind w:left="22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126"/>
        </w:trPr>
        <w:tc>
          <w:tcPr>
            <w:tcW w:w="1740" w:type="dxa"/>
            <w:vAlign w:val="bottom"/>
            <w:vMerge w:val="continue"/>
            <w:shd w:val="clear" w:color="auto" w:fill="E36C0A"/>
          </w:tcPr>
          <w:p>
            <w:pPr>
              <w:spacing w:after="0"/>
              <w:rPr>
                <w:sz w:val="10"/>
                <w:szCs w:val="10"/>
                <w:color w:val="auto"/>
              </w:rPr>
            </w:pPr>
          </w:p>
        </w:tc>
        <w:tc>
          <w:tcPr>
            <w:tcW w:w="660" w:type="dxa"/>
            <w:vAlign w:val="bottom"/>
            <w:vMerge w:val="restart"/>
            <w:shd w:val="clear" w:color="auto" w:fill="E36C0A"/>
          </w:tcPr>
          <w:p>
            <w:pPr>
              <w:jc w:val="right"/>
              <w:ind w:right="90"/>
              <w:spacing w:after="0" w:line="202" w:lineRule="exact"/>
              <w:rPr>
                <w:sz w:val="20"/>
                <w:szCs w:val="20"/>
                <w:color w:val="auto"/>
              </w:rPr>
            </w:pPr>
            <w:r>
              <w:rPr>
                <w:rFonts w:ascii="Arial" w:cs="Arial" w:eastAsia="Arial" w:hAnsi="Arial"/>
                <w:sz w:val="18"/>
                <w:szCs w:val="18"/>
                <w:b w:val="1"/>
                <w:bCs w:val="1"/>
                <w:color w:val="auto"/>
              </w:rPr>
              <w:t>Year</w:t>
            </w:r>
          </w:p>
        </w:tc>
        <w:tc>
          <w:tcPr>
            <w:tcW w:w="1680" w:type="dxa"/>
            <w:vAlign w:val="bottom"/>
            <w:gridSpan w:val="2"/>
            <w:vMerge w:val="continue"/>
            <w:shd w:val="clear" w:color="auto" w:fill="E36C0A"/>
          </w:tcPr>
          <w:p>
            <w:pPr>
              <w:spacing w:after="0"/>
              <w:rPr>
                <w:sz w:val="10"/>
                <w:szCs w:val="10"/>
                <w:color w:val="auto"/>
              </w:rPr>
            </w:pPr>
          </w:p>
        </w:tc>
        <w:tc>
          <w:tcPr>
            <w:tcW w:w="1400" w:type="dxa"/>
            <w:vAlign w:val="bottom"/>
            <w:gridSpan w:val="2"/>
            <w:vMerge w:val="continue"/>
            <w:shd w:val="clear" w:color="auto" w:fill="E36C0A"/>
          </w:tcPr>
          <w:p>
            <w:pPr>
              <w:spacing w:after="0"/>
              <w:rPr>
                <w:sz w:val="10"/>
                <w:szCs w:val="10"/>
                <w:color w:val="auto"/>
              </w:rPr>
            </w:pPr>
          </w:p>
        </w:tc>
        <w:tc>
          <w:tcPr>
            <w:tcW w:w="1540" w:type="dxa"/>
            <w:vAlign w:val="bottom"/>
            <w:gridSpan w:val="2"/>
            <w:vMerge w:val="continue"/>
            <w:shd w:val="clear" w:color="auto" w:fill="E36C0A"/>
          </w:tcPr>
          <w:p>
            <w:pPr>
              <w:spacing w:after="0"/>
              <w:rPr>
                <w:sz w:val="10"/>
                <w:szCs w:val="10"/>
                <w:color w:val="auto"/>
              </w:rPr>
            </w:pPr>
          </w:p>
        </w:tc>
        <w:tc>
          <w:tcPr>
            <w:tcW w:w="1700" w:type="dxa"/>
            <w:vAlign w:val="bottom"/>
            <w:gridSpan w:val="2"/>
            <w:vMerge w:val="restart"/>
            <w:shd w:val="clear" w:color="auto" w:fill="E36C0A"/>
          </w:tcPr>
          <w:p>
            <w:pPr>
              <w:ind w:left="320"/>
              <w:spacing w:after="0" w:line="202" w:lineRule="exact"/>
              <w:rPr>
                <w:sz w:val="20"/>
                <w:szCs w:val="20"/>
                <w:color w:val="auto"/>
              </w:rPr>
            </w:pPr>
            <w:r>
              <w:rPr>
                <w:rFonts w:ascii="Arial" w:cs="Arial" w:eastAsia="Arial" w:hAnsi="Arial"/>
                <w:sz w:val="18"/>
                <w:szCs w:val="18"/>
                <w:b w:val="1"/>
                <w:bCs w:val="1"/>
                <w:color w:val="auto"/>
              </w:rPr>
              <w:t>remuneration</w:t>
            </w:r>
          </w:p>
        </w:tc>
        <w:tc>
          <w:tcPr>
            <w:tcW w:w="1680" w:type="dxa"/>
            <w:vAlign w:val="bottom"/>
            <w:gridSpan w:val="2"/>
            <w:vMerge w:val="restart"/>
            <w:shd w:val="clear" w:color="auto" w:fill="E36C0A"/>
          </w:tcPr>
          <w:p>
            <w:pPr>
              <w:jc w:val="center"/>
              <w:spacing w:after="0" w:line="202" w:lineRule="exact"/>
              <w:rPr>
                <w:sz w:val="20"/>
                <w:szCs w:val="20"/>
                <w:color w:val="auto"/>
              </w:rPr>
            </w:pPr>
            <w:r>
              <w:rPr>
                <w:rFonts w:ascii="Arial" w:cs="Arial" w:eastAsia="Arial" w:hAnsi="Arial"/>
                <w:sz w:val="18"/>
                <w:szCs w:val="18"/>
                <w:b w:val="1"/>
                <w:bCs w:val="1"/>
                <w:color w:val="auto"/>
                <w:w w:val="92"/>
              </w:rPr>
              <w:t>remuneration</w:t>
            </w:r>
          </w:p>
        </w:tc>
        <w:tc>
          <w:tcPr>
            <w:tcW w:w="840" w:type="dxa"/>
            <w:vAlign w:val="bottom"/>
            <w:vMerge w:val="continue"/>
            <w:shd w:val="clear" w:color="auto" w:fill="E36C0A"/>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1740" w:type="dxa"/>
            <w:vAlign w:val="bottom"/>
            <w:vMerge w:val="continue"/>
            <w:shd w:val="clear" w:color="auto" w:fill="E36C0A"/>
          </w:tcPr>
          <w:p>
            <w:pPr>
              <w:spacing w:after="0"/>
              <w:rPr>
                <w:sz w:val="6"/>
                <w:szCs w:val="6"/>
                <w:color w:val="auto"/>
              </w:rPr>
            </w:pPr>
          </w:p>
        </w:tc>
        <w:tc>
          <w:tcPr>
            <w:tcW w:w="660" w:type="dxa"/>
            <w:vAlign w:val="bottom"/>
            <w:vMerge w:val="continue"/>
            <w:shd w:val="clear" w:color="auto" w:fill="E36C0A"/>
          </w:tcPr>
          <w:p>
            <w:pPr>
              <w:spacing w:after="0"/>
              <w:rPr>
                <w:sz w:val="6"/>
                <w:szCs w:val="6"/>
                <w:color w:val="auto"/>
              </w:rPr>
            </w:pPr>
          </w:p>
        </w:tc>
        <w:tc>
          <w:tcPr>
            <w:tcW w:w="820" w:type="dxa"/>
            <w:vAlign w:val="bottom"/>
            <w:shd w:val="clear" w:color="auto" w:fill="E36C0A"/>
          </w:tcPr>
          <w:p>
            <w:pPr>
              <w:spacing w:after="0"/>
              <w:rPr>
                <w:sz w:val="6"/>
                <w:szCs w:val="6"/>
                <w:color w:val="auto"/>
              </w:rPr>
            </w:pPr>
          </w:p>
        </w:tc>
        <w:tc>
          <w:tcPr>
            <w:tcW w:w="860" w:type="dxa"/>
            <w:vAlign w:val="bottom"/>
            <w:shd w:val="clear" w:color="auto" w:fill="E36C0A"/>
          </w:tcPr>
          <w:p>
            <w:pPr>
              <w:spacing w:after="0"/>
              <w:rPr>
                <w:sz w:val="6"/>
                <w:szCs w:val="6"/>
                <w:color w:val="auto"/>
              </w:rPr>
            </w:pPr>
          </w:p>
        </w:tc>
        <w:tc>
          <w:tcPr>
            <w:tcW w:w="680" w:type="dxa"/>
            <w:vAlign w:val="bottom"/>
            <w:shd w:val="clear" w:color="auto" w:fill="E36C0A"/>
          </w:tcPr>
          <w:p>
            <w:pPr>
              <w:spacing w:after="0"/>
              <w:rPr>
                <w:sz w:val="6"/>
                <w:szCs w:val="6"/>
                <w:color w:val="auto"/>
              </w:rPr>
            </w:pPr>
          </w:p>
        </w:tc>
        <w:tc>
          <w:tcPr>
            <w:tcW w:w="720" w:type="dxa"/>
            <w:vAlign w:val="bottom"/>
            <w:shd w:val="clear" w:color="auto" w:fill="E36C0A"/>
          </w:tcPr>
          <w:p>
            <w:pPr>
              <w:spacing w:after="0"/>
              <w:rPr>
                <w:sz w:val="6"/>
                <w:szCs w:val="6"/>
                <w:color w:val="auto"/>
              </w:rPr>
            </w:pPr>
          </w:p>
        </w:tc>
        <w:tc>
          <w:tcPr>
            <w:tcW w:w="760" w:type="dxa"/>
            <w:vAlign w:val="bottom"/>
            <w:shd w:val="clear" w:color="auto" w:fill="E36C0A"/>
          </w:tcPr>
          <w:p>
            <w:pPr>
              <w:spacing w:after="0"/>
              <w:rPr>
                <w:sz w:val="6"/>
                <w:szCs w:val="6"/>
                <w:color w:val="auto"/>
              </w:rPr>
            </w:pPr>
          </w:p>
        </w:tc>
        <w:tc>
          <w:tcPr>
            <w:tcW w:w="780" w:type="dxa"/>
            <w:vAlign w:val="bottom"/>
            <w:shd w:val="clear" w:color="auto" w:fill="E36C0A"/>
          </w:tcPr>
          <w:p>
            <w:pPr>
              <w:spacing w:after="0"/>
              <w:rPr>
                <w:sz w:val="6"/>
                <w:szCs w:val="6"/>
                <w:color w:val="auto"/>
              </w:rPr>
            </w:pPr>
          </w:p>
        </w:tc>
        <w:tc>
          <w:tcPr>
            <w:tcW w:w="1700" w:type="dxa"/>
            <w:vAlign w:val="bottom"/>
            <w:gridSpan w:val="2"/>
            <w:vMerge w:val="continue"/>
            <w:shd w:val="clear" w:color="auto" w:fill="E36C0A"/>
          </w:tcPr>
          <w:p>
            <w:pPr>
              <w:spacing w:after="0"/>
              <w:rPr>
                <w:sz w:val="6"/>
                <w:szCs w:val="6"/>
                <w:color w:val="auto"/>
              </w:rPr>
            </w:pPr>
          </w:p>
        </w:tc>
        <w:tc>
          <w:tcPr>
            <w:tcW w:w="1680" w:type="dxa"/>
            <w:vAlign w:val="bottom"/>
            <w:gridSpan w:val="2"/>
            <w:vMerge w:val="continue"/>
            <w:shd w:val="clear" w:color="auto" w:fill="E36C0A"/>
          </w:tcPr>
          <w:p>
            <w:pPr>
              <w:spacing w:after="0"/>
              <w:rPr>
                <w:sz w:val="6"/>
                <w:szCs w:val="6"/>
                <w:color w:val="auto"/>
              </w:rPr>
            </w:pPr>
          </w:p>
        </w:tc>
        <w:tc>
          <w:tcPr>
            <w:tcW w:w="840" w:type="dxa"/>
            <w:vAlign w:val="bottom"/>
            <w:shd w:val="clear" w:color="auto" w:fill="E36C0A"/>
          </w:tcPr>
          <w:p>
            <w:pPr>
              <w:spacing w:after="0"/>
              <w:rPr>
                <w:sz w:val="6"/>
                <w:szCs w:val="6"/>
                <w:color w:val="auto"/>
              </w:rPr>
            </w:pPr>
          </w:p>
        </w:tc>
        <w:tc>
          <w:tcPr>
            <w:tcW w:w="0" w:type="dxa"/>
            <w:vAlign w:val="bottom"/>
          </w:tcPr>
          <w:p>
            <w:pPr>
              <w:spacing w:after="0"/>
              <w:rPr>
                <w:sz w:val="1"/>
                <w:szCs w:val="1"/>
                <w:color w:val="auto"/>
              </w:rPr>
            </w:pPr>
          </w:p>
        </w:tc>
      </w:tr>
      <w:tr>
        <w:trPr>
          <w:trHeight w:val="275"/>
        </w:trPr>
        <w:tc>
          <w:tcPr>
            <w:tcW w:w="1740" w:type="dxa"/>
            <w:vAlign w:val="bottom"/>
            <w:shd w:val="clear" w:color="auto" w:fill="E36C0A"/>
          </w:tcPr>
          <w:p>
            <w:pPr>
              <w:ind w:left="540"/>
              <w:spacing w:after="0"/>
              <w:rPr>
                <w:sz w:val="20"/>
                <w:szCs w:val="20"/>
                <w:color w:val="auto"/>
              </w:rPr>
            </w:pPr>
            <w:r>
              <w:rPr>
                <w:rFonts w:ascii="Arial" w:cs="Arial" w:eastAsia="Arial" w:hAnsi="Arial"/>
                <w:sz w:val="18"/>
                <w:szCs w:val="18"/>
                <w:b w:val="1"/>
                <w:bCs w:val="1"/>
                <w:color w:val="auto"/>
              </w:rPr>
              <w:t>member</w:t>
            </w:r>
          </w:p>
        </w:tc>
        <w:tc>
          <w:tcPr>
            <w:tcW w:w="660" w:type="dxa"/>
            <w:vAlign w:val="bottom"/>
            <w:shd w:val="clear" w:color="auto" w:fill="E36C0A"/>
          </w:tcPr>
          <w:p>
            <w:pPr>
              <w:spacing w:after="0"/>
              <w:rPr>
                <w:sz w:val="23"/>
                <w:szCs w:val="23"/>
                <w:color w:val="auto"/>
              </w:rPr>
            </w:pPr>
          </w:p>
        </w:tc>
        <w:tc>
          <w:tcPr>
            <w:tcW w:w="820" w:type="dxa"/>
            <w:vAlign w:val="bottom"/>
            <w:shd w:val="clear" w:color="auto" w:fill="E36C0A"/>
          </w:tcPr>
          <w:p>
            <w:pPr>
              <w:ind w:left="220"/>
              <w:spacing w:after="0"/>
              <w:rPr>
                <w:sz w:val="20"/>
                <w:szCs w:val="20"/>
                <w:color w:val="auto"/>
              </w:rPr>
            </w:pPr>
            <w:r>
              <w:rPr>
                <w:rFonts w:ascii="Arial" w:cs="Arial" w:eastAsia="Arial" w:hAnsi="Arial"/>
                <w:sz w:val="18"/>
                <w:szCs w:val="18"/>
                <w:b w:val="1"/>
                <w:bCs w:val="1"/>
                <w:color w:val="auto"/>
              </w:rPr>
              <w:t>in k€</w:t>
            </w:r>
          </w:p>
        </w:tc>
        <w:tc>
          <w:tcPr>
            <w:tcW w:w="860" w:type="dxa"/>
            <w:vAlign w:val="bottom"/>
            <w:shd w:val="clear" w:color="auto" w:fill="E36C0A"/>
          </w:tcPr>
          <w:p>
            <w:pPr>
              <w:ind w:left="260"/>
              <w:spacing w:after="0"/>
              <w:rPr>
                <w:sz w:val="20"/>
                <w:szCs w:val="20"/>
                <w:color w:val="auto"/>
              </w:rPr>
            </w:pPr>
            <w:r>
              <w:rPr>
                <w:rFonts w:ascii="Arial" w:cs="Arial" w:eastAsia="Arial" w:hAnsi="Arial"/>
                <w:sz w:val="18"/>
                <w:szCs w:val="18"/>
                <w:b w:val="1"/>
                <w:bCs w:val="1"/>
                <w:color w:val="auto"/>
              </w:rPr>
              <w:t>in %</w:t>
            </w:r>
          </w:p>
        </w:tc>
        <w:tc>
          <w:tcPr>
            <w:tcW w:w="680" w:type="dxa"/>
            <w:vAlign w:val="bottom"/>
            <w:shd w:val="clear" w:color="auto" w:fill="E36C0A"/>
          </w:tcPr>
          <w:p>
            <w:pPr>
              <w:ind w:left="160"/>
              <w:spacing w:after="0"/>
              <w:rPr>
                <w:sz w:val="20"/>
                <w:szCs w:val="20"/>
                <w:color w:val="auto"/>
              </w:rPr>
            </w:pPr>
            <w:r>
              <w:rPr>
                <w:rFonts w:ascii="Arial" w:cs="Arial" w:eastAsia="Arial" w:hAnsi="Arial"/>
                <w:sz w:val="18"/>
                <w:szCs w:val="18"/>
                <w:b w:val="1"/>
                <w:bCs w:val="1"/>
                <w:color w:val="auto"/>
              </w:rPr>
              <w:t>in k€</w:t>
            </w:r>
          </w:p>
        </w:tc>
        <w:tc>
          <w:tcPr>
            <w:tcW w:w="720" w:type="dxa"/>
            <w:vAlign w:val="bottom"/>
            <w:shd w:val="clear" w:color="auto" w:fill="E36C0A"/>
          </w:tcPr>
          <w:p>
            <w:pPr>
              <w:ind w:left="200"/>
              <w:spacing w:after="0"/>
              <w:rPr>
                <w:sz w:val="20"/>
                <w:szCs w:val="20"/>
                <w:color w:val="auto"/>
              </w:rPr>
            </w:pPr>
            <w:r>
              <w:rPr>
                <w:rFonts w:ascii="Arial" w:cs="Arial" w:eastAsia="Arial" w:hAnsi="Arial"/>
                <w:sz w:val="18"/>
                <w:szCs w:val="18"/>
                <w:b w:val="1"/>
                <w:bCs w:val="1"/>
                <w:color w:val="auto"/>
              </w:rPr>
              <w:t>in %</w:t>
            </w:r>
          </w:p>
        </w:tc>
        <w:tc>
          <w:tcPr>
            <w:tcW w:w="760" w:type="dxa"/>
            <w:vAlign w:val="bottom"/>
            <w:shd w:val="clear" w:color="auto" w:fill="E36C0A"/>
          </w:tcPr>
          <w:p>
            <w:pPr>
              <w:ind w:left="240"/>
              <w:spacing w:after="0"/>
              <w:rPr>
                <w:sz w:val="20"/>
                <w:szCs w:val="20"/>
                <w:color w:val="auto"/>
              </w:rPr>
            </w:pPr>
            <w:r>
              <w:rPr>
                <w:rFonts w:ascii="Arial" w:cs="Arial" w:eastAsia="Arial" w:hAnsi="Arial"/>
                <w:sz w:val="18"/>
                <w:szCs w:val="18"/>
                <w:b w:val="1"/>
                <w:bCs w:val="1"/>
                <w:color w:val="auto"/>
              </w:rPr>
              <w:t>in k€</w:t>
            </w:r>
          </w:p>
        </w:tc>
        <w:tc>
          <w:tcPr>
            <w:tcW w:w="780" w:type="dxa"/>
            <w:vAlign w:val="bottom"/>
            <w:shd w:val="clear" w:color="auto" w:fill="E36C0A"/>
          </w:tcPr>
          <w:p>
            <w:pPr>
              <w:ind w:left="260"/>
              <w:spacing w:after="0"/>
              <w:rPr>
                <w:sz w:val="20"/>
                <w:szCs w:val="20"/>
                <w:color w:val="auto"/>
              </w:rPr>
            </w:pPr>
            <w:r>
              <w:rPr>
                <w:rFonts w:ascii="Arial" w:cs="Arial" w:eastAsia="Arial" w:hAnsi="Arial"/>
                <w:sz w:val="18"/>
                <w:szCs w:val="18"/>
                <w:b w:val="1"/>
                <w:bCs w:val="1"/>
                <w:color w:val="auto"/>
              </w:rPr>
              <w:t>in %</w:t>
            </w:r>
          </w:p>
        </w:tc>
        <w:tc>
          <w:tcPr>
            <w:tcW w:w="860" w:type="dxa"/>
            <w:vAlign w:val="bottom"/>
            <w:shd w:val="clear" w:color="auto" w:fill="E36C0A"/>
          </w:tcPr>
          <w:p>
            <w:pPr>
              <w:ind w:left="320"/>
              <w:spacing w:after="0"/>
              <w:rPr>
                <w:sz w:val="20"/>
                <w:szCs w:val="20"/>
                <w:color w:val="auto"/>
              </w:rPr>
            </w:pPr>
            <w:r>
              <w:rPr>
                <w:rFonts w:ascii="Arial" w:cs="Arial" w:eastAsia="Arial" w:hAnsi="Arial"/>
                <w:sz w:val="18"/>
                <w:szCs w:val="18"/>
                <w:b w:val="1"/>
                <w:bCs w:val="1"/>
                <w:color w:val="auto"/>
              </w:rPr>
              <w:t>in k€</w:t>
            </w:r>
          </w:p>
        </w:tc>
        <w:tc>
          <w:tcPr>
            <w:tcW w:w="840" w:type="dxa"/>
            <w:vAlign w:val="bottom"/>
            <w:shd w:val="clear" w:color="auto" w:fill="E36C0A"/>
          </w:tcPr>
          <w:p>
            <w:pPr>
              <w:ind w:left="300"/>
              <w:spacing w:after="0"/>
              <w:rPr>
                <w:sz w:val="20"/>
                <w:szCs w:val="20"/>
                <w:color w:val="auto"/>
              </w:rPr>
            </w:pPr>
            <w:r>
              <w:rPr>
                <w:rFonts w:ascii="Arial" w:cs="Arial" w:eastAsia="Arial" w:hAnsi="Arial"/>
                <w:sz w:val="18"/>
                <w:szCs w:val="18"/>
                <w:b w:val="1"/>
                <w:bCs w:val="1"/>
                <w:color w:val="auto"/>
              </w:rPr>
              <w:t>in %</w:t>
            </w:r>
          </w:p>
        </w:tc>
        <w:tc>
          <w:tcPr>
            <w:tcW w:w="820" w:type="dxa"/>
            <w:vAlign w:val="bottom"/>
            <w:shd w:val="clear" w:color="auto" w:fill="E36C0A"/>
          </w:tcPr>
          <w:p>
            <w:pPr>
              <w:ind w:left="220"/>
              <w:spacing w:after="0"/>
              <w:rPr>
                <w:sz w:val="20"/>
                <w:szCs w:val="20"/>
                <w:color w:val="auto"/>
              </w:rPr>
            </w:pPr>
            <w:r>
              <w:rPr>
                <w:rFonts w:ascii="Arial" w:cs="Arial" w:eastAsia="Arial" w:hAnsi="Arial"/>
                <w:sz w:val="18"/>
                <w:szCs w:val="18"/>
                <w:b w:val="1"/>
                <w:bCs w:val="1"/>
                <w:color w:val="auto"/>
              </w:rPr>
              <w:t>in k€</w:t>
            </w:r>
          </w:p>
        </w:tc>
        <w:tc>
          <w:tcPr>
            <w:tcW w:w="860" w:type="dxa"/>
            <w:vAlign w:val="bottom"/>
            <w:shd w:val="clear" w:color="auto" w:fill="E36C0A"/>
          </w:tcPr>
          <w:p>
            <w:pPr>
              <w:ind w:left="260"/>
              <w:spacing w:after="0"/>
              <w:rPr>
                <w:sz w:val="20"/>
                <w:szCs w:val="20"/>
                <w:color w:val="auto"/>
              </w:rPr>
            </w:pPr>
            <w:r>
              <w:rPr>
                <w:rFonts w:ascii="Arial" w:cs="Arial" w:eastAsia="Arial" w:hAnsi="Arial"/>
                <w:sz w:val="18"/>
                <w:szCs w:val="18"/>
                <w:b w:val="1"/>
                <w:bCs w:val="1"/>
                <w:color w:val="auto"/>
              </w:rPr>
              <w:t>in %</w:t>
            </w:r>
          </w:p>
        </w:tc>
        <w:tc>
          <w:tcPr>
            <w:tcW w:w="840" w:type="dxa"/>
            <w:vAlign w:val="bottom"/>
            <w:shd w:val="clear" w:color="auto" w:fill="E36C0A"/>
          </w:tcPr>
          <w:p>
            <w:pPr>
              <w:ind w:left="220"/>
              <w:spacing w:after="0"/>
              <w:rPr>
                <w:sz w:val="20"/>
                <w:szCs w:val="20"/>
                <w:color w:val="auto"/>
              </w:rPr>
            </w:pPr>
            <w:r>
              <w:rPr>
                <w:rFonts w:ascii="Arial" w:cs="Arial" w:eastAsia="Arial" w:hAnsi="Arial"/>
                <w:sz w:val="18"/>
                <w:szCs w:val="18"/>
                <w:b w:val="1"/>
                <w:bCs w:val="1"/>
                <w:color w:val="auto"/>
              </w:rPr>
              <w:t>in k€</w:t>
            </w:r>
          </w:p>
        </w:tc>
        <w:tc>
          <w:tcPr>
            <w:tcW w:w="0" w:type="dxa"/>
            <w:vAlign w:val="bottom"/>
          </w:tcPr>
          <w:p>
            <w:pPr>
              <w:spacing w:after="0"/>
              <w:rPr>
                <w:sz w:val="1"/>
                <w:szCs w:val="1"/>
                <w:color w:val="auto"/>
              </w:rPr>
            </w:pPr>
          </w:p>
        </w:tc>
      </w:tr>
      <w:tr>
        <w:trPr>
          <w:trHeight w:val="229"/>
        </w:trPr>
        <w:tc>
          <w:tcPr>
            <w:tcW w:w="1740" w:type="dxa"/>
            <w:vAlign w:val="bottom"/>
            <w:shd w:val="clear" w:color="auto" w:fill="E36C0A"/>
          </w:tcPr>
          <w:p>
            <w:pPr>
              <w:spacing w:after="0"/>
              <w:rPr>
                <w:sz w:val="19"/>
                <w:szCs w:val="19"/>
                <w:color w:val="auto"/>
              </w:rPr>
            </w:pPr>
          </w:p>
        </w:tc>
        <w:tc>
          <w:tcPr>
            <w:tcW w:w="660" w:type="dxa"/>
            <w:vAlign w:val="bottom"/>
            <w:shd w:val="clear" w:color="auto" w:fill="E36C0A"/>
          </w:tcPr>
          <w:p>
            <w:pPr>
              <w:spacing w:after="0"/>
              <w:rPr>
                <w:sz w:val="19"/>
                <w:szCs w:val="19"/>
                <w:color w:val="auto"/>
              </w:rPr>
            </w:pPr>
          </w:p>
        </w:tc>
        <w:tc>
          <w:tcPr>
            <w:tcW w:w="820" w:type="dxa"/>
            <w:vAlign w:val="bottom"/>
            <w:shd w:val="clear" w:color="auto" w:fill="E36C0A"/>
          </w:tcPr>
          <w:p>
            <w:pPr>
              <w:spacing w:after="0"/>
              <w:rPr>
                <w:sz w:val="19"/>
                <w:szCs w:val="19"/>
                <w:color w:val="auto"/>
              </w:rPr>
            </w:pPr>
          </w:p>
        </w:tc>
        <w:tc>
          <w:tcPr>
            <w:tcW w:w="860" w:type="dxa"/>
            <w:vAlign w:val="bottom"/>
            <w:shd w:val="clear" w:color="auto" w:fill="E36C0A"/>
          </w:tcPr>
          <w:p>
            <w:pPr>
              <w:spacing w:after="0"/>
              <w:rPr>
                <w:sz w:val="19"/>
                <w:szCs w:val="19"/>
                <w:color w:val="auto"/>
              </w:rPr>
            </w:pPr>
          </w:p>
        </w:tc>
        <w:tc>
          <w:tcPr>
            <w:tcW w:w="680" w:type="dxa"/>
            <w:vAlign w:val="bottom"/>
            <w:shd w:val="clear" w:color="auto" w:fill="E36C0A"/>
          </w:tcPr>
          <w:p>
            <w:pPr>
              <w:spacing w:after="0"/>
              <w:rPr>
                <w:sz w:val="19"/>
                <w:szCs w:val="19"/>
                <w:color w:val="auto"/>
              </w:rPr>
            </w:pPr>
          </w:p>
        </w:tc>
        <w:tc>
          <w:tcPr>
            <w:tcW w:w="720" w:type="dxa"/>
            <w:vAlign w:val="bottom"/>
            <w:shd w:val="clear" w:color="auto" w:fill="E36C0A"/>
          </w:tcPr>
          <w:p>
            <w:pPr>
              <w:spacing w:after="0"/>
              <w:rPr>
                <w:sz w:val="19"/>
                <w:szCs w:val="19"/>
                <w:color w:val="auto"/>
              </w:rPr>
            </w:pPr>
          </w:p>
        </w:tc>
        <w:tc>
          <w:tcPr>
            <w:tcW w:w="760" w:type="dxa"/>
            <w:vAlign w:val="bottom"/>
            <w:shd w:val="clear" w:color="auto" w:fill="E36C0A"/>
          </w:tcPr>
          <w:p>
            <w:pPr>
              <w:spacing w:after="0"/>
              <w:rPr>
                <w:sz w:val="19"/>
                <w:szCs w:val="19"/>
                <w:color w:val="auto"/>
              </w:rPr>
            </w:pPr>
          </w:p>
        </w:tc>
        <w:tc>
          <w:tcPr>
            <w:tcW w:w="780" w:type="dxa"/>
            <w:vAlign w:val="bottom"/>
            <w:shd w:val="clear" w:color="auto" w:fill="E36C0A"/>
          </w:tcPr>
          <w:p>
            <w:pPr>
              <w:spacing w:after="0"/>
              <w:rPr>
                <w:sz w:val="19"/>
                <w:szCs w:val="19"/>
                <w:color w:val="auto"/>
              </w:rPr>
            </w:pPr>
          </w:p>
        </w:tc>
        <w:tc>
          <w:tcPr>
            <w:tcW w:w="860" w:type="dxa"/>
            <w:vAlign w:val="bottom"/>
            <w:shd w:val="clear" w:color="auto" w:fill="E36C0A"/>
          </w:tcPr>
          <w:p>
            <w:pPr>
              <w:spacing w:after="0"/>
              <w:rPr>
                <w:sz w:val="19"/>
                <w:szCs w:val="19"/>
                <w:color w:val="auto"/>
              </w:rPr>
            </w:pPr>
          </w:p>
        </w:tc>
        <w:tc>
          <w:tcPr>
            <w:tcW w:w="840" w:type="dxa"/>
            <w:vAlign w:val="bottom"/>
            <w:shd w:val="clear" w:color="auto" w:fill="E36C0A"/>
          </w:tcPr>
          <w:p>
            <w:pPr>
              <w:spacing w:after="0"/>
              <w:rPr>
                <w:sz w:val="19"/>
                <w:szCs w:val="19"/>
                <w:color w:val="auto"/>
              </w:rPr>
            </w:pPr>
          </w:p>
        </w:tc>
        <w:tc>
          <w:tcPr>
            <w:tcW w:w="820" w:type="dxa"/>
            <w:vAlign w:val="bottom"/>
            <w:shd w:val="clear" w:color="auto" w:fill="E36C0A"/>
          </w:tcPr>
          <w:p>
            <w:pPr>
              <w:spacing w:after="0"/>
              <w:rPr>
                <w:sz w:val="19"/>
                <w:szCs w:val="19"/>
                <w:color w:val="auto"/>
              </w:rPr>
            </w:pPr>
          </w:p>
        </w:tc>
        <w:tc>
          <w:tcPr>
            <w:tcW w:w="860" w:type="dxa"/>
            <w:vAlign w:val="bottom"/>
            <w:shd w:val="clear" w:color="auto" w:fill="E36C0A"/>
          </w:tcPr>
          <w:p>
            <w:pPr>
              <w:spacing w:after="0"/>
              <w:rPr>
                <w:sz w:val="19"/>
                <w:szCs w:val="19"/>
                <w:color w:val="auto"/>
              </w:rPr>
            </w:pPr>
          </w:p>
        </w:tc>
        <w:tc>
          <w:tcPr>
            <w:tcW w:w="840" w:type="dxa"/>
            <w:vAlign w:val="bottom"/>
            <w:shd w:val="clear" w:color="auto" w:fill="E36C0A"/>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40" w:type="dxa"/>
            <w:vAlign w:val="bottom"/>
            <w:shd w:val="clear" w:color="auto" w:fill="F0F2F5"/>
          </w:tcPr>
          <w:p>
            <w:pPr>
              <w:spacing w:after="0"/>
              <w:rPr>
                <w:sz w:val="20"/>
                <w:szCs w:val="20"/>
                <w:color w:val="auto"/>
              </w:rPr>
            </w:pPr>
            <w:r>
              <w:rPr>
                <w:rFonts w:ascii="Arial" w:cs="Arial" w:eastAsia="Arial" w:hAnsi="Arial"/>
                <w:sz w:val="18"/>
                <w:szCs w:val="18"/>
                <w:color w:val="auto"/>
              </w:rPr>
              <w:t>Bulent Altan</w:t>
            </w:r>
          </w:p>
        </w:tc>
        <w:tc>
          <w:tcPr>
            <w:tcW w:w="660" w:type="dxa"/>
            <w:vAlign w:val="bottom"/>
            <w:shd w:val="clear" w:color="auto" w:fill="F0F2F5"/>
          </w:tcPr>
          <w:p>
            <w:pPr>
              <w:jc w:val="right"/>
              <w:spacing w:after="0"/>
              <w:rPr>
                <w:sz w:val="20"/>
                <w:szCs w:val="20"/>
                <w:color w:val="auto"/>
              </w:rPr>
            </w:pPr>
            <w:r>
              <w:rPr>
                <w:rFonts w:ascii="Arial" w:cs="Arial" w:eastAsia="Arial" w:hAnsi="Arial"/>
                <w:sz w:val="18"/>
                <w:szCs w:val="18"/>
                <w:color w:val="auto"/>
              </w:rPr>
              <w:t>2022</w:t>
            </w:r>
          </w:p>
        </w:tc>
        <w:tc>
          <w:tcPr>
            <w:tcW w:w="820" w:type="dxa"/>
            <w:vAlign w:val="bottom"/>
            <w:shd w:val="clear" w:color="auto" w:fill="F0F2F5"/>
          </w:tcPr>
          <w:p>
            <w:pPr>
              <w:jc w:val="center"/>
              <w:spacing w:after="0"/>
              <w:rPr>
                <w:sz w:val="20"/>
                <w:szCs w:val="20"/>
                <w:color w:val="auto"/>
              </w:rPr>
            </w:pPr>
            <w:r>
              <w:rPr>
                <w:rFonts w:ascii="Arial" w:cs="Arial" w:eastAsia="Arial" w:hAnsi="Arial"/>
                <w:sz w:val="18"/>
                <w:szCs w:val="18"/>
                <w:color w:val="auto"/>
                <w:w w:val="93"/>
              </w:rPr>
              <w:t>430</w:t>
            </w:r>
          </w:p>
        </w:tc>
        <w:tc>
          <w:tcPr>
            <w:tcW w:w="860" w:type="dxa"/>
            <w:vAlign w:val="bottom"/>
            <w:shd w:val="clear" w:color="auto" w:fill="F0F2F5"/>
          </w:tcPr>
          <w:p>
            <w:pPr>
              <w:jc w:val="center"/>
              <w:spacing w:after="0"/>
              <w:rPr>
                <w:sz w:val="20"/>
                <w:szCs w:val="20"/>
                <w:color w:val="auto"/>
              </w:rPr>
            </w:pPr>
            <w:r>
              <w:rPr>
                <w:rFonts w:ascii="Arial" w:cs="Arial" w:eastAsia="Arial" w:hAnsi="Arial"/>
                <w:sz w:val="18"/>
                <w:szCs w:val="18"/>
                <w:color w:val="auto"/>
                <w:w w:val="93"/>
              </w:rPr>
              <w:t>31.1%</w:t>
            </w:r>
          </w:p>
        </w:tc>
        <w:tc>
          <w:tcPr>
            <w:tcW w:w="680" w:type="dxa"/>
            <w:vAlign w:val="bottom"/>
            <w:shd w:val="clear" w:color="auto" w:fill="F0F2F5"/>
          </w:tcPr>
          <w:p>
            <w:pPr>
              <w:jc w:val="center"/>
              <w:ind w:right="10"/>
              <w:spacing w:after="0"/>
              <w:rPr>
                <w:sz w:val="20"/>
                <w:szCs w:val="20"/>
                <w:color w:val="auto"/>
              </w:rPr>
            </w:pPr>
            <w:r>
              <w:rPr>
                <w:rFonts w:ascii="Arial" w:cs="Arial" w:eastAsia="Arial" w:hAnsi="Arial"/>
                <w:sz w:val="18"/>
                <w:szCs w:val="18"/>
                <w:color w:val="auto"/>
                <w:w w:val="89"/>
              </w:rPr>
              <w:t>52</w:t>
            </w:r>
          </w:p>
        </w:tc>
        <w:tc>
          <w:tcPr>
            <w:tcW w:w="720" w:type="dxa"/>
            <w:vAlign w:val="bottom"/>
            <w:shd w:val="clear" w:color="auto" w:fill="F0F2F5"/>
          </w:tcPr>
          <w:p>
            <w:pPr>
              <w:jc w:val="center"/>
              <w:ind w:right="30"/>
              <w:spacing w:after="0"/>
              <w:rPr>
                <w:sz w:val="20"/>
                <w:szCs w:val="20"/>
                <w:color w:val="auto"/>
              </w:rPr>
            </w:pPr>
            <w:r>
              <w:rPr>
                <w:rFonts w:ascii="Arial" w:cs="Arial" w:eastAsia="Arial" w:hAnsi="Arial"/>
                <w:sz w:val="18"/>
                <w:szCs w:val="18"/>
                <w:color w:val="auto"/>
                <w:w w:val="87"/>
              </w:rPr>
              <w:t>3.8%</w:t>
            </w:r>
          </w:p>
        </w:tc>
        <w:tc>
          <w:tcPr>
            <w:tcW w:w="760" w:type="dxa"/>
            <w:vAlign w:val="bottom"/>
            <w:shd w:val="clear" w:color="auto" w:fill="F0F2F5"/>
          </w:tcPr>
          <w:p>
            <w:pPr>
              <w:jc w:val="center"/>
              <w:spacing w:after="0"/>
              <w:rPr>
                <w:sz w:val="20"/>
                <w:szCs w:val="20"/>
                <w:color w:val="auto"/>
              </w:rPr>
            </w:pPr>
            <w:r>
              <w:rPr>
                <w:rFonts w:ascii="Arial" w:cs="Arial" w:eastAsia="Arial" w:hAnsi="Arial"/>
                <w:sz w:val="18"/>
                <w:szCs w:val="18"/>
                <w:color w:val="auto"/>
                <w:w w:val="86"/>
              </w:rPr>
              <w:t>120</w:t>
            </w:r>
          </w:p>
        </w:tc>
        <w:tc>
          <w:tcPr>
            <w:tcW w:w="780" w:type="dxa"/>
            <w:vAlign w:val="bottom"/>
            <w:shd w:val="clear" w:color="auto" w:fill="F0F2F5"/>
          </w:tcPr>
          <w:p>
            <w:pPr>
              <w:jc w:val="center"/>
              <w:spacing w:after="0"/>
              <w:rPr>
                <w:sz w:val="20"/>
                <w:szCs w:val="20"/>
                <w:color w:val="auto"/>
              </w:rPr>
            </w:pPr>
            <w:r>
              <w:rPr>
                <w:rFonts w:ascii="Arial" w:cs="Arial" w:eastAsia="Arial" w:hAnsi="Arial"/>
                <w:sz w:val="18"/>
                <w:szCs w:val="18"/>
                <w:color w:val="auto"/>
                <w:w w:val="92"/>
              </w:rPr>
              <w:t>8.7%</w:t>
            </w:r>
          </w:p>
        </w:tc>
        <w:tc>
          <w:tcPr>
            <w:tcW w:w="860" w:type="dxa"/>
            <w:vAlign w:val="bottom"/>
            <w:shd w:val="clear" w:color="auto" w:fill="F0F2F5"/>
          </w:tcPr>
          <w:p>
            <w:pPr>
              <w:jc w:val="center"/>
              <w:spacing w:after="0"/>
              <w:rPr>
                <w:sz w:val="20"/>
                <w:szCs w:val="20"/>
                <w:color w:val="auto"/>
              </w:rPr>
            </w:pPr>
            <w:r>
              <w:rPr>
                <w:rFonts w:ascii="Arial" w:cs="Arial" w:eastAsia="Arial" w:hAnsi="Arial"/>
                <w:sz w:val="18"/>
                <w:szCs w:val="18"/>
                <w:color w:val="auto"/>
                <w:w w:val="86"/>
              </w:rPr>
              <w:t>237</w:t>
            </w:r>
          </w:p>
        </w:tc>
        <w:tc>
          <w:tcPr>
            <w:tcW w:w="840" w:type="dxa"/>
            <w:vAlign w:val="bottom"/>
            <w:shd w:val="clear" w:color="auto" w:fill="F0F2F5"/>
          </w:tcPr>
          <w:p>
            <w:pPr>
              <w:jc w:val="center"/>
              <w:spacing w:after="0"/>
              <w:rPr>
                <w:sz w:val="20"/>
                <w:szCs w:val="20"/>
                <w:color w:val="auto"/>
              </w:rPr>
            </w:pPr>
            <w:r>
              <w:rPr>
                <w:rFonts w:ascii="Arial" w:cs="Arial" w:eastAsia="Arial" w:hAnsi="Arial"/>
                <w:sz w:val="18"/>
                <w:szCs w:val="18"/>
                <w:color w:val="auto"/>
                <w:w w:val="90"/>
              </w:rPr>
              <w:t>17.1%</w:t>
            </w:r>
          </w:p>
        </w:tc>
        <w:tc>
          <w:tcPr>
            <w:tcW w:w="820" w:type="dxa"/>
            <w:vAlign w:val="bottom"/>
            <w:shd w:val="clear" w:color="auto" w:fill="F0F2F5"/>
          </w:tcPr>
          <w:p>
            <w:pPr>
              <w:jc w:val="center"/>
              <w:spacing w:after="0"/>
              <w:rPr>
                <w:sz w:val="20"/>
                <w:szCs w:val="20"/>
                <w:color w:val="auto"/>
              </w:rPr>
            </w:pPr>
            <w:r>
              <w:rPr>
                <w:rFonts w:ascii="Arial" w:cs="Arial" w:eastAsia="Arial" w:hAnsi="Arial"/>
                <w:sz w:val="18"/>
                <w:szCs w:val="18"/>
                <w:color w:val="auto"/>
                <w:w w:val="86"/>
              </w:rPr>
              <w:t>543</w:t>
            </w:r>
          </w:p>
        </w:tc>
        <w:tc>
          <w:tcPr>
            <w:tcW w:w="860" w:type="dxa"/>
            <w:vAlign w:val="bottom"/>
            <w:shd w:val="clear" w:color="auto" w:fill="F0F2F5"/>
          </w:tcPr>
          <w:p>
            <w:pPr>
              <w:jc w:val="center"/>
              <w:spacing w:after="0"/>
              <w:rPr>
                <w:sz w:val="20"/>
                <w:szCs w:val="20"/>
                <w:color w:val="auto"/>
              </w:rPr>
            </w:pPr>
            <w:r>
              <w:rPr>
                <w:rFonts w:ascii="Arial" w:cs="Arial" w:eastAsia="Arial" w:hAnsi="Arial"/>
                <w:sz w:val="18"/>
                <w:szCs w:val="18"/>
                <w:color w:val="auto"/>
                <w:w w:val="90"/>
              </w:rPr>
              <w:t>39.3%</w:t>
            </w:r>
          </w:p>
        </w:tc>
        <w:tc>
          <w:tcPr>
            <w:tcW w:w="840" w:type="dxa"/>
            <w:vAlign w:val="bottom"/>
            <w:shd w:val="clear" w:color="auto" w:fill="F0F2F5"/>
          </w:tcPr>
          <w:p>
            <w:pPr>
              <w:jc w:val="center"/>
              <w:spacing w:after="0"/>
              <w:rPr>
                <w:sz w:val="20"/>
                <w:szCs w:val="20"/>
                <w:color w:val="auto"/>
              </w:rPr>
            </w:pPr>
            <w:r>
              <w:rPr>
                <w:rFonts w:ascii="Arial" w:cs="Arial" w:eastAsia="Arial" w:hAnsi="Arial"/>
                <w:sz w:val="18"/>
                <w:szCs w:val="18"/>
                <w:color w:val="auto"/>
                <w:w w:val="88"/>
              </w:rPr>
              <w:t>1,382</w:t>
            </w:r>
          </w:p>
        </w:tc>
        <w:tc>
          <w:tcPr>
            <w:tcW w:w="0" w:type="dxa"/>
            <w:vAlign w:val="bottom"/>
          </w:tcPr>
          <w:p>
            <w:pPr>
              <w:spacing w:after="0"/>
              <w:rPr>
                <w:sz w:val="1"/>
                <w:szCs w:val="1"/>
                <w:color w:val="auto"/>
              </w:rPr>
            </w:pPr>
          </w:p>
        </w:tc>
      </w:tr>
      <w:tr>
        <w:trPr>
          <w:trHeight w:val="202"/>
        </w:trPr>
        <w:tc>
          <w:tcPr>
            <w:tcW w:w="1740" w:type="dxa"/>
            <w:vAlign w:val="bottom"/>
            <w:shd w:val="clear" w:color="auto" w:fill="F0F2F5"/>
          </w:tcPr>
          <w:p>
            <w:pPr>
              <w:spacing w:after="0"/>
              <w:rPr>
                <w:sz w:val="17"/>
                <w:szCs w:val="17"/>
                <w:color w:val="auto"/>
              </w:rPr>
            </w:pPr>
          </w:p>
        </w:tc>
        <w:tc>
          <w:tcPr>
            <w:tcW w:w="660" w:type="dxa"/>
            <w:vAlign w:val="bottom"/>
            <w:shd w:val="clear" w:color="auto" w:fill="F0F2F5"/>
          </w:tcPr>
          <w:p>
            <w:pPr>
              <w:spacing w:after="0"/>
              <w:rPr>
                <w:sz w:val="17"/>
                <w:szCs w:val="17"/>
                <w:color w:val="auto"/>
              </w:rPr>
            </w:pPr>
          </w:p>
        </w:tc>
        <w:tc>
          <w:tcPr>
            <w:tcW w:w="820" w:type="dxa"/>
            <w:vAlign w:val="bottom"/>
            <w:shd w:val="clear" w:color="auto" w:fill="F0F2F5"/>
          </w:tcPr>
          <w:p>
            <w:pPr>
              <w:spacing w:after="0"/>
              <w:rPr>
                <w:sz w:val="17"/>
                <w:szCs w:val="17"/>
                <w:color w:val="auto"/>
              </w:rPr>
            </w:pPr>
          </w:p>
        </w:tc>
        <w:tc>
          <w:tcPr>
            <w:tcW w:w="860" w:type="dxa"/>
            <w:vAlign w:val="bottom"/>
            <w:shd w:val="clear" w:color="auto" w:fill="F0F2F5"/>
          </w:tcPr>
          <w:p>
            <w:pPr>
              <w:spacing w:after="0"/>
              <w:rPr>
                <w:sz w:val="17"/>
                <w:szCs w:val="17"/>
                <w:color w:val="auto"/>
              </w:rPr>
            </w:pPr>
          </w:p>
        </w:tc>
        <w:tc>
          <w:tcPr>
            <w:tcW w:w="680" w:type="dxa"/>
            <w:vAlign w:val="bottom"/>
            <w:shd w:val="clear" w:color="auto" w:fill="F0F2F5"/>
          </w:tcPr>
          <w:p>
            <w:pPr>
              <w:spacing w:after="0"/>
              <w:rPr>
                <w:sz w:val="17"/>
                <w:szCs w:val="17"/>
                <w:color w:val="auto"/>
              </w:rPr>
            </w:pPr>
          </w:p>
        </w:tc>
        <w:tc>
          <w:tcPr>
            <w:tcW w:w="720" w:type="dxa"/>
            <w:vAlign w:val="bottom"/>
            <w:shd w:val="clear" w:color="auto" w:fill="F0F2F5"/>
          </w:tcPr>
          <w:p>
            <w:pPr>
              <w:spacing w:after="0"/>
              <w:rPr>
                <w:sz w:val="17"/>
                <w:szCs w:val="17"/>
                <w:color w:val="auto"/>
              </w:rPr>
            </w:pPr>
          </w:p>
        </w:tc>
        <w:tc>
          <w:tcPr>
            <w:tcW w:w="760" w:type="dxa"/>
            <w:vAlign w:val="bottom"/>
            <w:shd w:val="clear" w:color="auto" w:fill="F0F2F5"/>
          </w:tcPr>
          <w:p>
            <w:pPr>
              <w:spacing w:after="0"/>
              <w:rPr>
                <w:sz w:val="17"/>
                <w:szCs w:val="17"/>
                <w:color w:val="auto"/>
              </w:rPr>
            </w:pPr>
          </w:p>
        </w:tc>
        <w:tc>
          <w:tcPr>
            <w:tcW w:w="780" w:type="dxa"/>
            <w:vAlign w:val="bottom"/>
            <w:shd w:val="clear" w:color="auto" w:fill="F0F2F5"/>
          </w:tcPr>
          <w:p>
            <w:pPr>
              <w:spacing w:after="0"/>
              <w:rPr>
                <w:sz w:val="17"/>
                <w:szCs w:val="17"/>
                <w:color w:val="auto"/>
              </w:rPr>
            </w:pPr>
          </w:p>
        </w:tc>
        <w:tc>
          <w:tcPr>
            <w:tcW w:w="860" w:type="dxa"/>
            <w:vAlign w:val="bottom"/>
            <w:shd w:val="clear" w:color="auto" w:fill="F0F2F5"/>
          </w:tcPr>
          <w:p>
            <w:pPr>
              <w:spacing w:after="0"/>
              <w:rPr>
                <w:sz w:val="17"/>
                <w:szCs w:val="17"/>
                <w:color w:val="auto"/>
              </w:rPr>
            </w:pPr>
          </w:p>
        </w:tc>
        <w:tc>
          <w:tcPr>
            <w:tcW w:w="840" w:type="dxa"/>
            <w:vAlign w:val="bottom"/>
            <w:shd w:val="clear" w:color="auto" w:fill="F0F2F5"/>
          </w:tcPr>
          <w:p>
            <w:pPr>
              <w:spacing w:after="0"/>
              <w:rPr>
                <w:sz w:val="17"/>
                <w:szCs w:val="17"/>
                <w:color w:val="auto"/>
              </w:rPr>
            </w:pPr>
          </w:p>
        </w:tc>
        <w:tc>
          <w:tcPr>
            <w:tcW w:w="820" w:type="dxa"/>
            <w:vAlign w:val="bottom"/>
            <w:shd w:val="clear" w:color="auto" w:fill="F0F2F5"/>
          </w:tcPr>
          <w:p>
            <w:pPr>
              <w:spacing w:after="0"/>
              <w:rPr>
                <w:sz w:val="17"/>
                <w:szCs w:val="17"/>
                <w:color w:val="auto"/>
              </w:rPr>
            </w:pPr>
          </w:p>
        </w:tc>
        <w:tc>
          <w:tcPr>
            <w:tcW w:w="860" w:type="dxa"/>
            <w:vAlign w:val="bottom"/>
            <w:shd w:val="clear" w:color="auto" w:fill="F0F2F5"/>
          </w:tcPr>
          <w:p>
            <w:pPr>
              <w:spacing w:after="0"/>
              <w:rPr>
                <w:sz w:val="17"/>
                <w:szCs w:val="17"/>
                <w:color w:val="auto"/>
              </w:rPr>
            </w:pPr>
          </w:p>
        </w:tc>
        <w:tc>
          <w:tcPr>
            <w:tcW w:w="840" w:type="dxa"/>
            <w:vAlign w:val="bottom"/>
            <w:shd w:val="clear" w:color="auto" w:fill="F0F2F5"/>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7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2021</w:t>
            </w:r>
          </w:p>
        </w:tc>
        <w:tc>
          <w:tcPr>
            <w:tcW w:w="820" w:type="dxa"/>
            <w:vAlign w:val="bottom"/>
          </w:tcPr>
          <w:p>
            <w:pPr>
              <w:jc w:val="center"/>
              <w:spacing w:after="0"/>
              <w:rPr>
                <w:sz w:val="20"/>
                <w:szCs w:val="20"/>
                <w:color w:val="auto"/>
              </w:rPr>
            </w:pPr>
            <w:r>
              <w:rPr>
                <w:rFonts w:ascii="Arial" w:cs="Arial" w:eastAsia="Arial" w:hAnsi="Arial"/>
                <w:sz w:val="18"/>
                <w:szCs w:val="18"/>
                <w:color w:val="auto"/>
                <w:w w:val="93"/>
              </w:rPr>
              <w:t>248</w:t>
            </w:r>
          </w:p>
        </w:tc>
        <w:tc>
          <w:tcPr>
            <w:tcW w:w="860" w:type="dxa"/>
            <w:vAlign w:val="bottom"/>
          </w:tcPr>
          <w:p>
            <w:pPr>
              <w:jc w:val="center"/>
              <w:spacing w:after="0"/>
              <w:rPr>
                <w:sz w:val="20"/>
                <w:szCs w:val="20"/>
                <w:color w:val="auto"/>
              </w:rPr>
            </w:pPr>
            <w:r>
              <w:rPr>
                <w:rFonts w:ascii="Arial" w:cs="Arial" w:eastAsia="Arial" w:hAnsi="Arial"/>
                <w:sz w:val="18"/>
                <w:szCs w:val="18"/>
                <w:color w:val="auto"/>
                <w:w w:val="93"/>
              </w:rPr>
              <w:t>13.1%</w:t>
            </w:r>
          </w:p>
        </w:tc>
        <w:tc>
          <w:tcPr>
            <w:tcW w:w="680" w:type="dxa"/>
            <w:vAlign w:val="bottom"/>
          </w:tcPr>
          <w:p>
            <w:pPr>
              <w:jc w:val="center"/>
              <w:ind w:right="30"/>
              <w:spacing w:after="0"/>
              <w:rPr>
                <w:sz w:val="20"/>
                <w:szCs w:val="20"/>
                <w:color w:val="auto"/>
              </w:rPr>
            </w:pPr>
            <w:r>
              <w:rPr>
                <w:rFonts w:ascii="Arial" w:cs="Arial" w:eastAsia="Arial" w:hAnsi="Arial"/>
                <w:sz w:val="18"/>
                <w:szCs w:val="18"/>
                <w:color w:val="auto"/>
                <w:w w:val="79"/>
              </w:rPr>
              <w:t>0</w:t>
            </w:r>
          </w:p>
        </w:tc>
        <w:tc>
          <w:tcPr>
            <w:tcW w:w="720" w:type="dxa"/>
            <w:vAlign w:val="bottom"/>
          </w:tcPr>
          <w:p>
            <w:pPr>
              <w:jc w:val="center"/>
              <w:ind w:right="30"/>
              <w:spacing w:after="0"/>
              <w:rPr>
                <w:sz w:val="20"/>
                <w:szCs w:val="20"/>
                <w:color w:val="auto"/>
              </w:rPr>
            </w:pPr>
            <w:r>
              <w:rPr>
                <w:rFonts w:ascii="Arial" w:cs="Arial" w:eastAsia="Arial" w:hAnsi="Arial"/>
                <w:sz w:val="18"/>
                <w:szCs w:val="18"/>
                <w:color w:val="auto"/>
                <w:w w:val="87"/>
              </w:rPr>
              <w:t>0.0%</w:t>
            </w:r>
          </w:p>
        </w:tc>
        <w:tc>
          <w:tcPr>
            <w:tcW w:w="760" w:type="dxa"/>
            <w:vAlign w:val="bottom"/>
          </w:tcPr>
          <w:p>
            <w:pPr>
              <w:jc w:val="center"/>
              <w:spacing w:after="0"/>
              <w:rPr>
                <w:sz w:val="20"/>
                <w:szCs w:val="20"/>
                <w:color w:val="auto"/>
              </w:rPr>
            </w:pPr>
            <w:r>
              <w:rPr>
                <w:rFonts w:ascii="Arial" w:cs="Arial" w:eastAsia="Arial" w:hAnsi="Arial"/>
                <w:sz w:val="18"/>
                <w:szCs w:val="18"/>
                <w:color w:val="auto"/>
                <w:w w:val="86"/>
              </w:rPr>
              <w:t>104</w:t>
            </w:r>
          </w:p>
        </w:tc>
        <w:tc>
          <w:tcPr>
            <w:tcW w:w="780" w:type="dxa"/>
            <w:vAlign w:val="bottom"/>
          </w:tcPr>
          <w:p>
            <w:pPr>
              <w:jc w:val="center"/>
              <w:spacing w:after="0"/>
              <w:rPr>
                <w:sz w:val="20"/>
                <w:szCs w:val="20"/>
                <w:color w:val="auto"/>
              </w:rPr>
            </w:pPr>
            <w:r>
              <w:rPr>
                <w:rFonts w:ascii="Arial" w:cs="Arial" w:eastAsia="Arial" w:hAnsi="Arial"/>
                <w:sz w:val="18"/>
                <w:szCs w:val="18"/>
                <w:color w:val="auto"/>
                <w:w w:val="92"/>
              </w:rPr>
              <w:t>5.5%</w:t>
            </w:r>
          </w:p>
        </w:tc>
        <w:tc>
          <w:tcPr>
            <w:tcW w:w="860" w:type="dxa"/>
            <w:vAlign w:val="bottom"/>
          </w:tcPr>
          <w:p>
            <w:pPr>
              <w:jc w:val="center"/>
              <w:spacing w:after="0"/>
              <w:rPr>
                <w:sz w:val="20"/>
                <w:szCs w:val="20"/>
                <w:color w:val="auto"/>
              </w:rPr>
            </w:pPr>
            <w:r>
              <w:rPr>
                <w:rFonts w:ascii="Arial" w:cs="Arial" w:eastAsia="Arial" w:hAnsi="Arial"/>
                <w:sz w:val="18"/>
                <w:szCs w:val="18"/>
                <w:color w:val="auto"/>
                <w:w w:val="86"/>
              </w:rPr>
              <w:t>124</w:t>
            </w:r>
          </w:p>
        </w:tc>
        <w:tc>
          <w:tcPr>
            <w:tcW w:w="840" w:type="dxa"/>
            <w:vAlign w:val="bottom"/>
          </w:tcPr>
          <w:p>
            <w:pPr>
              <w:jc w:val="center"/>
              <w:spacing w:after="0"/>
              <w:rPr>
                <w:sz w:val="20"/>
                <w:szCs w:val="20"/>
                <w:color w:val="auto"/>
              </w:rPr>
            </w:pPr>
            <w:r>
              <w:rPr>
                <w:rFonts w:ascii="Arial" w:cs="Arial" w:eastAsia="Arial" w:hAnsi="Arial"/>
                <w:sz w:val="18"/>
                <w:szCs w:val="18"/>
                <w:color w:val="auto"/>
                <w:w w:val="92"/>
              </w:rPr>
              <w:t>6.5%</w:t>
            </w:r>
          </w:p>
        </w:tc>
        <w:tc>
          <w:tcPr>
            <w:tcW w:w="820" w:type="dxa"/>
            <w:vAlign w:val="bottom"/>
          </w:tcPr>
          <w:p>
            <w:pPr>
              <w:jc w:val="center"/>
              <w:spacing w:after="0"/>
              <w:rPr>
                <w:sz w:val="20"/>
                <w:szCs w:val="20"/>
                <w:color w:val="auto"/>
              </w:rPr>
            </w:pPr>
            <w:r>
              <w:rPr>
                <w:rFonts w:ascii="Arial" w:cs="Arial" w:eastAsia="Arial" w:hAnsi="Arial"/>
                <w:sz w:val="18"/>
                <w:szCs w:val="18"/>
                <w:color w:val="auto"/>
                <w:w w:val="88"/>
              </w:rPr>
              <w:t>1,423</w:t>
            </w:r>
          </w:p>
        </w:tc>
        <w:tc>
          <w:tcPr>
            <w:tcW w:w="860" w:type="dxa"/>
            <w:vAlign w:val="bottom"/>
          </w:tcPr>
          <w:p>
            <w:pPr>
              <w:jc w:val="center"/>
              <w:spacing w:after="0"/>
              <w:rPr>
                <w:sz w:val="20"/>
                <w:szCs w:val="20"/>
                <w:color w:val="auto"/>
              </w:rPr>
            </w:pPr>
            <w:r>
              <w:rPr>
                <w:rFonts w:ascii="Arial" w:cs="Arial" w:eastAsia="Arial" w:hAnsi="Arial"/>
                <w:sz w:val="18"/>
                <w:szCs w:val="18"/>
                <w:color w:val="auto"/>
                <w:w w:val="90"/>
              </w:rPr>
              <w:t>74.9%</w:t>
            </w:r>
          </w:p>
        </w:tc>
        <w:tc>
          <w:tcPr>
            <w:tcW w:w="840" w:type="dxa"/>
            <w:vAlign w:val="bottom"/>
          </w:tcPr>
          <w:p>
            <w:pPr>
              <w:jc w:val="center"/>
              <w:spacing w:after="0"/>
              <w:rPr>
                <w:sz w:val="20"/>
                <w:szCs w:val="20"/>
                <w:color w:val="auto"/>
              </w:rPr>
            </w:pPr>
            <w:r>
              <w:rPr>
                <w:rFonts w:ascii="Arial" w:cs="Arial" w:eastAsia="Arial" w:hAnsi="Arial"/>
                <w:sz w:val="18"/>
                <w:szCs w:val="18"/>
                <w:color w:val="auto"/>
                <w:w w:val="88"/>
              </w:rPr>
              <w:t>1,899</w:t>
            </w:r>
          </w:p>
        </w:tc>
        <w:tc>
          <w:tcPr>
            <w:tcW w:w="0" w:type="dxa"/>
            <w:vAlign w:val="bottom"/>
          </w:tcPr>
          <w:p>
            <w:pPr>
              <w:spacing w:after="0"/>
              <w:rPr>
                <w:sz w:val="1"/>
                <w:szCs w:val="1"/>
                <w:color w:val="auto"/>
              </w:rPr>
            </w:pPr>
          </w:p>
        </w:tc>
      </w:tr>
      <w:tr>
        <w:trPr>
          <w:trHeight w:val="202"/>
        </w:trPr>
        <w:tc>
          <w:tcPr>
            <w:tcW w:w="17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740" w:type="dxa"/>
            <w:vAlign w:val="bottom"/>
            <w:shd w:val="clear" w:color="auto" w:fill="F0F2F5"/>
          </w:tcPr>
          <w:p>
            <w:pPr>
              <w:spacing w:after="0" w:line="201" w:lineRule="exact"/>
              <w:rPr>
                <w:sz w:val="20"/>
                <w:szCs w:val="20"/>
                <w:color w:val="auto"/>
              </w:rPr>
            </w:pPr>
            <w:r>
              <w:rPr>
                <w:rFonts w:ascii="Arial" w:cs="Arial" w:eastAsia="Arial" w:hAnsi="Arial"/>
                <w:sz w:val="18"/>
                <w:szCs w:val="18"/>
                <w:color w:val="auto"/>
              </w:rPr>
              <w:t>Stefan Berndt-von</w:t>
            </w:r>
          </w:p>
        </w:tc>
        <w:tc>
          <w:tcPr>
            <w:tcW w:w="660" w:type="dxa"/>
            <w:vAlign w:val="bottom"/>
            <w:vMerge w:val="restart"/>
            <w:shd w:val="clear" w:color="auto" w:fill="F0F2F5"/>
          </w:tcPr>
          <w:p>
            <w:pPr>
              <w:jc w:val="right"/>
              <w:spacing w:after="0"/>
              <w:rPr>
                <w:sz w:val="20"/>
                <w:szCs w:val="20"/>
                <w:color w:val="auto"/>
              </w:rPr>
            </w:pPr>
            <w:r>
              <w:rPr>
                <w:rFonts w:ascii="Arial" w:cs="Arial" w:eastAsia="Arial" w:hAnsi="Arial"/>
                <w:sz w:val="18"/>
                <w:szCs w:val="18"/>
                <w:color w:val="auto"/>
              </w:rPr>
              <w:t>2022</w:t>
            </w:r>
          </w:p>
        </w:tc>
        <w:tc>
          <w:tcPr>
            <w:tcW w:w="820" w:type="dxa"/>
            <w:vAlign w:val="bottom"/>
            <w:vMerge w:val="restart"/>
            <w:shd w:val="clear" w:color="auto" w:fill="F0F2F5"/>
          </w:tcPr>
          <w:p>
            <w:pPr>
              <w:jc w:val="center"/>
              <w:spacing w:after="0"/>
              <w:rPr>
                <w:sz w:val="20"/>
                <w:szCs w:val="20"/>
                <w:color w:val="auto"/>
              </w:rPr>
            </w:pPr>
            <w:r>
              <w:rPr>
                <w:rFonts w:ascii="Arial" w:cs="Arial" w:eastAsia="Arial" w:hAnsi="Arial"/>
                <w:sz w:val="18"/>
                <w:szCs w:val="18"/>
                <w:color w:val="auto"/>
                <w:w w:val="93"/>
              </w:rPr>
              <w:t>263</w:t>
            </w:r>
          </w:p>
        </w:tc>
        <w:tc>
          <w:tcPr>
            <w:tcW w:w="860" w:type="dxa"/>
            <w:vAlign w:val="bottom"/>
            <w:vMerge w:val="restart"/>
            <w:shd w:val="clear" w:color="auto" w:fill="F0F2F5"/>
          </w:tcPr>
          <w:p>
            <w:pPr>
              <w:jc w:val="center"/>
              <w:spacing w:after="0"/>
              <w:rPr>
                <w:sz w:val="20"/>
                <w:szCs w:val="20"/>
                <w:color w:val="auto"/>
              </w:rPr>
            </w:pPr>
            <w:r>
              <w:rPr>
                <w:rFonts w:ascii="Arial" w:cs="Arial" w:eastAsia="Arial" w:hAnsi="Arial"/>
                <w:sz w:val="18"/>
                <w:szCs w:val="18"/>
                <w:color w:val="auto"/>
                <w:w w:val="93"/>
              </w:rPr>
              <w:t>30.8%</w:t>
            </w:r>
          </w:p>
        </w:tc>
        <w:tc>
          <w:tcPr>
            <w:tcW w:w="680" w:type="dxa"/>
            <w:vAlign w:val="bottom"/>
            <w:vMerge w:val="restart"/>
            <w:shd w:val="clear" w:color="auto" w:fill="F0F2F5"/>
          </w:tcPr>
          <w:p>
            <w:pPr>
              <w:jc w:val="center"/>
              <w:ind w:right="10"/>
              <w:spacing w:after="0"/>
              <w:rPr>
                <w:sz w:val="20"/>
                <w:szCs w:val="20"/>
                <w:color w:val="auto"/>
              </w:rPr>
            </w:pPr>
            <w:r>
              <w:rPr>
                <w:rFonts w:ascii="Arial" w:cs="Arial" w:eastAsia="Arial" w:hAnsi="Arial"/>
                <w:sz w:val="18"/>
                <w:szCs w:val="18"/>
                <w:color w:val="auto"/>
                <w:w w:val="89"/>
              </w:rPr>
              <w:t>62</w:t>
            </w:r>
          </w:p>
        </w:tc>
        <w:tc>
          <w:tcPr>
            <w:tcW w:w="720" w:type="dxa"/>
            <w:vAlign w:val="bottom"/>
            <w:vMerge w:val="restart"/>
            <w:shd w:val="clear" w:color="auto" w:fill="F0F2F5"/>
          </w:tcPr>
          <w:p>
            <w:pPr>
              <w:jc w:val="center"/>
              <w:ind w:right="30"/>
              <w:spacing w:after="0"/>
              <w:rPr>
                <w:sz w:val="20"/>
                <w:szCs w:val="20"/>
                <w:color w:val="auto"/>
              </w:rPr>
            </w:pPr>
            <w:r>
              <w:rPr>
                <w:rFonts w:ascii="Arial" w:cs="Arial" w:eastAsia="Arial" w:hAnsi="Arial"/>
                <w:sz w:val="18"/>
                <w:szCs w:val="18"/>
                <w:color w:val="auto"/>
                <w:w w:val="87"/>
              </w:rPr>
              <w:t>7.2%</w:t>
            </w:r>
          </w:p>
        </w:tc>
        <w:tc>
          <w:tcPr>
            <w:tcW w:w="760" w:type="dxa"/>
            <w:vAlign w:val="bottom"/>
            <w:vMerge w:val="restart"/>
            <w:shd w:val="clear" w:color="auto" w:fill="F0F2F5"/>
          </w:tcPr>
          <w:p>
            <w:pPr>
              <w:jc w:val="center"/>
              <w:spacing w:after="0"/>
              <w:rPr>
                <w:sz w:val="20"/>
                <w:szCs w:val="20"/>
                <w:color w:val="auto"/>
              </w:rPr>
            </w:pPr>
            <w:r>
              <w:rPr>
                <w:rFonts w:ascii="Arial" w:cs="Arial" w:eastAsia="Arial" w:hAnsi="Arial"/>
                <w:sz w:val="18"/>
                <w:szCs w:val="18"/>
                <w:color w:val="auto"/>
                <w:w w:val="99"/>
              </w:rPr>
              <w:t>6</w:t>
            </w:r>
          </w:p>
        </w:tc>
        <w:tc>
          <w:tcPr>
            <w:tcW w:w="780" w:type="dxa"/>
            <w:vAlign w:val="bottom"/>
            <w:vMerge w:val="restart"/>
            <w:shd w:val="clear" w:color="auto" w:fill="F0F2F5"/>
          </w:tcPr>
          <w:p>
            <w:pPr>
              <w:jc w:val="center"/>
              <w:spacing w:after="0"/>
              <w:rPr>
                <w:sz w:val="20"/>
                <w:szCs w:val="20"/>
                <w:color w:val="auto"/>
              </w:rPr>
            </w:pPr>
            <w:r>
              <w:rPr>
                <w:rFonts w:ascii="Arial" w:cs="Arial" w:eastAsia="Arial" w:hAnsi="Arial"/>
                <w:sz w:val="18"/>
                <w:szCs w:val="18"/>
                <w:color w:val="auto"/>
                <w:w w:val="92"/>
              </w:rPr>
              <w:t>0.7%</w:t>
            </w:r>
          </w:p>
        </w:tc>
        <w:tc>
          <w:tcPr>
            <w:tcW w:w="860" w:type="dxa"/>
            <w:vAlign w:val="bottom"/>
            <w:vMerge w:val="restart"/>
            <w:shd w:val="clear" w:color="auto" w:fill="F0F2F5"/>
          </w:tcPr>
          <w:p>
            <w:pPr>
              <w:jc w:val="center"/>
              <w:spacing w:after="0"/>
              <w:rPr>
                <w:sz w:val="20"/>
                <w:szCs w:val="20"/>
                <w:color w:val="auto"/>
              </w:rPr>
            </w:pPr>
            <w:r>
              <w:rPr>
                <w:rFonts w:ascii="Arial" w:cs="Arial" w:eastAsia="Arial" w:hAnsi="Arial"/>
                <w:sz w:val="18"/>
                <w:szCs w:val="18"/>
                <w:color w:val="auto"/>
                <w:w w:val="86"/>
              </w:rPr>
              <w:t>113</w:t>
            </w:r>
          </w:p>
        </w:tc>
        <w:tc>
          <w:tcPr>
            <w:tcW w:w="840" w:type="dxa"/>
            <w:vAlign w:val="bottom"/>
            <w:vMerge w:val="restart"/>
            <w:shd w:val="clear" w:color="auto" w:fill="F0F2F5"/>
          </w:tcPr>
          <w:p>
            <w:pPr>
              <w:jc w:val="center"/>
              <w:spacing w:after="0"/>
              <w:rPr>
                <w:sz w:val="20"/>
                <w:szCs w:val="20"/>
                <w:color w:val="auto"/>
              </w:rPr>
            </w:pPr>
            <w:r>
              <w:rPr>
                <w:rFonts w:ascii="Arial" w:cs="Arial" w:eastAsia="Arial" w:hAnsi="Arial"/>
                <w:sz w:val="18"/>
                <w:szCs w:val="18"/>
                <w:color w:val="auto"/>
                <w:w w:val="90"/>
              </w:rPr>
              <w:t>13.2%</w:t>
            </w:r>
          </w:p>
        </w:tc>
        <w:tc>
          <w:tcPr>
            <w:tcW w:w="820" w:type="dxa"/>
            <w:vAlign w:val="bottom"/>
            <w:vMerge w:val="restart"/>
            <w:shd w:val="clear" w:color="auto" w:fill="F0F2F5"/>
          </w:tcPr>
          <w:p>
            <w:pPr>
              <w:jc w:val="center"/>
              <w:spacing w:after="0"/>
              <w:rPr>
                <w:sz w:val="20"/>
                <w:szCs w:val="20"/>
                <w:color w:val="auto"/>
              </w:rPr>
            </w:pPr>
            <w:r>
              <w:rPr>
                <w:rFonts w:ascii="Arial" w:cs="Arial" w:eastAsia="Arial" w:hAnsi="Arial"/>
                <w:sz w:val="18"/>
                <w:szCs w:val="18"/>
                <w:color w:val="auto"/>
                <w:w w:val="86"/>
              </w:rPr>
              <w:t>411</w:t>
            </w:r>
          </w:p>
        </w:tc>
        <w:tc>
          <w:tcPr>
            <w:tcW w:w="860" w:type="dxa"/>
            <w:vAlign w:val="bottom"/>
            <w:vMerge w:val="restart"/>
            <w:shd w:val="clear" w:color="auto" w:fill="F0F2F5"/>
          </w:tcPr>
          <w:p>
            <w:pPr>
              <w:jc w:val="center"/>
              <w:spacing w:after="0"/>
              <w:rPr>
                <w:sz w:val="20"/>
                <w:szCs w:val="20"/>
                <w:color w:val="auto"/>
              </w:rPr>
            </w:pPr>
            <w:r>
              <w:rPr>
                <w:rFonts w:ascii="Arial" w:cs="Arial" w:eastAsia="Arial" w:hAnsi="Arial"/>
                <w:sz w:val="18"/>
                <w:szCs w:val="18"/>
                <w:color w:val="auto"/>
                <w:w w:val="90"/>
              </w:rPr>
              <w:t>48.1%</w:t>
            </w:r>
          </w:p>
        </w:tc>
        <w:tc>
          <w:tcPr>
            <w:tcW w:w="840" w:type="dxa"/>
            <w:vAlign w:val="bottom"/>
            <w:vMerge w:val="restart"/>
            <w:shd w:val="clear" w:color="auto" w:fill="F0F2F5"/>
          </w:tcPr>
          <w:p>
            <w:pPr>
              <w:jc w:val="center"/>
              <w:spacing w:after="0"/>
              <w:rPr>
                <w:sz w:val="20"/>
                <w:szCs w:val="20"/>
                <w:color w:val="auto"/>
              </w:rPr>
            </w:pPr>
            <w:r>
              <w:rPr>
                <w:rFonts w:ascii="Arial" w:cs="Arial" w:eastAsia="Arial" w:hAnsi="Arial"/>
                <w:sz w:val="18"/>
                <w:szCs w:val="18"/>
                <w:color w:val="auto"/>
                <w:w w:val="93"/>
              </w:rPr>
              <w:t>855</w:t>
            </w:r>
          </w:p>
        </w:tc>
        <w:tc>
          <w:tcPr>
            <w:tcW w:w="0" w:type="dxa"/>
            <w:vAlign w:val="bottom"/>
          </w:tcPr>
          <w:p>
            <w:pPr>
              <w:spacing w:after="0"/>
              <w:rPr>
                <w:sz w:val="1"/>
                <w:szCs w:val="1"/>
                <w:color w:val="auto"/>
              </w:rPr>
            </w:pPr>
          </w:p>
        </w:tc>
      </w:tr>
      <w:tr>
        <w:trPr>
          <w:trHeight w:val="122"/>
        </w:trPr>
        <w:tc>
          <w:tcPr>
            <w:tcW w:w="1740" w:type="dxa"/>
            <w:vAlign w:val="bottom"/>
            <w:vMerge w:val="restart"/>
            <w:shd w:val="clear" w:color="auto" w:fill="F0F2F5"/>
          </w:tcPr>
          <w:p>
            <w:pPr>
              <w:spacing w:after="0"/>
              <w:rPr>
                <w:sz w:val="20"/>
                <w:szCs w:val="20"/>
                <w:color w:val="auto"/>
              </w:rPr>
            </w:pPr>
            <w:r>
              <w:rPr>
                <w:rFonts w:ascii="Arial" w:cs="Arial" w:eastAsia="Arial" w:hAnsi="Arial"/>
                <w:sz w:val="18"/>
                <w:szCs w:val="18"/>
                <w:color w:val="auto"/>
              </w:rPr>
              <w:t>Bülow</w:t>
            </w:r>
          </w:p>
        </w:tc>
        <w:tc>
          <w:tcPr>
            <w:tcW w:w="660" w:type="dxa"/>
            <w:vAlign w:val="bottom"/>
            <w:vMerge w:val="continue"/>
            <w:shd w:val="clear" w:color="auto" w:fill="F0F2F5"/>
          </w:tcPr>
          <w:p>
            <w:pPr>
              <w:spacing w:after="0"/>
              <w:rPr>
                <w:sz w:val="10"/>
                <w:szCs w:val="10"/>
                <w:color w:val="auto"/>
              </w:rPr>
            </w:pPr>
          </w:p>
        </w:tc>
        <w:tc>
          <w:tcPr>
            <w:tcW w:w="820" w:type="dxa"/>
            <w:vAlign w:val="bottom"/>
            <w:vMerge w:val="continue"/>
            <w:shd w:val="clear" w:color="auto" w:fill="F0F2F5"/>
          </w:tcPr>
          <w:p>
            <w:pPr>
              <w:spacing w:after="0"/>
              <w:rPr>
                <w:sz w:val="10"/>
                <w:szCs w:val="10"/>
                <w:color w:val="auto"/>
              </w:rPr>
            </w:pPr>
          </w:p>
        </w:tc>
        <w:tc>
          <w:tcPr>
            <w:tcW w:w="860" w:type="dxa"/>
            <w:vAlign w:val="bottom"/>
            <w:vMerge w:val="continue"/>
            <w:shd w:val="clear" w:color="auto" w:fill="F0F2F5"/>
          </w:tcPr>
          <w:p>
            <w:pPr>
              <w:spacing w:after="0"/>
              <w:rPr>
                <w:sz w:val="10"/>
                <w:szCs w:val="10"/>
                <w:color w:val="auto"/>
              </w:rPr>
            </w:pPr>
          </w:p>
        </w:tc>
        <w:tc>
          <w:tcPr>
            <w:tcW w:w="680" w:type="dxa"/>
            <w:vAlign w:val="bottom"/>
            <w:vMerge w:val="continue"/>
            <w:shd w:val="clear" w:color="auto" w:fill="F0F2F5"/>
          </w:tcPr>
          <w:p>
            <w:pPr>
              <w:spacing w:after="0"/>
              <w:rPr>
                <w:sz w:val="10"/>
                <w:szCs w:val="10"/>
                <w:color w:val="auto"/>
              </w:rPr>
            </w:pPr>
          </w:p>
        </w:tc>
        <w:tc>
          <w:tcPr>
            <w:tcW w:w="720" w:type="dxa"/>
            <w:vAlign w:val="bottom"/>
            <w:vMerge w:val="continue"/>
            <w:shd w:val="clear" w:color="auto" w:fill="F0F2F5"/>
          </w:tcPr>
          <w:p>
            <w:pPr>
              <w:spacing w:after="0"/>
              <w:rPr>
                <w:sz w:val="10"/>
                <w:szCs w:val="10"/>
                <w:color w:val="auto"/>
              </w:rPr>
            </w:pPr>
          </w:p>
        </w:tc>
        <w:tc>
          <w:tcPr>
            <w:tcW w:w="760" w:type="dxa"/>
            <w:vAlign w:val="bottom"/>
            <w:vMerge w:val="continue"/>
            <w:shd w:val="clear" w:color="auto" w:fill="F0F2F5"/>
          </w:tcPr>
          <w:p>
            <w:pPr>
              <w:spacing w:after="0"/>
              <w:rPr>
                <w:sz w:val="10"/>
                <w:szCs w:val="10"/>
                <w:color w:val="auto"/>
              </w:rPr>
            </w:pPr>
          </w:p>
        </w:tc>
        <w:tc>
          <w:tcPr>
            <w:tcW w:w="780" w:type="dxa"/>
            <w:vAlign w:val="bottom"/>
            <w:vMerge w:val="continue"/>
            <w:shd w:val="clear" w:color="auto" w:fill="F0F2F5"/>
          </w:tcPr>
          <w:p>
            <w:pPr>
              <w:spacing w:after="0"/>
              <w:rPr>
                <w:sz w:val="10"/>
                <w:szCs w:val="10"/>
                <w:color w:val="auto"/>
              </w:rPr>
            </w:pPr>
          </w:p>
        </w:tc>
        <w:tc>
          <w:tcPr>
            <w:tcW w:w="860" w:type="dxa"/>
            <w:vAlign w:val="bottom"/>
            <w:vMerge w:val="continue"/>
            <w:shd w:val="clear" w:color="auto" w:fill="F0F2F5"/>
          </w:tcPr>
          <w:p>
            <w:pPr>
              <w:spacing w:after="0"/>
              <w:rPr>
                <w:sz w:val="10"/>
                <w:szCs w:val="10"/>
                <w:color w:val="auto"/>
              </w:rPr>
            </w:pPr>
          </w:p>
        </w:tc>
        <w:tc>
          <w:tcPr>
            <w:tcW w:w="840" w:type="dxa"/>
            <w:vAlign w:val="bottom"/>
            <w:vMerge w:val="continue"/>
            <w:shd w:val="clear" w:color="auto" w:fill="F0F2F5"/>
          </w:tcPr>
          <w:p>
            <w:pPr>
              <w:spacing w:after="0"/>
              <w:rPr>
                <w:sz w:val="10"/>
                <w:szCs w:val="10"/>
                <w:color w:val="auto"/>
              </w:rPr>
            </w:pPr>
          </w:p>
        </w:tc>
        <w:tc>
          <w:tcPr>
            <w:tcW w:w="820" w:type="dxa"/>
            <w:vAlign w:val="bottom"/>
            <w:vMerge w:val="continue"/>
            <w:shd w:val="clear" w:color="auto" w:fill="F0F2F5"/>
          </w:tcPr>
          <w:p>
            <w:pPr>
              <w:spacing w:after="0"/>
              <w:rPr>
                <w:sz w:val="10"/>
                <w:szCs w:val="10"/>
                <w:color w:val="auto"/>
              </w:rPr>
            </w:pPr>
          </w:p>
        </w:tc>
        <w:tc>
          <w:tcPr>
            <w:tcW w:w="860" w:type="dxa"/>
            <w:vAlign w:val="bottom"/>
            <w:vMerge w:val="continue"/>
            <w:shd w:val="clear" w:color="auto" w:fill="F0F2F5"/>
          </w:tcPr>
          <w:p>
            <w:pPr>
              <w:spacing w:after="0"/>
              <w:rPr>
                <w:sz w:val="10"/>
                <w:szCs w:val="10"/>
                <w:color w:val="auto"/>
              </w:rPr>
            </w:pPr>
          </w:p>
        </w:tc>
        <w:tc>
          <w:tcPr>
            <w:tcW w:w="840" w:type="dxa"/>
            <w:vAlign w:val="bottom"/>
            <w:vMerge w:val="continue"/>
            <w:shd w:val="clear" w:color="auto" w:fill="F0F2F5"/>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740" w:type="dxa"/>
            <w:vAlign w:val="bottom"/>
            <w:vMerge w:val="continue"/>
            <w:shd w:val="clear" w:color="auto" w:fill="F0F2F5"/>
          </w:tcPr>
          <w:p>
            <w:pPr>
              <w:spacing w:after="0"/>
              <w:rPr>
                <w:sz w:val="9"/>
                <w:szCs w:val="9"/>
                <w:color w:val="auto"/>
              </w:rPr>
            </w:pPr>
          </w:p>
        </w:tc>
        <w:tc>
          <w:tcPr>
            <w:tcW w:w="660" w:type="dxa"/>
            <w:vAlign w:val="bottom"/>
            <w:shd w:val="clear" w:color="auto" w:fill="F0F2F5"/>
          </w:tcPr>
          <w:p>
            <w:pPr>
              <w:spacing w:after="0"/>
              <w:rPr>
                <w:sz w:val="9"/>
                <w:szCs w:val="9"/>
                <w:color w:val="auto"/>
              </w:rPr>
            </w:pPr>
          </w:p>
        </w:tc>
        <w:tc>
          <w:tcPr>
            <w:tcW w:w="820" w:type="dxa"/>
            <w:vAlign w:val="bottom"/>
            <w:shd w:val="clear" w:color="auto" w:fill="F0F2F5"/>
          </w:tcPr>
          <w:p>
            <w:pPr>
              <w:spacing w:after="0"/>
              <w:rPr>
                <w:sz w:val="9"/>
                <w:szCs w:val="9"/>
                <w:color w:val="auto"/>
              </w:rPr>
            </w:pPr>
          </w:p>
        </w:tc>
        <w:tc>
          <w:tcPr>
            <w:tcW w:w="860" w:type="dxa"/>
            <w:vAlign w:val="bottom"/>
            <w:shd w:val="clear" w:color="auto" w:fill="F0F2F5"/>
          </w:tcPr>
          <w:p>
            <w:pPr>
              <w:spacing w:after="0"/>
              <w:rPr>
                <w:sz w:val="9"/>
                <w:szCs w:val="9"/>
                <w:color w:val="auto"/>
              </w:rPr>
            </w:pPr>
          </w:p>
        </w:tc>
        <w:tc>
          <w:tcPr>
            <w:tcW w:w="680" w:type="dxa"/>
            <w:vAlign w:val="bottom"/>
            <w:shd w:val="clear" w:color="auto" w:fill="F0F2F5"/>
          </w:tcPr>
          <w:p>
            <w:pPr>
              <w:spacing w:after="0"/>
              <w:rPr>
                <w:sz w:val="9"/>
                <w:szCs w:val="9"/>
                <w:color w:val="auto"/>
              </w:rPr>
            </w:pPr>
          </w:p>
        </w:tc>
        <w:tc>
          <w:tcPr>
            <w:tcW w:w="720" w:type="dxa"/>
            <w:vAlign w:val="bottom"/>
            <w:shd w:val="clear" w:color="auto" w:fill="F0F2F5"/>
          </w:tcPr>
          <w:p>
            <w:pPr>
              <w:spacing w:after="0"/>
              <w:rPr>
                <w:sz w:val="9"/>
                <w:szCs w:val="9"/>
                <w:color w:val="auto"/>
              </w:rPr>
            </w:pPr>
          </w:p>
        </w:tc>
        <w:tc>
          <w:tcPr>
            <w:tcW w:w="760" w:type="dxa"/>
            <w:vAlign w:val="bottom"/>
            <w:shd w:val="clear" w:color="auto" w:fill="F0F2F5"/>
          </w:tcPr>
          <w:p>
            <w:pPr>
              <w:spacing w:after="0"/>
              <w:rPr>
                <w:sz w:val="9"/>
                <w:szCs w:val="9"/>
                <w:color w:val="auto"/>
              </w:rPr>
            </w:pPr>
          </w:p>
        </w:tc>
        <w:tc>
          <w:tcPr>
            <w:tcW w:w="780" w:type="dxa"/>
            <w:vAlign w:val="bottom"/>
            <w:shd w:val="clear" w:color="auto" w:fill="F0F2F5"/>
          </w:tcPr>
          <w:p>
            <w:pPr>
              <w:spacing w:after="0"/>
              <w:rPr>
                <w:sz w:val="9"/>
                <w:szCs w:val="9"/>
                <w:color w:val="auto"/>
              </w:rPr>
            </w:pPr>
          </w:p>
        </w:tc>
        <w:tc>
          <w:tcPr>
            <w:tcW w:w="860" w:type="dxa"/>
            <w:vAlign w:val="bottom"/>
            <w:shd w:val="clear" w:color="auto" w:fill="F0F2F5"/>
          </w:tcPr>
          <w:p>
            <w:pPr>
              <w:spacing w:after="0"/>
              <w:rPr>
                <w:sz w:val="9"/>
                <w:szCs w:val="9"/>
                <w:color w:val="auto"/>
              </w:rPr>
            </w:pPr>
          </w:p>
        </w:tc>
        <w:tc>
          <w:tcPr>
            <w:tcW w:w="840" w:type="dxa"/>
            <w:vAlign w:val="bottom"/>
            <w:shd w:val="clear" w:color="auto" w:fill="F0F2F5"/>
          </w:tcPr>
          <w:p>
            <w:pPr>
              <w:spacing w:after="0"/>
              <w:rPr>
                <w:sz w:val="9"/>
                <w:szCs w:val="9"/>
                <w:color w:val="auto"/>
              </w:rPr>
            </w:pPr>
          </w:p>
        </w:tc>
        <w:tc>
          <w:tcPr>
            <w:tcW w:w="820" w:type="dxa"/>
            <w:vAlign w:val="bottom"/>
            <w:shd w:val="clear" w:color="auto" w:fill="F0F2F5"/>
          </w:tcPr>
          <w:p>
            <w:pPr>
              <w:spacing w:after="0"/>
              <w:rPr>
                <w:sz w:val="9"/>
                <w:szCs w:val="9"/>
                <w:color w:val="auto"/>
              </w:rPr>
            </w:pPr>
          </w:p>
        </w:tc>
        <w:tc>
          <w:tcPr>
            <w:tcW w:w="860" w:type="dxa"/>
            <w:vAlign w:val="bottom"/>
            <w:shd w:val="clear" w:color="auto" w:fill="F0F2F5"/>
          </w:tcPr>
          <w:p>
            <w:pPr>
              <w:spacing w:after="0"/>
              <w:rPr>
                <w:sz w:val="9"/>
                <w:szCs w:val="9"/>
                <w:color w:val="auto"/>
              </w:rPr>
            </w:pPr>
          </w:p>
        </w:tc>
        <w:tc>
          <w:tcPr>
            <w:tcW w:w="840" w:type="dxa"/>
            <w:vAlign w:val="bottom"/>
            <w:shd w:val="clear" w:color="auto" w:fill="F0F2F5"/>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740" w:type="dxa"/>
            <w:vAlign w:val="bottom"/>
            <w:shd w:val="clear" w:color="auto" w:fill="F0F2F5"/>
          </w:tcPr>
          <w:p>
            <w:pPr>
              <w:spacing w:after="0"/>
              <w:rPr>
                <w:sz w:val="18"/>
                <w:szCs w:val="18"/>
                <w:color w:val="auto"/>
              </w:rPr>
            </w:pPr>
          </w:p>
        </w:tc>
        <w:tc>
          <w:tcPr>
            <w:tcW w:w="660" w:type="dxa"/>
            <w:vAlign w:val="bottom"/>
            <w:shd w:val="clear" w:color="auto" w:fill="F0F2F5"/>
          </w:tcPr>
          <w:p>
            <w:pPr>
              <w:spacing w:after="0"/>
              <w:rPr>
                <w:sz w:val="18"/>
                <w:szCs w:val="18"/>
                <w:color w:val="auto"/>
              </w:rPr>
            </w:pPr>
          </w:p>
        </w:tc>
        <w:tc>
          <w:tcPr>
            <w:tcW w:w="820" w:type="dxa"/>
            <w:vAlign w:val="bottom"/>
            <w:shd w:val="clear" w:color="auto" w:fill="F0F2F5"/>
          </w:tcPr>
          <w:p>
            <w:pPr>
              <w:spacing w:after="0"/>
              <w:rPr>
                <w:sz w:val="18"/>
                <w:szCs w:val="18"/>
                <w:color w:val="auto"/>
              </w:rPr>
            </w:pPr>
          </w:p>
        </w:tc>
        <w:tc>
          <w:tcPr>
            <w:tcW w:w="860" w:type="dxa"/>
            <w:vAlign w:val="bottom"/>
            <w:shd w:val="clear" w:color="auto" w:fill="F0F2F5"/>
          </w:tcPr>
          <w:p>
            <w:pPr>
              <w:spacing w:after="0"/>
              <w:rPr>
                <w:sz w:val="18"/>
                <w:szCs w:val="18"/>
                <w:color w:val="auto"/>
              </w:rPr>
            </w:pPr>
          </w:p>
        </w:tc>
        <w:tc>
          <w:tcPr>
            <w:tcW w:w="680" w:type="dxa"/>
            <w:vAlign w:val="bottom"/>
            <w:shd w:val="clear" w:color="auto" w:fill="F0F2F5"/>
          </w:tcPr>
          <w:p>
            <w:pPr>
              <w:spacing w:after="0"/>
              <w:rPr>
                <w:sz w:val="18"/>
                <w:szCs w:val="18"/>
                <w:color w:val="auto"/>
              </w:rPr>
            </w:pPr>
          </w:p>
        </w:tc>
        <w:tc>
          <w:tcPr>
            <w:tcW w:w="720" w:type="dxa"/>
            <w:vAlign w:val="bottom"/>
            <w:shd w:val="clear" w:color="auto" w:fill="F0F2F5"/>
          </w:tcPr>
          <w:p>
            <w:pPr>
              <w:spacing w:after="0"/>
              <w:rPr>
                <w:sz w:val="18"/>
                <w:szCs w:val="18"/>
                <w:color w:val="auto"/>
              </w:rPr>
            </w:pPr>
          </w:p>
        </w:tc>
        <w:tc>
          <w:tcPr>
            <w:tcW w:w="760" w:type="dxa"/>
            <w:vAlign w:val="bottom"/>
            <w:shd w:val="clear" w:color="auto" w:fill="F0F2F5"/>
          </w:tcPr>
          <w:p>
            <w:pPr>
              <w:spacing w:after="0"/>
              <w:rPr>
                <w:sz w:val="18"/>
                <w:szCs w:val="18"/>
                <w:color w:val="auto"/>
              </w:rPr>
            </w:pPr>
          </w:p>
        </w:tc>
        <w:tc>
          <w:tcPr>
            <w:tcW w:w="780" w:type="dxa"/>
            <w:vAlign w:val="bottom"/>
            <w:shd w:val="clear" w:color="auto" w:fill="F0F2F5"/>
          </w:tcPr>
          <w:p>
            <w:pPr>
              <w:spacing w:after="0"/>
              <w:rPr>
                <w:sz w:val="18"/>
                <w:szCs w:val="18"/>
                <w:color w:val="auto"/>
              </w:rPr>
            </w:pPr>
          </w:p>
        </w:tc>
        <w:tc>
          <w:tcPr>
            <w:tcW w:w="860" w:type="dxa"/>
            <w:vAlign w:val="bottom"/>
            <w:shd w:val="clear" w:color="auto" w:fill="F0F2F5"/>
          </w:tcPr>
          <w:p>
            <w:pPr>
              <w:spacing w:after="0"/>
              <w:rPr>
                <w:sz w:val="18"/>
                <w:szCs w:val="18"/>
                <w:color w:val="auto"/>
              </w:rPr>
            </w:pPr>
          </w:p>
        </w:tc>
        <w:tc>
          <w:tcPr>
            <w:tcW w:w="840" w:type="dxa"/>
            <w:vAlign w:val="bottom"/>
            <w:shd w:val="clear" w:color="auto" w:fill="F0F2F5"/>
          </w:tcPr>
          <w:p>
            <w:pPr>
              <w:spacing w:after="0"/>
              <w:rPr>
                <w:sz w:val="18"/>
                <w:szCs w:val="18"/>
                <w:color w:val="auto"/>
              </w:rPr>
            </w:pPr>
          </w:p>
        </w:tc>
        <w:tc>
          <w:tcPr>
            <w:tcW w:w="820" w:type="dxa"/>
            <w:vAlign w:val="bottom"/>
            <w:shd w:val="clear" w:color="auto" w:fill="F0F2F5"/>
          </w:tcPr>
          <w:p>
            <w:pPr>
              <w:spacing w:after="0"/>
              <w:rPr>
                <w:sz w:val="18"/>
                <w:szCs w:val="18"/>
                <w:color w:val="auto"/>
              </w:rPr>
            </w:pPr>
          </w:p>
        </w:tc>
        <w:tc>
          <w:tcPr>
            <w:tcW w:w="860" w:type="dxa"/>
            <w:vAlign w:val="bottom"/>
            <w:shd w:val="clear" w:color="auto" w:fill="F0F2F5"/>
          </w:tcPr>
          <w:p>
            <w:pPr>
              <w:spacing w:after="0"/>
              <w:rPr>
                <w:sz w:val="18"/>
                <w:szCs w:val="18"/>
                <w:color w:val="auto"/>
              </w:rPr>
            </w:pPr>
          </w:p>
        </w:tc>
        <w:tc>
          <w:tcPr>
            <w:tcW w:w="840" w:type="dxa"/>
            <w:vAlign w:val="bottom"/>
            <w:shd w:val="clear" w:color="auto" w:fill="F0F2F5"/>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7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2021</w:t>
            </w:r>
          </w:p>
        </w:tc>
        <w:tc>
          <w:tcPr>
            <w:tcW w:w="820" w:type="dxa"/>
            <w:vAlign w:val="bottom"/>
          </w:tcPr>
          <w:p>
            <w:pPr>
              <w:jc w:val="center"/>
              <w:spacing w:after="0"/>
              <w:rPr>
                <w:sz w:val="20"/>
                <w:szCs w:val="20"/>
                <w:color w:val="auto"/>
              </w:rPr>
            </w:pPr>
            <w:r>
              <w:rPr>
                <w:rFonts w:ascii="Arial" w:cs="Arial" w:eastAsia="Arial" w:hAnsi="Arial"/>
                <w:sz w:val="18"/>
                <w:szCs w:val="18"/>
                <w:color w:val="auto"/>
                <w:w w:val="93"/>
              </w:rPr>
              <w:t>200</w:t>
            </w:r>
          </w:p>
        </w:tc>
        <w:tc>
          <w:tcPr>
            <w:tcW w:w="860" w:type="dxa"/>
            <w:vAlign w:val="bottom"/>
          </w:tcPr>
          <w:p>
            <w:pPr>
              <w:jc w:val="center"/>
              <w:spacing w:after="0"/>
              <w:rPr>
                <w:sz w:val="20"/>
                <w:szCs w:val="20"/>
                <w:color w:val="auto"/>
              </w:rPr>
            </w:pPr>
            <w:r>
              <w:rPr>
                <w:rFonts w:ascii="Arial" w:cs="Arial" w:eastAsia="Arial" w:hAnsi="Arial"/>
                <w:sz w:val="18"/>
                <w:szCs w:val="18"/>
                <w:color w:val="auto"/>
                <w:w w:val="93"/>
              </w:rPr>
              <w:t>14.6%</w:t>
            </w:r>
          </w:p>
        </w:tc>
        <w:tc>
          <w:tcPr>
            <w:tcW w:w="680" w:type="dxa"/>
            <w:vAlign w:val="bottom"/>
          </w:tcPr>
          <w:p>
            <w:pPr>
              <w:jc w:val="center"/>
              <w:ind w:right="30"/>
              <w:spacing w:after="0"/>
              <w:rPr>
                <w:sz w:val="20"/>
                <w:szCs w:val="20"/>
                <w:color w:val="auto"/>
              </w:rPr>
            </w:pPr>
            <w:r>
              <w:rPr>
                <w:rFonts w:ascii="Arial" w:cs="Arial" w:eastAsia="Arial" w:hAnsi="Arial"/>
                <w:sz w:val="18"/>
                <w:szCs w:val="18"/>
                <w:color w:val="auto"/>
                <w:w w:val="79"/>
              </w:rPr>
              <w:t>0</w:t>
            </w:r>
          </w:p>
        </w:tc>
        <w:tc>
          <w:tcPr>
            <w:tcW w:w="720" w:type="dxa"/>
            <w:vAlign w:val="bottom"/>
          </w:tcPr>
          <w:p>
            <w:pPr>
              <w:jc w:val="center"/>
              <w:ind w:right="30"/>
              <w:spacing w:after="0"/>
              <w:rPr>
                <w:sz w:val="20"/>
                <w:szCs w:val="20"/>
                <w:color w:val="auto"/>
              </w:rPr>
            </w:pPr>
            <w:r>
              <w:rPr>
                <w:rFonts w:ascii="Arial" w:cs="Arial" w:eastAsia="Arial" w:hAnsi="Arial"/>
                <w:sz w:val="18"/>
                <w:szCs w:val="18"/>
                <w:color w:val="auto"/>
                <w:w w:val="87"/>
              </w:rPr>
              <w:t>0.0%</w:t>
            </w:r>
          </w:p>
        </w:tc>
        <w:tc>
          <w:tcPr>
            <w:tcW w:w="760" w:type="dxa"/>
            <w:vAlign w:val="bottom"/>
          </w:tcPr>
          <w:p>
            <w:pPr>
              <w:jc w:val="center"/>
              <w:spacing w:after="0"/>
              <w:rPr>
                <w:sz w:val="20"/>
                <w:szCs w:val="20"/>
                <w:color w:val="auto"/>
              </w:rPr>
            </w:pPr>
            <w:r>
              <w:rPr>
                <w:rFonts w:ascii="Arial" w:cs="Arial" w:eastAsia="Arial" w:hAnsi="Arial"/>
                <w:sz w:val="18"/>
                <w:szCs w:val="18"/>
                <w:color w:val="auto"/>
                <w:w w:val="99"/>
              </w:rPr>
              <w:t>6</w:t>
            </w:r>
          </w:p>
        </w:tc>
        <w:tc>
          <w:tcPr>
            <w:tcW w:w="780" w:type="dxa"/>
            <w:vAlign w:val="bottom"/>
          </w:tcPr>
          <w:p>
            <w:pPr>
              <w:jc w:val="center"/>
              <w:spacing w:after="0"/>
              <w:rPr>
                <w:sz w:val="20"/>
                <w:szCs w:val="20"/>
                <w:color w:val="auto"/>
              </w:rPr>
            </w:pPr>
            <w:r>
              <w:rPr>
                <w:rFonts w:ascii="Arial" w:cs="Arial" w:eastAsia="Arial" w:hAnsi="Arial"/>
                <w:sz w:val="18"/>
                <w:szCs w:val="18"/>
                <w:color w:val="auto"/>
                <w:w w:val="92"/>
              </w:rPr>
              <w:t>0.4%</w:t>
            </w:r>
          </w:p>
        </w:tc>
        <w:tc>
          <w:tcPr>
            <w:tcW w:w="860" w:type="dxa"/>
            <w:vAlign w:val="bottom"/>
          </w:tcPr>
          <w:p>
            <w:pPr>
              <w:jc w:val="center"/>
              <w:spacing w:after="0"/>
              <w:rPr>
                <w:sz w:val="20"/>
                <w:szCs w:val="20"/>
                <w:color w:val="auto"/>
              </w:rPr>
            </w:pPr>
            <w:r>
              <w:rPr>
                <w:rFonts w:ascii="Arial" w:cs="Arial" w:eastAsia="Arial" w:hAnsi="Arial"/>
                <w:sz w:val="18"/>
                <w:szCs w:val="18"/>
                <w:color w:val="auto"/>
                <w:w w:val="86"/>
              </w:rPr>
              <w:t>100</w:t>
            </w:r>
          </w:p>
        </w:tc>
        <w:tc>
          <w:tcPr>
            <w:tcW w:w="840" w:type="dxa"/>
            <w:vAlign w:val="bottom"/>
          </w:tcPr>
          <w:p>
            <w:pPr>
              <w:jc w:val="center"/>
              <w:spacing w:after="0"/>
              <w:rPr>
                <w:sz w:val="20"/>
                <w:szCs w:val="20"/>
                <w:color w:val="auto"/>
              </w:rPr>
            </w:pPr>
            <w:r>
              <w:rPr>
                <w:rFonts w:ascii="Arial" w:cs="Arial" w:eastAsia="Arial" w:hAnsi="Arial"/>
                <w:sz w:val="18"/>
                <w:szCs w:val="18"/>
                <w:color w:val="auto"/>
                <w:w w:val="92"/>
              </w:rPr>
              <w:t>7.3%</w:t>
            </w:r>
          </w:p>
        </w:tc>
        <w:tc>
          <w:tcPr>
            <w:tcW w:w="820" w:type="dxa"/>
            <w:vAlign w:val="bottom"/>
          </w:tcPr>
          <w:p>
            <w:pPr>
              <w:jc w:val="center"/>
              <w:spacing w:after="0"/>
              <w:rPr>
                <w:sz w:val="20"/>
                <w:szCs w:val="20"/>
                <w:color w:val="auto"/>
              </w:rPr>
            </w:pPr>
            <w:r>
              <w:rPr>
                <w:rFonts w:ascii="Arial" w:cs="Arial" w:eastAsia="Arial" w:hAnsi="Arial"/>
                <w:sz w:val="18"/>
                <w:szCs w:val="18"/>
                <w:color w:val="auto"/>
                <w:w w:val="89"/>
              </w:rPr>
              <w:t>1067</w:t>
            </w:r>
          </w:p>
        </w:tc>
        <w:tc>
          <w:tcPr>
            <w:tcW w:w="860" w:type="dxa"/>
            <w:vAlign w:val="bottom"/>
          </w:tcPr>
          <w:p>
            <w:pPr>
              <w:jc w:val="center"/>
              <w:spacing w:after="0"/>
              <w:rPr>
                <w:sz w:val="20"/>
                <w:szCs w:val="20"/>
                <w:color w:val="auto"/>
              </w:rPr>
            </w:pPr>
            <w:r>
              <w:rPr>
                <w:rFonts w:ascii="Arial" w:cs="Arial" w:eastAsia="Arial" w:hAnsi="Arial"/>
                <w:sz w:val="18"/>
                <w:szCs w:val="18"/>
                <w:color w:val="auto"/>
                <w:w w:val="90"/>
              </w:rPr>
              <w:t>77.8%</w:t>
            </w:r>
          </w:p>
        </w:tc>
        <w:tc>
          <w:tcPr>
            <w:tcW w:w="840" w:type="dxa"/>
            <w:vAlign w:val="bottom"/>
          </w:tcPr>
          <w:p>
            <w:pPr>
              <w:jc w:val="center"/>
              <w:spacing w:after="0"/>
              <w:rPr>
                <w:sz w:val="20"/>
                <w:szCs w:val="20"/>
                <w:color w:val="auto"/>
              </w:rPr>
            </w:pPr>
            <w:r>
              <w:rPr>
                <w:rFonts w:ascii="Arial" w:cs="Arial" w:eastAsia="Arial" w:hAnsi="Arial"/>
                <w:sz w:val="18"/>
                <w:szCs w:val="18"/>
                <w:color w:val="auto"/>
                <w:w w:val="88"/>
              </w:rPr>
              <w:t>1,373</w:t>
            </w:r>
          </w:p>
        </w:tc>
        <w:tc>
          <w:tcPr>
            <w:tcW w:w="0" w:type="dxa"/>
            <w:vAlign w:val="bottom"/>
          </w:tcPr>
          <w:p>
            <w:pPr>
              <w:spacing w:after="0"/>
              <w:rPr>
                <w:sz w:val="1"/>
                <w:szCs w:val="1"/>
                <w:color w:val="auto"/>
              </w:rPr>
            </w:pPr>
          </w:p>
        </w:tc>
      </w:tr>
      <w:tr>
        <w:trPr>
          <w:trHeight w:val="202"/>
        </w:trPr>
        <w:tc>
          <w:tcPr>
            <w:tcW w:w="17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90"/>
        </w:trPr>
        <w:tc>
          <w:tcPr>
            <w:tcW w:w="1740" w:type="dxa"/>
            <w:vAlign w:val="bottom"/>
            <w:shd w:val="clear" w:color="auto" w:fill="F0F2F5"/>
          </w:tcPr>
          <w:p>
            <w:pPr>
              <w:spacing w:after="0"/>
              <w:rPr>
                <w:sz w:val="20"/>
                <w:szCs w:val="20"/>
                <w:color w:val="auto"/>
              </w:rPr>
            </w:pPr>
            <w:r>
              <w:rPr>
                <w:rFonts w:ascii="Arial" w:cs="Arial" w:eastAsia="Arial" w:hAnsi="Arial"/>
                <w:sz w:val="18"/>
                <w:szCs w:val="18"/>
                <w:color w:val="auto"/>
              </w:rPr>
              <w:t>Joachim Horwath</w:t>
            </w:r>
            <w:r>
              <w:rPr>
                <w:rFonts w:ascii="Arial" w:cs="Arial" w:eastAsia="Arial" w:hAnsi="Arial"/>
                <w:sz w:val="29"/>
                <w:szCs w:val="29"/>
                <w:color w:val="auto"/>
                <w:vertAlign w:val="superscript"/>
              </w:rPr>
              <w:t>10</w:t>
            </w:r>
          </w:p>
        </w:tc>
        <w:tc>
          <w:tcPr>
            <w:tcW w:w="660" w:type="dxa"/>
            <w:vAlign w:val="bottom"/>
            <w:shd w:val="clear" w:color="auto" w:fill="F0F2F5"/>
          </w:tcPr>
          <w:p>
            <w:pPr>
              <w:jc w:val="right"/>
              <w:spacing w:after="0"/>
              <w:rPr>
                <w:sz w:val="20"/>
                <w:szCs w:val="20"/>
                <w:color w:val="auto"/>
              </w:rPr>
            </w:pPr>
            <w:r>
              <w:rPr>
                <w:rFonts w:ascii="Arial" w:cs="Arial" w:eastAsia="Arial" w:hAnsi="Arial"/>
                <w:sz w:val="18"/>
                <w:szCs w:val="18"/>
                <w:color w:val="auto"/>
              </w:rPr>
              <w:t>2022</w:t>
            </w:r>
          </w:p>
        </w:tc>
        <w:tc>
          <w:tcPr>
            <w:tcW w:w="820" w:type="dxa"/>
            <w:vAlign w:val="bottom"/>
            <w:shd w:val="clear" w:color="auto" w:fill="F0F2F5"/>
          </w:tcPr>
          <w:p>
            <w:pPr>
              <w:jc w:val="center"/>
              <w:spacing w:after="0"/>
              <w:rPr>
                <w:sz w:val="20"/>
                <w:szCs w:val="20"/>
                <w:color w:val="auto"/>
              </w:rPr>
            </w:pPr>
            <w:r>
              <w:rPr>
                <w:rFonts w:ascii="Arial" w:cs="Arial" w:eastAsia="Arial" w:hAnsi="Arial"/>
                <w:sz w:val="18"/>
                <w:szCs w:val="18"/>
                <w:color w:val="auto"/>
                <w:w w:val="93"/>
              </w:rPr>
              <w:t>263</w:t>
            </w:r>
          </w:p>
        </w:tc>
        <w:tc>
          <w:tcPr>
            <w:tcW w:w="860" w:type="dxa"/>
            <w:vAlign w:val="bottom"/>
            <w:shd w:val="clear" w:color="auto" w:fill="F0F2F5"/>
          </w:tcPr>
          <w:p>
            <w:pPr>
              <w:jc w:val="center"/>
              <w:spacing w:after="0"/>
              <w:rPr>
                <w:sz w:val="20"/>
                <w:szCs w:val="20"/>
                <w:color w:val="auto"/>
              </w:rPr>
            </w:pPr>
            <w:r>
              <w:rPr>
                <w:rFonts w:ascii="Arial" w:cs="Arial" w:eastAsia="Arial" w:hAnsi="Arial"/>
                <w:sz w:val="18"/>
                <w:szCs w:val="18"/>
                <w:color w:val="auto"/>
                <w:w w:val="93"/>
              </w:rPr>
              <w:t>30.8%</w:t>
            </w:r>
          </w:p>
        </w:tc>
        <w:tc>
          <w:tcPr>
            <w:tcW w:w="680" w:type="dxa"/>
            <w:vAlign w:val="bottom"/>
            <w:shd w:val="clear" w:color="auto" w:fill="F0F2F5"/>
          </w:tcPr>
          <w:p>
            <w:pPr>
              <w:jc w:val="center"/>
              <w:ind w:right="10"/>
              <w:spacing w:after="0"/>
              <w:rPr>
                <w:sz w:val="20"/>
                <w:szCs w:val="20"/>
                <w:color w:val="auto"/>
              </w:rPr>
            </w:pPr>
            <w:r>
              <w:rPr>
                <w:rFonts w:ascii="Arial" w:cs="Arial" w:eastAsia="Arial" w:hAnsi="Arial"/>
                <w:sz w:val="18"/>
                <w:szCs w:val="18"/>
                <w:color w:val="auto"/>
                <w:w w:val="89"/>
              </w:rPr>
              <w:t>62</w:t>
            </w:r>
          </w:p>
        </w:tc>
        <w:tc>
          <w:tcPr>
            <w:tcW w:w="720" w:type="dxa"/>
            <w:vAlign w:val="bottom"/>
            <w:shd w:val="clear" w:color="auto" w:fill="F0F2F5"/>
          </w:tcPr>
          <w:p>
            <w:pPr>
              <w:jc w:val="center"/>
              <w:ind w:right="30"/>
              <w:spacing w:after="0"/>
              <w:rPr>
                <w:sz w:val="20"/>
                <w:szCs w:val="20"/>
                <w:color w:val="auto"/>
              </w:rPr>
            </w:pPr>
            <w:r>
              <w:rPr>
                <w:rFonts w:ascii="Arial" w:cs="Arial" w:eastAsia="Arial" w:hAnsi="Arial"/>
                <w:sz w:val="18"/>
                <w:szCs w:val="18"/>
                <w:color w:val="auto"/>
                <w:w w:val="87"/>
              </w:rPr>
              <w:t>7.2%</w:t>
            </w:r>
          </w:p>
        </w:tc>
        <w:tc>
          <w:tcPr>
            <w:tcW w:w="760" w:type="dxa"/>
            <w:vAlign w:val="bottom"/>
            <w:shd w:val="clear" w:color="auto" w:fill="F0F2F5"/>
          </w:tcPr>
          <w:p>
            <w:pPr>
              <w:jc w:val="center"/>
              <w:spacing w:after="0"/>
              <w:rPr>
                <w:sz w:val="20"/>
                <w:szCs w:val="20"/>
                <w:color w:val="auto"/>
              </w:rPr>
            </w:pPr>
            <w:r>
              <w:rPr>
                <w:rFonts w:ascii="Arial" w:cs="Arial" w:eastAsia="Arial" w:hAnsi="Arial"/>
                <w:sz w:val="18"/>
                <w:szCs w:val="18"/>
                <w:color w:val="auto"/>
                <w:w w:val="99"/>
              </w:rPr>
              <w:t>6</w:t>
            </w:r>
          </w:p>
        </w:tc>
        <w:tc>
          <w:tcPr>
            <w:tcW w:w="780" w:type="dxa"/>
            <w:vAlign w:val="bottom"/>
            <w:shd w:val="clear" w:color="auto" w:fill="F0F2F5"/>
          </w:tcPr>
          <w:p>
            <w:pPr>
              <w:jc w:val="center"/>
              <w:spacing w:after="0"/>
              <w:rPr>
                <w:sz w:val="20"/>
                <w:szCs w:val="20"/>
                <w:color w:val="auto"/>
              </w:rPr>
            </w:pPr>
            <w:r>
              <w:rPr>
                <w:rFonts w:ascii="Arial" w:cs="Arial" w:eastAsia="Arial" w:hAnsi="Arial"/>
                <w:sz w:val="18"/>
                <w:szCs w:val="18"/>
                <w:color w:val="auto"/>
                <w:w w:val="92"/>
              </w:rPr>
              <w:t>0.7%</w:t>
            </w:r>
          </w:p>
        </w:tc>
        <w:tc>
          <w:tcPr>
            <w:tcW w:w="860" w:type="dxa"/>
            <w:vAlign w:val="bottom"/>
            <w:shd w:val="clear" w:color="auto" w:fill="F0F2F5"/>
          </w:tcPr>
          <w:p>
            <w:pPr>
              <w:jc w:val="center"/>
              <w:spacing w:after="0"/>
              <w:rPr>
                <w:sz w:val="20"/>
                <w:szCs w:val="20"/>
                <w:color w:val="auto"/>
              </w:rPr>
            </w:pPr>
            <w:r>
              <w:rPr>
                <w:rFonts w:ascii="Arial" w:cs="Arial" w:eastAsia="Arial" w:hAnsi="Arial"/>
                <w:sz w:val="18"/>
                <w:szCs w:val="18"/>
                <w:color w:val="auto"/>
                <w:w w:val="86"/>
              </w:rPr>
              <w:t>113</w:t>
            </w:r>
          </w:p>
        </w:tc>
        <w:tc>
          <w:tcPr>
            <w:tcW w:w="840" w:type="dxa"/>
            <w:vAlign w:val="bottom"/>
            <w:shd w:val="clear" w:color="auto" w:fill="F0F2F5"/>
          </w:tcPr>
          <w:p>
            <w:pPr>
              <w:jc w:val="center"/>
              <w:spacing w:after="0"/>
              <w:rPr>
                <w:sz w:val="20"/>
                <w:szCs w:val="20"/>
                <w:color w:val="auto"/>
              </w:rPr>
            </w:pPr>
            <w:r>
              <w:rPr>
                <w:rFonts w:ascii="Arial" w:cs="Arial" w:eastAsia="Arial" w:hAnsi="Arial"/>
                <w:sz w:val="18"/>
                <w:szCs w:val="18"/>
                <w:color w:val="auto"/>
                <w:w w:val="91"/>
              </w:rPr>
              <w:t>132%</w:t>
            </w:r>
          </w:p>
        </w:tc>
        <w:tc>
          <w:tcPr>
            <w:tcW w:w="820" w:type="dxa"/>
            <w:vAlign w:val="bottom"/>
            <w:shd w:val="clear" w:color="auto" w:fill="F0F2F5"/>
          </w:tcPr>
          <w:p>
            <w:pPr>
              <w:jc w:val="center"/>
              <w:spacing w:after="0"/>
              <w:rPr>
                <w:sz w:val="20"/>
                <w:szCs w:val="20"/>
                <w:color w:val="auto"/>
              </w:rPr>
            </w:pPr>
            <w:r>
              <w:rPr>
                <w:rFonts w:ascii="Arial" w:cs="Arial" w:eastAsia="Arial" w:hAnsi="Arial"/>
                <w:sz w:val="18"/>
                <w:szCs w:val="18"/>
                <w:color w:val="auto"/>
                <w:w w:val="86"/>
              </w:rPr>
              <w:t>411</w:t>
            </w:r>
          </w:p>
        </w:tc>
        <w:tc>
          <w:tcPr>
            <w:tcW w:w="860" w:type="dxa"/>
            <w:vAlign w:val="bottom"/>
            <w:shd w:val="clear" w:color="auto" w:fill="F0F2F5"/>
          </w:tcPr>
          <w:p>
            <w:pPr>
              <w:jc w:val="center"/>
              <w:spacing w:after="0"/>
              <w:rPr>
                <w:sz w:val="20"/>
                <w:szCs w:val="20"/>
                <w:color w:val="auto"/>
              </w:rPr>
            </w:pPr>
            <w:r>
              <w:rPr>
                <w:rFonts w:ascii="Arial" w:cs="Arial" w:eastAsia="Arial" w:hAnsi="Arial"/>
                <w:sz w:val="18"/>
                <w:szCs w:val="18"/>
                <w:color w:val="auto"/>
                <w:w w:val="90"/>
              </w:rPr>
              <w:t>48.1%</w:t>
            </w:r>
          </w:p>
        </w:tc>
        <w:tc>
          <w:tcPr>
            <w:tcW w:w="840" w:type="dxa"/>
            <w:vAlign w:val="bottom"/>
            <w:shd w:val="clear" w:color="auto" w:fill="F0F2F5"/>
          </w:tcPr>
          <w:p>
            <w:pPr>
              <w:jc w:val="center"/>
              <w:spacing w:after="0"/>
              <w:rPr>
                <w:sz w:val="20"/>
                <w:szCs w:val="20"/>
                <w:color w:val="auto"/>
              </w:rPr>
            </w:pPr>
            <w:r>
              <w:rPr>
                <w:rFonts w:ascii="Arial" w:cs="Arial" w:eastAsia="Arial" w:hAnsi="Arial"/>
                <w:sz w:val="18"/>
                <w:szCs w:val="18"/>
                <w:color w:val="auto"/>
                <w:w w:val="93"/>
              </w:rPr>
              <w:t>855</w:t>
            </w:r>
          </w:p>
        </w:tc>
        <w:tc>
          <w:tcPr>
            <w:tcW w:w="0" w:type="dxa"/>
            <w:vAlign w:val="bottom"/>
          </w:tcPr>
          <w:p>
            <w:pPr>
              <w:spacing w:after="0"/>
              <w:rPr>
                <w:sz w:val="1"/>
                <w:szCs w:val="1"/>
                <w:color w:val="auto"/>
              </w:rPr>
            </w:pPr>
          </w:p>
        </w:tc>
      </w:tr>
      <w:tr>
        <w:trPr>
          <w:trHeight w:val="96"/>
        </w:trPr>
        <w:tc>
          <w:tcPr>
            <w:tcW w:w="1740" w:type="dxa"/>
            <w:vAlign w:val="bottom"/>
            <w:shd w:val="clear" w:color="auto" w:fill="F0F2F5"/>
          </w:tcPr>
          <w:p>
            <w:pPr>
              <w:spacing w:after="0"/>
              <w:rPr>
                <w:sz w:val="8"/>
                <w:szCs w:val="8"/>
                <w:color w:val="auto"/>
              </w:rPr>
            </w:pPr>
          </w:p>
        </w:tc>
        <w:tc>
          <w:tcPr>
            <w:tcW w:w="660" w:type="dxa"/>
            <w:vAlign w:val="bottom"/>
            <w:shd w:val="clear" w:color="auto" w:fill="F0F2F5"/>
          </w:tcPr>
          <w:p>
            <w:pPr>
              <w:spacing w:after="0"/>
              <w:rPr>
                <w:sz w:val="8"/>
                <w:szCs w:val="8"/>
                <w:color w:val="auto"/>
              </w:rPr>
            </w:pPr>
          </w:p>
        </w:tc>
        <w:tc>
          <w:tcPr>
            <w:tcW w:w="820" w:type="dxa"/>
            <w:vAlign w:val="bottom"/>
            <w:shd w:val="clear" w:color="auto" w:fill="F0F2F5"/>
          </w:tcPr>
          <w:p>
            <w:pPr>
              <w:spacing w:after="0"/>
              <w:rPr>
                <w:sz w:val="8"/>
                <w:szCs w:val="8"/>
                <w:color w:val="auto"/>
              </w:rPr>
            </w:pPr>
          </w:p>
        </w:tc>
        <w:tc>
          <w:tcPr>
            <w:tcW w:w="860" w:type="dxa"/>
            <w:vAlign w:val="bottom"/>
            <w:shd w:val="clear" w:color="auto" w:fill="F0F2F5"/>
          </w:tcPr>
          <w:p>
            <w:pPr>
              <w:spacing w:after="0"/>
              <w:rPr>
                <w:sz w:val="8"/>
                <w:szCs w:val="8"/>
                <w:color w:val="auto"/>
              </w:rPr>
            </w:pPr>
          </w:p>
        </w:tc>
        <w:tc>
          <w:tcPr>
            <w:tcW w:w="680" w:type="dxa"/>
            <w:vAlign w:val="bottom"/>
            <w:shd w:val="clear" w:color="auto" w:fill="F0F2F5"/>
          </w:tcPr>
          <w:p>
            <w:pPr>
              <w:spacing w:after="0"/>
              <w:rPr>
                <w:sz w:val="8"/>
                <w:szCs w:val="8"/>
                <w:color w:val="auto"/>
              </w:rPr>
            </w:pPr>
          </w:p>
        </w:tc>
        <w:tc>
          <w:tcPr>
            <w:tcW w:w="720" w:type="dxa"/>
            <w:vAlign w:val="bottom"/>
            <w:shd w:val="clear" w:color="auto" w:fill="F0F2F5"/>
          </w:tcPr>
          <w:p>
            <w:pPr>
              <w:spacing w:after="0"/>
              <w:rPr>
                <w:sz w:val="8"/>
                <w:szCs w:val="8"/>
                <w:color w:val="auto"/>
              </w:rPr>
            </w:pPr>
          </w:p>
        </w:tc>
        <w:tc>
          <w:tcPr>
            <w:tcW w:w="760" w:type="dxa"/>
            <w:vAlign w:val="bottom"/>
            <w:shd w:val="clear" w:color="auto" w:fill="F0F2F5"/>
          </w:tcPr>
          <w:p>
            <w:pPr>
              <w:spacing w:after="0"/>
              <w:rPr>
                <w:sz w:val="8"/>
                <w:szCs w:val="8"/>
                <w:color w:val="auto"/>
              </w:rPr>
            </w:pPr>
          </w:p>
        </w:tc>
        <w:tc>
          <w:tcPr>
            <w:tcW w:w="780" w:type="dxa"/>
            <w:vAlign w:val="bottom"/>
            <w:shd w:val="clear" w:color="auto" w:fill="F0F2F5"/>
          </w:tcPr>
          <w:p>
            <w:pPr>
              <w:spacing w:after="0"/>
              <w:rPr>
                <w:sz w:val="8"/>
                <w:szCs w:val="8"/>
                <w:color w:val="auto"/>
              </w:rPr>
            </w:pPr>
          </w:p>
        </w:tc>
        <w:tc>
          <w:tcPr>
            <w:tcW w:w="860" w:type="dxa"/>
            <w:vAlign w:val="bottom"/>
            <w:shd w:val="clear" w:color="auto" w:fill="F0F2F5"/>
          </w:tcPr>
          <w:p>
            <w:pPr>
              <w:spacing w:after="0"/>
              <w:rPr>
                <w:sz w:val="8"/>
                <w:szCs w:val="8"/>
                <w:color w:val="auto"/>
              </w:rPr>
            </w:pPr>
          </w:p>
        </w:tc>
        <w:tc>
          <w:tcPr>
            <w:tcW w:w="840" w:type="dxa"/>
            <w:vAlign w:val="bottom"/>
            <w:shd w:val="clear" w:color="auto" w:fill="F0F2F5"/>
          </w:tcPr>
          <w:p>
            <w:pPr>
              <w:spacing w:after="0"/>
              <w:rPr>
                <w:sz w:val="8"/>
                <w:szCs w:val="8"/>
                <w:color w:val="auto"/>
              </w:rPr>
            </w:pPr>
          </w:p>
        </w:tc>
        <w:tc>
          <w:tcPr>
            <w:tcW w:w="820" w:type="dxa"/>
            <w:vAlign w:val="bottom"/>
            <w:shd w:val="clear" w:color="auto" w:fill="F0F2F5"/>
          </w:tcPr>
          <w:p>
            <w:pPr>
              <w:spacing w:after="0"/>
              <w:rPr>
                <w:sz w:val="8"/>
                <w:szCs w:val="8"/>
                <w:color w:val="auto"/>
              </w:rPr>
            </w:pPr>
          </w:p>
        </w:tc>
        <w:tc>
          <w:tcPr>
            <w:tcW w:w="860" w:type="dxa"/>
            <w:vAlign w:val="bottom"/>
            <w:shd w:val="clear" w:color="auto" w:fill="F0F2F5"/>
          </w:tcPr>
          <w:p>
            <w:pPr>
              <w:spacing w:after="0"/>
              <w:rPr>
                <w:sz w:val="8"/>
                <w:szCs w:val="8"/>
                <w:color w:val="auto"/>
              </w:rPr>
            </w:pPr>
          </w:p>
        </w:tc>
        <w:tc>
          <w:tcPr>
            <w:tcW w:w="840" w:type="dxa"/>
            <w:vAlign w:val="bottom"/>
            <w:shd w:val="clear" w:color="auto" w:fill="F0F2F5"/>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17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2021</w:t>
            </w:r>
          </w:p>
        </w:tc>
        <w:tc>
          <w:tcPr>
            <w:tcW w:w="820" w:type="dxa"/>
            <w:vAlign w:val="bottom"/>
          </w:tcPr>
          <w:p>
            <w:pPr>
              <w:jc w:val="center"/>
              <w:spacing w:after="0"/>
              <w:rPr>
                <w:sz w:val="20"/>
                <w:szCs w:val="20"/>
                <w:color w:val="auto"/>
              </w:rPr>
            </w:pPr>
            <w:r>
              <w:rPr>
                <w:rFonts w:ascii="Arial" w:cs="Arial" w:eastAsia="Arial" w:hAnsi="Arial"/>
                <w:sz w:val="18"/>
                <w:szCs w:val="18"/>
                <w:color w:val="auto"/>
                <w:w w:val="93"/>
              </w:rPr>
              <w:t>174</w:t>
            </w:r>
          </w:p>
        </w:tc>
        <w:tc>
          <w:tcPr>
            <w:tcW w:w="860" w:type="dxa"/>
            <w:vAlign w:val="bottom"/>
          </w:tcPr>
          <w:p>
            <w:pPr>
              <w:jc w:val="center"/>
              <w:spacing w:after="0"/>
              <w:rPr>
                <w:sz w:val="20"/>
                <w:szCs w:val="20"/>
                <w:color w:val="auto"/>
              </w:rPr>
            </w:pPr>
            <w:r>
              <w:rPr>
                <w:rFonts w:ascii="Arial" w:cs="Arial" w:eastAsia="Arial" w:hAnsi="Arial"/>
                <w:sz w:val="18"/>
                <w:szCs w:val="18"/>
                <w:color w:val="auto"/>
                <w:w w:val="93"/>
              </w:rPr>
              <w:t>12.9%</w:t>
            </w:r>
          </w:p>
        </w:tc>
        <w:tc>
          <w:tcPr>
            <w:tcW w:w="680" w:type="dxa"/>
            <w:vAlign w:val="bottom"/>
          </w:tcPr>
          <w:p>
            <w:pPr>
              <w:jc w:val="center"/>
              <w:ind w:right="30"/>
              <w:spacing w:after="0"/>
              <w:rPr>
                <w:sz w:val="20"/>
                <w:szCs w:val="20"/>
                <w:color w:val="auto"/>
              </w:rPr>
            </w:pPr>
            <w:r>
              <w:rPr>
                <w:rFonts w:ascii="Arial" w:cs="Arial" w:eastAsia="Arial" w:hAnsi="Arial"/>
                <w:sz w:val="18"/>
                <w:szCs w:val="18"/>
                <w:color w:val="auto"/>
                <w:w w:val="79"/>
              </w:rPr>
              <w:t>0</w:t>
            </w:r>
          </w:p>
        </w:tc>
        <w:tc>
          <w:tcPr>
            <w:tcW w:w="720" w:type="dxa"/>
            <w:vAlign w:val="bottom"/>
          </w:tcPr>
          <w:p>
            <w:pPr>
              <w:jc w:val="center"/>
              <w:ind w:right="30"/>
              <w:spacing w:after="0"/>
              <w:rPr>
                <w:sz w:val="20"/>
                <w:szCs w:val="20"/>
                <w:color w:val="auto"/>
              </w:rPr>
            </w:pPr>
            <w:r>
              <w:rPr>
                <w:rFonts w:ascii="Arial" w:cs="Arial" w:eastAsia="Arial" w:hAnsi="Arial"/>
                <w:sz w:val="18"/>
                <w:szCs w:val="18"/>
                <w:color w:val="auto"/>
                <w:w w:val="87"/>
              </w:rPr>
              <w:t>0.0%</w:t>
            </w:r>
          </w:p>
        </w:tc>
        <w:tc>
          <w:tcPr>
            <w:tcW w:w="760" w:type="dxa"/>
            <w:vAlign w:val="bottom"/>
          </w:tcPr>
          <w:p>
            <w:pPr>
              <w:jc w:val="center"/>
              <w:spacing w:after="0"/>
              <w:rPr>
                <w:sz w:val="20"/>
                <w:szCs w:val="20"/>
                <w:color w:val="auto"/>
              </w:rPr>
            </w:pPr>
            <w:r>
              <w:rPr>
                <w:rFonts w:ascii="Arial" w:cs="Arial" w:eastAsia="Arial" w:hAnsi="Arial"/>
                <w:sz w:val="18"/>
                <w:szCs w:val="18"/>
                <w:color w:val="auto"/>
                <w:w w:val="99"/>
              </w:rPr>
              <w:t>5</w:t>
            </w:r>
          </w:p>
        </w:tc>
        <w:tc>
          <w:tcPr>
            <w:tcW w:w="780" w:type="dxa"/>
            <w:vAlign w:val="bottom"/>
          </w:tcPr>
          <w:p>
            <w:pPr>
              <w:jc w:val="center"/>
              <w:spacing w:after="0"/>
              <w:rPr>
                <w:sz w:val="20"/>
                <w:szCs w:val="20"/>
                <w:color w:val="auto"/>
              </w:rPr>
            </w:pPr>
            <w:r>
              <w:rPr>
                <w:rFonts w:ascii="Arial" w:cs="Arial" w:eastAsia="Arial" w:hAnsi="Arial"/>
                <w:sz w:val="18"/>
                <w:szCs w:val="18"/>
                <w:color w:val="auto"/>
                <w:w w:val="92"/>
              </w:rPr>
              <w:t>0.4%</w:t>
            </w:r>
          </w:p>
        </w:tc>
        <w:tc>
          <w:tcPr>
            <w:tcW w:w="860" w:type="dxa"/>
            <w:vAlign w:val="bottom"/>
          </w:tcPr>
          <w:p>
            <w:pPr>
              <w:jc w:val="center"/>
              <w:spacing w:after="0"/>
              <w:rPr>
                <w:sz w:val="20"/>
                <w:szCs w:val="20"/>
                <w:color w:val="auto"/>
              </w:rPr>
            </w:pPr>
            <w:r>
              <w:rPr>
                <w:rFonts w:ascii="Arial" w:cs="Arial" w:eastAsia="Arial" w:hAnsi="Arial"/>
                <w:sz w:val="18"/>
                <w:szCs w:val="18"/>
                <w:color w:val="auto"/>
                <w:w w:val="86"/>
              </w:rPr>
              <w:t>100</w:t>
            </w:r>
          </w:p>
        </w:tc>
        <w:tc>
          <w:tcPr>
            <w:tcW w:w="840" w:type="dxa"/>
            <w:vAlign w:val="bottom"/>
          </w:tcPr>
          <w:p>
            <w:pPr>
              <w:jc w:val="center"/>
              <w:spacing w:after="0"/>
              <w:rPr>
                <w:sz w:val="20"/>
                <w:szCs w:val="20"/>
                <w:color w:val="auto"/>
              </w:rPr>
            </w:pPr>
            <w:r>
              <w:rPr>
                <w:rFonts w:ascii="Arial" w:cs="Arial" w:eastAsia="Arial" w:hAnsi="Arial"/>
                <w:sz w:val="18"/>
                <w:szCs w:val="18"/>
                <w:color w:val="auto"/>
                <w:w w:val="92"/>
              </w:rPr>
              <w:t>7.4%</w:t>
            </w:r>
          </w:p>
        </w:tc>
        <w:tc>
          <w:tcPr>
            <w:tcW w:w="820" w:type="dxa"/>
            <w:vAlign w:val="bottom"/>
          </w:tcPr>
          <w:p>
            <w:pPr>
              <w:jc w:val="center"/>
              <w:spacing w:after="0"/>
              <w:rPr>
                <w:sz w:val="20"/>
                <w:szCs w:val="20"/>
                <w:color w:val="auto"/>
              </w:rPr>
            </w:pPr>
            <w:r>
              <w:rPr>
                <w:rFonts w:ascii="Arial" w:cs="Arial" w:eastAsia="Arial" w:hAnsi="Arial"/>
                <w:sz w:val="18"/>
                <w:szCs w:val="18"/>
                <w:color w:val="auto"/>
                <w:w w:val="88"/>
              </w:rPr>
              <w:t>1,067</w:t>
            </w:r>
          </w:p>
        </w:tc>
        <w:tc>
          <w:tcPr>
            <w:tcW w:w="860" w:type="dxa"/>
            <w:vAlign w:val="bottom"/>
          </w:tcPr>
          <w:p>
            <w:pPr>
              <w:jc w:val="center"/>
              <w:spacing w:after="0"/>
              <w:rPr>
                <w:sz w:val="20"/>
                <w:szCs w:val="20"/>
                <w:color w:val="auto"/>
              </w:rPr>
            </w:pPr>
            <w:r>
              <w:rPr>
                <w:rFonts w:ascii="Arial" w:cs="Arial" w:eastAsia="Arial" w:hAnsi="Arial"/>
                <w:sz w:val="18"/>
                <w:szCs w:val="18"/>
                <w:color w:val="auto"/>
                <w:w w:val="90"/>
              </w:rPr>
              <w:t>79.3%</w:t>
            </w:r>
          </w:p>
        </w:tc>
        <w:tc>
          <w:tcPr>
            <w:tcW w:w="840" w:type="dxa"/>
            <w:vAlign w:val="bottom"/>
          </w:tcPr>
          <w:p>
            <w:pPr>
              <w:jc w:val="center"/>
              <w:spacing w:after="0"/>
              <w:rPr>
                <w:sz w:val="20"/>
                <w:szCs w:val="20"/>
                <w:color w:val="auto"/>
              </w:rPr>
            </w:pPr>
            <w:r>
              <w:rPr>
                <w:rFonts w:ascii="Arial" w:cs="Arial" w:eastAsia="Arial" w:hAnsi="Arial"/>
                <w:sz w:val="18"/>
                <w:szCs w:val="18"/>
                <w:color w:val="auto"/>
                <w:w w:val="88"/>
              </w:rPr>
              <w:t>1,346</w:t>
            </w:r>
          </w:p>
        </w:tc>
        <w:tc>
          <w:tcPr>
            <w:tcW w:w="0" w:type="dxa"/>
            <w:vAlign w:val="bottom"/>
          </w:tcPr>
          <w:p>
            <w:pPr>
              <w:spacing w:after="0"/>
              <w:rPr>
                <w:sz w:val="1"/>
                <w:szCs w:val="1"/>
                <w:color w:val="auto"/>
              </w:rPr>
            </w:pPr>
          </w:p>
        </w:tc>
      </w:tr>
      <w:tr>
        <w:trPr>
          <w:trHeight w:val="202"/>
        </w:trPr>
        <w:tc>
          <w:tcPr>
            <w:tcW w:w="17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90"/>
        </w:trPr>
        <w:tc>
          <w:tcPr>
            <w:tcW w:w="1740" w:type="dxa"/>
            <w:vAlign w:val="bottom"/>
            <w:shd w:val="clear" w:color="auto" w:fill="F0F2F5"/>
          </w:tcPr>
          <w:p>
            <w:pPr>
              <w:spacing w:after="0"/>
              <w:rPr>
                <w:sz w:val="20"/>
                <w:szCs w:val="20"/>
                <w:color w:val="auto"/>
              </w:rPr>
            </w:pPr>
            <w:r>
              <w:rPr>
                <w:rFonts w:ascii="Arial" w:cs="Arial" w:eastAsia="Arial" w:hAnsi="Arial"/>
                <w:sz w:val="18"/>
                <w:szCs w:val="18"/>
                <w:color w:val="auto"/>
              </w:rPr>
              <w:t>Mustafa Veziroglu</w:t>
            </w:r>
            <w:r>
              <w:rPr>
                <w:rFonts w:ascii="Arial" w:cs="Arial" w:eastAsia="Arial" w:hAnsi="Arial"/>
                <w:sz w:val="29"/>
                <w:szCs w:val="29"/>
                <w:color w:val="auto"/>
                <w:vertAlign w:val="superscript"/>
              </w:rPr>
              <w:t>11</w:t>
            </w:r>
          </w:p>
        </w:tc>
        <w:tc>
          <w:tcPr>
            <w:tcW w:w="660" w:type="dxa"/>
            <w:vAlign w:val="bottom"/>
            <w:shd w:val="clear" w:color="auto" w:fill="F0F2F5"/>
          </w:tcPr>
          <w:p>
            <w:pPr>
              <w:jc w:val="right"/>
              <w:spacing w:after="0"/>
              <w:rPr>
                <w:sz w:val="20"/>
                <w:szCs w:val="20"/>
                <w:color w:val="auto"/>
              </w:rPr>
            </w:pPr>
            <w:r>
              <w:rPr>
                <w:rFonts w:ascii="Arial" w:cs="Arial" w:eastAsia="Arial" w:hAnsi="Arial"/>
                <w:sz w:val="18"/>
                <w:szCs w:val="18"/>
                <w:color w:val="auto"/>
              </w:rPr>
              <w:t>2022</w:t>
            </w:r>
          </w:p>
        </w:tc>
        <w:tc>
          <w:tcPr>
            <w:tcW w:w="820" w:type="dxa"/>
            <w:vAlign w:val="bottom"/>
            <w:shd w:val="clear" w:color="auto" w:fill="F0F2F5"/>
          </w:tcPr>
          <w:p>
            <w:pPr>
              <w:jc w:val="center"/>
              <w:spacing w:after="0"/>
              <w:rPr>
                <w:sz w:val="20"/>
                <w:szCs w:val="20"/>
                <w:color w:val="auto"/>
              </w:rPr>
            </w:pPr>
            <w:r>
              <w:rPr>
                <w:rFonts w:ascii="Arial" w:cs="Arial" w:eastAsia="Arial" w:hAnsi="Arial"/>
                <w:sz w:val="18"/>
                <w:szCs w:val="18"/>
                <w:color w:val="auto"/>
                <w:w w:val="93"/>
              </w:rPr>
              <w:t>129</w:t>
            </w:r>
          </w:p>
        </w:tc>
        <w:tc>
          <w:tcPr>
            <w:tcW w:w="860" w:type="dxa"/>
            <w:vAlign w:val="bottom"/>
            <w:shd w:val="clear" w:color="auto" w:fill="F0F2F5"/>
          </w:tcPr>
          <w:p>
            <w:pPr>
              <w:jc w:val="center"/>
              <w:spacing w:after="0"/>
              <w:rPr>
                <w:sz w:val="20"/>
                <w:szCs w:val="20"/>
                <w:color w:val="auto"/>
              </w:rPr>
            </w:pPr>
            <w:r>
              <w:rPr>
                <w:rFonts w:ascii="Arial" w:cs="Arial" w:eastAsia="Arial" w:hAnsi="Arial"/>
                <w:sz w:val="18"/>
                <w:szCs w:val="18"/>
                <w:color w:val="auto"/>
                <w:w w:val="93"/>
              </w:rPr>
              <w:t>19.2%</w:t>
            </w:r>
          </w:p>
        </w:tc>
        <w:tc>
          <w:tcPr>
            <w:tcW w:w="680" w:type="dxa"/>
            <w:vAlign w:val="bottom"/>
            <w:shd w:val="clear" w:color="auto" w:fill="F0F2F5"/>
          </w:tcPr>
          <w:p>
            <w:pPr>
              <w:jc w:val="center"/>
              <w:ind w:right="30"/>
              <w:spacing w:after="0"/>
              <w:rPr>
                <w:sz w:val="20"/>
                <w:szCs w:val="20"/>
                <w:color w:val="auto"/>
              </w:rPr>
            </w:pPr>
            <w:r>
              <w:rPr>
                <w:rFonts w:ascii="Arial" w:cs="Arial" w:eastAsia="Arial" w:hAnsi="Arial"/>
                <w:sz w:val="18"/>
                <w:szCs w:val="18"/>
                <w:color w:val="auto"/>
                <w:w w:val="79"/>
              </w:rPr>
              <w:t>0</w:t>
            </w:r>
          </w:p>
        </w:tc>
        <w:tc>
          <w:tcPr>
            <w:tcW w:w="720" w:type="dxa"/>
            <w:vAlign w:val="bottom"/>
            <w:shd w:val="clear" w:color="auto" w:fill="F0F2F5"/>
          </w:tcPr>
          <w:p>
            <w:pPr>
              <w:jc w:val="center"/>
              <w:ind w:right="30"/>
              <w:spacing w:after="0"/>
              <w:rPr>
                <w:sz w:val="20"/>
                <w:szCs w:val="20"/>
                <w:color w:val="auto"/>
              </w:rPr>
            </w:pPr>
            <w:r>
              <w:rPr>
                <w:rFonts w:ascii="Arial" w:cs="Arial" w:eastAsia="Arial" w:hAnsi="Arial"/>
                <w:sz w:val="18"/>
                <w:szCs w:val="18"/>
                <w:color w:val="auto"/>
                <w:w w:val="87"/>
              </w:rPr>
              <w:t>0.0%</w:t>
            </w:r>
          </w:p>
        </w:tc>
        <w:tc>
          <w:tcPr>
            <w:tcW w:w="760" w:type="dxa"/>
            <w:vAlign w:val="bottom"/>
            <w:shd w:val="clear" w:color="auto" w:fill="F0F2F5"/>
          </w:tcPr>
          <w:p>
            <w:pPr>
              <w:jc w:val="center"/>
              <w:spacing w:after="0"/>
              <w:rPr>
                <w:sz w:val="20"/>
                <w:szCs w:val="20"/>
                <w:color w:val="auto"/>
              </w:rPr>
            </w:pPr>
            <w:r>
              <w:rPr>
                <w:rFonts w:ascii="Arial" w:cs="Arial" w:eastAsia="Arial" w:hAnsi="Arial"/>
                <w:sz w:val="18"/>
                <w:szCs w:val="18"/>
                <w:color w:val="auto"/>
                <w:w w:val="89"/>
              </w:rPr>
              <w:t>82</w:t>
            </w:r>
          </w:p>
        </w:tc>
        <w:tc>
          <w:tcPr>
            <w:tcW w:w="780" w:type="dxa"/>
            <w:vAlign w:val="bottom"/>
            <w:shd w:val="clear" w:color="auto" w:fill="F0F2F5"/>
          </w:tcPr>
          <w:p>
            <w:pPr>
              <w:jc w:val="center"/>
              <w:spacing w:after="0"/>
              <w:rPr>
                <w:sz w:val="20"/>
                <w:szCs w:val="20"/>
                <w:color w:val="auto"/>
              </w:rPr>
            </w:pPr>
            <w:r>
              <w:rPr>
                <w:rFonts w:ascii="Arial" w:cs="Arial" w:eastAsia="Arial" w:hAnsi="Arial"/>
                <w:sz w:val="18"/>
                <w:szCs w:val="18"/>
                <w:color w:val="auto"/>
                <w:w w:val="90"/>
              </w:rPr>
              <w:t>12.2%</w:t>
            </w:r>
          </w:p>
        </w:tc>
        <w:tc>
          <w:tcPr>
            <w:tcW w:w="860" w:type="dxa"/>
            <w:vAlign w:val="bottom"/>
            <w:shd w:val="clear" w:color="auto" w:fill="F0F2F5"/>
          </w:tcPr>
          <w:p>
            <w:pPr>
              <w:jc w:val="center"/>
              <w:spacing w:after="0"/>
              <w:rPr>
                <w:sz w:val="20"/>
                <w:szCs w:val="20"/>
                <w:color w:val="auto"/>
              </w:rPr>
            </w:pPr>
            <w:r>
              <w:rPr>
                <w:rFonts w:ascii="Arial" w:cs="Arial" w:eastAsia="Arial" w:hAnsi="Arial"/>
                <w:sz w:val="18"/>
                <w:szCs w:val="18"/>
                <w:color w:val="auto"/>
                <w:w w:val="89"/>
              </w:rPr>
              <w:t>49</w:t>
            </w:r>
          </w:p>
        </w:tc>
        <w:tc>
          <w:tcPr>
            <w:tcW w:w="840" w:type="dxa"/>
            <w:vAlign w:val="bottom"/>
            <w:shd w:val="clear" w:color="auto" w:fill="F0F2F5"/>
          </w:tcPr>
          <w:p>
            <w:pPr>
              <w:jc w:val="center"/>
              <w:spacing w:after="0"/>
              <w:rPr>
                <w:sz w:val="20"/>
                <w:szCs w:val="20"/>
                <w:color w:val="auto"/>
              </w:rPr>
            </w:pPr>
            <w:r>
              <w:rPr>
                <w:rFonts w:ascii="Arial" w:cs="Arial" w:eastAsia="Arial" w:hAnsi="Arial"/>
                <w:sz w:val="18"/>
                <w:szCs w:val="18"/>
                <w:color w:val="auto"/>
                <w:w w:val="92"/>
              </w:rPr>
              <w:t>7.3%</w:t>
            </w:r>
          </w:p>
        </w:tc>
        <w:tc>
          <w:tcPr>
            <w:tcW w:w="820" w:type="dxa"/>
            <w:vAlign w:val="bottom"/>
            <w:shd w:val="clear" w:color="auto" w:fill="F0F2F5"/>
          </w:tcPr>
          <w:p>
            <w:pPr>
              <w:jc w:val="center"/>
              <w:spacing w:after="0"/>
              <w:rPr>
                <w:sz w:val="20"/>
                <w:szCs w:val="20"/>
                <w:color w:val="auto"/>
              </w:rPr>
            </w:pPr>
            <w:r>
              <w:rPr>
                <w:rFonts w:ascii="Arial" w:cs="Arial" w:eastAsia="Arial" w:hAnsi="Arial"/>
                <w:sz w:val="18"/>
                <w:szCs w:val="18"/>
                <w:color w:val="auto"/>
                <w:w w:val="86"/>
              </w:rPr>
              <w:t>411</w:t>
            </w:r>
          </w:p>
        </w:tc>
        <w:tc>
          <w:tcPr>
            <w:tcW w:w="860" w:type="dxa"/>
            <w:vAlign w:val="bottom"/>
            <w:shd w:val="clear" w:color="auto" w:fill="F0F2F5"/>
          </w:tcPr>
          <w:p>
            <w:pPr>
              <w:jc w:val="center"/>
              <w:spacing w:after="0"/>
              <w:rPr>
                <w:sz w:val="20"/>
                <w:szCs w:val="20"/>
                <w:color w:val="auto"/>
              </w:rPr>
            </w:pPr>
            <w:r>
              <w:rPr>
                <w:rFonts w:ascii="Arial" w:cs="Arial" w:eastAsia="Arial" w:hAnsi="Arial"/>
                <w:sz w:val="18"/>
                <w:szCs w:val="18"/>
                <w:color w:val="auto"/>
                <w:w w:val="90"/>
              </w:rPr>
              <w:t>61.3%</w:t>
            </w:r>
          </w:p>
        </w:tc>
        <w:tc>
          <w:tcPr>
            <w:tcW w:w="840" w:type="dxa"/>
            <w:vAlign w:val="bottom"/>
            <w:shd w:val="clear" w:color="auto" w:fill="F0F2F5"/>
          </w:tcPr>
          <w:p>
            <w:pPr>
              <w:jc w:val="center"/>
              <w:spacing w:after="0"/>
              <w:rPr>
                <w:sz w:val="20"/>
                <w:szCs w:val="20"/>
                <w:color w:val="auto"/>
              </w:rPr>
            </w:pPr>
            <w:r>
              <w:rPr>
                <w:rFonts w:ascii="Arial" w:cs="Arial" w:eastAsia="Arial" w:hAnsi="Arial"/>
                <w:sz w:val="18"/>
                <w:szCs w:val="18"/>
                <w:color w:val="auto"/>
                <w:w w:val="93"/>
              </w:rPr>
              <w:t>671</w:t>
            </w:r>
          </w:p>
        </w:tc>
        <w:tc>
          <w:tcPr>
            <w:tcW w:w="0" w:type="dxa"/>
            <w:vAlign w:val="bottom"/>
          </w:tcPr>
          <w:p>
            <w:pPr>
              <w:spacing w:after="0"/>
              <w:rPr>
                <w:sz w:val="1"/>
                <w:szCs w:val="1"/>
                <w:color w:val="auto"/>
              </w:rPr>
            </w:pPr>
          </w:p>
        </w:tc>
      </w:tr>
      <w:tr>
        <w:trPr>
          <w:trHeight w:val="82"/>
        </w:trPr>
        <w:tc>
          <w:tcPr>
            <w:tcW w:w="1740" w:type="dxa"/>
            <w:vAlign w:val="bottom"/>
            <w:shd w:val="clear" w:color="auto" w:fill="F0F2F5"/>
          </w:tcPr>
          <w:p>
            <w:pPr>
              <w:spacing w:after="0"/>
              <w:rPr>
                <w:sz w:val="7"/>
                <w:szCs w:val="7"/>
                <w:color w:val="auto"/>
              </w:rPr>
            </w:pPr>
          </w:p>
        </w:tc>
        <w:tc>
          <w:tcPr>
            <w:tcW w:w="660" w:type="dxa"/>
            <w:vAlign w:val="bottom"/>
            <w:shd w:val="clear" w:color="auto" w:fill="F0F2F5"/>
          </w:tcPr>
          <w:p>
            <w:pPr>
              <w:spacing w:after="0"/>
              <w:rPr>
                <w:sz w:val="7"/>
                <w:szCs w:val="7"/>
                <w:color w:val="auto"/>
              </w:rPr>
            </w:pPr>
          </w:p>
        </w:tc>
        <w:tc>
          <w:tcPr>
            <w:tcW w:w="820" w:type="dxa"/>
            <w:vAlign w:val="bottom"/>
            <w:shd w:val="clear" w:color="auto" w:fill="F0F2F5"/>
          </w:tcPr>
          <w:p>
            <w:pPr>
              <w:spacing w:after="0"/>
              <w:rPr>
                <w:sz w:val="7"/>
                <w:szCs w:val="7"/>
                <w:color w:val="auto"/>
              </w:rPr>
            </w:pPr>
          </w:p>
        </w:tc>
        <w:tc>
          <w:tcPr>
            <w:tcW w:w="860" w:type="dxa"/>
            <w:vAlign w:val="bottom"/>
            <w:shd w:val="clear" w:color="auto" w:fill="F0F2F5"/>
          </w:tcPr>
          <w:p>
            <w:pPr>
              <w:spacing w:after="0"/>
              <w:rPr>
                <w:sz w:val="7"/>
                <w:szCs w:val="7"/>
                <w:color w:val="auto"/>
              </w:rPr>
            </w:pPr>
          </w:p>
        </w:tc>
        <w:tc>
          <w:tcPr>
            <w:tcW w:w="680" w:type="dxa"/>
            <w:vAlign w:val="bottom"/>
            <w:shd w:val="clear" w:color="auto" w:fill="F0F2F5"/>
          </w:tcPr>
          <w:p>
            <w:pPr>
              <w:spacing w:after="0"/>
              <w:rPr>
                <w:sz w:val="7"/>
                <w:szCs w:val="7"/>
                <w:color w:val="auto"/>
              </w:rPr>
            </w:pPr>
          </w:p>
        </w:tc>
        <w:tc>
          <w:tcPr>
            <w:tcW w:w="720" w:type="dxa"/>
            <w:vAlign w:val="bottom"/>
            <w:shd w:val="clear" w:color="auto" w:fill="F0F2F5"/>
          </w:tcPr>
          <w:p>
            <w:pPr>
              <w:spacing w:after="0"/>
              <w:rPr>
                <w:sz w:val="7"/>
                <w:szCs w:val="7"/>
                <w:color w:val="auto"/>
              </w:rPr>
            </w:pPr>
          </w:p>
        </w:tc>
        <w:tc>
          <w:tcPr>
            <w:tcW w:w="760" w:type="dxa"/>
            <w:vAlign w:val="bottom"/>
            <w:shd w:val="clear" w:color="auto" w:fill="F0F2F5"/>
          </w:tcPr>
          <w:p>
            <w:pPr>
              <w:spacing w:after="0"/>
              <w:rPr>
                <w:sz w:val="7"/>
                <w:szCs w:val="7"/>
                <w:color w:val="auto"/>
              </w:rPr>
            </w:pPr>
          </w:p>
        </w:tc>
        <w:tc>
          <w:tcPr>
            <w:tcW w:w="780" w:type="dxa"/>
            <w:vAlign w:val="bottom"/>
            <w:shd w:val="clear" w:color="auto" w:fill="F0F2F5"/>
          </w:tcPr>
          <w:p>
            <w:pPr>
              <w:spacing w:after="0"/>
              <w:rPr>
                <w:sz w:val="7"/>
                <w:szCs w:val="7"/>
                <w:color w:val="auto"/>
              </w:rPr>
            </w:pPr>
          </w:p>
        </w:tc>
        <w:tc>
          <w:tcPr>
            <w:tcW w:w="860" w:type="dxa"/>
            <w:vAlign w:val="bottom"/>
            <w:shd w:val="clear" w:color="auto" w:fill="F0F2F5"/>
          </w:tcPr>
          <w:p>
            <w:pPr>
              <w:spacing w:after="0"/>
              <w:rPr>
                <w:sz w:val="7"/>
                <w:szCs w:val="7"/>
                <w:color w:val="auto"/>
              </w:rPr>
            </w:pPr>
          </w:p>
        </w:tc>
        <w:tc>
          <w:tcPr>
            <w:tcW w:w="840" w:type="dxa"/>
            <w:vAlign w:val="bottom"/>
            <w:shd w:val="clear" w:color="auto" w:fill="F0F2F5"/>
          </w:tcPr>
          <w:p>
            <w:pPr>
              <w:spacing w:after="0"/>
              <w:rPr>
                <w:sz w:val="7"/>
                <w:szCs w:val="7"/>
                <w:color w:val="auto"/>
              </w:rPr>
            </w:pPr>
          </w:p>
        </w:tc>
        <w:tc>
          <w:tcPr>
            <w:tcW w:w="820" w:type="dxa"/>
            <w:vAlign w:val="bottom"/>
            <w:shd w:val="clear" w:color="auto" w:fill="F0F2F5"/>
          </w:tcPr>
          <w:p>
            <w:pPr>
              <w:spacing w:after="0"/>
              <w:rPr>
                <w:sz w:val="7"/>
                <w:szCs w:val="7"/>
                <w:color w:val="auto"/>
              </w:rPr>
            </w:pPr>
          </w:p>
        </w:tc>
        <w:tc>
          <w:tcPr>
            <w:tcW w:w="860" w:type="dxa"/>
            <w:vAlign w:val="bottom"/>
            <w:shd w:val="clear" w:color="auto" w:fill="F0F2F5"/>
          </w:tcPr>
          <w:p>
            <w:pPr>
              <w:spacing w:after="0"/>
              <w:rPr>
                <w:sz w:val="7"/>
                <w:szCs w:val="7"/>
                <w:color w:val="auto"/>
              </w:rPr>
            </w:pPr>
          </w:p>
        </w:tc>
        <w:tc>
          <w:tcPr>
            <w:tcW w:w="840" w:type="dxa"/>
            <w:vAlign w:val="bottom"/>
            <w:shd w:val="clear" w:color="auto" w:fill="F0F2F5"/>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17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2021</w:t>
            </w:r>
          </w:p>
        </w:tc>
        <w:tc>
          <w:tcPr>
            <w:tcW w:w="820" w:type="dxa"/>
            <w:vAlign w:val="bottom"/>
          </w:tcPr>
          <w:p>
            <w:pPr>
              <w:jc w:val="center"/>
              <w:spacing w:after="0"/>
              <w:rPr>
                <w:sz w:val="20"/>
                <w:szCs w:val="20"/>
                <w:color w:val="auto"/>
              </w:rPr>
            </w:pPr>
            <w:r>
              <w:rPr>
                <w:rFonts w:ascii="Arial" w:cs="Arial" w:eastAsia="Arial" w:hAnsi="Arial"/>
                <w:sz w:val="18"/>
                <w:szCs w:val="18"/>
                <w:color w:val="auto"/>
                <w:w w:val="92"/>
              </w:rPr>
              <w:t>./.</w:t>
            </w:r>
          </w:p>
        </w:tc>
        <w:tc>
          <w:tcPr>
            <w:tcW w:w="860" w:type="dxa"/>
            <w:vAlign w:val="bottom"/>
          </w:tcPr>
          <w:p>
            <w:pPr>
              <w:jc w:val="center"/>
              <w:spacing w:after="0"/>
              <w:rPr>
                <w:sz w:val="20"/>
                <w:szCs w:val="20"/>
                <w:color w:val="auto"/>
              </w:rPr>
            </w:pPr>
            <w:r>
              <w:rPr>
                <w:rFonts w:ascii="Arial" w:cs="Arial" w:eastAsia="Arial" w:hAnsi="Arial"/>
                <w:sz w:val="18"/>
                <w:szCs w:val="18"/>
                <w:color w:val="auto"/>
                <w:w w:val="92"/>
              </w:rPr>
              <w:t>./.</w:t>
            </w:r>
          </w:p>
        </w:tc>
        <w:tc>
          <w:tcPr>
            <w:tcW w:w="680" w:type="dxa"/>
            <w:vAlign w:val="bottom"/>
          </w:tcPr>
          <w:p>
            <w:pPr>
              <w:jc w:val="center"/>
              <w:ind w:right="10"/>
              <w:spacing w:after="0"/>
              <w:rPr>
                <w:sz w:val="20"/>
                <w:szCs w:val="20"/>
                <w:color w:val="auto"/>
              </w:rPr>
            </w:pPr>
            <w:r>
              <w:rPr>
                <w:rFonts w:ascii="Arial" w:cs="Arial" w:eastAsia="Arial" w:hAnsi="Arial"/>
                <w:sz w:val="18"/>
                <w:szCs w:val="18"/>
                <w:color w:val="auto"/>
                <w:w w:val="92"/>
              </w:rPr>
              <w:t>./.</w:t>
            </w:r>
          </w:p>
        </w:tc>
        <w:tc>
          <w:tcPr>
            <w:tcW w:w="720" w:type="dxa"/>
            <w:vAlign w:val="bottom"/>
          </w:tcPr>
          <w:p>
            <w:pPr>
              <w:jc w:val="center"/>
              <w:ind w:right="10"/>
              <w:spacing w:after="0"/>
              <w:rPr>
                <w:sz w:val="20"/>
                <w:szCs w:val="20"/>
                <w:color w:val="auto"/>
              </w:rPr>
            </w:pPr>
            <w:r>
              <w:rPr>
                <w:rFonts w:ascii="Arial" w:cs="Arial" w:eastAsia="Arial" w:hAnsi="Arial"/>
                <w:sz w:val="18"/>
                <w:szCs w:val="18"/>
                <w:color w:val="auto"/>
                <w:w w:val="92"/>
              </w:rPr>
              <w:t>./.</w:t>
            </w:r>
          </w:p>
        </w:tc>
        <w:tc>
          <w:tcPr>
            <w:tcW w:w="760" w:type="dxa"/>
            <w:vAlign w:val="bottom"/>
          </w:tcPr>
          <w:p>
            <w:pPr>
              <w:jc w:val="center"/>
              <w:spacing w:after="0"/>
              <w:rPr>
                <w:sz w:val="20"/>
                <w:szCs w:val="20"/>
                <w:color w:val="auto"/>
              </w:rPr>
            </w:pPr>
            <w:r>
              <w:rPr>
                <w:rFonts w:ascii="Arial" w:cs="Arial" w:eastAsia="Arial" w:hAnsi="Arial"/>
                <w:sz w:val="18"/>
                <w:szCs w:val="18"/>
                <w:color w:val="auto"/>
                <w:w w:val="92"/>
              </w:rPr>
              <w:t>./.</w:t>
            </w:r>
          </w:p>
        </w:tc>
        <w:tc>
          <w:tcPr>
            <w:tcW w:w="780" w:type="dxa"/>
            <w:vAlign w:val="bottom"/>
          </w:tcPr>
          <w:p>
            <w:pPr>
              <w:jc w:val="center"/>
              <w:spacing w:after="0"/>
              <w:rPr>
                <w:sz w:val="20"/>
                <w:szCs w:val="20"/>
                <w:color w:val="auto"/>
              </w:rPr>
            </w:pPr>
            <w:r>
              <w:rPr>
                <w:rFonts w:ascii="Arial" w:cs="Arial" w:eastAsia="Arial" w:hAnsi="Arial"/>
                <w:sz w:val="18"/>
                <w:szCs w:val="18"/>
                <w:color w:val="auto"/>
                <w:w w:val="92"/>
              </w:rPr>
              <w:t>./.</w:t>
            </w:r>
          </w:p>
        </w:tc>
        <w:tc>
          <w:tcPr>
            <w:tcW w:w="860" w:type="dxa"/>
            <w:vAlign w:val="bottom"/>
          </w:tcPr>
          <w:p>
            <w:pPr>
              <w:jc w:val="center"/>
              <w:spacing w:after="0"/>
              <w:rPr>
                <w:sz w:val="20"/>
                <w:szCs w:val="20"/>
                <w:color w:val="auto"/>
              </w:rPr>
            </w:pPr>
            <w:r>
              <w:rPr>
                <w:rFonts w:ascii="Arial" w:cs="Arial" w:eastAsia="Arial" w:hAnsi="Arial"/>
                <w:sz w:val="18"/>
                <w:szCs w:val="18"/>
                <w:color w:val="auto"/>
                <w:w w:val="92"/>
              </w:rPr>
              <w:t>./.</w:t>
            </w:r>
          </w:p>
        </w:tc>
        <w:tc>
          <w:tcPr>
            <w:tcW w:w="840" w:type="dxa"/>
            <w:vAlign w:val="bottom"/>
          </w:tcPr>
          <w:p>
            <w:pPr>
              <w:jc w:val="center"/>
              <w:spacing w:after="0"/>
              <w:rPr>
                <w:sz w:val="20"/>
                <w:szCs w:val="20"/>
                <w:color w:val="auto"/>
              </w:rPr>
            </w:pPr>
            <w:r>
              <w:rPr>
                <w:rFonts w:ascii="Arial" w:cs="Arial" w:eastAsia="Arial" w:hAnsi="Arial"/>
                <w:sz w:val="18"/>
                <w:szCs w:val="18"/>
                <w:color w:val="auto"/>
                <w:w w:val="92"/>
              </w:rPr>
              <w:t>./.</w:t>
            </w:r>
          </w:p>
        </w:tc>
        <w:tc>
          <w:tcPr>
            <w:tcW w:w="820" w:type="dxa"/>
            <w:vAlign w:val="bottom"/>
          </w:tcPr>
          <w:p>
            <w:pPr>
              <w:jc w:val="center"/>
              <w:spacing w:after="0"/>
              <w:rPr>
                <w:sz w:val="20"/>
                <w:szCs w:val="20"/>
                <w:color w:val="auto"/>
              </w:rPr>
            </w:pPr>
            <w:r>
              <w:rPr>
                <w:rFonts w:ascii="Arial" w:cs="Arial" w:eastAsia="Arial" w:hAnsi="Arial"/>
                <w:sz w:val="18"/>
                <w:szCs w:val="18"/>
                <w:color w:val="auto"/>
                <w:w w:val="92"/>
              </w:rPr>
              <w:t>./.</w:t>
            </w:r>
          </w:p>
        </w:tc>
        <w:tc>
          <w:tcPr>
            <w:tcW w:w="860" w:type="dxa"/>
            <w:vAlign w:val="bottom"/>
          </w:tcPr>
          <w:p>
            <w:pPr>
              <w:jc w:val="center"/>
              <w:spacing w:after="0"/>
              <w:rPr>
                <w:sz w:val="20"/>
                <w:szCs w:val="20"/>
                <w:color w:val="auto"/>
              </w:rPr>
            </w:pPr>
            <w:r>
              <w:rPr>
                <w:rFonts w:ascii="Arial" w:cs="Arial" w:eastAsia="Arial" w:hAnsi="Arial"/>
                <w:sz w:val="18"/>
                <w:szCs w:val="18"/>
                <w:color w:val="auto"/>
                <w:w w:val="92"/>
              </w:rPr>
              <w:t>./.</w:t>
            </w:r>
          </w:p>
        </w:tc>
        <w:tc>
          <w:tcPr>
            <w:tcW w:w="840" w:type="dxa"/>
            <w:vAlign w:val="bottom"/>
          </w:tcPr>
          <w:p>
            <w:pPr>
              <w:jc w:val="center"/>
              <w:spacing w:after="0"/>
              <w:rPr>
                <w:sz w:val="20"/>
                <w:szCs w:val="20"/>
                <w:color w:val="auto"/>
              </w:rPr>
            </w:pPr>
            <w:r>
              <w:rPr>
                <w:rFonts w:ascii="Arial" w:cs="Arial" w:eastAsia="Arial" w:hAnsi="Arial"/>
                <w:sz w:val="18"/>
                <w:szCs w:val="18"/>
                <w:color w:val="auto"/>
                <w:w w:val="92"/>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239395</wp:posOffset>
            </wp:positionV>
            <wp:extent cx="174244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742440" cy="8890"/>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ind w:firstLine="8"/>
        <w:spacing w:after="0" w:line="197" w:lineRule="auto"/>
        <w:tabs>
          <w:tab w:leader="none" w:pos="123" w:val="left"/>
        </w:tabs>
        <w:numPr>
          <w:ilvl w:val="0"/>
          <w:numId w:val="34"/>
        </w:numPr>
        <w:rPr>
          <w:rFonts w:ascii="Arial" w:cs="Arial" w:eastAsia="Arial" w:hAnsi="Arial"/>
          <w:sz w:val="30"/>
          <w:szCs w:val="30"/>
          <w:color w:val="auto"/>
          <w:vertAlign w:val="superscript"/>
        </w:rPr>
      </w:pPr>
      <w:r>
        <w:rPr>
          <w:rFonts w:ascii="Arial" w:cs="Arial" w:eastAsia="Arial" w:hAnsi="Arial"/>
          <w:sz w:val="18"/>
          <w:szCs w:val="18"/>
          <w:color w:val="auto"/>
        </w:rPr>
        <w:t>In determining the target total remuneration, the Supervisory Board, unlike in the previous year, no longer used the fair value of the stock options granted as a basis, but rather the assumed share price that must be achieved for a 100% target achievement.</w:t>
      </w:r>
    </w:p>
    <w:p>
      <w:pPr>
        <w:spacing w:after="0"/>
        <w:rPr>
          <w:rFonts w:ascii="Arial" w:cs="Arial" w:eastAsia="Arial" w:hAnsi="Arial"/>
          <w:sz w:val="30"/>
          <w:szCs w:val="30"/>
          <w:color w:val="auto"/>
          <w:vertAlign w:val="superscript"/>
        </w:rPr>
      </w:pPr>
      <w:r>
        <w:rPr>
          <w:rFonts w:ascii="Arial" w:cs="Arial" w:eastAsia="Arial" w:hAnsi="Arial"/>
          <w:sz w:val="29"/>
          <w:szCs w:val="29"/>
          <w:color w:val="auto"/>
          <w:vertAlign w:val="superscript"/>
        </w:rPr>
        <w:t>10</w:t>
      </w:r>
      <w:r>
        <w:rPr>
          <w:rFonts w:ascii="Arial" w:cs="Arial" w:eastAsia="Arial" w:hAnsi="Arial"/>
          <w:sz w:val="18"/>
          <w:szCs w:val="18"/>
          <w:color w:val="auto"/>
        </w:rPr>
        <w:t xml:space="preserve"> Member of the Management Board since February 17, 2021.</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color w:val="auto"/>
        </w:rPr>
        <w:t>b) Remuneration awarded and due to current members of the Management Board pursuant to section 162 para. 1 sentence 1 AktG</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following table shows the remuneration awarded and due to the current Management Board members in the financial years 2022 and 2021 in accordance with section 162 para. 1 sentence 1 AktG. The tables include all remuneration amounts received by the individual Management Board members in these financial years (“</w:t>
      </w:r>
      <w:r>
        <w:rPr>
          <w:rFonts w:ascii="Arial" w:cs="Arial" w:eastAsia="Arial" w:hAnsi="Arial"/>
          <w:sz w:val="17"/>
          <w:szCs w:val="17"/>
          <w:b w:val="1"/>
          <w:bCs w:val="1"/>
          <w:color w:val="auto"/>
        </w:rPr>
        <w:t>awarded</w:t>
      </w:r>
      <w:r>
        <w:rPr>
          <w:rFonts w:ascii="Arial" w:cs="Arial" w:eastAsia="Arial" w:hAnsi="Arial"/>
          <w:sz w:val="17"/>
          <w:szCs w:val="17"/>
          <w:color w:val="auto"/>
        </w:rPr>
        <w:t>”) and the remuneration due, where relevant in the reporting period, but not yet received (“</w:t>
      </w:r>
      <w:r>
        <w:rPr>
          <w:rFonts w:ascii="Arial" w:cs="Arial" w:eastAsia="Arial" w:hAnsi="Arial"/>
          <w:sz w:val="17"/>
          <w:szCs w:val="17"/>
          <w:b w:val="1"/>
          <w:bCs w:val="1"/>
          <w:color w:val="auto"/>
        </w:rPr>
        <w:t>due</w:t>
      </w:r>
      <w:r>
        <w:rPr>
          <w:rFonts w:ascii="Arial" w:cs="Arial" w:eastAsia="Arial" w:hAnsi="Arial"/>
          <w:sz w:val="17"/>
          <w:szCs w:val="17"/>
          <w:color w:val="auto"/>
        </w:rPr>
        <w:t>”).</w:t>
      </w:r>
    </w:p>
    <w:p>
      <w:pPr>
        <w:spacing w:after="0" w:line="16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amount of the annual bonus for the financial year 2022 will be determined and paid in the course of the financial year 2023 and thus included in the remuneration awarded and due within the meaning of section 162 para. 1 sentence 1 AktG in the financial year 2023, while the remuneration awarded and due within the meaning of section 162 para. 1 sentence 1 AktG in the financial year 2022 also includes the annual bonus for the financial year 2021 paid in June 2022. The share-based remuneration granted in the financial year 2022 in the form of stock options is disclosed with its value, i.e., the number of stock options granted multiplied by the fair value at the grant date. In addition to the remuneration components, the relative share of all fixed and variable remuneration components within the targe total remuneration is also disclosed in accordance with section 162 para. 1 sentence 1 no. 1 AktG. These relative proportions relate to the remuneration components awarded and due within the meaning of section 162 para. 1 sentence 1 AktG in the respective financial year.</w:t>
      </w:r>
    </w:p>
    <w:p>
      <w:pPr>
        <w:sectPr>
          <w:pgSz w:w="11900" w:h="16838" w:orient="portrait"/>
          <w:cols w:equalWidth="0" w:num="1">
            <w:col w:w="11240"/>
          </w:cols>
          <w:pgMar w:left="320" w:top="553" w:right="339" w:bottom="1440" w:gutter="0" w:footer="0" w:header="0"/>
        </w:sectPr>
      </w:pPr>
    </w:p>
    <w:p>
      <w:pPr>
        <w:spacing w:after="0" w:line="188" w:lineRule="exact"/>
        <w:rPr>
          <w:sz w:val="20"/>
          <w:szCs w:val="20"/>
          <w:color w:val="auto"/>
        </w:rPr>
      </w:pPr>
    </w:p>
    <w:p>
      <w:pPr>
        <w:jc w:val="center"/>
        <w:ind w:left="80"/>
        <w:spacing w:after="0" w:line="282" w:lineRule="auto"/>
        <w:rPr>
          <w:sz w:val="20"/>
          <w:szCs w:val="20"/>
          <w:color w:val="auto"/>
        </w:rPr>
      </w:pPr>
      <w:r>
        <w:rPr>
          <w:rFonts w:ascii="Arial" w:cs="Arial" w:eastAsia="Arial" w:hAnsi="Arial"/>
          <w:sz w:val="18"/>
          <w:szCs w:val="18"/>
          <w:b w:val="1"/>
          <w:bCs w:val="1"/>
          <w:color w:val="auto"/>
        </w:rPr>
        <w:t>Management Board member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Bulent Altan</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Stefan Berndt-von Bülow</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color w:val="auto"/>
        </w:rPr>
        <w:t>Joachim Horwath</w:t>
      </w:r>
      <w:r>
        <w:rPr>
          <w:rFonts w:ascii="Arial" w:cs="Arial" w:eastAsia="Arial" w:hAnsi="Arial"/>
          <w:sz w:val="28"/>
          <w:szCs w:val="28"/>
          <w:color w:val="auto"/>
          <w:vertAlign w:val="superscript"/>
        </w:rPr>
        <w:t>13</w:t>
      </w: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17"/>
          <w:szCs w:val="17"/>
          <w:color w:val="auto"/>
        </w:rPr>
        <w:t>Mustafa Veziroglu</w:t>
      </w:r>
      <w:r>
        <w:rPr>
          <w:rFonts w:ascii="Arial" w:cs="Arial" w:eastAsia="Arial" w:hAnsi="Arial"/>
          <w:sz w:val="28"/>
          <w:szCs w:val="28"/>
          <w:color w:val="auto"/>
          <w:vertAlign w:val="superscript"/>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633730</wp:posOffset>
            </wp:positionV>
            <wp:extent cx="154241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54241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8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9"/>
        </w:trPr>
        <w:tc>
          <w:tcPr>
            <w:tcW w:w="540" w:type="dxa"/>
            <w:vAlign w:val="bottom"/>
          </w:tcPr>
          <w:p>
            <w:pPr>
              <w:spacing w:after="0"/>
              <w:rPr>
                <w:sz w:val="20"/>
                <w:szCs w:val="20"/>
                <w:color w:val="auto"/>
              </w:rPr>
            </w:pPr>
            <w:r>
              <w:rPr>
                <w:rFonts w:ascii="Arial" w:cs="Arial" w:eastAsia="Arial" w:hAnsi="Arial"/>
                <w:sz w:val="18"/>
                <w:szCs w:val="18"/>
                <w:b w:val="1"/>
                <w:bCs w:val="1"/>
                <w:color w:val="auto"/>
              </w:rPr>
              <w:t>Year</w:t>
            </w:r>
          </w:p>
        </w:tc>
        <w:tc>
          <w:tcPr>
            <w:tcW w:w="1520" w:type="dxa"/>
            <w:vAlign w:val="bottom"/>
            <w:gridSpan w:val="2"/>
            <w:shd w:val="clear" w:color="auto" w:fill="E36C0A"/>
          </w:tcPr>
          <w:p>
            <w:pPr>
              <w:ind w:left="20"/>
              <w:spacing w:after="0"/>
              <w:rPr>
                <w:sz w:val="20"/>
                <w:szCs w:val="20"/>
                <w:color w:val="auto"/>
              </w:rPr>
            </w:pPr>
            <w:r>
              <w:rPr>
                <w:rFonts w:ascii="Arial" w:cs="Arial" w:eastAsia="Arial" w:hAnsi="Arial"/>
                <w:sz w:val="18"/>
                <w:szCs w:val="18"/>
                <w:b w:val="1"/>
                <w:bCs w:val="1"/>
                <w:color w:val="auto"/>
                <w:w w:val="90"/>
              </w:rPr>
              <w:t>Annual base salary</w:t>
            </w:r>
          </w:p>
        </w:tc>
        <w:tc>
          <w:tcPr>
            <w:tcW w:w="1660" w:type="dxa"/>
            <w:vAlign w:val="bottom"/>
            <w:gridSpan w:val="2"/>
            <w:shd w:val="clear" w:color="auto" w:fill="E36C0A"/>
          </w:tcPr>
          <w:p>
            <w:pPr>
              <w:jc w:val="center"/>
              <w:spacing w:after="0"/>
              <w:rPr>
                <w:sz w:val="20"/>
                <w:szCs w:val="20"/>
                <w:color w:val="auto"/>
              </w:rPr>
            </w:pPr>
            <w:r>
              <w:rPr>
                <w:rFonts w:ascii="Arial" w:cs="Arial" w:eastAsia="Arial" w:hAnsi="Arial"/>
                <w:sz w:val="18"/>
                <w:szCs w:val="18"/>
                <w:b w:val="1"/>
                <w:bCs w:val="1"/>
                <w:color w:val="auto"/>
                <w:w w:val="95"/>
              </w:rPr>
              <w:t>Extraordinary</w:t>
            </w:r>
          </w:p>
        </w:tc>
        <w:tc>
          <w:tcPr>
            <w:tcW w:w="1520" w:type="dxa"/>
            <w:vAlign w:val="bottom"/>
            <w:gridSpan w:val="2"/>
            <w:shd w:val="clear" w:color="auto" w:fill="E36C0A"/>
          </w:tcPr>
          <w:p>
            <w:pPr>
              <w:ind w:left="180"/>
              <w:spacing w:after="0"/>
              <w:rPr>
                <w:sz w:val="20"/>
                <w:szCs w:val="20"/>
                <w:color w:val="auto"/>
              </w:rPr>
            </w:pPr>
            <w:r>
              <w:rPr>
                <w:rFonts w:ascii="Arial" w:cs="Arial" w:eastAsia="Arial" w:hAnsi="Arial"/>
                <w:sz w:val="18"/>
                <w:szCs w:val="18"/>
                <w:b w:val="1"/>
                <w:bCs w:val="1"/>
                <w:color w:val="auto"/>
              </w:rPr>
              <w:t>Fringe benefits</w:t>
            </w:r>
          </w:p>
        </w:tc>
        <w:tc>
          <w:tcPr>
            <w:tcW w:w="1520" w:type="dxa"/>
            <w:vAlign w:val="bottom"/>
            <w:gridSpan w:val="2"/>
            <w:shd w:val="clear" w:color="auto" w:fill="E36C0A"/>
          </w:tcPr>
          <w:p>
            <w:pPr>
              <w:jc w:val="center"/>
              <w:spacing w:after="0"/>
              <w:rPr>
                <w:sz w:val="20"/>
                <w:szCs w:val="20"/>
                <w:color w:val="auto"/>
              </w:rPr>
            </w:pPr>
            <w:r>
              <w:rPr>
                <w:rFonts w:ascii="Arial" w:cs="Arial" w:eastAsia="Arial" w:hAnsi="Arial"/>
                <w:sz w:val="18"/>
                <w:szCs w:val="18"/>
                <w:b w:val="1"/>
                <w:bCs w:val="1"/>
                <w:color w:val="auto"/>
                <w:w w:val="93"/>
              </w:rPr>
              <w:t>Short-term</w:t>
            </w:r>
          </w:p>
        </w:tc>
        <w:tc>
          <w:tcPr>
            <w:tcW w:w="1660" w:type="dxa"/>
            <w:vAlign w:val="bottom"/>
            <w:gridSpan w:val="2"/>
            <w:shd w:val="clear" w:color="auto" w:fill="E36C0A"/>
          </w:tcPr>
          <w:p>
            <w:pPr>
              <w:ind w:left="80"/>
              <w:spacing w:after="0"/>
              <w:rPr>
                <w:sz w:val="20"/>
                <w:szCs w:val="20"/>
                <w:color w:val="auto"/>
              </w:rPr>
            </w:pPr>
            <w:r>
              <w:rPr>
                <w:rFonts w:ascii="Arial" w:cs="Arial" w:eastAsia="Arial" w:hAnsi="Arial"/>
                <w:sz w:val="18"/>
                <w:szCs w:val="18"/>
                <w:b w:val="1"/>
                <w:bCs w:val="1"/>
                <w:color w:val="auto"/>
                <w:w w:val="96"/>
              </w:rPr>
              <w:t>Long-term variable</w:t>
            </w:r>
          </w:p>
        </w:tc>
        <w:tc>
          <w:tcPr>
            <w:tcW w:w="980" w:type="dxa"/>
            <w:vAlign w:val="bottom"/>
            <w:shd w:val="clear" w:color="auto" w:fill="E36C0A"/>
          </w:tcPr>
          <w:p>
            <w:pPr>
              <w:ind w:left="30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23"/>
        </w:trPr>
        <w:tc>
          <w:tcPr>
            <w:tcW w:w="540" w:type="dxa"/>
            <w:vAlign w:val="bottom"/>
          </w:tcPr>
          <w:p>
            <w:pPr>
              <w:spacing w:after="0"/>
              <w:rPr>
                <w:sz w:val="19"/>
                <w:szCs w:val="19"/>
                <w:color w:val="auto"/>
              </w:rPr>
            </w:pPr>
          </w:p>
        </w:tc>
        <w:tc>
          <w:tcPr>
            <w:tcW w:w="700" w:type="dxa"/>
            <w:vAlign w:val="bottom"/>
            <w:shd w:val="clear" w:color="auto" w:fill="E36C0A"/>
          </w:tcPr>
          <w:p>
            <w:pPr>
              <w:spacing w:after="0"/>
              <w:rPr>
                <w:sz w:val="19"/>
                <w:szCs w:val="19"/>
                <w:color w:val="auto"/>
              </w:rPr>
            </w:pPr>
          </w:p>
        </w:tc>
        <w:tc>
          <w:tcPr>
            <w:tcW w:w="820" w:type="dxa"/>
            <w:vAlign w:val="bottom"/>
            <w:shd w:val="clear" w:color="auto" w:fill="E36C0A"/>
          </w:tcPr>
          <w:p>
            <w:pPr>
              <w:spacing w:after="0"/>
              <w:rPr>
                <w:sz w:val="19"/>
                <w:szCs w:val="19"/>
                <w:color w:val="auto"/>
              </w:rPr>
            </w:pPr>
          </w:p>
        </w:tc>
        <w:tc>
          <w:tcPr>
            <w:tcW w:w="1660" w:type="dxa"/>
            <w:vAlign w:val="bottom"/>
            <w:gridSpan w:val="2"/>
            <w:shd w:val="clear" w:color="auto" w:fill="E36C0A"/>
          </w:tcPr>
          <w:p>
            <w:pPr>
              <w:jc w:val="center"/>
              <w:spacing w:after="0"/>
              <w:rPr>
                <w:sz w:val="20"/>
                <w:szCs w:val="20"/>
                <w:color w:val="auto"/>
              </w:rPr>
            </w:pPr>
            <w:r>
              <w:rPr>
                <w:rFonts w:ascii="Arial" w:cs="Arial" w:eastAsia="Arial" w:hAnsi="Arial"/>
                <w:sz w:val="18"/>
                <w:szCs w:val="18"/>
                <w:b w:val="1"/>
                <w:bCs w:val="1"/>
                <w:color w:val="auto"/>
                <w:w w:val="88"/>
              </w:rPr>
              <w:t>payments</w:t>
            </w:r>
          </w:p>
        </w:tc>
        <w:tc>
          <w:tcPr>
            <w:tcW w:w="700" w:type="dxa"/>
            <w:vAlign w:val="bottom"/>
            <w:shd w:val="clear" w:color="auto" w:fill="E36C0A"/>
          </w:tcPr>
          <w:p>
            <w:pPr>
              <w:spacing w:after="0"/>
              <w:rPr>
                <w:sz w:val="19"/>
                <w:szCs w:val="19"/>
                <w:color w:val="auto"/>
              </w:rPr>
            </w:pPr>
          </w:p>
        </w:tc>
        <w:tc>
          <w:tcPr>
            <w:tcW w:w="820" w:type="dxa"/>
            <w:vAlign w:val="bottom"/>
            <w:shd w:val="clear" w:color="auto" w:fill="E36C0A"/>
          </w:tcPr>
          <w:p>
            <w:pPr>
              <w:spacing w:after="0"/>
              <w:rPr>
                <w:sz w:val="19"/>
                <w:szCs w:val="19"/>
                <w:color w:val="auto"/>
              </w:rPr>
            </w:pPr>
          </w:p>
        </w:tc>
        <w:tc>
          <w:tcPr>
            <w:tcW w:w="1520" w:type="dxa"/>
            <w:vAlign w:val="bottom"/>
            <w:gridSpan w:val="2"/>
            <w:shd w:val="clear" w:color="auto" w:fill="E36C0A"/>
          </w:tcPr>
          <w:p>
            <w:pPr>
              <w:jc w:val="center"/>
              <w:spacing w:after="0"/>
              <w:rPr>
                <w:sz w:val="20"/>
                <w:szCs w:val="20"/>
                <w:color w:val="auto"/>
              </w:rPr>
            </w:pPr>
            <w:r>
              <w:rPr>
                <w:rFonts w:ascii="Arial" w:cs="Arial" w:eastAsia="Arial" w:hAnsi="Arial"/>
                <w:sz w:val="18"/>
                <w:szCs w:val="18"/>
                <w:b w:val="1"/>
                <w:bCs w:val="1"/>
                <w:color w:val="auto"/>
                <w:w w:val="93"/>
              </w:rPr>
              <w:t>variable</w:t>
            </w:r>
          </w:p>
        </w:tc>
        <w:tc>
          <w:tcPr>
            <w:tcW w:w="1660" w:type="dxa"/>
            <w:vAlign w:val="bottom"/>
            <w:gridSpan w:val="2"/>
            <w:shd w:val="clear" w:color="auto" w:fill="E36C0A"/>
          </w:tcPr>
          <w:p>
            <w:pPr>
              <w:ind w:left="220"/>
              <w:spacing w:after="0" w:line="223" w:lineRule="exact"/>
              <w:rPr>
                <w:sz w:val="20"/>
                <w:szCs w:val="20"/>
                <w:color w:val="auto"/>
              </w:rPr>
            </w:pPr>
            <w:r>
              <w:rPr>
                <w:rFonts w:ascii="Arial" w:cs="Arial" w:eastAsia="Arial" w:hAnsi="Arial"/>
                <w:sz w:val="16"/>
                <w:szCs w:val="16"/>
                <w:b w:val="1"/>
                <w:bCs w:val="1"/>
                <w:color w:val="auto"/>
              </w:rPr>
              <w:t>remuneration</w:t>
            </w:r>
            <w:r>
              <w:rPr>
                <w:rFonts w:ascii="Arial" w:cs="Arial" w:eastAsia="Arial" w:hAnsi="Arial"/>
                <w:sz w:val="25"/>
                <w:szCs w:val="25"/>
                <w:b w:val="1"/>
                <w:bCs w:val="1"/>
                <w:color w:val="auto"/>
                <w:vertAlign w:val="superscript"/>
              </w:rPr>
              <w:t>12</w:t>
            </w:r>
          </w:p>
        </w:tc>
        <w:tc>
          <w:tcPr>
            <w:tcW w:w="980" w:type="dxa"/>
            <w:vAlign w:val="bottom"/>
            <w:shd w:val="clear" w:color="auto" w:fill="E36C0A"/>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540" w:type="dxa"/>
            <w:vAlign w:val="bottom"/>
          </w:tcPr>
          <w:p>
            <w:pPr>
              <w:spacing w:after="0"/>
              <w:rPr>
                <w:sz w:val="20"/>
                <w:szCs w:val="20"/>
                <w:color w:val="auto"/>
              </w:rPr>
            </w:pPr>
          </w:p>
        </w:tc>
        <w:tc>
          <w:tcPr>
            <w:tcW w:w="700" w:type="dxa"/>
            <w:vAlign w:val="bottom"/>
            <w:shd w:val="clear" w:color="auto" w:fill="E36C0A"/>
          </w:tcPr>
          <w:p>
            <w:pPr>
              <w:spacing w:after="0"/>
              <w:rPr>
                <w:sz w:val="20"/>
                <w:szCs w:val="20"/>
                <w:color w:val="auto"/>
              </w:rPr>
            </w:pPr>
          </w:p>
        </w:tc>
        <w:tc>
          <w:tcPr>
            <w:tcW w:w="820" w:type="dxa"/>
            <w:vAlign w:val="bottom"/>
            <w:shd w:val="clear" w:color="auto" w:fill="E36C0A"/>
          </w:tcPr>
          <w:p>
            <w:pPr>
              <w:spacing w:after="0"/>
              <w:rPr>
                <w:sz w:val="20"/>
                <w:szCs w:val="20"/>
                <w:color w:val="auto"/>
              </w:rPr>
            </w:pPr>
          </w:p>
        </w:tc>
        <w:tc>
          <w:tcPr>
            <w:tcW w:w="740" w:type="dxa"/>
            <w:vAlign w:val="bottom"/>
            <w:shd w:val="clear" w:color="auto" w:fill="E36C0A"/>
          </w:tcPr>
          <w:p>
            <w:pPr>
              <w:spacing w:after="0"/>
              <w:rPr>
                <w:sz w:val="20"/>
                <w:szCs w:val="20"/>
                <w:color w:val="auto"/>
              </w:rPr>
            </w:pPr>
          </w:p>
        </w:tc>
        <w:tc>
          <w:tcPr>
            <w:tcW w:w="920" w:type="dxa"/>
            <w:vAlign w:val="bottom"/>
            <w:shd w:val="clear" w:color="auto" w:fill="E36C0A"/>
          </w:tcPr>
          <w:p>
            <w:pPr>
              <w:spacing w:after="0"/>
              <w:rPr>
                <w:sz w:val="20"/>
                <w:szCs w:val="20"/>
                <w:color w:val="auto"/>
              </w:rPr>
            </w:pPr>
          </w:p>
        </w:tc>
        <w:tc>
          <w:tcPr>
            <w:tcW w:w="700" w:type="dxa"/>
            <w:vAlign w:val="bottom"/>
            <w:shd w:val="clear" w:color="auto" w:fill="E36C0A"/>
          </w:tcPr>
          <w:p>
            <w:pPr>
              <w:spacing w:after="0"/>
              <w:rPr>
                <w:sz w:val="20"/>
                <w:szCs w:val="20"/>
                <w:color w:val="auto"/>
              </w:rPr>
            </w:pPr>
          </w:p>
        </w:tc>
        <w:tc>
          <w:tcPr>
            <w:tcW w:w="820" w:type="dxa"/>
            <w:vAlign w:val="bottom"/>
            <w:shd w:val="clear" w:color="auto" w:fill="E36C0A"/>
          </w:tcPr>
          <w:p>
            <w:pPr>
              <w:spacing w:after="0"/>
              <w:rPr>
                <w:sz w:val="20"/>
                <w:szCs w:val="20"/>
                <w:color w:val="auto"/>
              </w:rPr>
            </w:pPr>
          </w:p>
        </w:tc>
        <w:tc>
          <w:tcPr>
            <w:tcW w:w="1520" w:type="dxa"/>
            <w:vAlign w:val="bottom"/>
            <w:gridSpan w:val="2"/>
            <w:shd w:val="clear" w:color="auto" w:fill="E36C0A"/>
          </w:tcPr>
          <w:p>
            <w:pPr>
              <w:jc w:val="center"/>
              <w:spacing w:after="0"/>
              <w:rPr>
                <w:sz w:val="20"/>
                <w:szCs w:val="20"/>
                <w:color w:val="auto"/>
              </w:rPr>
            </w:pPr>
            <w:r>
              <w:rPr>
                <w:rFonts w:ascii="Arial" w:cs="Arial" w:eastAsia="Arial" w:hAnsi="Arial"/>
                <w:sz w:val="18"/>
                <w:szCs w:val="18"/>
                <w:b w:val="1"/>
                <w:bCs w:val="1"/>
                <w:color w:val="auto"/>
                <w:w w:val="92"/>
              </w:rPr>
              <w:t>remuneration</w:t>
            </w:r>
          </w:p>
        </w:tc>
        <w:tc>
          <w:tcPr>
            <w:tcW w:w="820" w:type="dxa"/>
            <w:vAlign w:val="bottom"/>
            <w:shd w:val="clear" w:color="auto" w:fill="E36C0A"/>
          </w:tcPr>
          <w:p>
            <w:pPr>
              <w:spacing w:after="0"/>
              <w:rPr>
                <w:sz w:val="20"/>
                <w:szCs w:val="20"/>
                <w:color w:val="auto"/>
              </w:rPr>
            </w:pPr>
          </w:p>
        </w:tc>
        <w:tc>
          <w:tcPr>
            <w:tcW w:w="840" w:type="dxa"/>
            <w:vAlign w:val="bottom"/>
            <w:shd w:val="clear" w:color="auto" w:fill="E36C0A"/>
          </w:tcPr>
          <w:p>
            <w:pPr>
              <w:spacing w:after="0"/>
              <w:rPr>
                <w:sz w:val="20"/>
                <w:szCs w:val="20"/>
                <w:color w:val="auto"/>
              </w:rPr>
            </w:pPr>
          </w:p>
        </w:tc>
        <w:tc>
          <w:tcPr>
            <w:tcW w:w="980" w:type="dxa"/>
            <w:vAlign w:val="bottom"/>
            <w:shd w:val="clear" w:color="auto" w:fill="E36C0A"/>
          </w:tcPr>
          <w:p>
            <w:pPr>
              <w:spacing w:after="0"/>
              <w:rPr>
                <w:sz w:val="20"/>
                <w:szCs w:val="20"/>
                <w:color w:val="auto"/>
              </w:rPr>
            </w:pPr>
          </w:p>
        </w:tc>
        <w:tc>
          <w:tcPr>
            <w:tcW w:w="0" w:type="dxa"/>
            <w:vAlign w:val="bottom"/>
          </w:tcPr>
          <w:p>
            <w:pPr>
              <w:spacing w:after="0"/>
              <w:rPr>
                <w:sz w:val="1"/>
                <w:szCs w:val="1"/>
                <w:color w:val="auto"/>
              </w:rPr>
            </w:pPr>
          </w:p>
        </w:tc>
      </w:tr>
      <w:tr>
        <w:trPr>
          <w:trHeight w:val="454"/>
        </w:trPr>
        <w:tc>
          <w:tcPr>
            <w:tcW w:w="540" w:type="dxa"/>
            <w:vAlign w:val="bottom"/>
          </w:tcPr>
          <w:p>
            <w:pPr>
              <w:spacing w:after="0"/>
              <w:rPr>
                <w:sz w:val="24"/>
                <w:szCs w:val="24"/>
                <w:color w:val="auto"/>
              </w:rPr>
            </w:pPr>
          </w:p>
        </w:tc>
        <w:tc>
          <w:tcPr>
            <w:tcW w:w="700" w:type="dxa"/>
            <w:vAlign w:val="bottom"/>
            <w:shd w:val="clear" w:color="auto" w:fill="E36C0A"/>
          </w:tcPr>
          <w:p>
            <w:pPr>
              <w:ind w:left="140"/>
              <w:spacing w:after="0"/>
              <w:rPr>
                <w:sz w:val="20"/>
                <w:szCs w:val="20"/>
                <w:color w:val="auto"/>
              </w:rPr>
            </w:pPr>
            <w:r>
              <w:rPr>
                <w:rFonts w:ascii="Arial" w:cs="Arial" w:eastAsia="Arial" w:hAnsi="Arial"/>
                <w:sz w:val="18"/>
                <w:szCs w:val="18"/>
                <w:b w:val="1"/>
                <w:bCs w:val="1"/>
                <w:color w:val="auto"/>
              </w:rPr>
              <w:t>in k€</w:t>
            </w:r>
          </w:p>
        </w:tc>
        <w:tc>
          <w:tcPr>
            <w:tcW w:w="820" w:type="dxa"/>
            <w:vAlign w:val="bottom"/>
            <w:shd w:val="clear" w:color="auto" w:fill="E36C0A"/>
          </w:tcPr>
          <w:p>
            <w:pPr>
              <w:ind w:left="220"/>
              <w:spacing w:after="0"/>
              <w:rPr>
                <w:sz w:val="20"/>
                <w:szCs w:val="20"/>
                <w:color w:val="auto"/>
              </w:rPr>
            </w:pPr>
            <w:r>
              <w:rPr>
                <w:rFonts w:ascii="Arial" w:cs="Arial" w:eastAsia="Arial" w:hAnsi="Arial"/>
                <w:sz w:val="18"/>
                <w:szCs w:val="18"/>
                <w:b w:val="1"/>
                <w:bCs w:val="1"/>
                <w:color w:val="auto"/>
              </w:rPr>
              <w:t>in %</w:t>
            </w:r>
          </w:p>
        </w:tc>
        <w:tc>
          <w:tcPr>
            <w:tcW w:w="740" w:type="dxa"/>
            <w:vAlign w:val="bottom"/>
            <w:shd w:val="clear" w:color="auto" w:fill="E36C0A"/>
          </w:tcPr>
          <w:p>
            <w:pPr>
              <w:ind w:left="160"/>
              <w:spacing w:after="0"/>
              <w:rPr>
                <w:sz w:val="20"/>
                <w:szCs w:val="20"/>
                <w:color w:val="auto"/>
              </w:rPr>
            </w:pPr>
            <w:r>
              <w:rPr>
                <w:rFonts w:ascii="Arial" w:cs="Arial" w:eastAsia="Arial" w:hAnsi="Arial"/>
                <w:sz w:val="18"/>
                <w:szCs w:val="18"/>
                <w:b w:val="1"/>
                <w:bCs w:val="1"/>
                <w:color w:val="auto"/>
              </w:rPr>
              <w:t>in k€</w:t>
            </w:r>
          </w:p>
        </w:tc>
        <w:tc>
          <w:tcPr>
            <w:tcW w:w="920" w:type="dxa"/>
            <w:vAlign w:val="bottom"/>
            <w:shd w:val="clear" w:color="auto" w:fill="E36C0A"/>
          </w:tcPr>
          <w:p>
            <w:pPr>
              <w:ind w:left="240"/>
              <w:spacing w:after="0"/>
              <w:rPr>
                <w:sz w:val="20"/>
                <w:szCs w:val="20"/>
                <w:color w:val="auto"/>
              </w:rPr>
            </w:pPr>
            <w:r>
              <w:rPr>
                <w:rFonts w:ascii="Arial" w:cs="Arial" w:eastAsia="Arial" w:hAnsi="Arial"/>
                <w:sz w:val="18"/>
                <w:szCs w:val="18"/>
                <w:b w:val="1"/>
                <w:bCs w:val="1"/>
                <w:color w:val="auto"/>
              </w:rPr>
              <w:t>in %</w:t>
            </w:r>
          </w:p>
        </w:tc>
        <w:tc>
          <w:tcPr>
            <w:tcW w:w="700" w:type="dxa"/>
            <w:vAlign w:val="bottom"/>
            <w:shd w:val="clear" w:color="auto" w:fill="E36C0A"/>
          </w:tcPr>
          <w:p>
            <w:pPr>
              <w:ind w:left="160"/>
              <w:spacing w:after="0"/>
              <w:rPr>
                <w:sz w:val="20"/>
                <w:szCs w:val="20"/>
                <w:color w:val="auto"/>
              </w:rPr>
            </w:pPr>
            <w:r>
              <w:rPr>
                <w:rFonts w:ascii="Arial" w:cs="Arial" w:eastAsia="Arial" w:hAnsi="Arial"/>
                <w:sz w:val="18"/>
                <w:szCs w:val="18"/>
                <w:b w:val="1"/>
                <w:bCs w:val="1"/>
                <w:color w:val="auto"/>
              </w:rPr>
              <w:t>in k€</w:t>
            </w:r>
          </w:p>
        </w:tc>
        <w:tc>
          <w:tcPr>
            <w:tcW w:w="820" w:type="dxa"/>
            <w:vAlign w:val="bottom"/>
            <w:shd w:val="clear" w:color="auto" w:fill="E36C0A"/>
          </w:tcPr>
          <w:p>
            <w:pPr>
              <w:ind w:left="220"/>
              <w:spacing w:after="0"/>
              <w:rPr>
                <w:sz w:val="20"/>
                <w:szCs w:val="20"/>
                <w:color w:val="auto"/>
              </w:rPr>
            </w:pPr>
            <w:r>
              <w:rPr>
                <w:rFonts w:ascii="Arial" w:cs="Arial" w:eastAsia="Arial" w:hAnsi="Arial"/>
                <w:sz w:val="18"/>
                <w:szCs w:val="18"/>
                <w:b w:val="1"/>
                <w:bCs w:val="1"/>
                <w:color w:val="auto"/>
              </w:rPr>
              <w:t>in %</w:t>
            </w:r>
          </w:p>
        </w:tc>
        <w:tc>
          <w:tcPr>
            <w:tcW w:w="720" w:type="dxa"/>
            <w:vAlign w:val="bottom"/>
            <w:shd w:val="clear" w:color="auto" w:fill="E36C0A"/>
          </w:tcPr>
          <w:p>
            <w:pPr>
              <w:ind w:left="160"/>
              <w:spacing w:after="0"/>
              <w:rPr>
                <w:sz w:val="20"/>
                <w:szCs w:val="20"/>
                <w:color w:val="auto"/>
              </w:rPr>
            </w:pPr>
            <w:r>
              <w:rPr>
                <w:rFonts w:ascii="Arial" w:cs="Arial" w:eastAsia="Arial" w:hAnsi="Arial"/>
                <w:sz w:val="18"/>
                <w:szCs w:val="18"/>
                <w:b w:val="1"/>
                <w:bCs w:val="1"/>
                <w:color w:val="auto"/>
              </w:rPr>
              <w:t>in k€</w:t>
            </w:r>
          </w:p>
        </w:tc>
        <w:tc>
          <w:tcPr>
            <w:tcW w:w="800" w:type="dxa"/>
            <w:vAlign w:val="bottom"/>
            <w:shd w:val="clear" w:color="auto" w:fill="E36C0A"/>
          </w:tcPr>
          <w:p>
            <w:pPr>
              <w:ind w:left="200"/>
              <w:spacing w:after="0"/>
              <w:rPr>
                <w:sz w:val="20"/>
                <w:szCs w:val="20"/>
                <w:color w:val="auto"/>
              </w:rPr>
            </w:pPr>
            <w:r>
              <w:rPr>
                <w:rFonts w:ascii="Arial" w:cs="Arial" w:eastAsia="Arial" w:hAnsi="Arial"/>
                <w:sz w:val="18"/>
                <w:szCs w:val="18"/>
                <w:b w:val="1"/>
                <w:bCs w:val="1"/>
                <w:color w:val="auto"/>
              </w:rPr>
              <w:t>in %</w:t>
            </w:r>
          </w:p>
        </w:tc>
        <w:tc>
          <w:tcPr>
            <w:tcW w:w="820" w:type="dxa"/>
            <w:vAlign w:val="bottom"/>
            <w:shd w:val="clear" w:color="auto" w:fill="E36C0A"/>
          </w:tcPr>
          <w:p>
            <w:pPr>
              <w:ind w:left="240"/>
              <w:spacing w:after="0"/>
              <w:rPr>
                <w:sz w:val="20"/>
                <w:szCs w:val="20"/>
                <w:color w:val="auto"/>
              </w:rPr>
            </w:pPr>
            <w:r>
              <w:rPr>
                <w:rFonts w:ascii="Arial" w:cs="Arial" w:eastAsia="Arial" w:hAnsi="Arial"/>
                <w:sz w:val="18"/>
                <w:szCs w:val="18"/>
                <w:b w:val="1"/>
                <w:bCs w:val="1"/>
                <w:color w:val="auto"/>
              </w:rPr>
              <w:t>in k€</w:t>
            </w:r>
          </w:p>
        </w:tc>
        <w:tc>
          <w:tcPr>
            <w:tcW w:w="840" w:type="dxa"/>
            <w:vAlign w:val="bottom"/>
            <w:shd w:val="clear" w:color="auto" w:fill="E36C0A"/>
          </w:tcPr>
          <w:p>
            <w:pPr>
              <w:ind w:left="260"/>
              <w:spacing w:after="0"/>
              <w:rPr>
                <w:sz w:val="20"/>
                <w:szCs w:val="20"/>
                <w:color w:val="auto"/>
              </w:rPr>
            </w:pPr>
            <w:r>
              <w:rPr>
                <w:rFonts w:ascii="Arial" w:cs="Arial" w:eastAsia="Arial" w:hAnsi="Arial"/>
                <w:sz w:val="18"/>
                <w:szCs w:val="18"/>
                <w:b w:val="1"/>
                <w:bCs w:val="1"/>
                <w:color w:val="auto"/>
              </w:rPr>
              <w:t>in %</w:t>
            </w:r>
          </w:p>
        </w:tc>
        <w:tc>
          <w:tcPr>
            <w:tcW w:w="980" w:type="dxa"/>
            <w:vAlign w:val="bottom"/>
            <w:shd w:val="clear" w:color="auto" w:fill="E36C0A"/>
          </w:tcPr>
          <w:p>
            <w:pPr>
              <w:ind w:left="300"/>
              <w:spacing w:after="0"/>
              <w:rPr>
                <w:sz w:val="20"/>
                <w:szCs w:val="20"/>
                <w:color w:val="auto"/>
              </w:rPr>
            </w:pPr>
            <w:r>
              <w:rPr>
                <w:rFonts w:ascii="Arial" w:cs="Arial" w:eastAsia="Arial" w:hAnsi="Arial"/>
                <w:sz w:val="18"/>
                <w:szCs w:val="18"/>
                <w:b w:val="1"/>
                <w:bCs w:val="1"/>
                <w:color w:val="auto"/>
              </w:rPr>
              <w:t>in k€</w:t>
            </w:r>
          </w:p>
        </w:tc>
        <w:tc>
          <w:tcPr>
            <w:tcW w:w="0" w:type="dxa"/>
            <w:vAlign w:val="bottom"/>
          </w:tcPr>
          <w:p>
            <w:pPr>
              <w:spacing w:after="0"/>
              <w:rPr>
                <w:sz w:val="1"/>
                <w:szCs w:val="1"/>
                <w:color w:val="auto"/>
              </w:rPr>
            </w:pPr>
          </w:p>
        </w:tc>
      </w:tr>
      <w:tr>
        <w:trPr>
          <w:trHeight w:val="229"/>
        </w:trPr>
        <w:tc>
          <w:tcPr>
            <w:tcW w:w="540" w:type="dxa"/>
            <w:vAlign w:val="bottom"/>
            <w:vMerge w:val="restart"/>
          </w:tcPr>
          <w:p>
            <w:pPr>
              <w:spacing w:after="0"/>
              <w:rPr>
                <w:sz w:val="20"/>
                <w:szCs w:val="20"/>
                <w:color w:val="auto"/>
              </w:rPr>
            </w:pPr>
            <w:r>
              <w:rPr>
                <w:rFonts w:ascii="Arial" w:cs="Arial" w:eastAsia="Arial" w:hAnsi="Arial"/>
                <w:sz w:val="18"/>
                <w:szCs w:val="18"/>
                <w:color w:val="auto"/>
              </w:rPr>
              <w:t>2022</w:t>
            </w:r>
          </w:p>
        </w:tc>
        <w:tc>
          <w:tcPr>
            <w:tcW w:w="700" w:type="dxa"/>
            <w:vAlign w:val="bottom"/>
            <w:shd w:val="clear" w:color="auto" w:fill="E36C0A"/>
          </w:tcPr>
          <w:p>
            <w:pPr>
              <w:spacing w:after="0"/>
              <w:rPr>
                <w:sz w:val="19"/>
                <w:szCs w:val="19"/>
                <w:color w:val="auto"/>
              </w:rPr>
            </w:pPr>
          </w:p>
        </w:tc>
        <w:tc>
          <w:tcPr>
            <w:tcW w:w="820" w:type="dxa"/>
            <w:vAlign w:val="bottom"/>
            <w:shd w:val="clear" w:color="auto" w:fill="E36C0A"/>
          </w:tcPr>
          <w:p>
            <w:pPr>
              <w:spacing w:after="0"/>
              <w:rPr>
                <w:sz w:val="19"/>
                <w:szCs w:val="19"/>
                <w:color w:val="auto"/>
              </w:rPr>
            </w:pPr>
          </w:p>
        </w:tc>
        <w:tc>
          <w:tcPr>
            <w:tcW w:w="740" w:type="dxa"/>
            <w:vAlign w:val="bottom"/>
            <w:shd w:val="clear" w:color="auto" w:fill="E36C0A"/>
          </w:tcPr>
          <w:p>
            <w:pPr>
              <w:spacing w:after="0"/>
              <w:rPr>
                <w:sz w:val="19"/>
                <w:szCs w:val="19"/>
                <w:color w:val="auto"/>
              </w:rPr>
            </w:pPr>
          </w:p>
        </w:tc>
        <w:tc>
          <w:tcPr>
            <w:tcW w:w="920" w:type="dxa"/>
            <w:vAlign w:val="bottom"/>
            <w:shd w:val="clear" w:color="auto" w:fill="E36C0A"/>
          </w:tcPr>
          <w:p>
            <w:pPr>
              <w:spacing w:after="0"/>
              <w:rPr>
                <w:sz w:val="19"/>
                <w:szCs w:val="19"/>
                <w:color w:val="auto"/>
              </w:rPr>
            </w:pPr>
          </w:p>
        </w:tc>
        <w:tc>
          <w:tcPr>
            <w:tcW w:w="700" w:type="dxa"/>
            <w:vAlign w:val="bottom"/>
            <w:shd w:val="clear" w:color="auto" w:fill="E36C0A"/>
          </w:tcPr>
          <w:p>
            <w:pPr>
              <w:spacing w:after="0"/>
              <w:rPr>
                <w:sz w:val="19"/>
                <w:szCs w:val="19"/>
                <w:color w:val="auto"/>
              </w:rPr>
            </w:pPr>
          </w:p>
        </w:tc>
        <w:tc>
          <w:tcPr>
            <w:tcW w:w="820" w:type="dxa"/>
            <w:vAlign w:val="bottom"/>
            <w:shd w:val="clear" w:color="auto" w:fill="E36C0A"/>
          </w:tcPr>
          <w:p>
            <w:pPr>
              <w:spacing w:after="0"/>
              <w:rPr>
                <w:sz w:val="19"/>
                <w:szCs w:val="19"/>
                <w:color w:val="auto"/>
              </w:rPr>
            </w:pPr>
          </w:p>
        </w:tc>
        <w:tc>
          <w:tcPr>
            <w:tcW w:w="720" w:type="dxa"/>
            <w:vAlign w:val="bottom"/>
            <w:shd w:val="clear" w:color="auto" w:fill="E36C0A"/>
          </w:tcPr>
          <w:p>
            <w:pPr>
              <w:spacing w:after="0"/>
              <w:rPr>
                <w:sz w:val="19"/>
                <w:szCs w:val="19"/>
                <w:color w:val="auto"/>
              </w:rPr>
            </w:pPr>
          </w:p>
        </w:tc>
        <w:tc>
          <w:tcPr>
            <w:tcW w:w="800" w:type="dxa"/>
            <w:vAlign w:val="bottom"/>
            <w:shd w:val="clear" w:color="auto" w:fill="E36C0A"/>
          </w:tcPr>
          <w:p>
            <w:pPr>
              <w:spacing w:after="0"/>
              <w:rPr>
                <w:sz w:val="19"/>
                <w:szCs w:val="19"/>
                <w:color w:val="auto"/>
              </w:rPr>
            </w:pPr>
          </w:p>
        </w:tc>
        <w:tc>
          <w:tcPr>
            <w:tcW w:w="820" w:type="dxa"/>
            <w:vAlign w:val="bottom"/>
            <w:shd w:val="clear" w:color="auto" w:fill="E36C0A"/>
          </w:tcPr>
          <w:p>
            <w:pPr>
              <w:spacing w:after="0"/>
              <w:rPr>
                <w:sz w:val="19"/>
                <w:szCs w:val="19"/>
                <w:color w:val="auto"/>
              </w:rPr>
            </w:pPr>
          </w:p>
        </w:tc>
        <w:tc>
          <w:tcPr>
            <w:tcW w:w="840" w:type="dxa"/>
            <w:vAlign w:val="bottom"/>
            <w:shd w:val="clear" w:color="auto" w:fill="E36C0A"/>
          </w:tcPr>
          <w:p>
            <w:pPr>
              <w:spacing w:after="0"/>
              <w:rPr>
                <w:sz w:val="19"/>
                <w:szCs w:val="19"/>
                <w:color w:val="auto"/>
              </w:rPr>
            </w:pPr>
          </w:p>
        </w:tc>
        <w:tc>
          <w:tcPr>
            <w:tcW w:w="980" w:type="dxa"/>
            <w:vAlign w:val="bottom"/>
            <w:shd w:val="clear" w:color="auto" w:fill="E36C0A"/>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 w:type="dxa"/>
            <w:vAlign w:val="bottom"/>
            <w:vMerge w:val="continue"/>
          </w:tcPr>
          <w:p>
            <w:pPr>
              <w:spacing w:after="0"/>
              <w:rPr>
                <w:sz w:val="20"/>
                <w:szCs w:val="20"/>
                <w:color w:val="auto"/>
              </w:rPr>
            </w:pPr>
          </w:p>
        </w:tc>
        <w:tc>
          <w:tcPr>
            <w:tcW w:w="700" w:type="dxa"/>
            <w:vAlign w:val="bottom"/>
          </w:tcPr>
          <w:p>
            <w:pPr>
              <w:jc w:val="center"/>
              <w:spacing w:after="0"/>
              <w:rPr>
                <w:sz w:val="20"/>
                <w:szCs w:val="20"/>
                <w:color w:val="auto"/>
              </w:rPr>
            </w:pPr>
            <w:r>
              <w:rPr>
                <w:rFonts w:ascii="Arial" w:cs="Arial" w:eastAsia="Arial" w:hAnsi="Arial"/>
                <w:sz w:val="18"/>
                <w:szCs w:val="18"/>
                <w:color w:val="auto"/>
                <w:w w:val="86"/>
              </w:rPr>
              <w:t>430</w:t>
            </w:r>
          </w:p>
        </w:tc>
        <w:tc>
          <w:tcPr>
            <w:tcW w:w="820" w:type="dxa"/>
            <w:vAlign w:val="bottom"/>
          </w:tcPr>
          <w:p>
            <w:pPr>
              <w:jc w:val="center"/>
              <w:spacing w:after="0"/>
              <w:rPr>
                <w:sz w:val="20"/>
                <w:szCs w:val="20"/>
                <w:color w:val="auto"/>
              </w:rPr>
            </w:pPr>
            <w:r>
              <w:rPr>
                <w:rFonts w:ascii="Arial" w:cs="Arial" w:eastAsia="Arial" w:hAnsi="Arial"/>
                <w:sz w:val="18"/>
                <w:szCs w:val="18"/>
                <w:color w:val="auto"/>
                <w:w w:val="90"/>
              </w:rPr>
              <w:t>52.5%</w:t>
            </w:r>
          </w:p>
        </w:tc>
        <w:tc>
          <w:tcPr>
            <w:tcW w:w="740" w:type="dxa"/>
            <w:vAlign w:val="bottom"/>
          </w:tcPr>
          <w:p>
            <w:pPr>
              <w:jc w:val="center"/>
              <w:spacing w:after="0"/>
              <w:rPr>
                <w:sz w:val="20"/>
                <w:szCs w:val="20"/>
                <w:color w:val="auto"/>
              </w:rPr>
            </w:pPr>
            <w:r>
              <w:rPr>
                <w:rFonts w:ascii="Arial" w:cs="Arial" w:eastAsia="Arial" w:hAnsi="Arial"/>
                <w:sz w:val="18"/>
                <w:szCs w:val="18"/>
                <w:color w:val="auto"/>
                <w:w w:val="89"/>
              </w:rPr>
              <w:t>52</w:t>
            </w:r>
          </w:p>
        </w:tc>
        <w:tc>
          <w:tcPr>
            <w:tcW w:w="920" w:type="dxa"/>
            <w:vAlign w:val="bottom"/>
          </w:tcPr>
          <w:p>
            <w:pPr>
              <w:jc w:val="center"/>
              <w:spacing w:after="0"/>
              <w:rPr>
                <w:sz w:val="20"/>
                <w:szCs w:val="20"/>
                <w:color w:val="auto"/>
              </w:rPr>
            </w:pPr>
            <w:r>
              <w:rPr>
                <w:rFonts w:ascii="Arial" w:cs="Arial" w:eastAsia="Arial" w:hAnsi="Arial"/>
                <w:sz w:val="18"/>
                <w:szCs w:val="18"/>
                <w:color w:val="auto"/>
                <w:w w:val="92"/>
              </w:rPr>
              <w:t>6.3%</w:t>
            </w:r>
          </w:p>
        </w:tc>
        <w:tc>
          <w:tcPr>
            <w:tcW w:w="700" w:type="dxa"/>
            <w:vAlign w:val="bottom"/>
          </w:tcPr>
          <w:p>
            <w:pPr>
              <w:jc w:val="center"/>
              <w:spacing w:after="0"/>
              <w:rPr>
                <w:sz w:val="20"/>
                <w:szCs w:val="20"/>
                <w:color w:val="auto"/>
              </w:rPr>
            </w:pPr>
            <w:r>
              <w:rPr>
                <w:rFonts w:ascii="Arial" w:cs="Arial" w:eastAsia="Arial" w:hAnsi="Arial"/>
                <w:sz w:val="18"/>
                <w:szCs w:val="18"/>
                <w:color w:val="auto"/>
                <w:w w:val="93"/>
              </w:rPr>
              <w:t>120</w:t>
            </w:r>
          </w:p>
        </w:tc>
        <w:tc>
          <w:tcPr>
            <w:tcW w:w="820" w:type="dxa"/>
            <w:vAlign w:val="bottom"/>
          </w:tcPr>
          <w:p>
            <w:pPr>
              <w:jc w:val="center"/>
              <w:spacing w:after="0"/>
              <w:rPr>
                <w:sz w:val="20"/>
                <w:szCs w:val="20"/>
                <w:color w:val="auto"/>
              </w:rPr>
            </w:pPr>
            <w:r>
              <w:rPr>
                <w:rFonts w:ascii="Arial" w:cs="Arial" w:eastAsia="Arial" w:hAnsi="Arial"/>
                <w:sz w:val="18"/>
                <w:szCs w:val="18"/>
                <w:color w:val="auto"/>
                <w:w w:val="90"/>
              </w:rPr>
              <w:t>14.7%</w:t>
            </w:r>
          </w:p>
        </w:tc>
        <w:tc>
          <w:tcPr>
            <w:tcW w:w="720" w:type="dxa"/>
            <w:vAlign w:val="bottom"/>
          </w:tcPr>
          <w:p>
            <w:pPr>
              <w:jc w:val="center"/>
              <w:spacing w:after="0"/>
              <w:rPr>
                <w:sz w:val="20"/>
                <w:szCs w:val="20"/>
                <w:color w:val="auto"/>
              </w:rPr>
            </w:pPr>
            <w:r>
              <w:rPr>
                <w:rFonts w:ascii="Arial" w:cs="Arial" w:eastAsia="Arial" w:hAnsi="Arial"/>
                <w:sz w:val="18"/>
                <w:szCs w:val="18"/>
                <w:color w:val="auto"/>
                <w:w w:val="86"/>
              </w:rPr>
              <w:t>152</w:t>
            </w:r>
          </w:p>
        </w:tc>
        <w:tc>
          <w:tcPr>
            <w:tcW w:w="800" w:type="dxa"/>
            <w:vAlign w:val="bottom"/>
          </w:tcPr>
          <w:p>
            <w:pPr>
              <w:jc w:val="center"/>
              <w:spacing w:after="0"/>
              <w:rPr>
                <w:sz w:val="20"/>
                <w:szCs w:val="20"/>
                <w:color w:val="auto"/>
              </w:rPr>
            </w:pPr>
            <w:r>
              <w:rPr>
                <w:rFonts w:ascii="Arial" w:cs="Arial" w:eastAsia="Arial" w:hAnsi="Arial"/>
                <w:sz w:val="18"/>
                <w:szCs w:val="18"/>
                <w:color w:val="auto"/>
                <w:w w:val="90"/>
              </w:rPr>
              <w:t>18.6%</w:t>
            </w:r>
          </w:p>
        </w:tc>
        <w:tc>
          <w:tcPr>
            <w:tcW w:w="820" w:type="dxa"/>
            <w:vAlign w:val="bottom"/>
          </w:tcPr>
          <w:p>
            <w:pPr>
              <w:jc w:val="center"/>
              <w:spacing w:after="0"/>
              <w:rPr>
                <w:sz w:val="20"/>
                <w:szCs w:val="20"/>
                <w:color w:val="auto"/>
              </w:rPr>
            </w:pPr>
            <w:r>
              <w:rPr>
                <w:rFonts w:ascii="Arial" w:cs="Arial" w:eastAsia="Arial" w:hAnsi="Arial"/>
                <w:sz w:val="18"/>
                <w:szCs w:val="18"/>
                <w:color w:val="auto"/>
                <w:w w:val="89"/>
              </w:rPr>
              <w:t>65</w:t>
            </w:r>
          </w:p>
        </w:tc>
        <w:tc>
          <w:tcPr>
            <w:tcW w:w="840" w:type="dxa"/>
            <w:vAlign w:val="bottom"/>
          </w:tcPr>
          <w:p>
            <w:pPr>
              <w:jc w:val="center"/>
              <w:spacing w:after="0"/>
              <w:rPr>
                <w:sz w:val="20"/>
                <w:szCs w:val="20"/>
                <w:color w:val="auto"/>
              </w:rPr>
            </w:pPr>
            <w:r>
              <w:rPr>
                <w:rFonts w:ascii="Arial" w:cs="Arial" w:eastAsia="Arial" w:hAnsi="Arial"/>
                <w:sz w:val="18"/>
                <w:szCs w:val="18"/>
                <w:color w:val="auto"/>
                <w:w w:val="92"/>
              </w:rPr>
              <w:t>7.9%</w:t>
            </w:r>
          </w:p>
        </w:tc>
        <w:tc>
          <w:tcPr>
            <w:tcW w:w="980" w:type="dxa"/>
            <w:vAlign w:val="bottom"/>
          </w:tcPr>
          <w:p>
            <w:pPr>
              <w:jc w:val="center"/>
              <w:spacing w:after="0"/>
              <w:rPr>
                <w:sz w:val="20"/>
                <w:szCs w:val="20"/>
                <w:color w:val="auto"/>
              </w:rPr>
            </w:pPr>
            <w:r>
              <w:rPr>
                <w:rFonts w:ascii="Arial" w:cs="Arial" w:eastAsia="Arial" w:hAnsi="Arial"/>
                <w:sz w:val="18"/>
                <w:szCs w:val="18"/>
                <w:color w:val="auto"/>
                <w:w w:val="86"/>
              </w:rPr>
              <w:t>819</w:t>
            </w:r>
          </w:p>
        </w:tc>
        <w:tc>
          <w:tcPr>
            <w:tcW w:w="0" w:type="dxa"/>
            <w:vAlign w:val="bottom"/>
          </w:tcPr>
          <w:p>
            <w:pPr>
              <w:spacing w:after="0"/>
              <w:rPr>
                <w:sz w:val="1"/>
                <w:szCs w:val="1"/>
                <w:color w:val="auto"/>
              </w:rPr>
            </w:pPr>
          </w:p>
        </w:tc>
      </w:tr>
      <w:tr>
        <w:trPr>
          <w:trHeight w:val="418"/>
        </w:trPr>
        <w:tc>
          <w:tcPr>
            <w:tcW w:w="540" w:type="dxa"/>
            <w:vAlign w:val="bottom"/>
          </w:tcPr>
          <w:p>
            <w:pPr>
              <w:spacing w:after="0"/>
              <w:rPr>
                <w:sz w:val="20"/>
                <w:szCs w:val="20"/>
                <w:color w:val="auto"/>
              </w:rPr>
            </w:pPr>
            <w:r>
              <w:rPr>
                <w:rFonts w:ascii="Arial" w:cs="Arial" w:eastAsia="Arial" w:hAnsi="Arial"/>
                <w:sz w:val="18"/>
                <w:szCs w:val="18"/>
                <w:color w:val="auto"/>
              </w:rPr>
              <w:t>2021</w:t>
            </w:r>
          </w:p>
        </w:tc>
        <w:tc>
          <w:tcPr>
            <w:tcW w:w="700" w:type="dxa"/>
            <w:vAlign w:val="bottom"/>
          </w:tcPr>
          <w:p>
            <w:pPr>
              <w:jc w:val="center"/>
              <w:spacing w:after="0"/>
              <w:rPr>
                <w:sz w:val="20"/>
                <w:szCs w:val="20"/>
                <w:color w:val="auto"/>
              </w:rPr>
            </w:pPr>
            <w:r>
              <w:rPr>
                <w:rFonts w:ascii="Arial" w:cs="Arial" w:eastAsia="Arial" w:hAnsi="Arial"/>
                <w:sz w:val="18"/>
                <w:szCs w:val="18"/>
                <w:color w:val="auto"/>
                <w:w w:val="86"/>
              </w:rPr>
              <w:t>248</w:t>
            </w:r>
          </w:p>
        </w:tc>
        <w:tc>
          <w:tcPr>
            <w:tcW w:w="820" w:type="dxa"/>
            <w:vAlign w:val="bottom"/>
          </w:tcPr>
          <w:p>
            <w:pPr>
              <w:jc w:val="center"/>
              <w:spacing w:after="0"/>
              <w:rPr>
                <w:sz w:val="20"/>
                <w:szCs w:val="20"/>
                <w:color w:val="auto"/>
              </w:rPr>
            </w:pPr>
            <w:r>
              <w:rPr>
                <w:rFonts w:ascii="Arial" w:cs="Arial" w:eastAsia="Arial" w:hAnsi="Arial"/>
                <w:sz w:val="18"/>
                <w:szCs w:val="18"/>
                <w:color w:val="auto"/>
                <w:w w:val="90"/>
              </w:rPr>
              <w:t>16.6%</w:t>
            </w:r>
          </w:p>
        </w:tc>
        <w:tc>
          <w:tcPr>
            <w:tcW w:w="740" w:type="dxa"/>
            <w:vAlign w:val="bottom"/>
          </w:tcPr>
          <w:p>
            <w:pPr>
              <w:jc w:val="center"/>
              <w:spacing w:after="0"/>
              <w:rPr>
                <w:sz w:val="20"/>
                <w:szCs w:val="20"/>
                <w:color w:val="auto"/>
              </w:rPr>
            </w:pPr>
            <w:r>
              <w:rPr>
                <w:rFonts w:ascii="Arial" w:cs="Arial" w:eastAsia="Arial" w:hAnsi="Arial"/>
                <w:sz w:val="18"/>
                <w:szCs w:val="18"/>
                <w:color w:val="auto"/>
                <w:w w:val="79"/>
              </w:rPr>
              <w:t>0</w:t>
            </w:r>
          </w:p>
        </w:tc>
        <w:tc>
          <w:tcPr>
            <w:tcW w:w="920" w:type="dxa"/>
            <w:vAlign w:val="bottom"/>
          </w:tcPr>
          <w:p>
            <w:pPr>
              <w:jc w:val="center"/>
              <w:spacing w:after="0"/>
              <w:rPr>
                <w:sz w:val="20"/>
                <w:szCs w:val="20"/>
                <w:color w:val="auto"/>
              </w:rPr>
            </w:pPr>
            <w:r>
              <w:rPr>
                <w:rFonts w:ascii="Arial" w:cs="Arial" w:eastAsia="Arial" w:hAnsi="Arial"/>
                <w:sz w:val="18"/>
                <w:szCs w:val="18"/>
                <w:color w:val="auto"/>
                <w:w w:val="92"/>
              </w:rPr>
              <w:t>0,0%</w:t>
            </w:r>
          </w:p>
        </w:tc>
        <w:tc>
          <w:tcPr>
            <w:tcW w:w="700" w:type="dxa"/>
            <w:vAlign w:val="bottom"/>
          </w:tcPr>
          <w:p>
            <w:pPr>
              <w:jc w:val="center"/>
              <w:spacing w:after="0"/>
              <w:rPr>
                <w:sz w:val="20"/>
                <w:szCs w:val="20"/>
                <w:color w:val="auto"/>
              </w:rPr>
            </w:pPr>
            <w:r>
              <w:rPr>
                <w:rFonts w:ascii="Arial" w:cs="Arial" w:eastAsia="Arial" w:hAnsi="Arial"/>
                <w:sz w:val="18"/>
                <w:szCs w:val="18"/>
                <w:color w:val="auto"/>
                <w:w w:val="93"/>
              </w:rPr>
              <w:t>104</w:t>
            </w:r>
          </w:p>
        </w:tc>
        <w:tc>
          <w:tcPr>
            <w:tcW w:w="820" w:type="dxa"/>
            <w:vAlign w:val="bottom"/>
          </w:tcPr>
          <w:p>
            <w:pPr>
              <w:jc w:val="center"/>
              <w:spacing w:after="0"/>
              <w:rPr>
                <w:sz w:val="20"/>
                <w:szCs w:val="20"/>
                <w:color w:val="auto"/>
              </w:rPr>
            </w:pPr>
            <w:r>
              <w:rPr>
                <w:rFonts w:ascii="Arial" w:cs="Arial" w:eastAsia="Arial" w:hAnsi="Arial"/>
                <w:sz w:val="18"/>
                <w:szCs w:val="18"/>
                <w:color w:val="auto"/>
                <w:w w:val="92"/>
              </w:rPr>
              <w:t>6.9%</w:t>
            </w:r>
          </w:p>
        </w:tc>
        <w:tc>
          <w:tcPr>
            <w:tcW w:w="720" w:type="dxa"/>
            <w:vAlign w:val="bottom"/>
          </w:tcPr>
          <w:p>
            <w:pPr>
              <w:jc w:val="center"/>
              <w:spacing w:after="0"/>
              <w:rPr>
                <w:sz w:val="20"/>
                <w:szCs w:val="20"/>
                <w:color w:val="auto"/>
              </w:rPr>
            </w:pPr>
            <w:r>
              <w:rPr>
                <w:rFonts w:ascii="Arial" w:cs="Arial" w:eastAsia="Arial" w:hAnsi="Arial"/>
                <w:sz w:val="18"/>
                <w:szCs w:val="18"/>
                <w:color w:val="auto"/>
                <w:w w:val="86"/>
              </w:rPr>
              <w:t>138</w:t>
            </w:r>
          </w:p>
        </w:tc>
        <w:tc>
          <w:tcPr>
            <w:tcW w:w="800" w:type="dxa"/>
            <w:vAlign w:val="bottom"/>
          </w:tcPr>
          <w:p>
            <w:pPr>
              <w:jc w:val="center"/>
              <w:spacing w:after="0"/>
              <w:rPr>
                <w:sz w:val="20"/>
                <w:szCs w:val="20"/>
                <w:color w:val="auto"/>
              </w:rPr>
            </w:pPr>
            <w:r>
              <w:rPr>
                <w:rFonts w:ascii="Arial" w:cs="Arial" w:eastAsia="Arial" w:hAnsi="Arial"/>
                <w:sz w:val="18"/>
                <w:szCs w:val="18"/>
                <w:color w:val="auto"/>
                <w:w w:val="92"/>
              </w:rPr>
              <w:t>9.2%</w:t>
            </w:r>
          </w:p>
        </w:tc>
        <w:tc>
          <w:tcPr>
            <w:tcW w:w="820" w:type="dxa"/>
            <w:vAlign w:val="bottom"/>
          </w:tcPr>
          <w:p>
            <w:pPr>
              <w:jc w:val="center"/>
              <w:spacing w:after="0"/>
              <w:rPr>
                <w:sz w:val="20"/>
                <w:szCs w:val="20"/>
                <w:color w:val="auto"/>
              </w:rPr>
            </w:pPr>
            <w:r>
              <w:rPr>
                <w:rFonts w:ascii="Arial" w:cs="Arial" w:eastAsia="Arial" w:hAnsi="Arial"/>
                <w:sz w:val="18"/>
                <w:szCs w:val="18"/>
                <w:color w:val="auto"/>
                <w:w w:val="88"/>
              </w:rPr>
              <w:t>1.007</w:t>
            </w:r>
          </w:p>
        </w:tc>
        <w:tc>
          <w:tcPr>
            <w:tcW w:w="840" w:type="dxa"/>
            <w:vAlign w:val="bottom"/>
          </w:tcPr>
          <w:p>
            <w:pPr>
              <w:jc w:val="center"/>
              <w:spacing w:after="0"/>
              <w:rPr>
                <w:sz w:val="20"/>
                <w:szCs w:val="20"/>
                <w:color w:val="auto"/>
              </w:rPr>
            </w:pPr>
            <w:r>
              <w:rPr>
                <w:rFonts w:ascii="Arial" w:cs="Arial" w:eastAsia="Arial" w:hAnsi="Arial"/>
                <w:sz w:val="18"/>
                <w:szCs w:val="18"/>
                <w:color w:val="auto"/>
                <w:w w:val="90"/>
              </w:rPr>
              <w:t>67.3%</w:t>
            </w:r>
          </w:p>
        </w:tc>
        <w:tc>
          <w:tcPr>
            <w:tcW w:w="980" w:type="dxa"/>
            <w:vAlign w:val="bottom"/>
          </w:tcPr>
          <w:p>
            <w:pPr>
              <w:jc w:val="center"/>
              <w:spacing w:after="0"/>
              <w:rPr>
                <w:sz w:val="20"/>
                <w:szCs w:val="20"/>
                <w:color w:val="auto"/>
              </w:rPr>
            </w:pPr>
            <w:r>
              <w:rPr>
                <w:rFonts w:ascii="Arial" w:cs="Arial" w:eastAsia="Arial" w:hAnsi="Arial"/>
                <w:sz w:val="18"/>
                <w:szCs w:val="18"/>
                <w:color w:val="auto"/>
                <w:w w:val="88"/>
              </w:rPr>
              <w:t>1.497</w:t>
            </w:r>
          </w:p>
        </w:tc>
        <w:tc>
          <w:tcPr>
            <w:tcW w:w="0" w:type="dxa"/>
            <w:vAlign w:val="bottom"/>
          </w:tcPr>
          <w:p>
            <w:pPr>
              <w:spacing w:after="0"/>
              <w:rPr>
                <w:sz w:val="1"/>
                <w:szCs w:val="1"/>
                <w:color w:val="auto"/>
              </w:rPr>
            </w:pPr>
          </w:p>
        </w:tc>
      </w:tr>
      <w:tr>
        <w:trPr>
          <w:trHeight w:val="540"/>
        </w:trPr>
        <w:tc>
          <w:tcPr>
            <w:tcW w:w="540" w:type="dxa"/>
            <w:vAlign w:val="bottom"/>
          </w:tcPr>
          <w:p>
            <w:pPr>
              <w:spacing w:after="0"/>
              <w:rPr>
                <w:sz w:val="20"/>
                <w:szCs w:val="20"/>
                <w:color w:val="auto"/>
              </w:rPr>
            </w:pPr>
            <w:r>
              <w:rPr>
                <w:rFonts w:ascii="Arial" w:cs="Arial" w:eastAsia="Arial" w:hAnsi="Arial"/>
                <w:sz w:val="18"/>
                <w:szCs w:val="18"/>
                <w:color w:val="auto"/>
              </w:rPr>
              <w:t>2022</w:t>
            </w:r>
          </w:p>
        </w:tc>
        <w:tc>
          <w:tcPr>
            <w:tcW w:w="700" w:type="dxa"/>
            <w:vAlign w:val="bottom"/>
          </w:tcPr>
          <w:p>
            <w:pPr>
              <w:jc w:val="center"/>
              <w:spacing w:after="0"/>
              <w:rPr>
                <w:sz w:val="20"/>
                <w:szCs w:val="20"/>
                <w:color w:val="auto"/>
              </w:rPr>
            </w:pPr>
            <w:r>
              <w:rPr>
                <w:rFonts w:ascii="Arial" w:cs="Arial" w:eastAsia="Arial" w:hAnsi="Arial"/>
                <w:sz w:val="18"/>
                <w:szCs w:val="18"/>
                <w:color w:val="auto"/>
                <w:w w:val="86"/>
              </w:rPr>
              <w:t>263</w:t>
            </w:r>
          </w:p>
        </w:tc>
        <w:tc>
          <w:tcPr>
            <w:tcW w:w="820" w:type="dxa"/>
            <w:vAlign w:val="bottom"/>
          </w:tcPr>
          <w:p>
            <w:pPr>
              <w:jc w:val="center"/>
              <w:spacing w:after="0"/>
              <w:rPr>
                <w:sz w:val="20"/>
                <w:szCs w:val="20"/>
                <w:color w:val="auto"/>
              </w:rPr>
            </w:pPr>
            <w:r>
              <w:rPr>
                <w:rFonts w:ascii="Arial" w:cs="Arial" w:eastAsia="Arial" w:hAnsi="Arial"/>
                <w:sz w:val="18"/>
                <w:szCs w:val="18"/>
                <w:color w:val="auto"/>
                <w:w w:val="90"/>
              </w:rPr>
              <w:t>50.3%</w:t>
            </w:r>
          </w:p>
        </w:tc>
        <w:tc>
          <w:tcPr>
            <w:tcW w:w="740" w:type="dxa"/>
            <w:vAlign w:val="bottom"/>
          </w:tcPr>
          <w:p>
            <w:pPr>
              <w:jc w:val="center"/>
              <w:spacing w:after="0"/>
              <w:rPr>
                <w:sz w:val="20"/>
                <w:szCs w:val="20"/>
                <w:color w:val="auto"/>
              </w:rPr>
            </w:pPr>
            <w:r>
              <w:rPr>
                <w:rFonts w:ascii="Arial" w:cs="Arial" w:eastAsia="Arial" w:hAnsi="Arial"/>
                <w:sz w:val="18"/>
                <w:szCs w:val="18"/>
                <w:color w:val="auto"/>
                <w:w w:val="89"/>
              </w:rPr>
              <w:t>62</w:t>
            </w:r>
          </w:p>
        </w:tc>
        <w:tc>
          <w:tcPr>
            <w:tcW w:w="920" w:type="dxa"/>
            <w:vAlign w:val="bottom"/>
          </w:tcPr>
          <w:p>
            <w:pPr>
              <w:jc w:val="center"/>
              <w:spacing w:after="0"/>
              <w:rPr>
                <w:sz w:val="20"/>
                <w:szCs w:val="20"/>
                <w:color w:val="auto"/>
              </w:rPr>
            </w:pPr>
            <w:r>
              <w:rPr>
                <w:rFonts w:ascii="Arial" w:cs="Arial" w:eastAsia="Arial" w:hAnsi="Arial"/>
                <w:sz w:val="18"/>
                <w:szCs w:val="18"/>
                <w:color w:val="auto"/>
                <w:w w:val="90"/>
              </w:rPr>
              <w:t>11.9%</w:t>
            </w:r>
          </w:p>
        </w:tc>
        <w:tc>
          <w:tcPr>
            <w:tcW w:w="700" w:type="dxa"/>
            <w:vAlign w:val="bottom"/>
          </w:tcPr>
          <w:p>
            <w:pPr>
              <w:jc w:val="center"/>
              <w:spacing w:after="0"/>
              <w:rPr>
                <w:sz w:val="20"/>
                <w:szCs w:val="20"/>
                <w:color w:val="auto"/>
              </w:rPr>
            </w:pPr>
            <w:r>
              <w:rPr>
                <w:rFonts w:ascii="Arial" w:cs="Arial" w:eastAsia="Arial" w:hAnsi="Arial"/>
                <w:sz w:val="18"/>
                <w:szCs w:val="18"/>
                <w:color w:val="auto"/>
                <w:w w:val="79"/>
              </w:rPr>
              <w:t>6</w:t>
            </w:r>
          </w:p>
        </w:tc>
        <w:tc>
          <w:tcPr>
            <w:tcW w:w="820" w:type="dxa"/>
            <w:vAlign w:val="bottom"/>
          </w:tcPr>
          <w:p>
            <w:pPr>
              <w:jc w:val="center"/>
              <w:spacing w:after="0"/>
              <w:rPr>
                <w:sz w:val="20"/>
                <w:szCs w:val="20"/>
                <w:color w:val="auto"/>
              </w:rPr>
            </w:pPr>
            <w:r>
              <w:rPr>
                <w:rFonts w:ascii="Arial" w:cs="Arial" w:eastAsia="Arial" w:hAnsi="Arial"/>
                <w:sz w:val="18"/>
                <w:szCs w:val="18"/>
                <w:color w:val="auto"/>
                <w:w w:val="92"/>
              </w:rPr>
              <w:t>1.1%</w:t>
            </w:r>
          </w:p>
        </w:tc>
        <w:tc>
          <w:tcPr>
            <w:tcW w:w="720" w:type="dxa"/>
            <w:vAlign w:val="bottom"/>
          </w:tcPr>
          <w:p>
            <w:pPr>
              <w:jc w:val="center"/>
              <w:spacing w:after="0"/>
              <w:rPr>
                <w:sz w:val="20"/>
                <w:szCs w:val="20"/>
                <w:color w:val="auto"/>
              </w:rPr>
            </w:pPr>
            <w:r>
              <w:rPr>
                <w:rFonts w:ascii="Arial" w:cs="Arial" w:eastAsia="Arial" w:hAnsi="Arial"/>
                <w:sz w:val="18"/>
                <w:szCs w:val="18"/>
                <w:color w:val="auto"/>
                <w:w w:val="86"/>
              </w:rPr>
              <w:t>142</w:t>
            </w:r>
          </w:p>
        </w:tc>
        <w:tc>
          <w:tcPr>
            <w:tcW w:w="800" w:type="dxa"/>
            <w:vAlign w:val="bottom"/>
          </w:tcPr>
          <w:p>
            <w:pPr>
              <w:jc w:val="center"/>
              <w:spacing w:after="0"/>
              <w:rPr>
                <w:sz w:val="20"/>
                <w:szCs w:val="20"/>
                <w:color w:val="auto"/>
              </w:rPr>
            </w:pPr>
            <w:r>
              <w:rPr>
                <w:rFonts w:ascii="Arial" w:cs="Arial" w:eastAsia="Arial" w:hAnsi="Arial"/>
                <w:sz w:val="18"/>
                <w:szCs w:val="18"/>
                <w:color w:val="auto"/>
                <w:w w:val="90"/>
              </w:rPr>
              <w:t>27.1%</w:t>
            </w:r>
          </w:p>
        </w:tc>
        <w:tc>
          <w:tcPr>
            <w:tcW w:w="820" w:type="dxa"/>
            <w:vAlign w:val="bottom"/>
          </w:tcPr>
          <w:p>
            <w:pPr>
              <w:jc w:val="center"/>
              <w:spacing w:after="0"/>
              <w:rPr>
                <w:sz w:val="20"/>
                <w:szCs w:val="20"/>
                <w:color w:val="auto"/>
              </w:rPr>
            </w:pPr>
            <w:r>
              <w:rPr>
                <w:rFonts w:ascii="Arial" w:cs="Arial" w:eastAsia="Arial" w:hAnsi="Arial"/>
                <w:sz w:val="18"/>
                <w:szCs w:val="18"/>
                <w:color w:val="auto"/>
                <w:w w:val="89"/>
              </w:rPr>
              <w:t>50</w:t>
            </w:r>
          </w:p>
        </w:tc>
        <w:tc>
          <w:tcPr>
            <w:tcW w:w="840" w:type="dxa"/>
            <w:vAlign w:val="bottom"/>
          </w:tcPr>
          <w:p>
            <w:pPr>
              <w:jc w:val="center"/>
              <w:spacing w:after="0"/>
              <w:rPr>
                <w:sz w:val="20"/>
                <w:szCs w:val="20"/>
                <w:color w:val="auto"/>
              </w:rPr>
            </w:pPr>
            <w:r>
              <w:rPr>
                <w:rFonts w:ascii="Arial" w:cs="Arial" w:eastAsia="Arial" w:hAnsi="Arial"/>
                <w:sz w:val="18"/>
                <w:szCs w:val="18"/>
                <w:color w:val="auto"/>
                <w:w w:val="92"/>
              </w:rPr>
              <w:t>9,6%</w:t>
            </w:r>
          </w:p>
        </w:tc>
        <w:tc>
          <w:tcPr>
            <w:tcW w:w="980" w:type="dxa"/>
            <w:vAlign w:val="bottom"/>
          </w:tcPr>
          <w:p>
            <w:pPr>
              <w:jc w:val="center"/>
              <w:spacing w:after="0"/>
              <w:rPr>
                <w:sz w:val="20"/>
                <w:szCs w:val="20"/>
                <w:color w:val="auto"/>
              </w:rPr>
            </w:pPr>
            <w:r>
              <w:rPr>
                <w:rFonts w:ascii="Arial" w:cs="Arial" w:eastAsia="Arial" w:hAnsi="Arial"/>
                <w:sz w:val="18"/>
                <w:szCs w:val="18"/>
                <w:color w:val="auto"/>
                <w:w w:val="86"/>
              </w:rPr>
              <w:t>523</w:t>
            </w:r>
          </w:p>
        </w:tc>
        <w:tc>
          <w:tcPr>
            <w:tcW w:w="0" w:type="dxa"/>
            <w:vAlign w:val="bottom"/>
          </w:tcPr>
          <w:p>
            <w:pPr>
              <w:spacing w:after="0"/>
              <w:rPr>
                <w:sz w:val="1"/>
                <w:szCs w:val="1"/>
                <w:color w:val="auto"/>
              </w:rPr>
            </w:pPr>
          </w:p>
        </w:tc>
      </w:tr>
      <w:tr>
        <w:trPr>
          <w:trHeight w:val="540"/>
        </w:trPr>
        <w:tc>
          <w:tcPr>
            <w:tcW w:w="540" w:type="dxa"/>
            <w:vAlign w:val="bottom"/>
          </w:tcPr>
          <w:p>
            <w:pPr>
              <w:spacing w:after="0"/>
              <w:rPr>
                <w:sz w:val="20"/>
                <w:szCs w:val="20"/>
                <w:color w:val="auto"/>
              </w:rPr>
            </w:pPr>
            <w:r>
              <w:rPr>
                <w:rFonts w:ascii="Arial" w:cs="Arial" w:eastAsia="Arial" w:hAnsi="Arial"/>
                <w:sz w:val="18"/>
                <w:szCs w:val="18"/>
                <w:color w:val="auto"/>
              </w:rPr>
              <w:t>2021</w:t>
            </w:r>
          </w:p>
        </w:tc>
        <w:tc>
          <w:tcPr>
            <w:tcW w:w="700" w:type="dxa"/>
            <w:vAlign w:val="bottom"/>
          </w:tcPr>
          <w:p>
            <w:pPr>
              <w:jc w:val="center"/>
              <w:spacing w:after="0"/>
              <w:rPr>
                <w:sz w:val="20"/>
                <w:szCs w:val="20"/>
                <w:color w:val="auto"/>
              </w:rPr>
            </w:pPr>
            <w:r>
              <w:rPr>
                <w:rFonts w:ascii="Arial" w:cs="Arial" w:eastAsia="Arial" w:hAnsi="Arial"/>
                <w:sz w:val="18"/>
                <w:szCs w:val="18"/>
                <w:color w:val="auto"/>
                <w:w w:val="86"/>
              </w:rPr>
              <w:t>200</w:t>
            </w:r>
          </w:p>
        </w:tc>
        <w:tc>
          <w:tcPr>
            <w:tcW w:w="820" w:type="dxa"/>
            <w:vAlign w:val="bottom"/>
          </w:tcPr>
          <w:p>
            <w:pPr>
              <w:jc w:val="center"/>
              <w:spacing w:after="0"/>
              <w:rPr>
                <w:sz w:val="20"/>
                <w:szCs w:val="20"/>
                <w:color w:val="auto"/>
              </w:rPr>
            </w:pPr>
            <w:r>
              <w:rPr>
                <w:rFonts w:ascii="Arial" w:cs="Arial" w:eastAsia="Arial" w:hAnsi="Arial"/>
                <w:sz w:val="18"/>
                <w:szCs w:val="18"/>
                <w:color w:val="auto"/>
                <w:w w:val="90"/>
              </w:rPr>
              <w:t>19.9%</w:t>
            </w:r>
          </w:p>
        </w:tc>
        <w:tc>
          <w:tcPr>
            <w:tcW w:w="740" w:type="dxa"/>
            <w:vAlign w:val="bottom"/>
          </w:tcPr>
          <w:p>
            <w:pPr>
              <w:jc w:val="center"/>
              <w:spacing w:after="0"/>
              <w:rPr>
                <w:sz w:val="20"/>
                <w:szCs w:val="20"/>
                <w:color w:val="auto"/>
              </w:rPr>
            </w:pPr>
            <w:r>
              <w:rPr>
                <w:rFonts w:ascii="Arial" w:cs="Arial" w:eastAsia="Arial" w:hAnsi="Arial"/>
                <w:sz w:val="18"/>
                <w:szCs w:val="18"/>
                <w:color w:val="auto"/>
                <w:w w:val="79"/>
              </w:rPr>
              <w:t>0</w:t>
            </w:r>
          </w:p>
        </w:tc>
        <w:tc>
          <w:tcPr>
            <w:tcW w:w="920" w:type="dxa"/>
            <w:vAlign w:val="bottom"/>
          </w:tcPr>
          <w:p>
            <w:pPr>
              <w:jc w:val="center"/>
              <w:spacing w:after="0"/>
              <w:rPr>
                <w:sz w:val="20"/>
                <w:szCs w:val="20"/>
                <w:color w:val="auto"/>
              </w:rPr>
            </w:pPr>
            <w:r>
              <w:rPr>
                <w:rFonts w:ascii="Arial" w:cs="Arial" w:eastAsia="Arial" w:hAnsi="Arial"/>
                <w:sz w:val="18"/>
                <w:szCs w:val="18"/>
                <w:color w:val="auto"/>
                <w:w w:val="92"/>
              </w:rPr>
              <w:t>0.0%</w:t>
            </w:r>
          </w:p>
        </w:tc>
        <w:tc>
          <w:tcPr>
            <w:tcW w:w="700" w:type="dxa"/>
            <w:vAlign w:val="bottom"/>
          </w:tcPr>
          <w:p>
            <w:pPr>
              <w:jc w:val="center"/>
              <w:spacing w:after="0"/>
              <w:rPr>
                <w:sz w:val="20"/>
                <w:szCs w:val="20"/>
                <w:color w:val="auto"/>
              </w:rPr>
            </w:pPr>
            <w:r>
              <w:rPr>
                <w:rFonts w:ascii="Arial" w:cs="Arial" w:eastAsia="Arial" w:hAnsi="Arial"/>
                <w:sz w:val="18"/>
                <w:szCs w:val="18"/>
                <w:color w:val="auto"/>
                <w:w w:val="79"/>
              </w:rPr>
              <w:t>6</w:t>
            </w:r>
          </w:p>
        </w:tc>
        <w:tc>
          <w:tcPr>
            <w:tcW w:w="820" w:type="dxa"/>
            <w:vAlign w:val="bottom"/>
          </w:tcPr>
          <w:p>
            <w:pPr>
              <w:jc w:val="center"/>
              <w:spacing w:after="0"/>
              <w:rPr>
                <w:sz w:val="20"/>
                <w:szCs w:val="20"/>
                <w:color w:val="auto"/>
              </w:rPr>
            </w:pPr>
            <w:r>
              <w:rPr>
                <w:rFonts w:ascii="Arial" w:cs="Arial" w:eastAsia="Arial" w:hAnsi="Arial"/>
                <w:sz w:val="18"/>
                <w:szCs w:val="18"/>
                <w:color w:val="auto"/>
                <w:w w:val="88"/>
              </w:rPr>
              <w:t>06%</w:t>
            </w:r>
          </w:p>
        </w:tc>
        <w:tc>
          <w:tcPr>
            <w:tcW w:w="720" w:type="dxa"/>
            <w:vAlign w:val="bottom"/>
          </w:tcPr>
          <w:p>
            <w:pPr>
              <w:jc w:val="center"/>
              <w:spacing w:after="0"/>
              <w:rPr>
                <w:sz w:val="20"/>
                <w:szCs w:val="20"/>
                <w:color w:val="auto"/>
              </w:rPr>
            </w:pPr>
            <w:r>
              <w:rPr>
                <w:rFonts w:ascii="Arial" w:cs="Arial" w:eastAsia="Arial" w:hAnsi="Arial"/>
                <w:sz w:val="18"/>
                <w:szCs w:val="18"/>
                <w:color w:val="auto"/>
                <w:w w:val="89"/>
              </w:rPr>
              <w:t>43</w:t>
            </w:r>
          </w:p>
        </w:tc>
        <w:tc>
          <w:tcPr>
            <w:tcW w:w="800" w:type="dxa"/>
            <w:vAlign w:val="bottom"/>
          </w:tcPr>
          <w:p>
            <w:pPr>
              <w:jc w:val="center"/>
              <w:spacing w:after="0"/>
              <w:rPr>
                <w:sz w:val="20"/>
                <w:szCs w:val="20"/>
                <w:color w:val="auto"/>
              </w:rPr>
            </w:pPr>
            <w:r>
              <w:rPr>
                <w:rFonts w:ascii="Arial" w:cs="Arial" w:eastAsia="Arial" w:hAnsi="Arial"/>
                <w:sz w:val="18"/>
                <w:szCs w:val="18"/>
                <w:color w:val="auto"/>
                <w:w w:val="92"/>
              </w:rPr>
              <w:t>4.3%</w:t>
            </w:r>
          </w:p>
        </w:tc>
        <w:tc>
          <w:tcPr>
            <w:tcW w:w="820" w:type="dxa"/>
            <w:vAlign w:val="bottom"/>
          </w:tcPr>
          <w:p>
            <w:pPr>
              <w:jc w:val="center"/>
              <w:spacing w:after="0"/>
              <w:rPr>
                <w:sz w:val="20"/>
                <w:szCs w:val="20"/>
                <w:color w:val="auto"/>
              </w:rPr>
            </w:pPr>
            <w:r>
              <w:rPr>
                <w:rFonts w:ascii="Arial" w:cs="Arial" w:eastAsia="Arial" w:hAnsi="Arial"/>
                <w:sz w:val="18"/>
                <w:szCs w:val="18"/>
                <w:color w:val="auto"/>
                <w:w w:val="93"/>
              </w:rPr>
              <w:t>755</w:t>
            </w:r>
          </w:p>
        </w:tc>
        <w:tc>
          <w:tcPr>
            <w:tcW w:w="840" w:type="dxa"/>
            <w:vAlign w:val="bottom"/>
          </w:tcPr>
          <w:p>
            <w:pPr>
              <w:jc w:val="center"/>
              <w:spacing w:after="0"/>
              <w:rPr>
                <w:sz w:val="20"/>
                <w:szCs w:val="20"/>
                <w:color w:val="auto"/>
              </w:rPr>
            </w:pPr>
            <w:r>
              <w:rPr>
                <w:rFonts w:ascii="Arial" w:cs="Arial" w:eastAsia="Arial" w:hAnsi="Arial"/>
                <w:sz w:val="18"/>
                <w:szCs w:val="18"/>
                <w:color w:val="auto"/>
                <w:w w:val="90"/>
              </w:rPr>
              <w:t>75.2%</w:t>
            </w:r>
          </w:p>
        </w:tc>
        <w:tc>
          <w:tcPr>
            <w:tcW w:w="980" w:type="dxa"/>
            <w:vAlign w:val="bottom"/>
          </w:tcPr>
          <w:p>
            <w:pPr>
              <w:jc w:val="center"/>
              <w:spacing w:after="0"/>
              <w:rPr>
                <w:sz w:val="20"/>
                <w:szCs w:val="20"/>
                <w:color w:val="auto"/>
              </w:rPr>
            </w:pPr>
            <w:r>
              <w:rPr>
                <w:rFonts w:ascii="Arial" w:cs="Arial" w:eastAsia="Arial" w:hAnsi="Arial"/>
                <w:sz w:val="18"/>
                <w:szCs w:val="18"/>
                <w:color w:val="auto"/>
                <w:w w:val="88"/>
              </w:rPr>
              <w:t>1.004</w:t>
            </w:r>
          </w:p>
        </w:tc>
        <w:tc>
          <w:tcPr>
            <w:tcW w:w="0" w:type="dxa"/>
            <w:vAlign w:val="bottom"/>
          </w:tcPr>
          <w:p>
            <w:pPr>
              <w:spacing w:after="0"/>
              <w:rPr>
                <w:sz w:val="1"/>
                <w:szCs w:val="1"/>
                <w:color w:val="auto"/>
              </w:rPr>
            </w:pPr>
          </w:p>
        </w:tc>
      </w:tr>
      <w:tr>
        <w:trPr>
          <w:trHeight w:val="459"/>
        </w:trPr>
        <w:tc>
          <w:tcPr>
            <w:tcW w:w="540" w:type="dxa"/>
            <w:vAlign w:val="bottom"/>
          </w:tcPr>
          <w:p>
            <w:pPr>
              <w:spacing w:after="0"/>
              <w:rPr>
                <w:sz w:val="20"/>
                <w:szCs w:val="20"/>
                <w:color w:val="auto"/>
              </w:rPr>
            </w:pPr>
            <w:r>
              <w:rPr>
                <w:rFonts w:ascii="Arial" w:cs="Arial" w:eastAsia="Arial" w:hAnsi="Arial"/>
                <w:sz w:val="18"/>
                <w:szCs w:val="18"/>
                <w:color w:val="auto"/>
              </w:rPr>
              <w:t>2022</w:t>
            </w:r>
          </w:p>
        </w:tc>
        <w:tc>
          <w:tcPr>
            <w:tcW w:w="700" w:type="dxa"/>
            <w:vAlign w:val="bottom"/>
          </w:tcPr>
          <w:p>
            <w:pPr>
              <w:jc w:val="center"/>
              <w:spacing w:after="0"/>
              <w:rPr>
                <w:sz w:val="20"/>
                <w:szCs w:val="20"/>
                <w:color w:val="auto"/>
              </w:rPr>
            </w:pPr>
            <w:r>
              <w:rPr>
                <w:rFonts w:ascii="Arial" w:cs="Arial" w:eastAsia="Arial" w:hAnsi="Arial"/>
                <w:sz w:val="18"/>
                <w:szCs w:val="18"/>
                <w:color w:val="auto"/>
                <w:w w:val="86"/>
              </w:rPr>
              <w:t>263</w:t>
            </w:r>
          </w:p>
        </w:tc>
        <w:tc>
          <w:tcPr>
            <w:tcW w:w="820" w:type="dxa"/>
            <w:vAlign w:val="bottom"/>
          </w:tcPr>
          <w:p>
            <w:pPr>
              <w:jc w:val="center"/>
              <w:spacing w:after="0"/>
              <w:rPr>
                <w:sz w:val="20"/>
                <w:szCs w:val="20"/>
                <w:color w:val="auto"/>
              </w:rPr>
            </w:pPr>
            <w:r>
              <w:rPr>
                <w:rFonts w:ascii="Arial" w:cs="Arial" w:eastAsia="Arial" w:hAnsi="Arial"/>
                <w:sz w:val="18"/>
                <w:szCs w:val="18"/>
                <w:color w:val="auto"/>
                <w:w w:val="90"/>
              </w:rPr>
              <w:t>50.3%</w:t>
            </w:r>
          </w:p>
        </w:tc>
        <w:tc>
          <w:tcPr>
            <w:tcW w:w="740" w:type="dxa"/>
            <w:vAlign w:val="bottom"/>
          </w:tcPr>
          <w:p>
            <w:pPr>
              <w:jc w:val="center"/>
              <w:spacing w:after="0"/>
              <w:rPr>
                <w:sz w:val="20"/>
                <w:szCs w:val="20"/>
                <w:color w:val="auto"/>
              </w:rPr>
            </w:pPr>
            <w:r>
              <w:rPr>
                <w:rFonts w:ascii="Arial" w:cs="Arial" w:eastAsia="Arial" w:hAnsi="Arial"/>
                <w:sz w:val="18"/>
                <w:szCs w:val="18"/>
                <w:color w:val="auto"/>
                <w:w w:val="89"/>
              </w:rPr>
              <w:t>62</w:t>
            </w:r>
          </w:p>
        </w:tc>
        <w:tc>
          <w:tcPr>
            <w:tcW w:w="920" w:type="dxa"/>
            <w:vAlign w:val="bottom"/>
          </w:tcPr>
          <w:p>
            <w:pPr>
              <w:jc w:val="center"/>
              <w:spacing w:after="0"/>
              <w:rPr>
                <w:sz w:val="20"/>
                <w:szCs w:val="20"/>
                <w:color w:val="auto"/>
              </w:rPr>
            </w:pPr>
            <w:r>
              <w:rPr>
                <w:rFonts w:ascii="Arial" w:cs="Arial" w:eastAsia="Arial" w:hAnsi="Arial"/>
                <w:sz w:val="18"/>
                <w:szCs w:val="18"/>
                <w:color w:val="auto"/>
                <w:w w:val="90"/>
              </w:rPr>
              <w:t>11.9%</w:t>
            </w:r>
          </w:p>
        </w:tc>
        <w:tc>
          <w:tcPr>
            <w:tcW w:w="700" w:type="dxa"/>
            <w:vAlign w:val="bottom"/>
          </w:tcPr>
          <w:p>
            <w:pPr>
              <w:jc w:val="center"/>
              <w:spacing w:after="0"/>
              <w:rPr>
                <w:sz w:val="20"/>
                <w:szCs w:val="20"/>
                <w:color w:val="auto"/>
              </w:rPr>
            </w:pPr>
            <w:r>
              <w:rPr>
                <w:rFonts w:ascii="Arial" w:cs="Arial" w:eastAsia="Arial" w:hAnsi="Arial"/>
                <w:sz w:val="18"/>
                <w:szCs w:val="18"/>
                <w:color w:val="auto"/>
                <w:w w:val="79"/>
              </w:rPr>
              <w:t>6</w:t>
            </w:r>
          </w:p>
        </w:tc>
        <w:tc>
          <w:tcPr>
            <w:tcW w:w="820" w:type="dxa"/>
            <w:vAlign w:val="bottom"/>
          </w:tcPr>
          <w:p>
            <w:pPr>
              <w:jc w:val="center"/>
              <w:spacing w:after="0"/>
              <w:rPr>
                <w:sz w:val="20"/>
                <w:szCs w:val="20"/>
                <w:color w:val="auto"/>
              </w:rPr>
            </w:pPr>
            <w:r>
              <w:rPr>
                <w:rFonts w:ascii="Arial" w:cs="Arial" w:eastAsia="Arial" w:hAnsi="Arial"/>
                <w:sz w:val="18"/>
                <w:szCs w:val="18"/>
                <w:color w:val="auto"/>
                <w:w w:val="92"/>
              </w:rPr>
              <w:t>1.1%</w:t>
            </w:r>
          </w:p>
        </w:tc>
        <w:tc>
          <w:tcPr>
            <w:tcW w:w="720" w:type="dxa"/>
            <w:vAlign w:val="bottom"/>
          </w:tcPr>
          <w:p>
            <w:pPr>
              <w:jc w:val="center"/>
              <w:spacing w:after="0"/>
              <w:rPr>
                <w:sz w:val="20"/>
                <w:szCs w:val="20"/>
                <w:color w:val="auto"/>
              </w:rPr>
            </w:pPr>
            <w:r>
              <w:rPr>
                <w:rFonts w:ascii="Arial" w:cs="Arial" w:eastAsia="Arial" w:hAnsi="Arial"/>
                <w:sz w:val="18"/>
                <w:szCs w:val="18"/>
                <w:color w:val="auto"/>
                <w:w w:val="86"/>
              </w:rPr>
              <w:t>142</w:t>
            </w:r>
          </w:p>
        </w:tc>
        <w:tc>
          <w:tcPr>
            <w:tcW w:w="800" w:type="dxa"/>
            <w:vAlign w:val="bottom"/>
          </w:tcPr>
          <w:p>
            <w:pPr>
              <w:jc w:val="center"/>
              <w:spacing w:after="0"/>
              <w:rPr>
                <w:sz w:val="20"/>
                <w:szCs w:val="20"/>
                <w:color w:val="auto"/>
              </w:rPr>
            </w:pPr>
            <w:r>
              <w:rPr>
                <w:rFonts w:ascii="Arial" w:cs="Arial" w:eastAsia="Arial" w:hAnsi="Arial"/>
                <w:sz w:val="18"/>
                <w:szCs w:val="18"/>
                <w:color w:val="auto"/>
                <w:w w:val="90"/>
              </w:rPr>
              <w:t>27.1%</w:t>
            </w:r>
          </w:p>
        </w:tc>
        <w:tc>
          <w:tcPr>
            <w:tcW w:w="820" w:type="dxa"/>
            <w:vAlign w:val="bottom"/>
          </w:tcPr>
          <w:p>
            <w:pPr>
              <w:jc w:val="center"/>
              <w:spacing w:after="0"/>
              <w:rPr>
                <w:sz w:val="20"/>
                <w:szCs w:val="20"/>
                <w:color w:val="auto"/>
              </w:rPr>
            </w:pPr>
            <w:r>
              <w:rPr>
                <w:rFonts w:ascii="Arial" w:cs="Arial" w:eastAsia="Arial" w:hAnsi="Arial"/>
                <w:sz w:val="18"/>
                <w:szCs w:val="18"/>
                <w:color w:val="auto"/>
                <w:w w:val="89"/>
              </w:rPr>
              <w:t>50</w:t>
            </w:r>
          </w:p>
        </w:tc>
        <w:tc>
          <w:tcPr>
            <w:tcW w:w="840" w:type="dxa"/>
            <w:vAlign w:val="bottom"/>
          </w:tcPr>
          <w:p>
            <w:pPr>
              <w:jc w:val="center"/>
              <w:spacing w:after="0"/>
              <w:rPr>
                <w:sz w:val="20"/>
                <w:szCs w:val="20"/>
                <w:color w:val="auto"/>
              </w:rPr>
            </w:pPr>
            <w:r>
              <w:rPr>
                <w:rFonts w:ascii="Arial" w:cs="Arial" w:eastAsia="Arial" w:hAnsi="Arial"/>
                <w:sz w:val="18"/>
                <w:szCs w:val="18"/>
                <w:color w:val="auto"/>
                <w:w w:val="92"/>
              </w:rPr>
              <w:t>9.6%</w:t>
            </w:r>
          </w:p>
        </w:tc>
        <w:tc>
          <w:tcPr>
            <w:tcW w:w="980" w:type="dxa"/>
            <w:vAlign w:val="bottom"/>
          </w:tcPr>
          <w:p>
            <w:pPr>
              <w:jc w:val="center"/>
              <w:spacing w:after="0"/>
              <w:rPr>
                <w:sz w:val="20"/>
                <w:szCs w:val="20"/>
                <w:color w:val="auto"/>
              </w:rPr>
            </w:pPr>
            <w:r>
              <w:rPr>
                <w:rFonts w:ascii="Arial" w:cs="Arial" w:eastAsia="Arial" w:hAnsi="Arial"/>
                <w:sz w:val="18"/>
                <w:szCs w:val="18"/>
                <w:color w:val="auto"/>
                <w:w w:val="86"/>
              </w:rPr>
              <w:t>523</w:t>
            </w:r>
          </w:p>
        </w:tc>
        <w:tc>
          <w:tcPr>
            <w:tcW w:w="0" w:type="dxa"/>
            <w:vAlign w:val="bottom"/>
          </w:tcPr>
          <w:p>
            <w:pPr>
              <w:spacing w:after="0"/>
              <w:rPr>
                <w:sz w:val="1"/>
                <w:szCs w:val="1"/>
                <w:color w:val="auto"/>
              </w:rPr>
            </w:pPr>
          </w:p>
        </w:tc>
      </w:tr>
      <w:tr>
        <w:trPr>
          <w:trHeight w:val="445"/>
        </w:trPr>
        <w:tc>
          <w:tcPr>
            <w:tcW w:w="540" w:type="dxa"/>
            <w:vAlign w:val="bottom"/>
          </w:tcPr>
          <w:p>
            <w:pPr>
              <w:spacing w:after="0"/>
              <w:rPr>
                <w:sz w:val="20"/>
                <w:szCs w:val="20"/>
                <w:color w:val="auto"/>
              </w:rPr>
            </w:pPr>
            <w:r>
              <w:rPr>
                <w:rFonts w:ascii="Arial" w:cs="Arial" w:eastAsia="Arial" w:hAnsi="Arial"/>
                <w:sz w:val="18"/>
                <w:szCs w:val="18"/>
                <w:color w:val="auto"/>
              </w:rPr>
              <w:t>2021</w:t>
            </w:r>
          </w:p>
        </w:tc>
        <w:tc>
          <w:tcPr>
            <w:tcW w:w="700" w:type="dxa"/>
            <w:vAlign w:val="bottom"/>
          </w:tcPr>
          <w:p>
            <w:pPr>
              <w:jc w:val="center"/>
              <w:spacing w:after="0"/>
              <w:rPr>
                <w:sz w:val="20"/>
                <w:szCs w:val="20"/>
                <w:color w:val="auto"/>
              </w:rPr>
            </w:pPr>
            <w:r>
              <w:rPr>
                <w:rFonts w:ascii="Arial" w:cs="Arial" w:eastAsia="Arial" w:hAnsi="Arial"/>
                <w:sz w:val="18"/>
                <w:szCs w:val="18"/>
                <w:color w:val="auto"/>
                <w:w w:val="86"/>
              </w:rPr>
              <w:t>174</w:t>
            </w:r>
          </w:p>
        </w:tc>
        <w:tc>
          <w:tcPr>
            <w:tcW w:w="820" w:type="dxa"/>
            <w:vAlign w:val="bottom"/>
          </w:tcPr>
          <w:p>
            <w:pPr>
              <w:jc w:val="center"/>
              <w:spacing w:after="0"/>
              <w:rPr>
                <w:sz w:val="20"/>
                <w:szCs w:val="20"/>
                <w:color w:val="auto"/>
              </w:rPr>
            </w:pPr>
            <w:r>
              <w:rPr>
                <w:rFonts w:ascii="Arial" w:cs="Arial" w:eastAsia="Arial" w:hAnsi="Arial"/>
                <w:sz w:val="18"/>
                <w:szCs w:val="18"/>
                <w:color w:val="auto"/>
                <w:w w:val="90"/>
              </w:rPr>
              <w:t>18.6%</w:t>
            </w:r>
          </w:p>
        </w:tc>
        <w:tc>
          <w:tcPr>
            <w:tcW w:w="740" w:type="dxa"/>
            <w:vAlign w:val="bottom"/>
          </w:tcPr>
          <w:p>
            <w:pPr>
              <w:jc w:val="center"/>
              <w:spacing w:after="0"/>
              <w:rPr>
                <w:sz w:val="20"/>
                <w:szCs w:val="20"/>
                <w:color w:val="auto"/>
              </w:rPr>
            </w:pPr>
            <w:r>
              <w:rPr>
                <w:rFonts w:ascii="Arial" w:cs="Arial" w:eastAsia="Arial" w:hAnsi="Arial"/>
                <w:sz w:val="18"/>
                <w:szCs w:val="18"/>
                <w:color w:val="auto"/>
                <w:w w:val="79"/>
              </w:rPr>
              <w:t>0</w:t>
            </w:r>
          </w:p>
        </w:tc>
        <w:tc>
          <w:tcPr>
            <w:tcW w:w="920" w:type="dxa"/>
            <w:vAlign w:val="bottom"/>
          </w:tcPr>
          <w:p>
            <w:pPr>
              <w:jc w:val="center"/>
              <w:spacing w:after="0"/>
              <w:rPr>
                <w:sz w:val="20"/>
                <w:szCs w:val="20"/>
                <w:color w:val="auto"/>
              </w:rPr>
            </w:pPr>
            <w:r>
              <w:rPr>
                <w:rFonts w:ascii="Arial" w:cs="Arial" w:eastAsia="Arial" w:hAnsi="Arial"/>
                <w:sz w:val="18"/>
                <w:szCs w:val="18"/>
                <w:color w:val="auto"/>
                <w:w w:val="92"/>
              </w:rPr>
              <w:t>0.0%</w:t>
            </w:r>
          </w:p>
        </w:tc>
        <w:tc>
          <w:tcPr>
            <w:tcW w:w="700" w:type="dxa"/>
            <w:vAlign w:val="bottom"/>
          </w:tcPr>
          <w:p>
            <w:pPr>
              <w:jc w:val="center"/>
              <w:spacing w:after="0"/>
              <w:rPr>
                <w:sz w:val="20"/>
                <w:szCs w:val="20"/>
                <w:color w:val="auto"/>
              </w:rPr>
            </w:pPr>
            <w:r>
              <w:rPr>
                <w:rFonts w:ascii="Arial" w:cs="Arial" w:eastAsia="Arial" w:hAnsi="Arial"/>
                <w:sz w:val="18"/>
                <w:szCs w:val="18"/>
                <w:color w:val="auto"/>
                <w:w w:val="79"/>
              </w:rPr>
              <w:t>5</w:t>
            </w:r>
          </w:p>
        </w:tc>
        <w:tc>
          <w:tcPr>
            <w:tcW w:w="820" w:type="dxa"/>
            <w:vAlign w:val="bottom"/>
          </w:tcPr>
          <w:p>
            <w:pPr>
              <w:jc w:val="center"/>
              <w:spacing w:after="0"/>
              <w:rPr>
                <w:sz w:val="20"/>
                <w:szCs w:val="20"/>
                <w:color w:val="auto"/>
              </w:rPr>
            </w:pPr>
            <w:r>
              <w:rPr>
                <w:rFonts w:ascii="Arial" w:cs="Arial" w:eastAsia="Arial" w:hAnsi="Arial"/>
                <w:sz w:val="18"/>
                <w:szCs w:val="18"/>
                <w:color w:val="auto"/>
                <w:w w:val="92"/>
              </w:rPr>
              <w:t>0.5%</w:t>
            </w:r>
          </w:p>
        </w:tc>
        <w:tc>
          <w:tcPr>
            <w:tcW w:w="720" w:type="dxa"/>
            <w:vAlign w:val="bottom"/>
          </w:tcPr>
          <w:p>
            <w:pPr>
              <w:jc w:val="center"/>
              <w:spacing w:after="0"/>
              <w:rPr>
                <w:sz w:val="20"/>
                <w:szCs w:val="20"/>
                <w:color w:val="auto"/>
              </w:rPr>
            </w:pPr>
            <w:r>
              <w:rPr>
                <w:rFonts w:ascii="Arial" w:cs="Arial" w:eastAsia="Arial" w:hAnsi="Arial"/>
                <w:sz w:val="18"/>
                <w:szCs w:val="18"/>
                <w:color w:val="auto"/>
                <w:w w:val="99"/>
              </w:rPr>
              <w:t>0</w:t>
            </w:r>
          </w:p>
        </w:tc>
        <w:tc>
          <w:tcPr>
            <w:tcW w:w="800" w:type="dxa"/>
            <w:vAlign w:val="bottom"/>
          </w:tcPr>
          <w:p>
            <w:pPr>
              <w:jc w:val="center"/>
              <w:spacing w:after="0"/>
              <w:rPr>
                <w:sz w:val="20"/>
                <w:szCs w:val="20"/>
                <w:color w:val="auto"/>
              </w:rPr>
            </w:pPr>
            <w:r>
              <w:rPr>
                <w:rFonts w:ascii="Arial" w:cs="Arial" w:eastAsia="Arial" w:hAnsi="Arial"/>
                <w:sz w:val="18"/>
                <w:szCs w:val="18"/>
                <w:color w:val="auto"/>
                <w:w w:val="92"/>
              </w:rPr>
              <w:t>0.0%</w:t>
            </w:r>
          </w:p>
        </w:tc>
        <w:tc>
          <w:tcPr>
            <w:tcW w:w="820" w:type="dxa"/>
            <w:vAlign w:val="bottom"/>
          </w:tcPr>
          <w:p>
            <w:pPr>
              <w:jc w:val="center"/>
              <w:spacing w:after="0"/>
              <w:rPr>
                <w:sz w:val="20"/>
                <w:szCs w:val="20"/>
                <w:color w:val="auto"/>
              </w:rPr>
            </w:pPr>
            <w:r>
              <w:rPr>
                <w:rFonts w:ascii="Arial" w:cs="Arial" w:eastAsia="Arial" w:hAnsi="Arial"/>
                <w:sz w:val="18"/>
                <w:szCs w:val="18"/>
                <w:color w:val="auto"/>
                <w:w w:val="93"/>
              </w:rPr>
              <w:t>755</w:t>
            </w:r>
          </w:p>
        </w:tc>
        <w:tc>
          <w:tcPr>
            <w:tcW w:w="840" w:type="dxa"/>
            <w:vAlign w:val="bottom"/>
          </w:tcPr>
          <w:p>
            <w:pPr>
              <w:jc w:val="center"/>
              <w:spacing w:after="0"/>
              <w:rPr>
                <w:sz w:val="20"/>
                <w:szCs w:val="20"/>
                <w:color w:val="auto"/>
              </w:rPr>
            </w:pPr>
            <w:r>
              <w:rPr>
                <w:rFonts w:ascii="Arial" w:cs="Arial" w:eastAsia="Arial" w:hAnsi="Arial"/>
                <w:sz w:val="18"/>
                <w:szCs w:val="18"/>
                <w:color w:val="auto"/>
                <w:w w:val="90"/>
              </w:rPr>
              <w:t>80.9%</w:t>
            </w:r>
          </w:p>
        </w:tc>
        <w:tc>
          <w:tcPr>
            <w:tcW w:w="980" w:type="dxa"/>
            <w:vAlign w:val="bottom"/>
          </w:tcPr>
          <w:p>
            <w:pPr>
              <w:jc w:val="center"/>
              <w:spacing w:after="0"/>
              <w:rPr>
                <w:sz w:val="20"/>
                <w:szCs w:val="20"/>
                <w:color w:val="auto"/>
              </w:rPr>
            </w:pPr>
            <w:r>
              <w:rPr>
                <w:rFonts w:ascii="Arial" w:cs="Arial" w:eastAsia="Arial" w:hAnsi="Arial"/>
                <w:sz w:val="18"/>
                <w:szCs w:val="18"/>
                <w:color w:val="auto"/>
                <w:w w:val="86"/>
              </w:rPr>
              <w:t>934</w:t>
            </w:r>
          </w:p>
        </w:tc>
        <w:tc>
          <w:tcPr>
            <w:tcW w:w="0" w:type="dxa"/>
            <w:vAlign w:val="bottom"/>
          </w:tcPr>
          <w:p>
            <w:pPr>
              <w:spacing w:after="0"/>
              <w:rPr>
                <w:sz w:val="1"/>
                <w:szCs w:val="1"/>
                <w:color w:val="auto"/>
              </w:rPr>
            </w:pPr>
          </w:p>
        </w:tc>
      </w:tr>
      <w:tr>
        <w:trPr>
          <w:trHeight w:val="459"/>
        </w:trPr>
        <w:tc>
          <w:tcPr>
            <w:tcW w:w="540" w:type="dxa"/>
            <w:vAlign w:val="bottom"/>
          </w:tcPr>
          <w:p>
            <w:pPr>
              <w:spacing w:after="0"/>
              <w:rPr>
                <w:sz w:val="20"/>
                <w:szCs w:val="20"/>
                <w:color w:val="auto"/>
              </w:rPr>
            </w:pPr>
            <w:r>
              <w:rPr>
                <w:rFonts w:ascii="Arial" w:cs="Arial" w:eastAsia="Arial" w:hAnsi="Arial"/>
                <w:sz w:val="18"/>
                <w:szCs w:val="18"/>
                <w:color w:val="auto"/>
              </w:rPr>
              <w:t>2022</w:t>
            </w:r>
          </w:p>
        </w:tc>
        <w:tc>
          <w:tcPr>
            <w:tcW w:w="700" w:type="dxa"/>
            <w:vAlign w:val="bottom"/>
          </w:tcPr>
          <w:p>
            <w:pPr>
              <w:jc w:val="center"/>
              <w:spacing w:after="0"/>
              <w:rPr>
                <w:sz w:val="20"/>
                <w:szCs w:val="20"/>
                <w:color w:val="auto"/>
              </w:rPr>
            </w:pPr>
            <w:r>
              <w:rPr>
                <w:rFonts w:ascii="Arial" w:cs="Arial" w:eastAsia="Arial" w:hAnsi="Arial"/>
                <w:sz w:val="18"/>
                <w:szCs w:val="18"/>
                <w:color w:val="auto"/>
                <w:w w:val="86"/>
              </w:rPr>
              <w:t>129</w:t>
            </w:r>
          </w:p>
        </w:tc>
        <w:tc>
          <w:tcPr>
            <w:tcW w:w="820" w:type="dxa"/>
            <w:vAlign w:val="bottom"/>
          </w:tcPr>
          <w:p>
            <w:pPr>
              <w:jc w:val="center"/>
              <w:spacing w:after="0"/>
              <w:rPr>
                <w:sz w:val="20"/>
                <w:szCs w:val="20"/>
                <w:color w:val="auto"/>
              </w:rPr>
            </w:pPr>
            <w:r>
              <w:rPr>
                <w:rFonts w:ascii="Arial" w:cs="Arial" w:eastAsia="Arial" w:hAnsi="Arial"/>
                <w:sz w:val="18"/>
                <w:szCs w:val="18"/>
                <w:color w:val="auto"/>
                <w:w w:val="90"/>
              </w:rPr>
              <w:t>49.5%</w:t>
            </w:r>
          </w:p>
        </w:tc>
        <w:tc>
          <w:tcPr>
            <w:tcW w:w="740" w:type="dxa"/>
            <w:vAlign w:val="bottom"/>
          </w:tcPr>
          <w:p>
            <w:pPr>
              <w:jc w:val="center"/>
              <w:spacing w:after="0"/>
              <w:rPr>
                <w:sz w:val="20"/>
                <w:szCs w:val="20"/>
                <w:color w:val="auto"/>
              </w:rPr>
            </w:pPr>
            <w:r>
              <w:rPr>
                <w:rFonts w:ascii="Arial" w:cs="Arial" w:eastAsia="Arial" w:hAnsi="Arial"/>
                <w:sz w:val="18"/>
                <w:szCs w:val="18"/>
                <w:color w:val="auto"/>
                <w:w w:val="79"/>
              </w:rPr>
              <w:t>0</w:t>
            </w:r>
          </w:p>
        </w:tc>
        <w:tc>
          <w:tcPr>
            <w:tcW w:w="920" w:type="dxa"/>
            <w:vAlign w:val="bottom"/>
          </w:tcPr>
          <w:p>
            <w:pPr>
              <w:jc w:val="center"/>
              <w:spacing w:after="0"/>
              <w:rPr>
                <w:sz w:val="20"/>
                <w:szCs w:val="20"/>
                <w:color w:val="auto"/>
              </w:rPr>
            </w:pPr>
            <w:r>
              <w:rPr>
                <w:rFonts w:ascii="Arial" w:cs="Arial" w:eastAsia="Arial" w:hAnsi="Arial"/>
                <w:sz w:val="18"/>
                <w:szCs w:val="18"/>
                <w:color w:val="auto"/>
                <w:w w:val="92"/>
              </w:rPr>
              <w:t>0.0%</w:t>
            </w:r>
          </w:p>
        </w:tc>
        <w:tc>
          <w:tcPr>
            <w:tcW w:w="700" w:type="dxa"/>
            <w:vAlign w:val="bottom"/>
          </w:tcPr>
          <w:p>
            <w:pPr>
              <w:jc w:val="center"/>
              <w:spacing w:after="0"/>
              <w:rPr>
                <w:sz w:val="20"/>
                <w:szCs w:val="20"/>
                <w:color w:val="auto"/>
              </w:rPr>
            </w:pPr>
            <w:r>
              <w:rPr>
                <w:rFonts w:ascii="Arial" w:cs="Arial" w:eastAsia="Arial" w:hAnsi="Arial"/>
                <w:sz w:val="18"/>
                <w:szCs w:val="18"/>
                <w:color w:val="auto"/>
                <w:w w:val="89"/>
              </w:rPr>
              <w:t>82</w:t>
            </w:r>
          </w:p>
        </w:tc>
        <w:tc>
          <w:tcPr>
            <w:tcW w:w="820" w:type="dxa"/>
            <w:vAlign w:val="bottom"/>
          </w:tcPr>
          <w:p>
            <w:pPr>
              <w:jc w:val="center"/>
              <w:spacing w:after="0"/>
              <w:rPr>
                <w:sz w:val="20"/>
                <w:szCs w:val="20"/>
                <w:color w:val="auto"/>
              </w:rPr>
            </w:pPr>
            <w:r>
              <w:rPr>
                <w:rFonts w:ascii="Arial" w:cs="Arial" w:eastAsia="Arial" w:hAnsi="Arial"/>
                <w:sz w:val="18"/>
                <w:szCs w:val="18"/>
                <w:color w:val="auto"/>
                <w:w w:val="90"/>
              </w:rPr>
              <w:t>31.5%</w:t>
            </w:r>
          </w:p>
        </w:tc>
        <w:tc>
          <w:tcPr>
            <w:tcW w:w="720" w:type="dxa"/>
            <w:vAlign w:val="bottom"/>
          </w:tcPr>
          <w:p>
            <w:pPr>
              <w:jc w:val="center"/>
              <w:spacing w:after="0"/>
              <w:rPr>
                <w:sz w:val="20"/>
                <w:szCs w:val="20"/>
                <w:color w:val="auto"/>
              </w:rPr>
            </w:pPr>
            <w:r>
              <w:rPr>
                <w:rFonts w:ascii="Arial" w:cs="Arial" w:eastAsia="Arial" w:hAnsi="Arial"/>
                <w:sz w:val="18"/>
                <w:szCs w:val="18"/>
                <w:color w:val="auto"/>
                <w:w w:val="99"/>
              </w:rPr>
              <w:t>0</w:t>
            </w:r>
          </w:p>
        </w:tc>
        <w:tc>
          <w:tcPr>
            <w:tcW w:w="800" w:type="dxa"/>
            <w:vAlign w:val="bottom"/>
          </w:tcPr>
          <w:p>
            <w:pPr>
              <w:jc w:val="center"/>
              <w:spacing w:after="0"/>
              <w:rPr>
                <w:sz w:val="20"/>
                <w:szCs w:val="20"/>
                <w:color w:val="auto"/>
              </w:rPr>
            </w:pPr>
            <w:r>
              <w:rPr>
                <w:rFonts w:ascii="Arial" w:cs="Arial" w:eastAsia="Arial" w:hAnsi="Arial"/>
                <w:sz w:val="18"/>
                <w:szCs w:val="18"/>
                <w:color w:val="auto"/>
                <w:w w:val="92"/>
              </w:rPr>
              <w:t>0.0%</w:t>
            </w:r>
          </w:p>
        </w:tc>
        <w:tc>
          <w:tcPr>
            <w:tcW w:w="820" w:type="dxa"/>
            <w:vAlign w:val="bottom"/>
          </w:tcPr>
          <w:p>
            <w:pPr>
              <w:jc w:val="center"/>
              <w:spacing w:after="0"/>
              <w:rPr>
                <w:sz w:val="20"/>
                <w:szCs w:val="20"/>
                <w:color w:val="auto"/>
              </w:rPr>
            </w:pPr>
            <w:r>
              <w:rPr>
                <w:rFonts w:ascii="Arial" w:cs="Arial" w:eastAsia="Arial" w:hAnsi="Arial"/>
                <w:sz w:val="18"/>
                <w:szCs w:val="18"/>
                <w:color w:val="auto"/>
                <w:w w:val="89"/>
              </w:rPr>
              <w:t>50</w:t>
            </w:r>
          </w:p>
        </w:tc>
        <w:tc>
          <w:tcPr>
            <w:tcW w:w="840" w:type="dxa"/>
            <w:vAlign w:val="bottom"/>
          </w:tcPr>
          <w:p>
            <w:pPr>
              <w:jc w:val="center"/>
              <w:spacing w:after="0"/>
              <w:rPr>
                <w:sz w:val="20"/>
                <w:szCs w:val="20"/>
                <w:color w:val="auto"/>
              </w:rPr>
            </w:pPr>
            <w:r>
              <w:rPr>
                <w:rFonts w:ascii="Arial" w:cs="Arial" w:eastAsia="Arial" w:hAnsi="Arial"/>
                <w:sz w:val="18"/>
                <w:szCs w:val="18"/>
                <w:color w:val="auto"/>
                <w:w w:val="91"/>
              </w:rPr>
              <w:t>19.0</w:t>
            </w:r>
          </w:p>
        </w:tc>
        <w:tc>
          <w:tcPr>
            <w:tcW w:w="980" w:type="dxa"/>
            <w:vAlign w:val="bottom"/>
          </w:tcPr>
          <w:p>
            <w:pPr>
              <w:jc w:val="center"/>
              <w:spacing w:after="0"/>
              <w:rPr>
                <w:sz w:val="20"/>
                <w:szCs w:val="20"/>
                <w:color w:val="auto"/>
              </w:rPr>
            </w:pPr>
            <w:r>
              <w:rPr>
                <w:rFonts w:ascii="Arial" w:cs="Arial" w:eastAsia="Arial" w:hAnsi="Arial"/>
                <w:sz w:val="18"/>
                <w:szCs w:val="18"/>
                <w:color w:val="auto"/>
                <w:w w:val="86"/>
              </w:rPr>
              <w:t>261</w:t>
            </w:r>
          </w:p>
        </w:tc>
        <w:tc>
          <w:tcPr>
            <w:tcW w:w="0" w:type="dxa"/>
            <w:vAlign w:val="bottom"/>
          </w:tcPr>
          <w:p>
            <w:pPr>
              <w:spacing w:after="0"/>
              <w:rPr>
                <w:sz w:val="1"/>
                <w:szCs w:val="1"/>
                <w:color w:val="auto"/>
              </w:rPr>
            </w:pPr>
          </w:p>
        </w:tc>
      </w:tr>
      <w:tr>
        <w:trPr>
          <w:trHeight w:val="459"/>
        </w:trPr>
        <w:tc>
          <w:tcPr>
            <w:tcW w:w="540" w:type="dxa"/>
            <w:vAlign w:val="bottom"/>
          </w:tcPr>
          <w:p>
            <w:pPr>
              <w:spacing w:after="0"/>
              <w:rPr>
                <w:sz w:val="20"/>
                <w:szCs w:val="20"/>
                <w:color w:val="auto"/>
              </w:rPr>
            </w:pPr>
            <w:r>
              <w:rPr>
                <w:rFonts w:ascii="Arial" w:cs="Arial" w:eastAsia="Arial" w:hAnsi="Arial"/>
                <w:sz w:val="18"/>
                <w:szCs w:val="18"/>
                <w:color w:val="auto"/>
              </w:rPr>
              <w:t>2021</w:t>
            </w:r>
          </w:p>
        </w:tc>
        <w:tc>
          <w:tcPr>
            <w:tcW w:w="700" w:type="dxa"/>
            <w:vAlign w:val="bottom"/>
          </w:tcPr>
          <w:p>
            <w:pPr>
              <w:jc w:val="center"/>
              <w:spacing w:after="0"/>
              <w:rPr>
                <w:sz w:val="20"/>
                <w:szCs w:val="20"/>
                <w:color w:val="auto"/>
              </w:rPr>
            </w:pPr>
            <w:r>
              <w:rPr>
                <w:rFonts w:ascii="Arial" w:cs="Arial" w:eastAsia="Arial" w:hAnsi="Arial"/>
                <w:sz w:val="18"/>
                <w:szCs w:val="18"/>
                <w:color w:val="auto"/>
                <w:w w:val="92"/>
              </w:rPr>
              <w:t>./.</w:t>
            </w:r>
          </w:p>
        </w:tc>
        <w:tc>
          <w:tcPr>
            <w:tcW w:w="820" w:type="dxa"/>
            <w:vAlign w:val="bottom"/>
          </w:tcPr>
          <w:p>
            <w:pPr>
              <w:jc w:val="center"/>
              <w:spacing w:after="0"/>
              <w:rPr>
                <w:sz w:val="20"/>
                <w:szCs w:val="20"/>
                <w:color w:val="auto"/>
              </w:rPr>
            </w:pPr>
            <w:r>
              <w:rPr>
                <w:rFonts w:ascii="Arial" w:cs="Arial" w:eastAsia="Arial" w:hAnsi="Arial"/>
                <w:sz w:val="18"/>
                <w:szCs w:val="18"/>
                <w:color w:val="auto"/>
                <w:w w:val="92"/>
              </w:rPr>
              <w:t>./.</w:t>
            </w:r>
          </w:p>
        </w:tc>
        <w:tc>
          <w:tcPr>
            <w:tcW w:w="740" w:type="dxa"/>
            <w:vAlign w:val="bottom"/>
          </w:tcPr>
          <w:p>
            <w:pPr>
              <w:jc w:val="center"/>
              <w:spacing w:after="0"/>
              <w:rPr>
                <w:sz w:val="20"/>
                <w:szCs w:val="20"/>
                <w:color w:val="auto"/>
              </w:rPr>
            </w:pPr>
            <w:r>
              <w:rPr>
                <w:rFonts w:ascii="Arial" w:cs="Arial" w:eastAsia="Arial" w:hAnsi="Arial"/>
                <w:sz w:val="18"/>
                <w:szCs w:val="18"/>
                <w:color w:val="auto"/>
                <w:w w:val="92"/>
              </w:rPr>
              <w:t>./.</w:t>
            </w:r>
          </w:p>
        </w:tc>
        <w:tc>
          <w:tcPr>
            <w:tcW w:w="920" w:type="dxa"/>
            <w:vAlign w:val="bottom"/>
          </w:tcPr>
          <w:p>
            <w:pPr>
              <w:jc w:val="center"/>
              <w:spacing w:after="0"/>
              <w:rPr>
                <w:sz w:val="20"/>
                <w:szCs w:val="20"/>
                <w:color w:val="auto"/>
              </w:rPr>
            </w:pPr>
            <w:r>
              <w:rPr>
                <w:rFonts w:ascii="Arial" w:cs="Arial" w:eastAsia="Arial" w:hAnsi="Arial"/>
                <w:sz w:val="18"/>
                <w:szCs w:val="18"/>
                <w:color w:val="auto"/>
                <w:w w:val="92"/>
              </w:rPr>
              <w:t>./.</w:t>
            </w:r>
          </w:p>
        </w:tc>
        <w:tc>
          <w:tcPr>
            <w:tcW w:w="700" w:type="dxa"/>
            <w:vAlign w:val="bottom"/>
          </w:tcPr>
          <w:p>
            <w:pPr>
              <w:jc w:val="center"/>
              <w:spacing w:after="0"/>
              <w:rPr>
                <w:sz w:val="20"/>
                <w:szCs w:val="20"/>
                <w:color w:val="auto"/>
              </w:rPr>
            </w:pPr>
            <w:r>
              <w:rPr>
                <w:rFonts w:ascii="Arial" w:cs="Arial" w:eastAsia="Arial" w:hAnsi="Arial"/>
                <w:sz w:val="18"/>
                <w:szCs w:val="18"/>
                <w:color w:val="auto"/>
                <w:w w:val="92"/>
              </w:rPr>
              <w:t>./.</w:t>
            </w:r>
          </w:p>
        </w:tc>
        <w:tc>
          <w:tcPr>
            <w:tcW w:w="820" w:type="dxa"/>
            <w:vAlign w:val="bottom"/>
          </w:tcPr>
          <w:p>
            <w:pPr>
              <w:jc w:val="center"/>
              <w:spacing w:after="0"/>
              <w:rPr>
                <w:sz w:val="20"/>
                <w:szCs w:val="20"/>
                <w:color w:val="auto"/>
              </w:rPr>
            </w:pPr>
            <w:r>
              <w:rPr>
                <w:rFonts w:ascii="Arial" w:cs="Arial" w:eastAsia="Arial" w:hAnsi="Arial"/>
                <w:sz w:val="18"/>
                <w:szCs w:val="18"/>
                <w:color w:val="auto"/>
                <w:w w:val="92"/>
              </w:rPr>
              <w:t>./.</w:t>
            </w:r>
          </w:p>
        </w:tc>
        <w:tc>
          <w:tcPr>
            <w:tcW w:w="720" w:type="dxa"/>
            <w:vAlign w:val="bottom"/>
          </w:tcPr>
          <w:p>
            <w:pPr>
              <w:jc w:val="center"/>
              <w:spacing w:after="0"/>
              <w:rPr>
                <w:sz w:val="20"/>
                <w:szCs w:val="20"/>
                <w:color w:val="auto"/>
              </w:rPr>
            </w:pPr>
            <w:r>
              <w:rPr>
                <w:rFonts w:ascii="Arial" w:cs="Arial" w:eastAsia="Arial" w:hAnsi="Arial"/>
                <w:sz w:val="18"/>
                <w:szCs w:val="18"/>
                <w:color w:val="auto"/>
                <w:w w:val="92"/>
              </w:rPr>
              <w:t>./.</w:t>
            </w:r>
          </w:p>
        </w:tc>
        <w:tc>
          <w:tcPr>
            <w:tcW w:w="800" w:type="dxa"/>
            <w:vAlign w:val="bottom"/>
          </w:tcPr>
          <w:p>
            <w:pPr>
              <w:jc w:val="center"/>
              <w:spacing w:after="0"/>
              <w:rPr>
                <w:sz w:val="20"/>
                <w:szCs w:val="20"/>
                <w:color w:val="auto"/>
              </w:rPr>
            </w:pPr>
            <w:r>
              <w:rPr>
                <w:rFonts w:ascii="Arial" w:cs="Arial" w:eastAsia="Arial" w:hAnsi="Arial"/>
                <w:sz w:val="18"/>
                <w:szCs w:val="18"/>
                <w:color w:val="auto"/>
                <w:w w:val="92"/>
              </w:rPr>
              <w:t>./.</w:t>
            </w:r>
          </w:p>
        </w:tc>
        <w:tc>
          <w:tcPr>
            <w:tcW w:w="820" w:type="dxa"/>
            <w:vAlign w:val="bottom"/>
          </w:tcPr>
          <w:p>
            <w:pPr>
              <w:jc w:val="center"/>
              <w:spacing w:after="0"/>
              <w:rPr>
                <w:sz w:val="20"/>
                <w:szCs w:val="20"/>
                <w:color w:val="auto"/>
              </w:rPr>
            </w:pPr>
            <w:r>
              <w:rPr>
                <w:rFonts w:ascii="Arial" w:cs="Arial" w:eastAsia="Arial" w:hAnsi="Arial"/>
                <w:sz w:val="18"/>
                <w:szCs w:val="18"/>
                <w:color w:val="auto"/>
                <w:w w:val="92"/>
              </w:rPr>
              <w:t>./.</w:t>
            </w:r>
          </w:p>
        </w:tc>
        <w:tc>
          <w:tcPr>
            <w:tcW w:w="840" w:type="dxa"/>
            <w:vAlign w:val="bottom"/>
          </w:tcPr>
          <w:p>
            <w:pPr>
              <w:jc w:val="center"/>
              <w:spacing w:after="0"/>
              <w:rPr>
                <w:sz w:val="20"/>
                <w:szCs w:val="20"/>
                <w:color w:val="auto"/>
              </w:rPr>
            </w:pPr>
            <w:r>
              <w:rPr>
                <w:rFonts w:ascii="Arial" w:cs="Arial" w:eastAsia="Arial" w:hAnsi="Arial"/>
                <w:sz w:val="18"/>
                <w:szCs w:val="18"/>
                <w:color w:val="auto"/>
                <w:w w:val="92"/>
              </w:rPr>
              <w:t>./.</w:t>
            </w:r>
          </w:p>
        </w:tc>
        <w:tc>
          <w:tcPr>
            <w:tcW w:w="980" w:type="dxa"/>
            <w:vAlign w:val="bottom"/>
          </w:tcPr>
          <w:p>
            <w:pPr>
              <w:jc w:val="center"/>
              <w:spacing w:after="0"/>
              <w:rPr>
                <w:sz w:val="20"/>
                <w:szCs w:val="20"/>
                <w:color w:val="auto"/>
              </w:rPr>
            </w:pPr>
            <w:r>
              <w:rPr>
                <w:rFonts w:ascii="Arial" w:cs="Arial" w:eastAsia="Arial" w:hAnsi="Arial"/>
                <w:sz w:val="18"/>
                <w:szCs w:val="18"/>
                <w:color w:val="auto"/>
                <w:w w:val="92"/>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-1162685</wp:posOffset>
            </wp:positionH>
            <wp:positionV relativeFrom="paragraph">
              <wp:posOffset>-3113405</wp:posOffset>
            </wp:positionV>
            <wp:extent cx="7134225" cy="113347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4225" cy="1133475"/>
                    </a:xfrm>
                    <a:prstGeom prst="rect">
                      <a:avLst/>
                    </a:prstGeom>
                    <a:noFill/>
                  </pic:spPr>
                </pic:pic>
              </a:graphicData>
            </a:graphic>
          </wp:anchor>
        </w:drawing>
        <w:drawing>
          <wp:anchor simplePos="0" relativeHeight="251657728" behindDoc="1" locked="0" layoutInCell="0" allowOverlap="1">
            <wp:simplePos x="0" y="0"/>
            <wp:positionH relativeFrom="column">
              <wp:posOffset>-1162685</wp:posOffset>
            </wp:positionH>
            <wp:positionV relativeFrom="paragraph">
              <wp:posOffset>-1705610</wp:posOffset>
            </wp:positionV>
            <wp:extent cx="7132320" cy="41148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411480"/>
                    </a:xfrm>
                    <a:prstGeom prst="rect">
                      <a:avLst/>
                    </a:prstGeom>
                    <a:noFill/>
                  </pic:spPr>
                </pic:pic>
              </a:graphicData>
            </a:graphic>
          </wp:anchor>
        </w:drawing>
        <w:drawing>
          <wp:anchor simplePos="0" relativeHeight="251657728" behindDoc="1" locked="0" layoutInCell="0" allowOverlap="1">
            <wp:simplePos x="0" y="0"/>
            <wp:positionH relativeFrom="column">
              <wp:posOffset>-1162685</wp:posOffset>
            </wp:positionH>
            <wp:positionV relativeFrom="paragraph">
              <wp:posOffset>-1019810</wp:posOffset>
            </wp:positionV>
            <wp:extent cx="7132320" cy="3003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300355"/>
                    </a:xfrm>
                    <a:prstGeom prst="rect">
                      <a:avLst/>
                    </a:prstGeom>
                    <a:noFill/>
                  </pic:spPr>
                </pic:pic>
              </a:graphicData>
            </a:graphic>
          </wp:anchor>
        </w:drawing>
        <w:drawing>
          <wp:anchor simplePos="0" relativeHeight="251657728" behindDoc="1" locked="0" layoutInCell="0" allowOverlap="1">
            <wp:simplePos x="0" y="0"/>
            <wp:positionH relativeFrom="column">
              <wp:posOffset>-1162685</wp:posOffset>
            </wp:positionH>
            <wp:positionV relativeFrom="paragraph">
              <wp:posOffset>-445135</wp:posOffset>
            </wp:positionV>
            <wp:extent cx="7132320" cy="3086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30861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600" w:space="240"/>
            <w:col w:w="9400"/>
          </w:cols>
          <w:pgMar w:left="320" w:top="553" w:right="339" w:bottom="1440" w:gutter="0" w:footer="0" w:header="0"/>
          <w:type w:val="continuous"/>
        </w:sectPr>
      </w:pPr>
    </w:p>
    <w:p>
      <w:pPr>
        <w:spacing w:after="0" w:line="200" w:lineRule="exact"/>
        <w:rPr>
          <w:sz w:val="20"/>
          <w:szCs w:val="20"/>
          <w:color w:val="auto"/>
        </w:rPr>
      </w:pPr>
    </w:p>
    <w:p>
      <w:pPr>
        <w:spacing w:after="0" w:line="219" w:lineRule="exact"/>
        <w:rPr>
          <w:sz w:val="20"/>
          <w:szCs w:val="20"/>
          <w:color w:val="auto"/>
        </w:rPr>
      </w:pPr>
    </w:p>
    <w:p>
      <w:pPr>
        <w:ind w:left="200" w:hanging="192"/>
        <w:spacing w:after="0"/>
        <w:tabs>
          <w:tab w:leader="none" w:pos="200" w:val="left"/>
        </w:tabs>
        <w:numPr>
          <w:ilvl w:val="0"/>
          <w:numId w:val="35"/>
        </w:numPr>
        <w:rPr>
          <w:rFonts w:ascii="Arial" w:cs="Arial" w:eastAsia="Arial" w:hAnsi="Arial"/>
          <w:sz w:val="25"/>
          <w:szCs w:val="25"/>
          <w:color w:val="auto"/>
          <w:vertAlign w:val="superscript"/>
        </w:rPr>
      </w:pPr>
      <w:r>
        <w:rPr>
          <w:rFonts w:ascii="Arial" w:cs="Arial" w:eastAsia="Arial" w:hAnsi="Arial"/>
          <w:sz w:val="15"/>
          <w:szCs w:val="15"/>
          <w:color w:val="auto"/>
        </w:rPr>
        <w:t>Member of the Management Board since August 15, 2022.</w:t>
      </w:r>
    </w:p>
    <w:p>
      <w:pPr>
        <w:ind w:left="240" w:hanging="232"/>
        <w:spacing w:after="0"/>
        <w:tabs>
          <w:tab w:leader="none" w:pos="240"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This value is composed of the number of stock options granted multiplied by the fair value of a stock option at the date of grant of €1.98.</w:t>
      </w:r>
    </w:p>
    <w:p>
      <w:pPr>
        <w:spacing w:after="0" w:line="30" w:lineRule="exact"/>
        <w:rPr>
          <w:rFonts w:ascii="Arial" w:cs="Arial" w:eastAsia="Arial" w:hAnsi="Arial"/>
          <w:sz w:val="16"/>
          <w:szCs w:val="16"/>
          <w:color w:val="auto"/>
        </w:rPr>
      </w:pPr>
    </w:p>
    <w:p>
      <w:pPr>
        <w:ind w:left="200" w:hanging="192"/>
        <w:spacing w:after="0" w:line="219" w:lineRule="auto"/>
        <w:tabs>
          <w:tab w:leader="none" w:pos="200" w:val="left"/>
        </w:tabs>
        <w:numPr>
          <w:ilvl w:val="0"/>
          <w:numId w:val="35"/>
        </w:numPr>
        <w:rPr>
          <w:rFonts w:ascii="Arial" w:cs="Arial" w:eastAsia="Arial" w:hAnsi="Arial"/>
          <w:sz w:val="25"/>
          <w:szCs w:val="25"/>
          <w:color w:val="auto"/>
          <w:vertAlign w:val="superscript"/>
        </w:rPr>
      </w:pPr>
      <w:r>
        <w:rPr>
          <w:rFonts w:ascii="Arial" w:cs="Arial" w:eastAsia="Arial" w:hAnsi="Arial"/>
          <w:sz w:val="15"/>
          <w:szCs w:val="15"/>
          <w:color w:val="auto"/>
        </w:rPr>
        <w:t>Member of the Management Board since February 17, 2021.</w:t>
      </w:r>
    </w:p>
    <w:p>
      <w:pPr>
        <w:spacing w:after="0" w:line="9" w:lineRule="exact"/>
        <w:rPr>
          <w:sz w:val="20"/>
          <w:szCs w:val="20"/>
          <w:color w:val="auto"/>
        </w:rPr>
      </w:pPr>
    </w:p>
    <w:p>
      <w:pPr>
        <w:spacing w:after="0"/>
        <w:rPr>
          <w:sz w:val="20"/>
          <w:szCs w:val="20"/>
          <w:color w:val="auto"/>
        </w:rPr>
      </w:pPr>
      <w:r>
        <w:rPr>
          <w:rFonts w:ascii="Arial" w:cs="Arial" w:eastAsia="Arial" w:hAnsi="Arial"/>
          <w:sz w:val="29"/>
          <w:szCs w:val="29"/>
          <w:color w:val="auto"/>
          <w:vertAlign w:val="superscript"/>
        </w:rPr>
        <w:t>14</w:t>
      </w:r>
      <w:r>
        <w:rPr>
          <w:rFonts w:ascii="Arial" w:cs="Arial" w:eastAsia="Arial" w:hAnsi="Arial"/>
          <w:sz w:val="18"/>
          <w:szCs w:val="18"/>
          <w:color w:val="auto"/>
        </w:rPr>
        <w:t>Member of the Management Board since August 15, 2022.</w:t>
      </w:r>
    </w:p>
    <w:p>
      <w:pPr>
        <w:spacing w:after="0" w:line="1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type w:val="continuous"/>
        </w:sectPr>
      </w:pPr>
    </w:p>
    <w:bookmarkStart w:id="45" w:name="page46"/>
    <w:bookmarkEnd w:id="45"/>
    <w:p>
      <w:pPr>
        <w:spacing w:after="0"/>
        <w:rPr>
          <w:sz w:val="20"/>
          <w:szCs w:val="20"/>
          <w:color w:val="auto"/>
        </w:rPr>
      </w:pPr>
      <w:r>
        <w:rPr>
          <w:rFonts w:ascii="Arial" w:cs="Arial" w:eastAsia="Arial" w:hAnsi="Arial"/>
          <w:sz w:val="18"/>
          <w:szCs w:val="18"/>
          <w:b w:val="1"/>
          <w:bCs w:val="1"/>
          <w:color w:val="auto"/>
        </w:rPr>
        <w:t>c) Remuneration awarded and due to former members of the Management Board pursuant to section 162 para. 1 sentence 1 AktG</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shows the remuneration awarded and due within the meaning of section 162 para. 1 sentence 1 AktG of the former members of the Management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1007745</wp:posOffset>
            </wp:positionH>
            <wp:positionV relativeFrom="paragraph">
              <wp:posOffset>114935</wp:posOffset>
            </wp:positionV>
            <wp:extent cx="6131560" cy="7245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131560" cy="724535"/>
                    </a:xfrm>
                    <a:prstGeom prst="rect">
                      <a:avLst/>
                    </a:prstGeom>
                    <a:noFill/>
                  </pic:spPr>
                </pic:pic>
              </a:graphicData>
            </a:graphic>
          </wp:anchor>
        </w:drawing>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1580" w:type="dxa"/>
            <w:vAlign w:val="bottom"/>
            <w:shd w:val="clear" w:color="auto" w:fill="E36C0A"/>
          </w:tcPr>
          <w:p>
            <w:pPr>
              <w:ind w:left="40"/>
              <w:spacing w:after="0"/>
              <w:rPr>
                <w:sz w:val="20"/>
                <w:szCs w:val="20"/>
                <w:color w:val="auto"/>
              </w:rPr>
            </w:pPr>
            <w:r>
              <w:rPr>
                <w:rFonts w:ascii="Arial" w:cs="Arial" w:eastAsia="Arial" w:hAnsi="Arial"/>
                <w:sz w:val="18"/>
                <w:szCs w:val="18"/>
                <w:b w:val="1"/>
                <w:bCs w:val="1"/>
                <w:color w:val="auto"/>
                <w:w w:val="90"/>
              </w:rPr>
              <w:t>Management Board</w:t>
            </w:r>
          </w:p>
        </w:tc>
        <w:tc>
          <w:tcPr>
            <w:tcW w:w="960" w:type="dxa"/>
            <w:vAlign w:val="bottom"/>
            <w:vMerge w:val="restart"/>
            <w:shd w:val="clear" w:color="auto" w:fill="E36C0A"/>
          </w:tcPr>
          <w:p>
            <w:pPr>
              <w:jc w:val="right"/>
              <w:ind w:right="230"/>
              <w:spacing w:after="0"/>
              <w:rPr>
                <w:sz w:val="20"/>
                <w:szCs w:val="20"/>
                <w:color w:val="auto"/>
              </w:rPr>
            </w:pPr>
            <w:r>
              <w:rPr>
                <w:rFonts w:ascii="Arial" w:cs="Arial" w:eastAsia="Arial" w:hAnsi="Arial"/>
                <w:sz w:val="18"/>
                <w:szCs w:val="18"/>
                <w:b w:val="1"/>
                <w:bCs w:val="1"/>
                <w:color w:val="auto"/>
              </w:rPr>
              <w:t>Year</w:t>
            </w:r>
          </w:p>
        </w:tc>
        <w:tc>
          <w:tcPr>
            <w:tcW w:w="1360" w:type="dxa"/>
            <w:vAlign w:val="bottom"/>
            <w:gridSpan w:val="2"/>
            <w:shd w:val="clear" w:color="auto" w:fill="E36C0A"/>
          </w:tcPr>
          <w:p>
            <w:pPr>
              <w:jc w:val="right"/>
              <w:ind w:right="170"/>
              <w:spacing w:after="0"/>
              <w:rPr>
                <w:sz w:val="20"/>
                <w:szCs w:val="20"/>
                <w:color w:val="auto"/>
              </w:rPr>
            </w:pPr>
            <w:r>
              <w:rPr>
                <w:rFonts w:ascii="Arial" w:cs="Arial" w:eastAsia="Arial" w:hAnsi="Arial"/>
                <w:sz w:val="18"/>
                <w:szCs w:val="18"/>
                <w:b w:val="1"/>
                <w:bCs w:val="1"/>
                <w:color w:val="auto"/>
              </w:rPr>
              <w:t>Annual base</w:t>
            </w:r>
          </w:p>
        </w:tc>
        <w:tc>
          <w:tcPr>
            <w:tcW w:w="1580" w:type="dxa"/>
            <w:vAlign w:val="bottom"/>
            <w:gridSpan w:val="2"/>
            <w:vMerge w:val="restart"/>
            <w:shd w:val="clear" w:color="auto" w:fill="E36C0A"/>
          </w:tcPr>
          <w:p>
            <w:pPr>
              <w:ind w:left="200"/>
              <w:spacing w:after="0"/>
              <w:rPr>
                <w:sz w:val="20"/>
                <w:szCs w:val="20"/>
                <w:color w:val="auto"/>
              </w:rPr>
            </w:pPr>
            <w:r>
              <w:rPr>
                <w:rFonts w:ascii="Arial" w:cs="Arial" w:eastAsia="Arial" w:hAnsi="Arial"/>
                <w:sz w:val="18"/>
                <w:szCs w:val="18"/>
                <w:b w:val="1"/>
                <w:bCs w:val="1"/>
                <w:color w:val="auto"/>
              </w:rPr>
              <w:t>Fringe benefits</w:t>
            </w:r>
          </w:p>
        </w:tc>
        <w:tc>
          <w:tcPr>
            <w:tcW w:w="1580" w:type="dxa"/>
            <w:vAlign w:val="bottom"/>
            <w:gridSpan w:val="2"/>
            <w:shd w:val="clear" w:color="auto" w:fill="E36C0A"/>
          </w:tcPr>
          <w:p>
            <w:pPr>
              <w:jc w:val="center"/>
              <w:spacing w:after="0"/>
              <w:rPr>
                <w:sz w:val="20"/>
                <w:szCs w:val="20"/>
                <w:color w:val="auto"/>
              </w:rPr>
            </w:pPr>
            <w:r>
              <w:rPr>
                <w:rFonts w:ascii="Arial" w:cs="Arial" w:eastAsia="Arial" w:hAnsi="Arial"/>
                <w:sz w:val="18"/>
                <w:szCs w:val="18"/>
                <w:b w:val="1"/>
                <w:bCs w:val="1"/>
                <w:color w:val="auto"/>
                <w:w w:val="93"/>
              </w:rPr>
              <w:t>Short-term variable</w:t>
            </w:r>
          </w:p>
        </w:tc>
        <w:tc>
          <w:tcPr>
            <w:tcW w:w="1740" w:type="dxa"/>
            <w:vAlign w:val="bottom"/>
            <w:gridSpan w:val="2"/>
            <w:shd w:val="clear" w:color="auto" w:fill="E36C0A"/>
          </w:tcPr>
          <w:p>
            <w:pPr>
              <w:jc w:val="center"/>
              <w:spacing w:after="0"/>
              <w:rPr>
                <w:sz w:val="20"/>
                <w:szCs w:val="20"/>
                <w:color w:val="auto"/>
              </w:rPr>
            </w:pPr>
            <w:r>
              <w:rPr>
                <w:rFonts w:ascii="Arial" w:cs="Arial" w:eastAsia="Arial" w:hAnsi="Arial"/>
                <w:sz w:val="18"/>
                <w:szCs w:val="18"/>
                <w:b w:val="1"/>
                <w:bCs w:val="1"/>
                <w:color w:val="auto"/>
                <w:w w:val="92"/>
              </w:rPr>
              <w:t>Long-term variable</w:t>
            </w:r>
          </w:p>
        </w:tc>
        <w:tc>
          <w:tcPr>
            <w:tcW w:w="1580" w:type="dxa"/>
            <w:vAlign w:val="bottom"/>
            <w:gridSpan w:val="2"/>
            <w:shd w:val="clear" w:color="auto" w:fill="E36C0A"/>
          </w:tcPr>
          <w:p>
            <w:pPr>
              <w:ind w:left="400"/>
              <w:spacing w:after="0"/>
              <w:rPr>
                <w:sz w:val="20"/>
                <w:szCs w:val="20"/>
                <w:color w:val="auto"/>
              </w:rPr>
            </w:pPr>
            <w:r>
              <w:rPr>
                <w:rFonts w:ascii="Arial" w:cs="Arial" w:eastAsia="Arial" w:hAnsi="Arial"/>
                <w:sz w:val="18"/>
                <w:szCs w:val="18"/>
                <w:b w:val="1"/>
                <w:bCs w:val="1"/>
                <w:color w:val="auto"/>
              </w:rPr>
              <w:t>Severance</w:t>
            </w:r>
          </w:p>
        </w:tc>
        <w:tc>
          <w:tcPr>
            <w:tcW w:w="860" w:type="dxa"/>
            <w:vAlign w:val="bottom"/>
            <w:vMerge w:val="restart"/>
            <w:shd w:val="clear" w:color="auto" w:fill="E36C0A"/>
          </w:tcPr>
          <w:p>
            <w:pPr>
              <w:ind w:left="24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126"/>
        </w:trPr>
        <w:tc>
          <w:tcPr>
            <w:tcW w:w="1580" w:type="dxa"/>
            <w:vAlign w:val="bottom"/>
            <w:vMerge w:val="restart"/>
            <w:shd w:val="clear" w:color="auto" w:fill="E36C0A"/>
          </w:tcPr>
          <w:p>
            <w:pPr>
              <w:ind w:left="480"/>
              <w:spacing w:after="0"/>
              <w:rPr>
                <w:sz w:val="20"/>
                <w:szCs w:val="20"/>
                <w:color w:val="auto"/>
              </w:rPr>
            </w:pPr>
            <w:r>
              <w:rPr>
                <w:rFonts w:ascii="Arial" w:cs="Arial" w:eastAsia="Arial" w:hAnsi="Arial"/>
                <w:sz w:val="18"/>
                <w:szCs w:val="18"/>
                <w:b w:val="1"/>
                <w:bCs w:val="1"/>
                <w:color w:val="auto"/>
              </w:rPr>
              <w:t>member</w:t>
            </w:r>
          </w:p>
        </w:tc>
        <w:tc>
          <w:tcPr>
            <w:tcW w:w="960" w:type="dxa"/>
            <w:vAlign w:val="bottom"/>
            <w:vMerge w:val="continue"/>
            <w:shd w:val="clear" w:color="auto" w:fill="E36C0A"/>
          </w:tcPr>
          <w:p>
            <w:pPr>
              <w:spacing w:after="0"/>
              <w:rPr>
                <w:sz w:val="10"/>
                <w:szCs w:val="10"/>
                <w:color w:val="auto"/>
              </w:rPr>
            </w:pPr>
          </w:p>
        </w:tc>
        <w:tc>
          <w:tcPr>
            <w:tcW w:w="1360" w:type="dxa"/>
            <w:vAlign w:val="bottom"/>
            <w:gridSpan w:val="2"/>
            <w:vMerge w:val="restart"/>
            <w:shd w:val="clear" w:color="auto" w:fill="E36C0A"/>
          </w:tcPr>
          <w:p>
            <w:pPr>
              <w:jc w:val="right"/>
              <w:ind w:right="410"/>
              <w:spacing w:after="0"/>
              <w:rPr>
                <w:sz w:val="20"/>
                <w:szCs w:val="20"/>
                <w:color w:val="auto"/>
              </w:rPr>
            </w:pPr>
            <w:r>
              <w:rPr>
                <w:rFonts w:ascii="Arial" w:cs="Arial" w:eastAsia="Arial" w:hAnsi="Arial"/>
                <w:sz w:val="18"/>
                <w:szCs w:val="18"/>
                <w:b w:val="1"/>
                <w:bCs w:val="1"/>
                <w:color w:val="auto"/>
              </w:rPr>
              <w:t>salary</w:t>
            </w:r>
          </w:p>
        </w:tc>
        <w:tc>
          <w:tcPr>
            <w:tcW w:w="1580" w:type="dxa"/>
            <w:vAlign w:val="bottom"/>
            <w:gridSpan w:val="2"/>
            <w:vMerge w:val="continue"/>
            <w:shd w:val="clear" w:color="auto" w:fill="E36C0A"/>
          </w:tcPr>
          <w:p>
            <w:pPr>
              <w:spacing w:after="0"/>
              <w:rPr>
                <w:sz w:val="10"/>
                <w:szCs w:val="10"/>
                <w:color w:val="auto"/>
              </w:rPr>
            </w:pPr>
          </w:p>
        </w:tc>
        <w:tc>
          <w:tcPr>
            <w:tcW w:w="1580" w:type="dxa"/>
            <w:vAlign w:val="bottom"/>
            <w:gridSpan w:val="2"/>
            <w:vMerge w:val="restart"/>
            <w:shd w:val="clear" w:color="auto" w:fill="E36C0A"/>
          </w:tcPr>
          <w:p>
            <w:pPr>
              <w:jc w:val="center"/>
              <w:spacing w:after="0"/>
              <w:rPr>
                <w:sz w:val="20"/>
                <w:szCs w:val="20"/>
                <w:color w:val="auto"/>
              </w:rPr>
            </w:pPr>
            <w:r>
              <w:rPr>
                <w:rFonts w:ascii="Arial" w:cs="Arial" w:eastAsia="Arial" w:hAnsi="Arial"/>
                <w:sz w:val="18"/>
                <w:szCs w:val="18"/>
                <w:b w:val="1"/>
                <w:bCs w:val="1"/>
                <w:color w:val="auto"/>
                <w:w w:val="92"/>
              </w:rPr>
              <w:t>remuneration</w:t>
            </w:r>
          </w:p>
        </w:tc>
        <w:tc>
          <w:tcPr>
            <w:tcW w:w="1740" w:type="dxa"/>
            <w:vAlign w:val="bottom"/>
            <w:gridSpan w:val="2"/>
            <w:vMerge w:val="restart"/>
            <w:shd w:val="clear" w:color="auto" w:fill="E36C0A"/>
          </w:tcPr>
          <w:p>
            <w:pPr>
              <w:jc w:val="center"/>
              <w:spacing w:after="0"/>
              <w:rPr>
                <w:sz w:val="20"/>
                <w:szCs w:val="20"/>
                <w:color w:val="auto"/>
              </w:rPr>
            </w:pPr>
            <w:r>
              <w:rPr>
                <w:rFonts w:ascii="Arial" w:cs="Arial" w:eastAsia="Arial" w:hAnsi="Arial"/>
                <w:sz w:val="18"/>
                <w:szCs w:val="18"/>
                <w:b w:val="1"/>
                <w:bCs w:val="1"/>
                <w:color w:val="auto"/>
                <w:w w:val="92"/>
              </w:rPr>
              <w:t>remuneration</w:t>
            </w:r>
          </w:p>
        </w:tc>
        <w:tc>
          <w:tcPr>
            <w:tcW w:w="1580" w:type="dxa"/>
            <w:vAlign w:val="bottom"/>
            <w:gridSpan w:val="2"/>
            <w:vMerge w:val="restart"/>
            <w:shd w:val="clear" w:color="auto" w:fill="E36C0A"/>
          </w:tcPr>
          <w:p>
            <w:pPr>
              <w:ind w:left="420"/>
              <w:spacing w:after="0"/>
              <w:rPr>
                <w:sz w:val="20"/>
                <w:szCs w:val="20"/>
                <w:color w:val="auto"/>
              </w:rPr>
            </w:pPr>
            <w:r>
              <w:rPr>
                <w:rFonts w:ascii="Arial" w:cs="Arial" w:eastAsia="Arial" w:hAnsi="Arial"/>
                <w:sz w:val="18"/>
                <w:szCs w:val="18"/>
                <w:b w:val="1"/>
                <w:bCs w:val="1"/>
                <w:color w:val="auto"/>
              </w:rPr>
              <w:t>payments</w:t>
            </w:r>
          </w:p>
        </w:tc>
        <w:tc>
          <w:tcPr>
            <w:tcW w:w="860" w:type="dxa"/>
            <w:vAlign w:val="bottom"/>
            <w:vMerge w:val="continue"/>
            <w:shd w:val="clear" w:color="auto" w:fill="E36C0A"/>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580" w:type="dxa"/>
            <w:vAlign w:val="bottom"/>
            <w:vMerge w:val="continue"/>
            <w:shd w:val="clear" w:color="auto" w:fill="E36C0A"/>
          </w:tcPr>
          <w:p>
            <w:pPr>
              <w:spacing w:after="0"/>
              <w:rPr>
                <w:sz w:val="9"/>
                <w:szCs w:val="9"/>
                <w:color w:val="auto"/>
              </w:rPr>
            </w:pPr>
          </w:p>
        </w:tc>
        <w:tc>
          <w:tcPr>
            <w:tcW w:w="960" w:type="dxa"/>
            <w:vAlign w:val="bottom"/>
            <w:shd w:val="clear" w:color="auto" w:fill="E36C0A"/>
          </w:tcPr>
          <w:p>
            <w:pPr>
              <w:spacing w:after="0"/>
              <w:rPr>
                <w:sz w:val="9"/>
                <w:szCs w:val="9"/>
                <w:color w:val="auto"/>
              </w:rPr>
            </w:pPr>
          </w:p>
        </w:tc>
        <w:tc>
          <w:tcPr>
            <w:tcW w:w="1360" w:type="dxa"/>
            <w:vAlign w:val="bottom"/>
            <w:gridSpan w:val="2"/>
            <w:vMerge w:val="continue"/>
            <w:shd w:val="clear" w:color="auto" w:fill="E36C0A"/>
          </w:tcPr>
          <w:p>
            <w:pPr>
              <w:spacing w:after="0"/>
              <w:rPr>
                <w:sz w:val="9"/>
                <w:szCs w:val="9"/>
                <w:color w:val="auto"/>
              </w:rPr>
            </w:pPr>
          </w:p>
        </w:tc>
        <w:tc>
          <w:tcPr>
            <w:tcW w:w="760" w:type="dxa"/>
            <w:vAlign w:val="bottom"/>
            <w:shd w:val="clear" w:color="auto" w:fill="E36C0A"/>
          </w:tcPr>
          <w:p>
            <w:pPr>
              <w:spacing w:after="0"/>
              <w:rPr>
                <w:sz w:val="9"/>
                <w:szCs w:val="9"/>
                <w:color w:val="auto"/>
              </w:rPr>
            </w:pPr>
          </w:p>
        </w:tc>
        <w:tc>
          <w:tcPr>
            <w:tcW w:w="820" w:type="dxa"/>
            <w:vAlign w:val="bottom"/>
            <w:shd w:val="clear" w:color="auto" w:fill="E36C0A"/>
          </w:tcPr>
          <w:p>
            <w:pPr>
              <w:spacing w:after="0"/>
              <w:rPr>
                <w:sz w:val="9"/>
                <w:szCs w:val="9"/>
                <w:color w:val="auto"/>
              </w:rPr>
            </w:pPr>
          </w:p>
        </w:tc>
        <w:tc>
          <w:tcPr>
            <w:tcW w:w="1580" w:type="dxa"/>
            <w:vAlign w:val="bottom"/>
            <w:gridSpan w:val="2"/>
            <w:vMerge w:val="continue"/>
            <w:shd w:val="clear" w:color="auto" w:fill="E36C0A"/>
          </w:tcPr>
          <w:p>
            <w:pPr>
              <w:spacing w:after="0"/>
              <w:rPr>
                <w:sz w:val="9"/>
                <w:szCs w:val="9"/>
                <w:color w:val="auto"/>
              </w:rPr>
            </w:pPr>
          </w:p>
        </w:tc>
        <w:tc>
          <w:tcPr>
            <w:tcW w:w="1740" w:type="dxa"/>
            <w:vAlign w:val="bottom"/>
            <w:gridSpan w:val="2"/>
            <w:vMerge w:val="continue"/>
            <w:shd w:val="clear" w:color="auto" w:fill="E36C0A"/>
          </w:tcPr>
          <w:p>
            <w:pPr>
              <w:spacing w:after="0"/>
              <w:rPr>
                <w:sz w:val="9"/>
                <w:szCs w:val="9"/>
                <w:color w:val="auto"/>
              </w:rPr>
            </w:pPr>
          </w:p>
        </w:tc>
        <w:tc>
          <w:tcPr>
            <w:tcW w:w="1580" w:type="dxa"/>
            <w:vAlign w:val="bottom"/>
            <w:gridSpan w:val="2"/>
            <w:vMerge w:val="continue"/>
            <w:shd w:val="clear" w:color="auto" w:fill="E36C0A"/>
          </w:tcPr>
          <w:p>
            <w:pPr>
              <w:spacing w:after="0"/>
              <w:rPr>
                <w:sz w:val="9"/>
                <w:szCs w:val="9"/>
                <w:color w:val="auto"/>
              </w:rPr>
            </w:pPr>
          </w:p>
        </w:tc>
        <w:tc>
          <w:tcPr>
            <w:tcW w:w="860" w:type="dxa"/>
            <w:vAlign w:val="bottom"/>
            <w:shd w:val="clear" w:color="auto" w:fill="E36C0A"/>
          </w:tcPr>
          <w:p>
            <w:pPr>
              <w:spacing w:after="0"/>
              <w:rPr>
                <w:sz w:val="9"/>
                <w:szCs w:val="9"/>
                <w:color w:val="auto"/>
              </w:rPr>
            </w:pPr>
          </w:p>
        </w:tc>
        <w:tc>
          <w:tcPr>
            <w:tcW w:w="0" w:type="dxa"/>
            <w:vAlign w:val="bottom"/>
          </w:tcPr>
          <w:p>
            <w:pPr>
              <w:spacing w:after="0"/>
              <w:rPr>
                <w:sz w:val="1"/>
                <w:szCs w:val="1"/>
                <w:color w:val="auto"/>
              </w:rPr>
            </w:pPr>
          </w:p>
        </w:tc>
      </w:tr>
      <w:tr>
        <w:trPr>
          <w:trHeight w:val="459"/>
        </w:trPr>
        <w:tc>
          <w:tcPr>
            <w:tcW w:w="1580" w:type="dxa"/>
            <w:vAlign w:val="bottom"/>
            <w:shd w:val="clear" w:color="auto" w:fill="E36C0A"/>
          </w:tcPr>
          <w:p>
            <w:pPr>
              <w:spacing w:after="0"/>
              <w:rPr>
                <w:sz w:val="24"/>
                <w:szCs w:val="24"/>
                <w:color w:val="auto"/>
              </w:rPr>
            </w:pPr>
          </w:p>
        </w:tc>
        <w:tc>
          <w:tcPr>
            <w:tcW w:w="960" w:type="dxa"/>
            <w:vAlign w:val="bottom"/>
            <w:shd w:val="clear" w:color="auto" w:fill="E36C0A"/>
          </w:tcPr>
          <w:p>
            <w:pPr>
              <w:spacing w:after="0"/>
              <w:rPr>
                <w:sz w:val="24"/>
                <w:szCs w:val="24"/>
                <w:color w:val="auto"/>
              </w:rPr>
            </w:pPr>
          </w:p>
        </w:tc>
        <w:tc>
          <w:tcPr>
            <w:tcW w:w="640" w:type="dxa"/>
            <w:vAlign w:val="bottom"/>
            <w:shd w:val="clear" w:color="auto" w:fill="E36C0A"/>
          </w:tcPr>
          <w:p>
            <w:pPr>
              <w:jc w:val="center"/>
              <w:spacing w:after="0"/>
              <w:rPr>
                <w:sz w:val="20"/>
                <w:szCs w:val="20"/>
                <w:color w:val="auto"/>
              </w:rPr>
            </w:pPr>
            <w:r>
              <w:rPr>
                <w:rFonts w:ascii="Arial" w:cs="Arial" w:eastAsia="Arial" w:hAnsi="Arial"/>
                <w:sz w:val="18"/>
                <w:szCs w:val="18"/>
                <w:b w:val="1"/>
                <w:bCs w:val="1"/>
                <w:color w:val="auto"/>
                <w:w w:val="97"/>
              </w:rPr>
              <w:t>in k€</w:t>
            </w:r>
          </w:p>
        </w:tc>
        <w:tc>
          <w:tcPr>
            <w:tcW w:w="720" w:type="dxa"/>
            <w:vAlign w:val="bottom"/>
            <w:shd w:val="clear" w:color="auto" w:fill="E36C0A"/>
          </w:tcPr>
          <w:p>
            <w:pPr>
              <w:jc w:val="right"/>
              <w:ind w:right="90"/>
              <w:spacing w:after="0"/>
              <w:rPr>
                <w:sz w:val="20"/>
                <w:szCs w:val="20"/>
                <w:color w:val="auto"/>
              </w:rPr>
            </w:pPr>
            <w:r>
              <w:rPr>
                <w:rFonts w:ascii="Arial" w:cs="Arial" w:eastAsia="Arial" w:hAnsi="Arial"/>
                <w:sz w:val="18"/>
                <w:szCs w:val="18"/>
                <w:b w:val="1"/>
                <w:bCs w:val="1"/>
                <w:color w:val="auto"/>
              </w:rPr>
              <w:t>in %</w:t>
            </w:r>
          </w:p>
        </w:tc>
        <w:tc>
          <w:tcPr>
            <w:tcW w:w="760" w:type="dxa"/>
            <w:vAlign w:val="bottom"/>
            <w:shd w:val="clear" w:color="auto" w:fill="E36C0A"/>
          </w:tcPr>
          <w:p>
            <w:pPr>
              <w:jc w:val="center"/>
              <w:spacing w:after="0"/>
              <w:rPr>
                <w:sz w:val="20"/>
                <w:szCs w:val="20"/>
                <w:color w:val="auto"/>
              </w:rPr>
            </w:pPr>
            <w:r>
              <w:rPr>
                <w:rFonts w:ascii="Arial" w:cs="Arial" w:eastAsia="Arial" w:hAnsi="Arial"/>
                <w:sz w:val="18"/>
                <w:szCs w:val="18"/>
                <w:b w:val="1"/>
                <w:bCs w:val="1"/>
                <w:color w:val="auto"/>
                <w:w w:val="92"/>
              </w:rPr>
              <w:t>in k€</w:t>
            </w:r>
          </w:p>
        </w:tc>
        <w:tc>
          <w:tcPr>
            <w:tcW w:w="820" w:type="dxa"/>
            <w:vAlign w:val="bottom"/>
            <w:shd w:val="clear" w:color="auto" w:fill="E36C0A"/>
          </w:tcPr>
          <w:p>
            <w:pPr>
              <w:jc w:val="center"/>
              <w:spacing w:after="0"/>
              <w:rPr>
                <w:sz w:val="20"/>
                <w:szCs w:val="20"/>
                <w:color w:val="auto"/>
              </w:rPr>
            </w:pPr>
            <w:r>
              <w:rPr>
                <w:rFonts w:ascii="Arial" w:cs="Arial" w:eastAsia="Arial" w:hAnsi="Arial"/>
                <w:sz w:val="18"/>
                <w:szCs w:val="18"/>
                <w:b w:val="1"/>
                <w:bCs w:val="1"/>
                <w:color w:val="auto"/>
              </w:rPr>
              <w:t>in %</w:t>
            </w:r>
          </w:p>
        </w:tc>
        <w:tc>
          <w:tcPr>
            <w:tcW w:w="740" w:type="dxa"/>
            <w:vAlign w:val="bottom"/>
            <w:shd w:val="clear" w:color="auto" w:fill="E36C0A"/>
          </w:tcPr>
          <w:p>
            <w:pPr>
              <w:ind w:left="160"/>
              <w:spacing w:after="0"/>
              <w:rPr>
                <w:sz w:val="20"/>
                <w:szCs w:val="20"/>
                <w:color w:val="auto"/>
              </w:rPr>
            </w:pPr>
            <w:r>
              <w:rPr>
                <w:rFonts w:ascii="Arial" w:cs="Arial" w:eastAsia="Arial" w:hAnsi="Arial"/>
                <w:sz w:val="18"/>
                <w:szCs w:val="18"/>
                <w:b w:val="1"/>
                <w:bCs w:val="1"/>
                <w:color w:val="auto"/>
              </w:rPr>
              <w:t>in k€</w:t>
            </w:r>
          </w:p>
        </w:tc>
        <w:tc>
          <w:tcPr>
            <w:tcW w:w="840" w:type="dxa"/>
            <w:vAlign w:val="bottom"/>
            <w:shd w:val="clear" w:color="auto" w:fill="E36C0A"/>
          </w:tcPr>
          <w:p>
            <w:pPr>
              <w:ind w:left="220"/>
              <w:spacing w:after="0"/>
              <w:rPr>
                <w:sz w:val="20"/>
                <w:szCs w:val="20"/>
                <w:color w:val="auto"/>
              </w:rPr>
            </w:pPr>
            <w:r>
              <w:rPr>
                <w:rFonts w:ascii="Arial" w:cs="Arial" w:eastAsia="Arial" w:hAnsi="Arial"/>
                <w:sz w:val="18"/>
                <w:szCs w:val="18"/>
                <w:b w:val="1"/>
                <w:bCs w:val="1"/>
                <w:color w:val="auto"/>
              </w:rPr>
              <w:t>in %</w:t>
            </w:r>
          </w:p>
        </w:tc>
        <w:tc>
          <w:tcPr>
            <w:tcW w:w="880" w:type="dxa"/>
            <w:vAlign w:val="bottom"/>
            <w:shd w:val="clear" w:color="auto" w:fill="E36C0A"/>
          </w:tcPr>
          <w:p>
            <w:pPr>
              <w:jc w:val="center"/>
              <w:spacing w:after="0"/>
              <w:rPr>
                <w:sz w:val="20"/>
                <w:szCs w:val="20"/>
                <w:color w:val="auto"/>
              </w:rPr>
            </w:pPr>
            <w:r>
              <w:rPr>
                <w:rFonts w:ascii="Arial" w:cs="Arial" w:eastAsia="Arial" w:hAnsi="Arial"/>
                <w:sz w:val="18"/>
                <w:szCs w:val="18"/>
                <w:b w:val="1"/>
                <w:bCs w:val="1"/>
                <w:color w:val="auto"/>
                <w:w w:val="92"/>
              </w:rPr>
              <w:t>in k€</w:t>
            </w:r>
          </w:p>
        </w:tc>
        <w:tc>
          <w:tcPr>
            <w:tcW w:w="860" w:type="dxa"/>
            <w:vAlign w:val="bottom"/>
            <w:shd w:val="clear" w:color="auto" w:fill="E36C0A"/>
          </w:tcPr>
          <w:p>
            <w:pPr>
              <w:jc w:val="center"/>
              <w:spacing w:after="0"/>
              <w:rPr>
                <w:sz w:val="20"/>
                <w:szCs w:val="20"/>
                <w:color w:val="auto"/>
              </w:rPr>
            </w:pPr>
            <w:r>
              <w:rPr>
                <w:rFonts w:ascii="Arial" w:cs="Arial" w:eastAsia="Arial" w:hAnsi="Arial"/>
                <w:sz w:val="18"/>
                <w:szCs w:val="18"/>
                <w:b w:val="1"/>
                <w:bCs w:val="1"/>
                <w:color w:val="auto"/>
              </w:rPr>
              <w:t>in %</w:t>
            </w:r>
          </w:p>
        </w:tc>
        <w:tc>
          <w:tcPr>
            <w:tcW w:w="740" w:type="dxa"/>
            <w:vAlign w:val="bottom"/>
            <w:shd w:val="clear" w:color="auto" w:fill="E36C0A"/>
          </w:tcPr>
          <w:p>
            <w:pPr>
              <w:ind w:left="160"/>
              <w:spacing w:after="0"/>
              <w:rPr>
                <w:sz w:val="20"/>
                <w:szCs w:val="20"/>
                <w:color w:val="auto"/>
              </w:rPr>
            </w:pPr>
            <w:r>
              <w:rPr>
                <w:rFonts w:ascii="Arial" w:cs="Arial" w:eastAsia="Arial" w:hAnsi="Arial"/>
                <w:sz w:val="18"/>
                <w:szCs w:val="18"/>
                <w:b w:val="1"/>
                <w:bCs w:val="1"/>
                <w:color w:val="auto"/>
              </w:rPr>
              <w:t>in k€</w:t>
            </w:r>
          </w:p>
        </w:tc>
        <w:tc>
          <w:tcPr>
            <w:tcW w:w="840" w:type="dxa"/>
            <w:vAlign w:val="bottom"/>
            <w:shd w:val="clear" w:color="auto" w:fill="E36C0A"/>
          </w:tcPr>
          <w:p>
            <w:pPr>
              <w:ind w:left="220"/>
              <w:spacing w:after="0"/>
              <w:rPr>
                <w:sz w:val="20"/>
                <w:szCs w:val="20"/>
                <w:color w:val="auto"/>
              </w:rPr>
            </w:pPr>
            <w:r>
              <w:rPr>
                <w:rFonts w:ascii="Arial" w:cs="Arial" w:eastAsia="Arial" w:hAnsi="Arial"/>
                <w:sz w:val="18"/>
                <w:szCs w:val="18"/>
                <w:b w:val="1"/>
                <w:bCs w:val="1"/>
                <w:color w:val="auto"/>
              </w:rPr>
              <w:t>in %</w:t>
            </w:r>
          </w:p>
        </w:tc>
        <w:tc>
          <w:tcPr>
            <w:tcW w:w="860" w:type="dxa"/>
            <w:vAlign w:val="bottom"/>
            <w:shd w:val="clear" w:color="auto" w:fill="E36C0A"/>
          </w:tcPr>
          <w:p>
            <w:pPr>
              <w:ind w:left="240"/>
              <w:spacing w:after="0"/>
              <w:rPr>
                <w:sz w:val="20"/>
                <w:szCs w:val="20"/>
                <w:color w:val="auto"/>
              </w:rPr>
            </w:pPr>
            <w:r>
              <w:rPr>
                <w:rFonts w:ascii="Arial" w:cs="Arial" w:eastAsia="Arial" w:hAnsi="Arial"/>
                <w:sz w:val="18"/>
                <w:szCs w:val="18"/>
                <w:b w:val="1"/>
                <w:bCs w:val="1"/>
                <w:color w:val="auto"/>
              </w:rPr>
              <w:t>in k€</w:t>
            </w:r>
          </w:p>
        </w:tc>
        <w:tc>
          <w:tcPr>
            <w:tcW w:w="0" w:type="dxa"/>
            <w:vAlign w:val="bottom"/>
          </w:tcPr>
          <w:p>
            <w:pPr>
              <w:spacing w:after="0"/>
              <w:rPr>
                <w:sz w:val="1"/>
                <w:szCs w:val="1"/>
                <w:color w:val="auto"/>
              </w:rPr>
            </w:pPr>
          </w:p>
        </w:tc>
      </w:tr>
      <w:tr>
        <w:trPr>
          <w:trHeight w:val="229"/>
        </w:trPr>
        <w:tc>
          <w:tcPr>
            <w:tcW w:w="1580" w:type="dxa"/>
            <w:vAlign w:val="bottom"/>
            <w:shd w:val="clear" w:color="auto" w:fill="E36C0A"/>
          </w:tcPr>
          <w:p>
            <w:pPr>
              <w:spacing w:after="0"/>
              <w:rPr>
                <w:sz w:val="19"/>
                <w:szCs w:val="19"/>
                <w:color w:val="auto"/>
              </w:rPr>
            </w:pPr>
          </w:p>
        </w:tc>
        <w:tc>
          <w:tcPr>
            <w:tcW w:w="960" w:type="dxa"/>
            <w:vAlign w:val="bottom"/>
            <w:shd w:val="clear" w:color="auto" w:fill="E36C0A"/>
          </w:tcPr>
          <w:p>
            <w:pPr>
              <w:spacing w:after="0"/>
              <w:rPr>
                <w:sz w:val="19"/>
                <w:szCs w:val="19"/>
                <w:color w:val="auto"/>
              </w:rPr>
            </w:pPr>
          </w:p>
        </w:tc>
        <w:tc>
          <w:tcPr>
            <w:tcW w:w="640" w:type="dxa"/>
            <w:vAlign w:val="bottom"/>
            <w:shd w:val="clear" w:color="auto" w:fill="E36C0A"/>
          </w:tcPr>
          <w:p>
            <w:pPr>
              <w:spacing w:after="0"/>
              <w:rPr>
                <w:sz w:val="19"/>
                <w:szCs w:val="19"/>
                <w:color w:val="auto"/>
              </w:rPr>
            </w:pPr>
          </w:p>
        </w:tc>
        <w:tc>
          <w:tcPr>
            <w:tcW w:w="720" w:type="dxa"/>
            <w:vAlign w:val="bottom"/>
            <w:shd w:val="clear" w:color="auto" w:fill="E36C0A"/>
          </w:tcPr>
          <w:p>
            <w:pPr>
              <w:spacing w:after="0"/>
              <w:rPr>
                <w:sz w:val="19"/>
                <w:szCs w:val="19"/>
                <w:color w:val="auto"/>
              </w:rPr>
            </w:pPr>
          </w:p>
        </w:tc>
        <w:tc>
          <w:tcPr>
            <w:tcW w:w="760" w:type="dxa"/>
            <w:vAlign w:val="bottom"/>
            <w:shd w:val="clear" w:color="auto" w:fill="E36C0A"/>
          </w:tcPr>
          <w:p>
            <w:pPr>
              <w:spacing w:after="0"/>
              <w:rPr>
                <w:sz w:val="19"/>
                <w:szCs w:val="19"/>
                <w:color w:val="auto"/>
              </w:rPr>
            </w:pPr>
          </w:p>
        </w:tc>
        <w:tc>
          <w:tcPr>
            <w:tcW w:w="820" w:type="dxa"/>
            <w:vAlign w:val="bottom"/>
            <w:shd w:val="clear" w:color="auto" w:fill="E36C0A"/>
          </w:tcPr>
          <w:p>
            <w:pPr>
              <w:spacing w:after="0"/>
              <w:rPr>
                <w:sz w:val="19"/>
                <w:szCs w:val="19"/>
                <w:color w:val="auto"/>
              </w:rPr>
            </w:pPr>
          </w:p>
        </w:tc>
        <w:tc>
          <w:tcPr>
            <w:tcW w:w="740" w:type="dxa"/>
            <w:vAlign w:val="bottom"/>
            <w:shd w:val="clear" w:color="auto" w:fill="E36C0A"/>
          </w:tcPr>
          <w:p>
            <w:pPr>
              <w:spacing w:after="0"/>
              <w:rPr>
                <w:sz w:val="19"/>
                <w:szCs w:val="19"/>
                <w:color w:val="auto"/>
              </w:rPr>
            </w:pPr>
          </w:p>
        </w:tc>
        <w:tc>
          <w:tcPr>
            <w:tcW w:w="840" w:type="dxa"/>
            <w:vAlign w:val="bottom"/>
            <w:shd w:val="clear" w:color="auto" w:fill="E36C0A"/>
          </w:tcPr>
          <w:p>
            <w:pPr>
              <w:spacing w:after="0"/>
              <w:rPr>
                <w:sz w:val="19"/>
                <w:szCs w:val="19"/>
                <w:color w:val="auto"/>
              </w:rPr>
            </w:pPr>
          </w:p>
        </w:tc>
        <w:tc>
          <w:tcPr>
            <w:tcW w:w="880" w:type="dxa"/>
            <w:vAlign w:val="bottom"/>
            <w:shd w:val="clear" w:color="auto" w:fill="E36C0A"/>
          </w:tcPr>
          <w:p>
            <w:pPr>
              <w:spacing w:after="0"/>
              <w:rPr>
                <w:sz w:val="19"/>
                <w:szCs w:val="19"/>
                <w:color w:val="auto"/>
              </w:rPr>
            </w:pPr>
          </w:p>
        </w:tc>
        <w:tc>
          <w:tcPr>
            <w:tcW w:w="860" w:type="dxa"/>
            <w:vAlign w:val="bottom"/>
            <w:shd w:val="clear" w:color="auto" w:fill="E36C0A"/>
          </w:tcPr>
          <w:p>
            <w:pPr>
              <w:spacing w:after="0"/>
              <w:rPr>
                <w:sz w:val="19"/>
                <w:szCs w:val="19"/>
                <w:color w:val="auto"/>
              </w:rPr>
            </w:pPr>
          </w:p>
        </w:tc>
        <w:tc>
          <w:tcPr>
            <w:tcW w:w="740" w:type="dxa"/>
            <w:vAlign w:val="bottom"/>
            <w:shd w:val="clear" w:color="auto" w:fill="E36C0A"/>
          </w:tcPr>
          <w:p>
            <w:pPr>
              <w:spacing w:after="0"/>
              <w:rPr>
                <w:sz w:val="19"/>
                <w:szCs w:val="19"/>
                <w:color w:val="auto"/>
              </w:rPr>
            </w:pPr>
          </w:p>
        </w:tc>
        <w:tc>
          <w:tcPr>
            <w:tcW w:w="840" w:type="dxa"/>
            <w:vAlign w:val="bottom"/>
            <w:shd w:val="clear" w:color="auto" w:fill="E36C0A"/>
          </w:tcPr>
          <w:p>
            <w:pPr>
              <w:spacing w:after="0"/>
              <w:rPr>
                <w:sz w:val="19"/>
                <w:szCs w:val="19"/>
                <w:color w:val="auto"/>
              </w:rPr>
            </w:pPr>
          </w:p>
        </w:tc>
        <w:tc>
          <w:tcPr>
            <w:tcW w:w="860" w:type="dxa"/>
            <w:vAlign w:val="bottom"/>
            <w:shd w:val="clear" w:color="auto" w:fill="E36C0A"/>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1580" w:type="dxa"/>
            <w:vAlign w:val="bottom"/>
            <w:shd w:val="clear" w:color="auto" w:fill="F0F2F5"/>
          </w:tcPr>
          <w:p>
            <w:pPr>
              <w:spacing w:after="0" w:line="206" w:lineRule="exact"/>
              <w:rPr>
                <w:sz w:val="20"/>
                <w:szCs w:val="20"/>
                <w:color w:val="auto"/>
              </w:rPr>
            </w:pPr>
            <w:r>
              <w:rPr>
                <w:rFonts w:ascii="Arial" w:cs="Arial" w:eastAsia="Arial" w:hAnsi="Arial"/>
                <w:sz w:val="18"/>
                <w:szCs w:val="18"/>
                <w:color w:val="auto"/>
              </w:rPr>
              <w:t>Dr. Wolfram</w:t>
            </w:r>
          </w:p>
        </w:tc>
        <w:tc>
          <w:tcPr>
            <w:tcW w:w="960" w:type="dxa"/>
            <w:vAlign w:val="bottom"/>
            <w:vMerge w:val="restart"/>
            <w:shd w:val="clear" w:color="auto" w:fill="F0F2F5"/>
          </w:tcPr>
          <w:p>
            <w:pPr>
              <w:jc w:val="right"/>
              <w:spacing w:after="0"/>
              <w:rPr>
                <w:sz w:val="20"/>
                <w:szCs w:val="20"/>
                <w:color w:val="auto"/>
              </w:rPr>
            </w:pPr>
            <w:r>
              <w:rPr>
                <w:rFonts w:ascii="Arial" w:cs="Arial" w:eastAsia="Arial" w:hAnsi="Arial"/>
                <w:sz w:val="18"/>
                <w:szCs w:val="18"/>
                <w:color w:val="auto"/>
              </w:rPr>
              <w:t>2022</w:t>
            </w:r>
          </w:p>
        </w:tc>
        <w:tc>
          <w:tcPr>
            <w:tcW w:w="640" w:type="dxa"/>
            <w:vAlign w:val="bottom"/>
            <w:vMerge w:val="restart"/>
            <w:shd w:val="clear" w:color="auto" w:fill="F0F2F5"/>
          </w:tcPr>
          <w:p>
            <w:pPr>
              <w:jc w:val="center"/>
              <w:ind w:right="10"/>
              <w:spacing w:after="0"/>
              <w:rPr>
                <w:sz w:val="20"/>
                <w:szCs w:val="20"/>
                <w:color w:val="auto"/>
              </w:rPr>
            </w:pPr>
            <w:r>
              <w:rPr>
                <w:rFonts w:ascii="Arial" w:cs="Arial" w:eastAsia="Arial" w:hAnsi="Arial"/>
                <w:sz w:val="18"/>
                <w:szCs w:val="18"/>
                <w:color w:val="auto"/>
                <w:w w:val="99"/>
              </w:rPr>
              <w:t>0</w:t>
            </w:r>
          </w:p>
        </w:tc>
        <w:tc>
          <w:tcPr>
            <w:tcW w:w="720" w:type="dxa"/>
            <w:vAlign w:val="bottom"/>
            <w:vMerge w:val="restart"/>
            <w:shd w:val="clear" w:color="auto" w:fill="F0F2F5"/>
          </w:tcPr>
          <w:p>
            <w:pPr>
              <w:jc w:val="right"/>
              <w:ind w:right="170"/>
              <w:spacing w:after="0"/>
              <w:rPr>
                <w:sz w:val="20"/>
                <w:szCs w:val="20"/>
                <w:color w:val="auto"/>
              </w:rPr>
            </w:pPr>
            <w:r>
              <w:rPr>
                <w:rFonts w:ascii="Arial" w:cs="Arial" w:eastAsia="Arial" w:hAnsi="Arial"/>
                <w:sz w:val="18"/>
                <w:szCs w:val="18"/>
                <w:color w:val="auto"/>
              </w:rPr>
              <w:t>0%</w:t>
            </w:r>
          </w:p>
        </w:tc>
        <w:tc>
          <w:tcPr>
            <w:tcW w:w="760" w:type="dxa"/>
            <w:vAlign w:val="bottom"/>
            <w:vMerge w:val="restart"/>
            <w:shd w:val="clear" w:color="auto" w:fill="F0F2F5"/>
          </w:tcPr>
          <w:p>
            <w:pPr>
              <w:jc w:val="center"/>
              <w:spacing w:after="0"/>
              <w:rPr>
                <w:sz w:val="20"/>
                <w:szCs w:val="20"/>
                <w:color w:val="auto"/>
              </w:rPr>
            </w:pPr>
            <w:r>
              <w:rPr>
                <w:rFonts w:ascii="Arial" w:cs="Arial" w:eastAsia="Arial" w:hAnsi="Arial"/>
                <w:sz w:val="18"/>
                <w:szCs w:val="18"/>
                <w:color w:val="auto"/>
                <w:w w:val="99"/>
              </w:rPr>
              <w:t>0</w:t>
            </w:r>
          </w:p>
        </w:tc>
        <w:tc>
          <w:tcPr>
            <w:tcW w:w="820" w:type="dxa"/>
            <w:vAlign w:val="bottom"/>
            <w:vMerge w:val="restart"/>
            <w:shd w:val="clear" w:color="auto" w:fill="F0F2F5"/>
          </w:tcPr>
          <w:p>
            <w:pPr>
              <w:jc w:val="center"/>
              <w:spacing w:after="0"/>
              <w:rPr>
                <w:sz w:val="20"/>
                <w:szCs w:val="20"/>
                <w:color w:val="auto"/>
              </w:rPr>
            </w:pPr>
            <w:r>
              <w:rPr>
                <w:rFonts w:ascii="Arial" w:cs="Arial" w:eastAsia="Arial" w:hAnsi="Arial"/>
                <w:sz w:val="18"/>
                <w:szCs w:val="18"/>
                <w:color w:val="auto"/>
                <w:w w:val="92"/>
              </w:rPr>
              <w:t>0%</w:t>
            </w:r>
          </w:p>
        </w:tc>
        <w:tc>
          <w:tcPr>
            <w:tcW w:w="740" w:type="dxa"/>
            <w:vAlign w:val="bottom"/>
            <w:vMerge w:val="restart"/>
            <w:shd w:val="clear" w:color="auto" w:fill="F0F2F5"/>
          </w:tcPr>
          <w:p>
            <w:pPr>
              <w:jc w:val="right"/>
              <w:ind w:right="250"/>
              <w:spacing w:after="0"/>
              <w:rPr>
                <w:sz w:val="20"/>
                <w:szCs w:val="20"/>
                <w:color w:val="auto"/>
              </w:rPr>
            </w:pPr>
            <w:r>
              <w:rPr>
                <w:rFonts w:ascii="Arial" w:cs="Arial" w:eastAsia="Arial" w:hAnsi="Arial"/>
                <w:sz w:val="18"/>
                <w:szCs w:val="18"/>
                <w:color w:val="auto"/>
              </w:rPr>
              <w:t>0</w:t>
            </w:r>
          </w:p>
        </w:tc>
        <w:tc>
          <w:tcPr>
            <w:tcW w:w="840" w:type="dxa"/>
            <w:vAlign w:val="bottom"/>
            <w:vMerge w:val="restart"/>
            <w:shd w:val="clear" w:color="auto" w:fill="F0F2F5"/>
          </w:tcPr>
          <w:p>
            <w:pPr>
              <w:jc w:val="right"/>
              <w:ind w:right="230"/>
              <w:spacing w:after="0"/>
              <w:rPr>
                <w:sz w:val="20"/>
                <w:szCs w:val="20"/>
                <w:color w:val="auto"/>
              </w:rPr>
            </w:pPr>
            <w:r>
              <w:rPr>
                <w:rFonts w:ascii="Arial" w:cs="Arial" w:eastAsia="Arial" w:hAnsi="Arial"/>
                <w:sz w:val="18"/>
                <w:szCs w:val="18"/>
                <w:color w:val="auto"/>
              </w:rPr>
              <w:t>0%</w:t>
            </w:r>
          </w:p>
        </w:tc>
        <w:tc>
          <w:tcPr>
            <w:tcW w:w="880" w:type="dxa"/>
            <w:vAlign w:val="bottom"/>
            <w:vMerge w:val="restart"/>
            <w:shd w:val="clear" w:color="auto" w:fill="F0F2F5"/>
          </w:tcPr>
          <w:p>
            <w:pPr>
              <w:jc w:val="center"/>
              <w:spacing w:after="0"/>
              <w:rPr>
                <w:sz w:val="20"/>
                <w:szCs w:val="20"/>
                <w:color w:val="auto"/>
              </w:rPr>
            </w:pPr>
            <w:r>
              <w:rPr>
                <w:rFonts w:ascii="Arial" w:cs="Arial" w:eastAsia="Arial" w:hAnsi="Arial"/>
                <w:sz w:val="18"/>
                <w:szCs w:val="18"/>
                <w:color w:val="auto"/>
                <w:w w:val="79"/>
              </w:rPr>
              <w:t>0</w:t>
            </w:r>
          </w:p>
        </w:tc>
        <w:tc>
          <w:tcPr>
            <w:tcW w:w="860" w:type="dxa"/>
            <w:vAlign w:val="bottom"/>
            <w:vMerge w:val="restart"/>
            <w:shd w:val="clear" w:color="auto" w:fill="F0F2F5"/>
          </w:tcPr>
          <w:p>
            <w:pPr>
              <w:jc w:val="center"/>
              <w:spacing w:after="0"/>
              <w:rPr>
                <w:sz w:val="20"/>
                <w:szCs w:val="20"/>
                <w:color w:val="auto"/>
              </w:rPr>
            </w:pPr>
            <w:r>
              <w:rPr>
                <w:rFonts w:ascii="Arial" w:cs="Arial" w:eastAsia="Arial" w:hAnsi="Arial"/>
                <w:sz w:val="18"/>
                <w:szCs w:val="18"/>
                <w:color w:val="auto"/>
                <w:w w:val="92"/>
              </w:rPr>
              <w:t>0%</w:t>
            </w:r>
          </w:p>
        </w:tc>
        <w:tc>
          <w:tcPr>
            <w:tcW w:w="740" w:type="dxa"/>
            <w:vAlign w:val="bottom"/>
            <w:vMerge w:val="restart"/>
            <w:shd w:val="clear" w:color="auto" w:fill="F0F2F5"/>
          </w:tcPr>
          <w:p>
            <w:pPr>
              <w:jc w:val="right"/>
              <w:ind w:right="210"/>
              <w:spacing w:after="0"/>
              <w:rPr>
                <w:sz w:val="20"/>
                <w:szCs w:val="20"/>
                <w:color w:val="auto"/>
              </w:rPr>
            </w:pPr>
            <w:r>
              <w:rPr>
                <w:rFonts w:ascii="Arial" w:cs="Arial" w:eastAsia="Arial" w:hAnsi="Arial"/>
                <w:sz w:val="18"/>
                <w:szCs w:val="18"/>
                <w:color w:val="auto"/>
              </w:rPr>
              <w:t>93</w:t>
            </w:r>
          </w:p>
        </w:tc>
        <w:tc>
          <w:tcPr>
            <w:tcW w:w="840" w:type="dxa"/>
            <w:vAlign w:val="bottom"/>
            <w:vMerge w:val="restart"/>
            <w:shd w:val="clear" w:color="auto" w:fill="F0F2F5"/>
          </w:tcPr>
          <w:p>
            <w:pPr>
              <w:jc w:val="right"/>
              <w:ind w:right="130"/>
              <w:spacing w:after="0"/>
              <w:rPr>
                <w:sz w:val="20"/>
                <w:szCs w:val="20"/>
                <w:color w:val="auto"/>
              </w:rPr>
            </w:pPr>
            <w:r>
              <w:rPr>
                <w:rFonts w:ascii="Arial" w:cs="Arial" w:eastAsia="Arial" w:hAnsi="Arial"/>
                <w:sz w:val="18"/>
                <w:szCs w:val="18"/>
                <w:color w:val="auto"/>
              </w:rPr>
              <w:t>100%</w:t>
            </w:r>
          </w:p>
        </w:tc>
        <w:tc>
          <w:tcPr>
            <w:tcW w:w="860" w:type="dxa"/>
            <w:vAlign w:val="bottom"/>
            <w:vMerge w:val="restart"/>
            <w:shd w:val="clear" w:color="auto" w:fill="F0F2F5"/>
          </w:tcPr>
          <w:p>
            <w:pPr>
              <w:jc w:val="right"/>
              <w:ind w:right="250"/>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146"/>
        </w:trPr>
        <w:tc>
          <w:tcPr>
            <w:tcW w:w="1580" w:type="dxa"/>
            <w:vAlign w:val="bottom"/>
            <w:vMerge w:val="restart"/>
            <w:shd w:val="clear" w:color="auto" w:fill="F0F2F5"/>
          </w:tcPr>
          <w:p>
            <w:pPr>
              <w:spacing w:after="0"/>
              <w:rPr>
                <w:sz w:val="20"/>
                <w:szCs w:val="20"/>
                <w:color w:val="auto"/>
              </w:rPr>
            </w:pPr>
            <w:r>
              <w:rPr>
                <w:rFonts w:ascii="Arial" w:cs="Arial" w:eastAsia="Arial" w:hAnsi="Arial"/>
                <w:sz w:val="18"/>
                <w:szCs w:val="18"/>
                <w:color w:val="auto"/>
              </w:rPr>
              <w:t>Peschko</w:t>
            </w:r>
            <w:r>
              <w:rPr>
                <w:rFonts w:ascii="Arial" w:cs="Arial" w:eastAsia="Arial" w:hAnsi="Arial"/>
                <w:sz w:val="29"/>
                <w:szCs w:val="29"/>
                <w:color w:val="auto"/>
                <w:vertAlign w:val="superscript"/>
              </w:rPr>
              <w:t>15</w:t>
            </w:r>
          </w:p>
        </w:tc>
        <w:tc>
          <w:tcPr>
            <w:tcW w:w="960" w:type="dxa"/>
            <w:vAlign w:val="bottom"/>
            <w:vMerge w:val="continue"/>
            <w:shd w:val="clear" w:color="auto" w:fill="F0F2F5"/>
          </w:tcPr>
          <w:p>
            <w:pPr>
              <w:spacing w:after="0"/>
              <w:rPr>
                <w:sz w:val="12"/>
                <w:szCs w:val="12"/>
                <w:color w:val="auto"/>
              </w:rPr>
            </w:pPr>
          </w:p>
        </w:tc>
        <w:tc>
          <w:tcPr>
            <w:tcW w:w="640" w:type="dxa"/>
            <w:vAlign w:val="bottom"/>
            <w:vMerge w:val="continue"/>
            <w:shd w:val="clear" w:color="auto" w:fill="F0F2F5"/>
          </w:tcPr>
          <w:p>
            <w:pPr>
              <w:spacing w:after="0"/>
              <w:rPr>
                <w:sz w:val="12"/>
                <w:szCs w:val="12"/>
                <w:color w:val="auto"/>
              </w:rPr>
            </w:pPr>
          </w:p>
        </w:tc>
        <w:tc>
          <w:tcPr>
            <w:tcW w:w="720" w:type="dxa"/>
            <w:vAlign w:val="bottom"/>
            <w:vMerge w:val="continue"/>
            <w:shd w:val="clear" w:color="auto" w:fill="F0F2F5"/>
          </w:tcPr>
          <w:p>
            <w:pPr>
              <w:spacing w:after="0"/>
              <w:rPr>
                <w:sz w:val="12"/>
                <w:szCs w:val="12"/>
                <w:color w:val="auto"/>
              </w:rPr>
            </w:pPr>
          </w:p>
        </w:tc>
        <w:tc>
          <w:tcPr>
            <w:tcW w:w="760" w:type="dxa"/>
            <w:vAlign w:val="bottom"/>
            <w:vMerge w:val="continue"/>
            <w:shd w:val="clear" w:color="auto" w:fill="F0F2F5"/>
          </w:tcPr>
          <w:p>
            <w:pPr>
              <w:spacing w:after="0"/>
              <w:rPr>
                <w:sz w:val="12"/>
                <w:szCs w:val="12"/>
                <w:color w:val="auto"/>
              </w:rPr>
            </w:pPr>
          </w:p>
        </w:tc>
        <w:tc>
          <w:tcPr>
            <w:tcW w:w="820" w:type="dxa"/>
            <w:vAlign w:val="bottom"/>
            <w:vMerge w:val="continue"/>
            <w:shd w:val="clear" w:color="auto" w:fill="F0F2F5"/>
          </w:tcPr>
          <w:p>
            <w:pPr>
              <w:spacing w:after="0"/>
              <w:rPr>
                <w:sz w:val="12"/>
                <w:szCs w:val="12"/>
                <w:color w:val="auto"/>
              </w:rPr>
            </w:pPr>
          </w:p>
        </w:tc>
        <w:tc>
          <w:tcPr>
            <w:tcW w:w="740" w:type="dxa"/>
            <w:vAlign w:val="bottom"/>
            <w:vMerge w:val="continue"/>
            <w:shd w:val="clear" w:color="auto" w:fill="F0F2F5"/>
          </w:tcPr>
          <w:p>
            <w:pPr>
              <w:spacing w:after="0"/>
              <w:rPr>
                <w:sz w:val="12"/>
                <w:szCs w:val="12"/>
                <w:color w:val="auto"/>
              </w:rPr>
            </w:pPr>
          </w:p>
        </w:tc>
        <w:tc>
          <w:tcPr>
            <w:tcW w:w="840" w:type="dxa"/>
            <w:vAlign w:val="bottom"/>
            <w:vMerge w:val="continue"/>
            <w:shd w:val="clear" w:color="auto" w:fill="F0F2F5"/>
          </w:tcPr>
          <w:p>
            <w:pPr>
              <w:spacing w:after="0"/>
              <w:rPr>
                <w:sz w:val="12"/>
                <w:szCs w:val="12"/>
                <w:color w:val="auto"/>
              </w:rPr>
            </w:pPr>
          </w:p>
        </w:tc>
        <w:tc>
          <w:tcPr>
            <w:tcW w:w="880" w:type="dxa"/>
            <w:vAlign w:val="bottom"/>
            <w:vMerge w:val="continue"/>
            <w:shd w:val="clear" w:color="auto" w:fill="F0F2F5"/>
          </w:tcPr>
          <w:p>
            <w:pPr>
              <w:spacing w:after="0"/>
              <w:rPr>
                <w:sz w:val="12"/>
                <w:szCs w:val="12"/>
                <w:color w:val="auto"/>
              </w:rPr>
            </w:pPr>
          </w:p>
        </w:tc>
        <w:tc>
          <w:tcPr>
            <w:tcW w:w="860" w:type="dxa"/>
            <w:vAlign w:val="bottom"/>
            <w:vMerge w:val="continue"/>
            <w:shd w:val="clear" w:color="auto" w:fill="F0F2F5"/>
          </w:tcPr>
          <w:p>
            <w:pPr>
              <w:spacing w:after="0"/>
              <w:rPr>
                <w:sz w:val="12"/>
                <w:szCs w:val="12"/>
                <w:color w:val="auto"/>
              </w:rPr>
            </w:pPr>
          </w:p>
        </w:tc>
        <w:tc>
          <w:tcPr>
            <w:tcW w:w="740" w:type="dxa"/>
            <w:vAlign w:val="bottom"/>
            <w:vMerge w:val="continue"/>
            <w:shd w:val="clear" w:color="auto" w:fill="F0F2F5"/>
          </w:tcPr>
          <w:p>
            <w:pPr>
              <w:spacing w:after="0"/>
              <w:rPr>
                <w:sz w:val="12"/>
                <w:szCs w:val="12"/>
                <w:color w:val="auto"/>
              </w:rPr>
            </w:pPr>
          </w:p>
        </w:tc>
        <w:tc>
          <w:tcPr>
            <w:tcW w:w="840" w:type="dxa"/>
            <w:vAlign w:val="bottom"/>
            <w:vMerge w:val="continue"/>
            <w:shd w:val="clear" w:color="auto" w:fill="F0F2F5"/>
          </w:tcPr>
          <w:p>
            <w:pPr>
              <w:spacing w:after="0"/>
              <w:rPr>
                <w:sz w:val="12"/>
                <w:szCs w:val="12"/>
                <w:color w:val="auto"/>
              </w:rPr>
            </w:pPr>
          </w:p>
        </w:tc>
        <w:tc>
          <w:tcPr>
            <w:tcW w:w="860" w:type="dxa"/>
            <w:vAlign w:val="bottom"/>
            <w:vMerge w:val="continue"/>
            <w:shd w:val="clear" w:color="auto" w:fill="F0F2F5"/>
          </w:tcPr>
          <w:p>
            <w:pPr>
              <w:spacing w:after="0"/>
              <w:rPr>
                <w:sz w:val="12"/>
                <w:szCs w:val="12"/>
                <w:color w:val="auto"/>
              </w:rPr>
            </w:pPr>
          </w:p>
        </w:tc>
        <w:tc>
          <w:tcPr>
            <w:tcW w:w="0" w:type="dxa"/>
            <w:vAlign w:val="bottom"/>
          </w:tcPr>
          <w:p>
            <w:pPr>
              <w:spacing w:after="0"/>
              <w:rPr>
                <w:sz w:val="1"/>
                <w:szCs w:val="1"/>
                <w:color w:val="auto"/>
              </w:rPr>
            </w:pPr>
          </w:p>
        </w:tc>
      </w:tr>
      <w:tr>
        <w:trPr>
          <w:trHeight w:val="244"/>
        </w:trPr>
        <w:tc>
          <w:tcPr>
            <w:tcW w:w="1580" w:type="dxa"/>
            <w:vAlign w:val="bottom"/>
            <w:vMerge w:val="continue"/>
            <w:shd w:val="clear" w:color="auto" w:fill="F0F2F5"/>
          </w:tcPr>
          <w:p>
            <w:pPr>
              <w:spacing w:after="0"/>
              <w:rPr>
                <w:sz w:val="21"/>
                <w:szCs w:val="21"/>
                <w:color w:val="auto"/>
              </w:rPr>
            </w:pPr>
          </w:p>
        </w:tc>
        <w:tc>
          <w:tcPr>
            <w:tcW w:w="960" w:type="dxa"/>
            <w:vAlign w:val="bottom"/>
            <w:shd w:val="clear" w:color="auto" w:fill="F0F2F5"/>
          </w:tcPr>
          <w:p>
            <w:pPr>
              <w:spacing w:after="0"/>
              <w:rPr>
                <w:sz w:val="21"/>
                <w:szCs w:val="21"/>
                <w:color w:val="auto"/>
              </w:rPr>
            </w:pPr>
          </w:p>
        </w:tc>
        <w:tc>
          <w:tcPr>
            <w:tcW w:w="640" w:type="dxa"/>
            <w:vAlign w:val="bottom"/>
            <w:shd w:val="clear" w:color="auto" w:fill="F0F2F5"/>
          </w:tcPr>
          <w:p>
            <w:pPr>
              <w:spacing w:after="0"/>
              <w:rPr>
                <w:sz w:val="21"/>
                <w:szCs w:val="21"/>
                <w:color w:val="auto"/>
              </w:rPr>
            </w:pPr>
          </w:p>
        </w:tc>
        <w:tc>
          <w:tcPr>
            <w:tcW w:w="720" w:type="dxa"/>
            <w:vAlign w:val="bottom"/>
            <w:shd w:val="clear" w:color="auto" w:fill="F0F2F5"/>
          </w:tcPr>
          <w:p>
            <w:pPr>
              <w:spacing w:after="0"/>
              <w:rPr>
                <w:sz w:val="21"/>
                <w:szCs w:val="21"/>
                <w:color w:val="auto"/>
              </w:rPr>
            </w:pPr>
          </w:p>
        </w:tc>
        <w:tc>
          <w:tcPr>
            <w:tcW w:w="760" w:type="dxa"/>
            <w:vAlign w:val="bottom"/>
            <w:shd w:val="clear" w:color="auto" w:fill="F0F2F5"/>
          </w:tcPr>
          <w:p>
            <w:pPr>
              <w:spacing w:after="0"/>
              <w:rPr>
                <w:sz w:val="21"/>
                <w:szCs w:val="21"/>
                <w:color w:val="auto"/>
              </w:rPr>
            </w:pPr>
          </w:p>
        </w:tc>
        <w:tc>
          <w:tcPr>
            <w:tcW w:w="820" w:type="dxa"/>
            <w:vAlign w:val="bottom"/>
            <w:shd w:val="clear" w:color="auto" w:fill="F0F2F5"/>
          </w:tcPr>
          <w:p>
            <w:pPr>
              <w:spacing w:after="0"/>
              <w:rPr>
                <w:sz w:val="21"/>
                <w:szCs w:val="21"/>
                <w:color w:val="auto"/>
              </w:rPr>
            </w:pPr>
          </w:p>
        </w:tc>
        <w:tc>
          <w:tcPr>
            <w:tcW w:w="740" w:type="dxa"/>
            <w:vAlign w:val="bottom"/>
            <w:shd w:val="clear" w:color="auto" w:fill="F0F2F5"/>
          </w:tcPr>
          <w:p>
            <w:pPr>
              <w:spacing w:after="0"/>
              <w:rPr>
                <w:sz w:val="21"/>
                <w:szCs w:val="21"/>
                <w:color w:val="auto"/>
              </w:rPr>
            </w:pPr>
          </w:p>
        </w:tc>
        <w:tc>
          <w:tcPr>
            <w:tcW w:w="840" w:type="dxa"/>
            <w:vAlign w:val="bottom"/>
            <w:shd w:val="clear" w:color="auto" w:fill="F0F2F5"/>
          </w:tcPr>
          <w:p>
            <w:pPr>
              <w:spacing w:after="0"/>
              <w:rPr>
                <w:sz w:val="21"/>
                <w:szCs w:val="21"/>
                <w:color w:val="auto"/>
              </w:rPr>
            </w:pPr>
          </w:p>
        </w:tc>
        <w:tc>
          <w:tcPr>
            <w:tcW w:w="880" w:type="dxa"/>
            <w:vAlign w:val="bottom"/>
            <w:shd w:val="clear" w:color="auto" w:fill="F0F2F5"/>
          </w:tcPr>
          <w:p>
            <w:pPr>
              <w:spacing w:after="0"/>
              <w:rPr>
                <w:sz w:val="21"/>
                <w:szCs w:val="21"/>
                <w:color w:val="auto"/>
              </w:rPr>
            </w:pPr>
          </w:p>
        </w:tc>
        <w:tc>
          <w:tcPr>
            <w:tcW w:w="860" w:type="dxa"/>
            <w:vAlign w:val="bottom"/>
            <w:shd w:val="clear" w:color="auto" w:fill="F0F2F5"/>
          </w:tcPr>
          <w:p>
            <w:pPr>
              <w:spacing w:after="0"/>
              <w:rPr>
                <w:sz w:val="21"/>
                <w:szCs w:val="21"/>
                <w:color w:val="auto"/>
              </w:rPr>
            </w:pPr>
          </w:p>
        </w:tc>
        <w:tc>
          <w:tcPr>
            <w:tcW w:w="740" w:type="dxa"/>
            <w:vAlign w:val="bottom"/>
            <w:shd w:val="clear" w:color="auto" w:fill="F0F2F5"/>
          </w:tcPr>
          <w:p>
            <w:pPr>
              <w:spacing w:after="0"/>
              <w:rPr>
                <w:sz w:val="21"/>
                <w:szCs w:val="21"/>
                <w:color w:val="auto"/>
              </w:rPr>
            </w:pPr>
          </w:p>
        </w:tc>
        <w:tc>
          <w:tcPr>
            <w:tcW w:w="840" w:type="dxa"/>
            <w:vAlign w:val="bottom"/>
            <w:shd w:val="clear" w:color="auto" w:fill="F0F2F5"/>
          </w:tcPr>
          <w:p>
            <w:pPr>
              <w:spacing w:after="0"/>
              <w:rPr>
                <w:sz w:val="21"/>
                <w:szCs w:val="21"/>
                <w:color w:val="auto"/>
              </w:rPr>
            </w:pPr>
          </w:p>
        </w:tc>
        <w:tc>
          <w:tcPr>
            <w:tcW w:w="860" w:type="dxa"/>
            <w:vAlign w:val="bottom"/>
            <w:shd w:val="clear" w:color="auto" w:fill="F0F2F5"/>
          </w:tcPr>
          <w:p>
            <w:pPr>
              <w:spacing w:after="0"/>
              <w:rPr>
                <w:sz w:val="21"/>
                <w:szCs w:val="21"/>
                <w:color w:val="auto"/>
              </w:rPr>
            </w:pPr>
          </w:p>
        </w:tc>
        <w:tc>
          <w:tcPr>
            <w:tcW w:w="0" w:type="dxa"/>
            <w:vAlign w:val="bottom"/>
          </w:tcPr>
          <w:p>
            <w:pPr>
              <w:spacing w:after="0"/>
              <w:rPr>
                <w:sz w:val="1"/>
                <w:szCs w:val="1"/>
                <w:color w:val="auto"/>
              </w:rPr>
            </w:pPr>
          </w:p>
        </w:tc>
      </w:tr>
      <w:tr>
        <w:trPr>
          <w:trHeight w:val="93"/>
        </w:trPr>
        <w:tc>
          <w:tcPr>
            <w:tcW w:w="1580" w:type="dxa"/>
            <w:vAlign w:val="bottom"/>
            <w:shd w:val="clear" w:color="auto" w:fill="F0F2F5"/>
          </w:tcPr>
          <w:p>
            <w:pPr>
              <w:spacing w:after="0"/>
              <w:rPr>
                <w:sz w:val="8"/>
                <w:szCs w:val="8"/>
                <w:color w:val="auto"/>
              </w:rPr>
            </w:pPr>
          </w:p>
        </w:tc>
        <w:tc>
          <w:tcPr>
            <w:tcW w:w="960" w:type="dxa"/>
            <w:vAlign w:val="bottom"/>
            <w:shd w:val="clear" w:color="auto" w:fill="F0F2F5"/>
          </w:tcPr>
          <w:p>
            <w:pPr>
              <w:spacing w:after="0"/>
              <w:rPr>
                <w:sz w:val="8"/>
                <w:szCs w:val="8"/>
                <w:color w:val="auto"/>
              </w:rPr>
            </w:pPr>
          </w:p>
        </w:tc>
        <w:tc>
          <w:tcPr>
            <w:tcW w:w="640" w:type="dxa"/>
            <w:vAlign w:val="bottom"/>
            <w:shd w:val="clear" w:color="auto" w:fill="F0F2F5"/>
          </w:tcPr>
          <w:p>
            <w:pPr>
              <w:spacing w:after="0"/>
              <w:rPr>
                <w:sz w:val="8"/>
                <w:szCs w:val="8"/>
                <w:color w:val="auto"/>
              </w:rPr>
            </w:pPr>
          </w:p>
        </w:tc>
        <w:tc>
          <w:tcPr>
            <w:tcW w:w="720" w:type="dxa"/>
            <w:vAlign w:val="bottom"/>
            <w:shd w:val="clear" w:color="auto" w:fill="F0F2F5"/>
          </w:tcPr>
          <w:p>
            <w:pPr>
              <w:spacing w:after="0"/>
              <w:rPr>
                <w:sz w:val="8"/>
                <w:szCs w:val="8"/>
                <w:color w:val="auto"/>
              </w:rPr>
            </w:pPr>
          </w:p>
        </w:tc>
        <w:tc>
          <w:tcPr>
            <w:tcW w:w="760" w:type="dxa"/>
            <w:vAlign w:val="bottom"/>
            <w:shd w:val="clear" w:color="auto" w:fill="F0F2F5"/>
          </w:tcPr>
          <w:p>
            <w:pPr>
              <w:spacing w:after="0"/>
              <w:rPr>
                <w:sz w:val="8"/>
                <w:szCs w:val="8"/>
                <w:color w:val="auto"/>
              </w:rPr>
            </w:pPr>
          </w:p>
        </w:tc>
        <w:tc>
          <w:tcPr>
            <w:tcW w:w="820" w:type="dxa"/>
            <w:vAlign w:val="bottom"/>
            <w:shd w:val="clear" w:color="auto" w:fill="F0F2F5"/>
          </w:tcPr>
          <w:p>
            <w:pPr>
              <w:spacing w:after="0"/>
              <w:rPr>
                <w:sz w:val="8"/>
                <w:szCs w:val="8"/>
                <w:color w:val="auto"/>
              </w:rPr>
            </w:pPr>
          </w:p>
        </w:tc>
        <w:tc>
          <w:tcPr>
            <w:tcW w:w="740" w:type="dxa"/>
            <w:vAlign w:val="bottom"/>
            <w:shd w:val="clear" w:color="auto" w:fill="F0F2F5"/>
          </w:tcPr>
          <w:p>
            <w:pPr>
              <w:spacing w:after="0"/>
              <w:rPr>
                <w:sz w:val="8"/>
                <w:szCs w:val="8"/>
                <w:color w:val="auto"/>
              </w:rPr>
            </w:pPr>
          </w:p>
        </w:tc>
        <w:tc>
          <w:tcPr>
            <w:tcW w:w="840" w:type="dxa"/>
            <w:vAlign w:val="bottom"/>
            <w:shd w:val="clear" w:color="auto" w:fill="F0F2F5"/>
          </w:tcPr>
          <w:p>
            <w:pPr>
              <w:spacing w:after="0"/>
              <w:rPr>
                <w:sz w:val="8"/>
                <w:szCs w:val="8"/>
                <w:color w:val="auto"/>
              </w:rPr>
            </w:pPr>
          </w:p>
        </w:tc>
        <w:tc>
          <w:tcPr>
            <w:tcW w:w="880" w:type="dxa"/>
            <w:vAlign w:val="bottom"/>
            <w:shd w:val="clear" w:color="auto" w:fill="F0F2F5"/>
          </w:tcPr>
          <w:p>
            <w:pPr>
              <w:spacing w:after="0"/>
              <w:rPr>
                <w:sz w:val="8"/>
                <w:szCs w:val="8"/>
                <w:color w:val="auto"/>
              </w:rPr>
            </w:pPr>
          </w:p>
        </w:tc>
        <w:tc>
          <w:tcPr>
            <w:tcW w:w="860" w:type="dxa"/>
            <w:vAlign w:val="bottom"/>
            <w:shd w:val="clear" w:color="auto" w:fill="F0F2F5"/>
          </w:tcPr>
          <w:p>
            <w:pPr>
              <w:spacing w:after="0"/>
              <w:rPr>
                <w:sz w:val="8"/>
                <w:szCs w:val="8"/>
                <w:color w:val="auto"/>
              </w:rPr>
            </w:pPr>
          </w:p>
        </w:tc>
        <w:tc>
          <w:tcPr>
            <w:tcW w:w="740" w:type="dxa"/>
            <w:vAlign w:val="bottom"/>
            <w:shd w:val="clear" w:color="auto" w:fill="F0F2F5"/>
          </w:tcPr>
          <w:p>
            <w:pPr>
              <w:spacing w:after="0"/>
              <w:rPr>
                <w:sz w:val="8"/>
                <w:szCs w:val="8"/>
                <w:color w:val="auto"/>
              </w:rPr>
            </w:pPr>
          </w:p>
        </w:tc>
        <w:tc>
          <w:tcPr>
            <w:tcW w:w="840" w:type="dxa"/>
            <w:vAlign w:val="bottom"/>
            <w:shd w:val="clear" w:color="auto" w:fill="F0F2F5"/>
          </w:tcPr>
          <w:p>
            <w:pPr>
              <w:spacing w:after="0"/>
              <w:rPr>
                <w:sz w:val="8"/>
                <w:szCs w:val="8"/>
                <w:color w:val="auto"/>
              </w:rPr>
            </w:pPr>
          </w:p>
        </w:tc>
        <w:tc>
          <w:tcPr>
            <w:tcW w:w="860" w:type="dxa"/>
            <w:vAlign w:val="bottom"/>
            <w:shd w:val="clear" w:color="auto" w:fill="F0F2F5"/>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15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2021</w:t>
            </w:r>
          </w:p>
        </w:tc>
        <w:tc>
          <w:tcPr>
            <w:tcW w:w="640" w:type="dxa"/>
            <w:vAlign w:val="bottom"/>
          </w:tcPr>
          <w:p>
            <w:pPr>
              <w:jc w:val="center"/>
              <w:ind w:right="10"/>
              <w:spacing w:after="0"/>
              <w:rPr>
                <w:sz w:val="20"/>
                <w:szCs w:val="20"/>
                <w:color w:val="auto"/>
              </w:rPr>
            </w:pPr>
            <w:r>
              <w:rPr>
                <w:rFonts w:ascii="Arial" w:cs="Arial" w:eastAsia="Arial" w:hAnsi="Arial"/>
                <w:sz w:val="18"/>
                <w:szCs w:val="18"/>
                <w:color w:val="auto"/>
                <w:w w:val="99"/>
              </w:rPr>
              <w:t>0</w:t>
            </w:r>
          </w:p>
        </w:tc>
        <w:tc>
          <w:tcPr>
            <w:tcW w:w="720" w:type="dxa"/>
            <w:vAlign w:val="bottom"/>
          </w:tcPr>
          <w:p>
            <w:pPr>
              <w:jc w:val="right"/>
              <w:ind w:right="170"/>
              <w:spacing w:after="0"/>
              <w:rPr>
                <w:sz w:val="20"/>
                <w:szCs w:val="20"/>
                <w:color w:val="auto"/>
              </w:rPr>
            </w:pPr>
            <w:r>
              <w:rPr>
                <w:rFonts w:ascii="Arial" w:cs="Arial" w:eastAsia="Arial" w:hAnsi="Arial"/>
                <w:sz w:val="18"/>
                <w:szCs w:val="18"/>
                <w:color w:val="auto"/>
              </w:rPr>
              <w:t>0%</w:t>
            </w:r>
          </w:p>
        </w:tc>
        <w:tc>
          <w:tcPr>
            <w:tcW w:w="760" w:type="dxa"/>
            <w:vAlign w:val="bottom"/>
          </w:tcPr>
          <w:p>
            <w:pPr>
              <w:jc w:val="center"/>
              <w:spacing w:after="0"/>
              <w:rPr>
                <w:sz w:val="20"/>
                <w:szCs w:val="20"/>
                <w:color w:val="auto"/>
              </w:rPr>
            </w:pPr>
            <w:r>
              <w:rPr>
                <w:rFonts w:ascii="Arial" w:cs="Arial" w:eastAsia="Arial" w:hAnsi="Arial"/>
                <w:sz w:val="18"/>
                <w:szCs w:val="18"/>
                <w:color w:val="auto"/>
                <w:w w:val="99"/>
              </w:rPr>
              <w:t>0</w:t>
            </w:r>
          </w:p>
        </w:tc>
        <w:tc>
          <w:tcPr>
            <w:tcW w:w="820" w:type="dxa"/>
            <w:vAlign w:val="bottom"/>
          </w:tcPr>
          <w:p>
            <w:pPr>
              <w:jc w:val="center"/>
              <w:spacing w:after="0"/>
              <w:rPr>
                <w:sz w:val="20"/>
                <w:szCs w:val="20"/>
                <w:color w:val="auto"/>
              </w:rPr>
            </w:pPr>
            <w:r>
              <w:rPr>
                <w:rFonts w:ascii="Arial" w:cs="Arial" w:eastAsia="Arial" w:hAnsi="Arial"/>
                <w:sz w:val="18"/>
                <w:szCs w:val="18"/>
                <w:color w:val="auto"/>
                <w:w w:val="92"/>
              </w:rPr>
              <w:t>0%</w:t>
            </w:r>
          </w:p>
        </w:tc>
        <w:tc>
          <w:tcPr>
            <w:tcW w:w="740" w:type="dxa"/>
            <w:vAlign w:val="bottom"/>
          </w:tcPr>
          <w:p>
            <w:pPr>
              <w:jc w:val="right"/>
              <w:ind w:right="210"/>
              <w:spacing w:after="0"/>
              <w:rPr>
                <w:sz w:val="20"/>
                <w:szCs w:val="20"/>
                <w:color w:val="auto"/>
              </w:rPr>
            </w:pPr>
            <w:r>
              <w:rPr>
                <w:rFonts w:ascii="Arial" w:cs="Arial" w:eastAsia="Arial" w:hAnsi="Arial"/>
                <w:sz w:val="18"/>
                <w:szCs w:val="18"/>
                <w:color w:val="auto"/>
              </w:rPr>
              <w:t>43</w:t>
            </w:r>
          </w:p>
        </w:tc>
        <w:tc>
          <w:tcPr>
            <w:tcW w:w="840" w:type="dxa"/>
            <w:vAlign w:val="bottom"/>
          </w:tcPr>
          <w:p>
            <w:pPr>
              <w:jc w:val="right"/>
              <w:ind w:right="110"/>
              <w:spacing w:after="0"/>
              <w:rPr>
                <w:sz w:val="20"/>
                <w:szCs w:val="20"/>
                <w:color w:val="auto"/>
              </w:rPr>
            </w:pPr>
            <w:r>
              <w:rPr>
                <w:rFonts w:ascii="Arial" w:cs="Arial" w:eastAsia="Arial" w:hAnsi="Arial"/>
                <w:sz w:val="18"/>
                <w:szCs w:val="18"/>
                <w:color w:val="auto"/>
              </w:rPr>
              <w:t>12.4%</w:t>
            </w:r>
          </w:p>
        </w:tc>
        <w:tc>
          <w:tcPr>
            <w:tcW w:w="880" w:type="dxa"/>
            <w:vAlign w:val="bottom"/>
          </w:tcPr>
          <w:p>
            <w:pPr>
              <w:jc w:val="center"/>
              <w:spacing w:after="0"/>
              <w:rPr>
                <w:sz w:val="20"/>
                <w:szCs w:val="20"/>
                <w:color w:val="auto"/>
              </w:rPr>
            </w:pPr>
            <w:r>
              <w:rPr>
                <w:rFonts w:ascii="Arial" w:cs="Arial" w:eastAsia="Arial" w:hAnsi="Arial"/>
                <w:sz w:val="18"/>
                <w:szCs w:val="18"/>
                <w:color w:val="auto"/>
                <w:w w:val="79"/>
              </w:rPr>
              <w:t>0</w:t>
            </w:r>
          </w:p>
        </w:tc>
        <w:tc>
          <w:tcPr>
            <w:tcW w:w="860" w:type="dxa"/>
            <w:vAlign w:val="bottom"/>
          </w:tcPr>
          <w:p>
            <w:pPr>
              <w:jc w:val="center"/>
              <w:spacing w:after="0"/>
              <w:rPr>
                <w:sz w:val="20"/>
                <w:szCs w:val="20"/>
                <w:color w:val="auto"/>
              </w:rPr>
            </w:pPr>
            <w:r>
              <w:rPr>
                <w:rFonts w:ascii="Arial" w:cs="Arial" w:eastAsia="Arial" w:hAnsi="Arial"/>
                <w:sz w:val="18"/>
                <w:szCs w:val="18"/>
                <w:color w:val="auto"/>
                <w:w w:val="92"/>
              </w:rPr>
              <w:t>0%</w:t>
            </w:r>
          </w:p>
        </w:tc>
        <w:tc>
          <w:tcPr>
            <w:tcW w:w="740" w:type="dxa"/>
            <w:vAlign w:val="bottom"/>
          </w:tcPr>
          <w:p>
            <w:pPr>
              <w:jc w:val="right"/>
              <w:ind w:right="170"/>
              <w:spacing w:after="0"/>
              <w:rPr>
                <w:sz w:val="20"/>
                <w:szCs w:val="20"/>
                <w:color w:val="auto"/>
              </w:rPr>
            </w:pPr>
            <w:r>
              <w:rPr>
                <w:rFonts w:ascii="Arial" w:cs="Arial" w:eastAsia="Arial" w:hAnsi="Arial"/>
                <w:sz w:val="18"/>
                <w:szCs w:val="18"/>
                <w:color w:val="auto"/>
              </w:rPr>
              <w:t>305</w:t>
            </w:r>
          </w:p>
        </w:tc>
        <w:tc>
          <w:tcPr>
            <w:tcW w:w="840" w:type="dxa"/>
            <w:vAlign w:val="bottom"/>
          </w:tcPr>
          <w:p>
            <w:pPr>
              <w:jc w:val="right"/>
              <w:ind w:right="110"/>
              <w:spacing w:after="0"/>
              <w:rPr>
                <w:sz w:val="20"/>
                <w:szCs w:val="20"/>
                <w:color w:val="auto"/>
              </w:rPr>
            </w:pPr>
            <w:r>
              <w:rPr>
                <w:rFonts w:ascii="Arial" w:cs="Arial" w:eastAsia="Arial" w:hAnsi="Arial"/>
                <w:sz w:val="18"/>
                <w:szCs w:val="18"/>
                <w:color w:val="auto"/>
              </w:rPr>
              <w:t>87.6%</w:t>
            </w:r>
          </w:p>
        </w:tc>
        <w:tc>
          <w:tcPr>
            <w:tcW w:w="860" w:type="dxa"/>
            <w:vAlign w:val="bottom"/>
          </w:tcPr>
          <w:p>
            <w:pPr>
              <w:jc w:val="right"/>
              <w:ind w:right="210"/>
              <w:spacing w:after="0"/>
              <w:rPr>
                <w:sz w:val="20"/>
                <w:szCs w:val="20"/>
                <w:color w:val="auto"/>
              </w:rPr>
            </w:pPr>
            <w:r>
              <w:rPr>
                <w:rFonts w:ascii="Arial" w:cs="Arial" w:eastAsia="Arial" w:hAnsi="Arial"/>
                <w:sz w:val="18"/>
                <w:szCs w:val="18"/>
                <w:color w:val="auto"/>
              </w:rPr>
              <w:t>348</w:t>
            </w:r>
          </w:p>
        </w:tc>
        <w:tc>
          <w:tcPr>
            <w:tcW w:w="0" w:type="dxa"/>
            <w:vAlign w:val="bottom"/>
          </w:tcPr>
          <w:p>
            <w:pPr>
              <w:spacing w:after="0"/>
              <w:rPr>
                <w:sz w:val="1"/>
                <w:szCs w:val="1"/>
                <w:color w:val="auto"/>
              </w:rPr>
            </w:pPr>
          </w:p>
        </w:tc>
      </w:tr>
    </w:tbl>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2.6 Individual disclosure of the remuneration of the members of the Supervisory Board for the financial year 2022</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following table shows the remuneration awarded and due within the meaning of section 162 para. 1 sentence 1 AktG of the current members of the Supervisory Board, whereby the remuneration awarded includes the remuneration for which the activity for which the remuneration is granted was performed in full in the financial year 2022. No remuneration was granted to former members of the Supervisory Board in the financial year 2022.</w:t>
      </w:r>
    </w:p>
    <w:p>
      <w:pPr>
        <w:spacing w:after="0" w:line="16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remuneration of the members of the Supervisory Board for the financial year 2022 was determined by resolution of the Annual General Meeting on May 14, 2021 (agenda item 6) and confirmed by resolution of the Annual General Meeting on July 14, 2022 (agenda item 7) in accordance with section 113 para. 3 AktG.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99695</wp:posOffset>
            </wp:positionV>
            <wp:extent cx="151384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513840" cy="8255"/>
                    </a:xfrm>
                    <a:prstGeom prst="rect">
                      <a:avLst/>
                    </a:prstGeom>
                    <a:noFill/>
                  </pic:spPr>
                </pic:pic>
              </a:graphicData>
            </a:graphic>
          </wp:anchor>
        </w:drawing>
      </w:r>
    </w:p>
    <w:p>
      <w:pPr>
        <w:spacing w:after="0" w:line="153" w:lineRule="exact"/>
        <w:rPr>
          <w:sz w:val="20"/>
          <w:szCs w:val="20"/>
          <w:color w:val="auto"/>
        </w:rPr>
      </w:pPr>
    </w:p>
    <w:p>
      <w:pPr>
        <w:ind w:left="200" w:hanging="192"/>
        <w:spacing w:after="0"/>
        <w:tabs>
          <w:tab w:leader="none" w:pos="200" w:val="left"/>
        </w:tabs>
        <w:numPr>
          <w:ilvl w:val="0"/>
          <w:numId w:val="36"/>
        </w:numPr>
        <w:rPr>
          <w:rFonts w:ascii="Arial" w:cs="Arial" w:eastAsia="Arial" w:hAnsi="Arial"/>
          <w:sz w:val="25"/>
          <w:szCs w:val="25"/>
          <w:color w:val="auto"/>
          <w:vertAlign w:val="superscript"/>
        </w:rPr>
      </w:pPr>
      <w:r>
        <w:rPr>
          <w:rFonts w:ascii="Arial" w:cs="Arial" w:eastAsia="Arial" w:hAnsi="Arial"/>
          <w:sz w:val="15"/>
          <w:szCs w:val="15"/>
          <w:color w:val="auto"/>
        </w:rPr>
        <w:t>Member of the Management Board until May 5, 2020.</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46" w:name="page47"/>
    <w:bookmarkEnd w:id="46"/>
    <w:p>
      <w:pPr>
        <w:jc w:val="both"/>
        <w:spacing w:after="0" w:line="257" w:lineRule="auto"/>
        <w:rPr>
          <w:sz w:val="20"/>
          <w:szCs w:val="20"/>
          <w:color w:val="auto"/>
        </w:rPr>
      </w:pPr>
      <w:r>
        <w:rPr>
          <w:rFonts w:ascii="Arial" w:cs="Arial" w:eastAsia="Arial" w:hAnsi="Arial"/>
          <w:sz w:val="18"/>
          <w:szCs w:val="18"/>
          <w:color w:val="auto"/>
        </w:rPr>
        <w:t>Accordingly, the members of the Supervisory Board receive a remuneration of €60 thousand for each full financial year of service on the Supervisory Board. The chairman receives double the remuneration, the deputy chairman one and a half times the remuneration. Supervisory Board members who are also members of the Audit Committee also receive a remuneration of €20 thousand for each full financial year of membership of the Audit Committee in addition to the remuneration for their work on the Supervisory Board as a member, chairman or deputy chairman. The chairman of the Audit Committee receives one and a half times the remuneration.</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Each member of the Supervisory Board shall receive an additional attendance fee of €500 per meeting for participating in a meeting or in a resolution adopted by the Supervisory Board by telephone. Remuneration and attendance fees are payable after the end of the respective financial year. Supervisory Board members who have not belonged to the Supervisory Board for a full financial year receive remuneration pro rata temporis according to the duration of their membership in the Supervisory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1856740</wp:posOffset>
            </wp:positionH>
            <wp:positionV relativeFrom="paragraph">
              <wp:posOffset>125730</wp:posOffset>
            </wp:positionV>
            <wp:extent cx="5282565" cy="7067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282565" cy="706755"/>
                    </a:xfrm>
                    <a:prstGeom prst="rect">
                      <a:avLst/>
                    </a:prstGeom>
                    <a:noFill/>
                  </pic:spPr>
                </pic:pic>
              </a:graphicData>
            </a:graphic>
          </wp:anchor>
        </w:drawing>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54"/>
        </w:trPr>
        <w:tc>
          <w:tcPr>
            <w:tcW w:w="2920" w:type="dxa"/>
            <w:vAlign w:val="bottom"/>
            <w:shd w:val="clear" w:color="auto" w:fill="E36C0A"/>
          </w:tcPr>
          <w:p>
            <w:pPr>
              <w:spacing w:after="0"/>
              <w:rPr>
                <w:sz w:val="22"/>
                <w:szCs w:val="22"/>
                <w:color w:val="auto"/>
              </w:rPr>
            </w:pPr>
          </w:p>
        </w:tc>
        <w:tc>
          <w:tcPr>
            <w:tcW w:w="920" w:type="dxa"/>
            <w:vAlign w:val="bottom"/>
            <w:shd w:val="clear" w:color="auto" w:fill="E36C0A"/>
          </w:tcPr>
          <w:p>
            <w:pPr>
              <w:spacing w:after="0"/>
              <w:rPr>
                <w:sz w:val="22"/>
                <w:szCs w:val="22"/>
                <w:color w:val="auto"/>
              </w:rPr>
            </w:pPr>
          </w:p>
        </w:tc>
        <w:tc>
          <w:tcPr>
            <w:tcW w:w="2440" w:type="dxa"/>
            <w:vAlign w:val="bottom"/>
            <w:gridSpan w:val="2"/>
            <w:shd w:val="clear" w:color="auto" w:fill="E36C0A"/>
          </w:tcPr>
          <w:p>
            <w:pPr>
              <w:ind w:left="360"/>
              <w:spacing w:after="0"/>
              <w:rPr>
                <w:sz w:val="20"/>
                <w:szCs w:val="20"/>
                <w:color w:val="auto"/>
              </w:rPr>
            </w:pPr>
            <w:r>
              <w:rPr>
                <w:rFonts w:ascii="Arial" w:cs="Arial" w:eastAsia="Arial" w:hAnsi="Arial"/>
                <w:sz w:val="18"/>
                <w:szCs w:val="18"/>
                <w:b w:val="1"/>
                <w:bCs w:val="1"/>
                <w:color w:val="auto"/>
              </w:rPr>
              <w:t>Fixed remuneration</w:t>
            </w:r>
          </w:p>
        </w:tc>
        <w:tc>
          <w:tcPr>
            <w:tcW w:w="2920" w:type="dxa"/>
            <w:vAlign w:val="bottom"/>
            <w:gridSpan w:val="2"/>
            <w:shd w:val="clear" w:color="auto" w:fill="E36C0A"/>
          </w:tcPr>
          <w:p>
            <w:pPr>
              <w:ind w:left="860"/>
              <w:spacing w:after="0"/>
              <w:rPr>
                <w:sz w:val="20"/>
                <w:szCs w:val="20"/>
                <w:color w:val="auto"/>
              </w:rPr>
            </w:pPr>
            <w:r>
              <w:rPr>
                <w:rFonts w:ascii="Arial" w:cs="Arial" w:eastAsia="Arial" w:hAnsi="Arial"/>
                <w:sz w:val="18"/>
                <w:szCs w:val="18"/>
                <w:b w:val="1"/>
                <w:bCs w:val="1"/>
                <w:color w:val="auto"/>
              </w:rPr>
              <w:t>Attendance fees</w:t>
            </w:r>
          </w:p>
        </w:tc>
        <w:tc>
          <w:tcPr>
            <w:tcW w:w="2040" w:type="dxa"/>
            <w:vAlign w:val="bottom"/>
            <w:shd w:val="clear" w:color="auto" w:fill="E36C0A"/>
          </w:tcPr>
          <w:p>
            <w:pPr>
              <w:ind w:left="82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402"/>
        </w:trPr>
        <w:tc>
          <w:tcPr>
            <w:tcW w:w="2920" w:type="dxa"/>
            <w:vAlign w:val="bottom"/>
            <w:shd w:val="clear" w:color="auto" w:fill="E36C0A"/>
          </w:tcPr>
          <w:p>
            <w:pPr>
              <w:ind w:left="1040"/>
              <w:spacing w:after="0"/>
              <w:rPr>
                <w:sz w:val="20"/>
                <w:szCs w:val="20"/>
                <w:color w:val="auto"/>
              </w:rPr>
            </w:pPr>
            <w:r>
              <w:rPr>
                <w:rFonts w:ascii="Arial" w:cs="Arial" w:eastAsia="Arial" w:hAnsi="Arial"/>
                <w:sz w:val="18"/>
                <w:szCs w:val="18"/>
                <w:b w:val="1"/>
                <w:bCs w:val="1"/>
                <w:color w:val="auto"/>
              </w:rPr>
              <w:t>Member of</w:t>
            </w:r>
          </w:p>
        </w:tc>
        <w:tc>
          <w:tcPr>
            <w:tcW w:w="920" w:type="dxa"/>
            <w:vAlign w:val="bottom"/>
            <w:vMerge w:val="restart"/>
            <w:shd w:val="clear" w:color="auto" w:fill="E36C0A"/>
          </w:tcPr>
          <w:p>
            <w:pPr>
              <w:ind w:left="200"/>
              <w:spacing w:after="0"/>
              <w:rPr>
                <w:sz w:val="20"/>
                <w:szCs w:val="20"/>
                <w:color w:val="auto"/>
              </w:rPr>
            </w:pPr>
            <w:r>
              <w:rPr>
                <w:rFonts w:ascii="Arial" w:cs="Arial" w:eastAsia="Arial" w:hAnsi="Arial"/>
                <w:sz w:val="18"/>
                <w:szCs w:val="18"/>
                <w:b w:val="1"/>
                <w:bCs w:val="1"/>
                <w:color w:val="auto"/>
              </w:rPr>
              <w:t>Year</w:t>
            </w:r>
          </w:p>
        </w:tc>
        <w:tc>
          <w:tcPr>
            <w:tcW w:w="1180" w:type="dxa"/>
            <w:vAlign w:val="bottom"/>
            <w:vMerge w:val="restart"/>
            <w:shd w:val="clear" w:color="auto" w:fill="E36C0A"/>
          </w:tcPr>
          <w:p>
            <w:pPr>
              <w:ind w:left="360"/>
              <w:spacing w:after="0"/>
              <w:rPr>
                <w:sz w:val="20"/>
                <w:szCs w:val="20"/>
                <w:color w:val="auto"/>
              </w:rPr>
            </w:pPr>
            <w:r>
              <w:rPr>
                <w:rFonts w:ascii="Arial" w:cs="Arial" w:eastAsia="Arial" w:hAnsi="Arial"/>
                <w:sz w:val="18"/>
                <w:szCs w:val="18"/>
                <w:b w:val="1"/>
                <w:bCs w:val="1"/>
                <w:color w:val="auto"/>
              </w:rPr>
              <w:t>in k€</w:t>
            </w:r>
          </w:p>
        </w:tc>
        <w:tc>
          <w:tcPr>
            <w:tcW w:w="1260" w:type="dxa"/>
            <w:vAlign w:val="bottom"/>
            <w:vMerge w:val="restart"/>
            <w:shd w:val="clear" w:color="auto" w:fill="E36C0A"/>
          </w:tcPr>
          <w:p>
            <w:pPr>
              <w:ind w:left="500"/>
              <w:spacing w:after="0"/>
              <w:rPr>
                <w:sz w:val="20"/>
                <w:szCs w:val="20"/>
                <w:color w:val="auto"/>
              </w:rPr>
            </w:pPr>
            <w:r>
              <w:rPr>
                <w:rFonts w:ascii="Arial" w:cs="Arial" w:eastAsia="Arial" w:hAnsi="Arial"/>
                <w:sz w:val="18"/>
                <w:szCs w:val="18"/>
                <w:b w:val="1"/>
                <w:bCs w:val="1"/>
                <w:color w:val="auto"/>
              </w:rPr>
              <w:t>in %</w:t>
            </w:r>
          </w:p>
        </w:tc>
        <w:tc>
          <w:tcPr>
            <w:tcW w:w="1440" w:type="dxa"/>
            <w:vAlign w:val="bottom"/>
            <w:vMerge w:val="restart"/>
            <w:shd w:val="clear" w:color="auto" w:fill="E36C0A"/>
          </w:tcPr>
          <w:p>
            <w:pPr>
              <w:ind w:left="540"/>
              <w:spacing w:after="0"/>
              <w:rPr>
                <w:sz w:val="20"/>
                <w:szCs w:val="20"/>
                <w:color w:val="auto"/>
              </w:rPr>
            </w:pPr>
            <w:r>
              <w:rPr>
                <w:rFonts w:ascii="Arial" w:cs="Arial" w:eastAsia="Arial" w:hAnsi="Arial"/>
                <w:sz w:val="18"/>
                <w:szCs w:val="18"/>
                <w:b w:val="1"/>
                <w:bCs w:val="1"/>
                <w:color w:val="auto"/>
              </w:rPr>
              <w:t>in k€</w:t>
            </w:r>
          </w:p>
        </w:tc>
        <w:tc>
          <w:tcPr>
            <w:tcW w:w="1480" w:type="dxa"/>
            <w:vAlign w:val="bottom"/>
            <w:vMerge w:val="restart"/>
            <w:shd w:val="clear" w:color="auto" w:fill="E36C0A"/>
          </w:tcPr>
          <w:p>
            <w:pPr>
              <w:ind w:left="560"/>
              <w:spacing w:after="0"/>
              <w:rPr>
                <w:sz w:val="20"/>
                <w:szCs w:val="20"/>
                <w:color w:val="auto"/>
              </w:rPr>
            </w:pPr>
            <w:r>
              <w:rPr>
                <w:rFonts w:ascii="Arial" w:cs="Arial" w:eastAsia="Arial" w:hAnsi="Arial"/>
                <w:sz w:val="18"/>
                <w:szCs w:val="18"/>
                <w:b w:val="1"/>
                <w:bCs w:val="1"/>
                <w:color w:val="auto"/>
              </w:rPr>
              <w:t>in %</w:t>
            </w:r>
          </w:p>
        </w:tc>
        <w:tc>
          <w:tcPr>
            <w:tcW w:w="2040" w:type="dxa"/>
            <w:vAlign w:val="bottom"/>
            <w:vMerge w:val="restart"/>
            <w:shd w:val="clear" w:color="auto" w:fill="E36C0A"/>
          </w:tcPr>
          <w:p>
            <w:pPr>
              <w:ind w:left="820"/>
              <w:spacing w:after="0"/>
              <w:rPr>
                <w:sz w:val="20"/>
                <w:szCs w:val="20"/>
                <w:color w:val="auto"/>
              </w:rPr>
            </w:pPr>
            <w:r>
              <w:rPr>
                <w:rFonts w:ascii="Arial" w:cs="Arial" w:eastAsia="Arial" w:hAnsi="Arial"/>
                <w:sz w:val="18"/>
                <w:szCs w:val="18"/>
                <w:b w:val="1"/>
                <w:bCs w:val="1"/>
                <w:color w:val="auto"/>
              </w:rPr>
              <w:t>in k€</w:t>
            </w:r>
          </w:p>
        </w:tc>
        <w:tc>
          <w:tcPr>
            <w:tcW w:w="0" w:type="dxa"/>
            <w:vAlign w:val="bottom"/>
          </w:tcPr>
          <w:p>
            <w:pPr>
              <w:spacing w:after="0"/>
              <w:rPr>
                <w:sz w:val="1"/>
                <w:szCs w:val="1"/>
                <w:color w:val="auto"/>
              </w:rPr>
            </w:pPr>
          </w:p>
        </w:tc>
      </w:tr>
      <w:tr>
        <w:trPr>
          <w:trHeight w:val="126"/>
        </w:trPr>
        <w:tc>
          <w:tcPr>
            <w:tcW w:w="2920" w:type="dxa"/>
            <w:vAlign w:val="bottom"/>
            <w:vMerge w:val="restart"/>
            <w:shd w:val="clear" w:color="auto" w:fill="E36C0A"/>
          </w:tcPr>
          <w:p>
            <w:pPr>
              <w:ind w:left="600"/>
              <w:spacing w:after="0"/>
              <w:rPr>
                <w:sz w:val="20"/>
                <w:szCs w:val="20"/>
                <w:color w:val="auto"/>
              </w:rPr>
            </w:pPr>
            <w:r>
              <w:rPr>
                <w:rFonts w:ascii="Arial" w:cs="Arial" w:eastAsia="Arial" w:hAnsi="Arial"/>
                <w:sz w:val="18"/>
                <w:szCs w:val="18"/>
                <w:b w:val="1"/>
                <w:bCs w:val="1"/>
                <w:color w:val="auto"/>
              </w:rPr>
              <w:t>the Supervisory Board</w:t>
            </w:r>
          </w:p>
        </w:tc>
        <w:tc>
          <w:tcPr>
            <w:tcW w:w="920" w:type="dxa"/>
            <w:vAlign w:val="bottom"/>
            <w:vMerge w:val="continue"/>
            <w:shd w:val="clear" w:color="auto" w:fill="E36C0A"/>
          </w:tcPr>
          <w:p>
            <w:pPr>
              <w:spacing w:after="0"/>
              <w:rPr>
                <w:sz w:val="10"/>
                <w:szCs w:val="10"/>
                <w:color w:val="auto"/>
              </w:rPr>
            </w:pPr>
          </w:p>
        </w:tc>
        <w:tc>
          <w:tcPr>
            <w:tcW w:w="1180" w:type="dxa"/>
            <w:vAlign w:val="bottom"/>
            <w:vMerge w:val="continue"/>
            <w:shd w:val="clear" w:color="auto" w:fill="E36C0A"/>
          </w:tcPr>
          <w:p>
            <w:pPr>
              <w:spacing w:after="0"/>
              <w:rPr>
                <w:sz w:val="10"/>
                <w:szCs w:val="10"/>
                <w:color w:val="auto"/>
              </w:rPr>
            </w:pPr>
          </w:p>
        </w:tc>
        <w:tc>
          <w:tcPr>
            <w:tcW w:w="1260" w:type="dxa"/>
            <w:vAlign w:val="bottom"/>
            <w:vMerge w:val="continue"/>
            <w:shd w:val="clear" w:color="auto" w:fill="E36C0A"/>
          </w:tcPr>
          <w:p>
            <w:pPr>
              <w:spacing w:after="0"/>
              <w:rPr>
                <w:sz w:val="10"/>
                <w:szCs w:val="10"/>
                <w:color w:val="auto"/>
              </w:rPr>
            </w:pPr>
          </w:p>
        </w:tc>
        <w:tc>
          <w:tcPr>
            <w:tcW w:w="1440" w:type="dxa"/>
            <w:vAlign w:val="bottom"/>
            <w:vMerge w:val="continue"/>
            <w:shd w:val="clear" w:color="auto" w:fill="E36C0A"/>
          </w:tcPr>
          <w:p>
            <w:pPr>
              <w:spacing w:after="0"/>
              <w:rPr>
                <w:sz w:val="10"/>
                <w:szCs w:val="10"/>
                <w:color w:val="auto"/>
              </w:rPr>
            </w:pPr>
          </w:p>
        </w:tc>
        <w:tc>
          <w:tcPr>
            <w:tcW w:w="1480" w:type="dxa"/>
            <w:vAlign w:val="bottom"/>
            <w:vMerge w:val="continue"/>
            <w:shd w:val="clear" w:color="auto" w:fill="E36C0A"/>
          </w:tcPr>
          <w:p>
            <w:pPr>
              <w:spacing w:after="0"/>
              <w:rPr>
                <w:sz w:val="10"/>
                <w:szCs w:val="10"/>
                <w:color w:val="auto"/>
              </w:rPr>
            </w:pPr>
          </w:p>
        </w:tc>
        <w:tc>
          <w:tcPr>
            <w:tcW w:w="2040" w:type="dxa"/>
            <w:vAlign w:val="bottom"/>
            <w:vMerge w:val="continue"/>
            <w:shd w:val="clear" w:color="auto" w:fill="E36C0A"/>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920" w:type="dxa"/>
            <w:vAlign w:val="bottom"/>
            <w:vMerge w:val="continue"/>
            <w:shd w:val="clear" w:color="auto" w:fill="E36C0A"/>
          </w:tcPr>
          <w:p>
            <w:pPr>
              <w:spacing w:after="0"/>
              <w:rPr>
                <w:sz w:val="9"/>
                <w:szCs w:val="9"/>
                <w:color w:val="auto"/>
              </w:rPr>
            </w:pPr>
          </w:p>
        </w:tc>
        <w:tc>
          <w:tcPr>
            <w:tcW w:w="920" w:type="dxa"/>
            <w:vAlign w:val="bottom"/>
            <w:shd w:val="clear" w:color="auto" w:fill="E36C0A"/>
          </w:tcPr>
          <w:p>
            <w:pPr>
              <w:spacing w:after="0"/>
              <w:rPr>
                <w:sz w:val="9"/>
                <w:szCs w:val="9"/>
                <w:color w:val="auto"/>
              </w:rPr>
            </w:pPr>
          </w:p>
        </w:tc>
        <w:tc>
          <w:tcPr>
            <w:tcW w:w="1180" w:type="dxa"/>
            <w:vAlign w:val="bottom"/>
            <w:shd w:val="clear" w:color="auto" w:fill="E36C0A"/>
          </w:tcPr>
          <w:p>
            <w:pPr>
              <w:spacing w:after="0"/>
              <w:rPr>
                <w:sz w:val="9"/>
                <w:szCs w:val="9"/>
                <w:color w:val="auto"/>
              </w:rPr>
            </w:pPr>
          </w:p>
        </w:tc>
        <w:tc>
          <w:tcPr>
            <w:tcW w:w="1260" w:type="dxa"/>
            <w:vAlign w:val="bottom"/>
            <w:shd w:val="clear" w:color="auto" w:fill="E36C0A"/>
          </w:tcPr>
          <w:p>
            <w:pPr>
              <w:spacing w:after="0"/>
              <w:rPr>
                <w:sz w:val="9"/>
                <w:szCs w:val="9"/>
                <w:color w:val="auto"/>
              </w:rPr>
            </w:pPr>
          </w:p>
        </w:tc>
        <w:tc>
          <w:tcPr>
            <w:tcW w:w="1440" w:type="dxa"/>
            <w:vAlign w:val="bottom"/>
            <w:shd w:val="clear" w:color="auto" w:fill="E36C0A"/>
          </w:tcPr>
          <w:p>
            <w:pPr>
              <w:spacing w:after="0"/>
              <w:rPr>
                <w:sz w:val="9"/>
                <w:szCs w:val="9"/>
                <w:color w:val="auto"/>
              </w:rPr>
            </w:pPr>
          </w:p>
        </w:tc>
        <w:tc>
          <w:tcPr>
            <w:tcW w:w="1480" w:type="dxa"/>
            <w:vAlign w:val="bottom"/>
            <w:shd w:val="clear" w:color="auto" w:fill="E36C0A"/>
          </w:tcPr>
          <w:p>
            <w:pPr>
              <w:spacing w:after="0"/>
              <w:rPr>
                <w:sz w:val="9"/>
                <w:szCs w:val="9"/>
                <w:color w:val="auto"/>
              </w:rPr>
            </w:pPr>
          </w:p>
        </w:tc>
        <w:tc>
          <w:tcPr>
            <w:tcW w:w="2040" w:type="dxa"/>
            <w:vAlign w:val="bottom"/>
            <w:shd w:val="clear" w:color="auto" w:fill="E36C0A"/>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920" w:type="dxa"/>
            <w:vAlign w:val="bottom"/>
            <w:shd w:val="clear" w:color="auto" w:fill="E36C0A"/>
          </w:tcPr>
          <w:p>
            <w:pPr>
              <w:spacing w:after="0"/>
              <w:rPr>
                <w:sz w:val="18"/>
                <w:szCs w:val="18"/>
                <w:color w:val="auto"/>
              </w:rPr>
            </w:pPr>
          </w:p>
        </w:tc>
        <w:tc>
          <w:tcPr>
            <w:tcW w:w="920" w:type="dxa"/>
            <w:vAlign w:val="bottom"/>
            <w:shd w:val="clear" w:color="auto" w:fill="E36C0A"/>
          </w:tcPr>
          <w:p>
            <w:pPr>
              <w:spacing w:after="0"/>
              <w:rPr>
                <w:sz w:val="18"/>
                <w:szCs w:val="18"/>
                <w:color w:val="auto"/>
              </w:rPr>
            </w:pPr>
          </w:p>
        </w:tc>
        <w:tc>
          <w:tcPr>
            <w:tcW w:w="1180" w:type="dxa"/>
            <w:vAlign w:val="bottom"/>
            <w:shd w:val="clear" w:color="auto" w:fill="E36C0A"/>
          </w:tcPr>
          <w:p>
            <w:pPr>
              <w:spacing w:after="0"/>
              <w:rPr>
                <w:sz w:val="18"/>
                <w:szCs w:val="18"/>
                <w:color w:val="auto"/>
              </w:rPr>
            </w:pPr>
          </w:p>
        </w:tc>
        <w:tc>
          <w:tcPr>
            <w:tcW w:w="1260" w:type="dxa"/>
            <w:vAlign w:val="bottom"/>
            <w:shd w:val="clear" w:color="auto" w:fill="E36C0A"/>
          </w:tcPr>
          <w:p>
            <w:pPr>
              <w:spacing w:after="0"/>
              <w:rPr>
                <w:sz w:val="18"/>
                <w:szCs w:val="18"/>
                <w:color w:val="auto"/>
              </w:rPr>
            </w:pPr>
          </w:p>
        </w:tc>
        <w:tc>
          <w:tcPr>
            <w:tcW w:w="1440" w:type="dxa"/>
            <w:vAlign w:val="bottom"/>
            <w:shd w:val="clear" w:color="auto" w:fill="E36C0A"/>
          </w:tcPr>
          <w:p>
            <w:pPr>
              <w:spacing w:after="0"/>
              <w:rPr>
                <w:sz w:val="18"/>
                <w:szCs w:val="18"/>
                <w:color w:val="auto"/>
              </w:rPr>
            </w:pPr>
          </w:p>
        </w:tc>
        <w:tc>
          <w:tcPr>
            <w:tcW w:w="1480" w:type="dxa"/>
            <w:vAlign w:val="bottom"/>
            <w:shd w:val="clear" w:color="auto" w:fill="E36C0A"/>
          </w:tcPr>
          <w:p>
            <w:pPr>
              <w:spacing w:after="0"/>
              <w:rPr>
                <w:sz w:val="18"/>
                <w:szCs w:val="18"/>
                <w:color w:val="auto"/>
              </w:rPr>
            </w:pPr>
          </w:p>
        </w:tc>
        <w:tc>
          <w:tcPr>
            <w:tcW w:w="2040" w:type="dxa"/>
            <w:vAlign w:val="bottom"/>
            <w:shd w:val="clear" w:color="auto" w:fill="E36C0A"/>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920" w:type="dxa"/>
            <w:vAlign w:val="bottom"/>
            <w:shd w:val="clear" w:color="auto" w:fill="F0F2F5"/>
          </w:tcPr>
          <w:p>
            <w:pPr>
              <w:spacing w:after="0"/>
              <w:rPr>
                <w:sz w:val="20"/>
                <w:szCs w:val="20"/>
                <w:color w:val="auto"/>
              </w:rPr>
            </w:pPr>
            <w:r>
              <w:rPr>
                <w:rFonts w:ascii="Arial" w:cs="Arial" w:eastAsia="Arial" w:hAnsi="Arial"/>
                <w:sz w:val="18"/>
                <w:szCs w:val="18"/>
                <w:color w:val="auto"/>
              </w:rPr>
              <w:t>Dr. Manfred Krischke</w:t>
            </w:r>
          </w:p>
        </w:tc>
        <w:tc>
          <w:tcPr>
            <w:tcW w:w="920" w:type="dxa"/>
            <w:vAlign w:val="bottom"/>
            <w:shd w:val="clear" w:color="auto" w:fill="F0F2F5"/>
          </w:tcPr>
          <w:p>
            <w:pPr>
              <w:ind w:left="200"/>
              <w:spacing w:after="0"/>
              <w:rPr>
                <w:sz w:val="20"/>
                <w:szCs w:val="20"/>
                <w:color w:val="auto"/>
              </w:rPr>
            </w:pPr>
            <w:r>
              <w:rPr>
                <w:rFonts w:ascii="Arial" w:cs="Arial" w:eastAsia="Arial" w:hAnsi="Arial"/>
                <w:sz w:val="18"/>
                <w:szCs w:val="18"/>
                <w:color w:val="auto"/>
              </w:rPr>
              <w:t>2022</w:t>
            </w:r>
          </w:p>
        </w:tc>
        <w:tc>
          <w:tcPr>
            <w:tcW w:w="1180" w:type="dxa"/>
            <w:vAlign w:val="bottom"/>
            <w:shd w:val="clear" w:color="auto" w:fill="F0F2F5"/>
          </w:tcPr>
          <w:p>
            <w:pPr>
              <w:jc w:val="center"/>
              <w:ind w:right="10"/>
              <w:spacing w:after="0"/>
              <w:rPr>
                <w:sz w:val="20"/>
                <w:szCs w:val="20"/>
                <w:color w:val="auto"/>
              </w:rPr>
            </w:pPr>
            <w:r>
              <w:rPr>
                <w:rFonts w:ascii="Arial" w:cs="Arial" w:eastAsia="Arial" w:hAnsi="Arial"/>
                <w:sz w:val="18"/>
                <w:szCs w:val="18"/>
                <w:color w:val="auto"/>
                <w:w w:val="93"/>
              </w:rPr>
              <w:t>140</w:t>
            </w:r>
          </w:p>
        </w:tc>
        <w:tc>
          <w:tcPr>
            <w:tcW w:w="1260" w:type="dxa"/>
            <w:vAlign w:val="bottom"/>
            <w:shd w:val="clear" w:color="auto" w:fill="F0F2F5"/>
          </w:tcPr>
          <w:p>
            <w:pPr>
              <w:jc w:val="center"/>
              <w:spacing w:after="0"/>
              <w:rPr>
                <w:sz w:val="20"/>
                <w:szCs w:val="20"/>
                <w:color w:val="auto"/>
              </w:rPr>
            </w:pPr>
            <w:r>
              <w:rPr>
                <w:rFonts w:ascii="Arial" w:cs="Arial" w:eastAsia="Arial" w:hAnsi="Arial"/>
                <w:sz w:val="18"/>
                <w:szCs w:val="18"/>
                <w:color w:val="auto"/>
                <w:w w:val="90"/>
              </w:rPr>
              <w:t>92.7%</w:t>
            </w:r>
          </w:p>
        </w:tc>
        <w:tc>
          <w:tcPr>
            <w:tcW w:w="1440" w:type="dxa"/>
            <w:vAlign w:val="bottom"/>
            <w:shd w:val="clear" w:color="auto" w:fill="F0F2F5"/>
          </w:tcPr>
          <w:p>
            <w:pPr>
              <w:jc w:val="center"/>
              <w:spacing w:after="0"/>
              <w:rPr>
                <w:sz w:val="20"/>
                <w:szCs w:val="20"/>
                <w:color w:val="auto"/>
              </w:rPr>
            </w:pPr>
            <w:r>
              <w:rPr>
                <w:rFonts w:ascii="Arial" w:cs="Arial" w:eastAsia="Arial" w:hAnsi="Arial"/>
                <w:sz w:val="18"/>
                <w:szCs w:val="18"/>
                <w:color w:val="auto"/>
                <w:w w:val="89"/>
              </w:rPr>
              <w:t>11</w:t>
            </w:r>
          </w:p>
        </w:tc>
        <w:tc>
          <w:tcPr>
            <w:tcW w:w="1480" w:type="dxa"/>
            <w:vAlign w:val="bottom"/>
            <w:shd w:val="clear" w:color="auto" w:fill="F0F2F5"/>
          </w:tcPr>
          <w:p>
            <w:pPr>
              <w:jc w:val="center"/>
              <w:spacing w:after="0"/>
              <w:rPr>
                <w:sz w:val="20"/>
                <w:szCs w:val="20"/>
                <w:color w:val="auto"/>
              </w:rPr>
            </w:pPr>
            <w:r>
              <w:rPr>
                <w:rFonts w:ascii="Arial" w:cs="Arial" w:eastAsia="Arial" w:hAnsi="Arial"/>
                <w:sz w:val="18"/>
                <w:szCs w:val="18"/>
                <w:color w:val="auto"/>
                <w:w w:val="92"/>
              </w:rPr>
              <w:t>7.3%</w:t>
            </w:r>
          </w:p>
        </w:tc>
        <w:tc>
          <w:tcPr>
            <w:tcW w:w="2040" w:type="dxa"/>
            <w:vAlign w:val="bottom"/>
            <w:shd w:val="clear" w:color="auto" w:fill="F0F2F5"/>
          </w:tcPr>
          <w:p>
            <w:pPr>
              <w:jc w:val="center"/>
              <w:spacing w:after="0"/>
              <w:rPr>
                <w:sz w:val="20"/>
                <w:szCs w:val="20"/>
                <w:color w:val="auto"/>
              </w:rPr>
            </w:pPr>
            <w:r>
              <w:rPr>
                <w:rFonts w:ascii="Arial" w:cs="Arial" w:eastAsia="Arial" w:hAnsi="Arial"/>
                <w:sz w:val="18"/>
                <w:szCs w:val="18"/>
                <w:color w:val="auto"/>
                <w:w w:val="93"/>
              </w:rPr>
              <w:t>151</w:t>
            </w:r>
          </w:p>
        </w:tc>
        <w:tc>
          <w:tcPr>
            <w:tcW w:w="0" w:type="dxa"/>
            <w:vAlign w:val="bottom"/>
          </w:tcPr>
          <w:p>
            <w:pPr>
              <w:spacing w:after="0"/>
              <w:rPr>
                <w:sz w:val="1"/>
                <w:szCs w:val="1"/>
                <w:color w:val="auto"/>
              </w:rPr>
            </w:pPr>
          </w:p>
        </w:tc>
      </w:tr>
      <w:tr>
        <w:trPr>
          <w:trHeight w:val="202"/>
        </w:trPr>
        <w:tc>
          <w:tcPr>
            <w:tcW w:w="2920" w:type="dxa"/>
            <w:vAlign w:val="bottom"/>
            <w:shd w:val="clear" w:color="auto" w:fill="F0F2F5"/>
          </w:tcPr>
          <w:p>
            <w:pPr>
              <w:spacing w:after="0"/>
              <w:rPr>
                <w:sz w:val="17"/>
                <w:szCs w:val="17"/>
                <w:color w:val="auto"/>
              </w:rPr>
            </w:pPr>
          </w:p>
        </w:tc>
        <w:tc>
          <w:tcPr>
            <w:tcW w:w="920" w:type="dxa"/>
            <w:vAlign w:val="bottom"/>
            <w:shd w:val="clear" w:color="auto" w:fill="F0F2F5"/>
          </w:tcPr>
          <w:p>
            <w:pPr>
              <w:spacing w:after="0"/>
              <w:rPr>
                <w:sz w:val="17"/>
                <w:szCs w:val="17"/>
                <w:color w:val="auto"/>
              </w:rPr>
            </w:pPr>
          </w:p>
        </w:tc>
        <w:tc>
          <w:tcPr>
            <w:tcW w:w="1180" w:type="dxa"/>
            <w:vAlign w:val="bottom"/>
            <w:shd w:val="clear" w:color="auto" w:fill="F0F2F5"/>
          </w:tcPr>
          <w:p>
            <w:pPr>
              <w:spacing w:after="0"/>
              <w:rPr>
                <w:sz w:val="17"/>
                <w:szCs w:val="17"/>
                <w:color w:val="auto"/>
              </w:rPr>
            </w:pPr>
          </w:p>
        </w:tc>
        <w:tc>
          <w:tcPr>
            <w:tcW w:w="1260" w:type="dxa"/>
            <w:vAlign w:val="bottom"/>
            <w:shd w:val="clear" w:color="auto" w:fill="F0F2F5"/>
          </w:tcPr>
          <w:p>
            <w:pPr>
              <w:spacing w:after="0"/>
              <w:rPr>
                <w:sz w:val="17"/>
                <w:szCs w:val="17"/>
                <w:color w:val="auto"/>
              </w:rPr>
            </w:pPr>
          </w:p>
        </w:tc>
        <w:tc>
          <w:tcPr>
            <w:tcW w:w="1440" w:type="dxa"/>
            <w:vAlign w:val="bottom"/>
            <w:shd w:val="clear" w:color="auto" w:fill="F0F2F5"/>
          </w:tcPr>
          <w:p>
            <w:pPr>
              <w:spacing w:after="0"/>
              <w:rPr>
                <w:sz w:val="17"/>
                <w:szCs w:val="17"/>
                <w:color w:val="auto"/>
              </w:rPr>
            </w:pPr>
          </w:p>
        </w:tc>
        <w:tc>
          <w:tcPr>
            <w:tcW w:w="1480" w:type="dxa"/>
            <w:vAlign w:val="bottom"/>
            <w:shd w:val="clear" w:color="auto" w:fill="F0F2F5"/>
          </w:tcPr>
          <w:p>
            <w:pPr>
              <w:spacing w:after="0"/>
              <w:rPr>
                <w:sz w:val="17"/>
                <w:szCs w:val="17"/>
                <w:color w:val="auto"/>
              </w:rPr>
            </w:pPr>
          </w:p>
        </w:tc>
        <w:tc>
          <w:tcPr>
            <w:tcW w:w="2040" w:type="dxa"/>
            <w:vAlign w:val="bottom"/>
            <w:shd w:val="clear" w:color="auto" w:fill="F0F2F5"/>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920" w:type="dxa"/>
            <w:vAlign w:val="bottom"/>
          </w:tcPr>
          <w:p>
            <w:pPr>
              <w:spacing w:after="0"/>
              <w:rPr>
                <w:sz w:val="20"/>
                <w:szCs w:val="20"/>
                <w:color w:val="auto"/>
              </w:rPr>
            </w:pPr>
          </w:p>
        </w:tc>
        <w:tc>
          <w:tcPr>
            <w:tcW w:w="920" w:type="dxa"/>
            <w:vAlign w:val="bottom"/>
          </w:tcPr>
          <w:p>
            <w:pPr>
              <w:ind w:left="200"/>
              <w:spacing w:after="0"/>
              <w:rPr>
                <w:sz w:val="20"/>
                <w:szCs w:val="20"/>
                <w:color w:val="auto"/>
              </w:rPr>
            </w:pPr>
            <w:r>
              <w:rPr>
                <w:rFonts w:ascii="Arial" w:cs="Arial" w:eastAsia="Arial" w:hAnsi="Arial"/>
                <w:sz w:val="18"/>
                <w:szCs w:val="18"/>
                <w:color w:val="auto"/>
              </w:rPr>
              <w:t>2021</w:t>
            </w:r>
          </w:p>
        </w:tc>
        <w:tc>
          <w:tcPr>
            <w:tcW w:w="1180" w:type="dxa"/>
            <w:vAlign w:val="bottom"/>
          </w:tcPr>
          <w:p>
            <w:pPr>
              <w:jc w:val="center"/>
              <w:spacing w:after="0"/>
              <w:rPr>
                <w:sz w:val="20"/>
                <w:szCs w:val="20"/>
                <w:color w:val="auto"/>
              </w:rPr>
            </w:pPr>
            <w:r>
              <w:rPr>
                <w:rFonts w:ascii="Arial" w:cs="Arial" w:eastAsia="Arial" w:hAnsi="Arial"/>
                <w:sz w:val="18"/>
                <w:szCs w:val="18"/>
                <w:color w:val="auto"/>
                <w:w w:val="89"/>
              </w:rPr>
              <w:t>71</w:t>
            </w:r>
          </w:p>
        </w:tc>
        <w:tc>
          <w:tcPr>
            <w:tcW w:w="1260" w:type="dxa"/>
            <w:vAlign w:val="bottom"/>
          </w:tcPr>
          <w:p>
            <w:pPr>
              <w:jc w:val="center"/>
              <w:spacing w:after="0"/>
              <w:rPr>
                <w:sz w:val="20"/>
                <w:szCs w:val="20"/>
                <w:color w:val="auto"/>
              </w:rPr>
            </w:pPr>
            <w:r>
              <w:rPr>
                <w:rFonts w:ascii="Arial" w:cs="Arial" w:eastAsia="Arial" w:hAnsi="Arial"/>
                <w:sz w:val="18"/>
                <w:szCs w:val="18"/>
                <w:color w:val="auto"/>
                <w:w w:val="90"/>
              </w:rPr>
              <w:t>88.7%</w:t>
            </w:r>
          </w:p>
        </w:tc>
        <w:tc>
          <w:tcPr>
            <w:tcW w:w="1440" w:type="dxa"/>
            <w:vAlign w:val="bottom"/>
          </w:tcPr>
          <w:p>
            <w:pPr>
              <w:jc w:val="center"/>
              <w:spacing w:after="0"/>
              <w:rPr>
                <w:sz w:val="20"/>
                <w:szCs w:val="20"/>
                <w:color w:val="auto"/>
              </w:rPr>
            </w:pPr>
            <w:r>
              <w:rPr>
                <w:rFonts w:ascii="Arial" w:cs="Arial" w:eastAsia="Arial" w:hAnsi="Arial"/>
                <w:sz w:val="18"/>
                <w:szCs w:val="18"/>
                <w:color w:val="auto"/>
                <w:w w:val="99"/>
              </w:rPr>
              <w:t>9</w:t>
            </w:r>
          </w:p>
        </w:tc>
        <w:tc>
          <w:tcPr>
            <w:tcW w:w="1480" w:type="dxa"/>
            <w:vAlign w:val="bottom"/>
          </w:tcPr>
          <w:p>
            <w:pPr>
              <w:jc w:val="center"/>
              <w:spacing w:after="0"/>
              <w:rPr>
                <w:sz w:val="20"/>
                <w:szCs w:val="20"/>
                <w:color w:val="auto"/>
              </w:rPr>
            </w:pPr>
            <w:r>
              <w:rPr>
                <w:rFonts w:ascii="Arial" w:cs="Arial" w:eastAsia="Arial" w:hAnsi="Arial"/>
                <w:sz w:val="18"/>
                <w:szCs w:val="18"/>
                <w:color w:val="auto"/>
                <w:w w:val="90"/>
              </w:rPr>
              <w:t>11.3%</w:t>
            </w:r>
          </w:p>
        </w:tc>
        <w:tc>
          <w:tcPr>
            <w:tcW w:w="2040" w:type="dxa"/>
            <w:vAlign w:val="bottom"/>
          </w:tcPr>
          <w:p>
            <w:pPr>
              <w:jc w:val="center"/>
              <w:spacing w:after="0"/>
              <w:rPr>
                <w:sz w:val="20"/>
                <w:szCs w:val="20"/>
                <w:color w:val="auto"/>
              </w:rPr>
            </w:pPr>
            <w:r>
              <w:rPr>
                <w:rFonts w:ascii="Arial" w:cs="Arial" w:eastAsia="Arial" w:hAnsi="Arial"/>
                <w:sz w:val="18"/>
                <w:szCs w:val="18"/>
                <w:color w:val="auto"/>
                <w:w w:val="89"/>
              </w:rPr>
              <w:t>80</w:t>
            </w:r>
          </w:p>
        </w:tc>
        <w:tc>
          <w:tcPr>
            <w:tcW w:w="0" w:type="dxa"/>
            <w:vAlign w:val="bottom"/>
          </w:tcPr>
          <w:p>
            <w:pPr>
              <w:spacing w:after="0"/>
              <w:rPr>
                <w:sz w:val="1"/>
                <w:szCs w:val="1"/>
                <w:color w:val="auto"/>
              </w:rPr>
            </w:pPr>
          </w:p>
        </w:tc>
      </w:tr>
      <w:tr>
        <w:trPr>
          <w:trHeight w:val="202"/>
        </w:trPr>
        <w:tc>
          <w:tcPr>
            <w:tcW w:w="29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920" w:type="dxa"/>
            <w:vAlign w:val="bottom"/>
            <w:shd w:val="clear" w:color="auto" w:fill="F0F2F5"/>
          </w:tcPr>
          <w:p>
            <w:pPr>
              <w:spacing w:after="0"/>
              <w:rPr>
                <w:sz w:val="20"/>
                <w:szCs w:val="20"/>
                <w:color w:val="auto"/>
              </w:rPr>
            </w:pPr>
            <w:r>
              <w:rPr>
                <w:rFonts w:ascii="Arial" w:cs="Arial" w:eastAsia="Arial" w:hAnsi="Arial"/>
                <w:sz w:val="18"/>
                <w:szCs w:val="18"/>
                <w:color w:val="auto"/>
              </w:rPr>
              <w:t>Peter Müller-Brühl</w:t>
            </w:r>
          </w:p>
        </w:tc>
        <w:tc>
          <w:tcPr>
            <w:tcW w:w="920" w:type="dxa"/>
            <w:vAlign w:val="bottom"/>
            <w:shd w:val="clear" w:color="auto" w:fill="F0F2F5"/>
          </w:tcPr>
          <w:p>
            <w:pPr>
              <w:ind w:left="200"/>
              <w:spacing w:after="0"/>
              <w:rPr>
                <w:sz w:val="20"/>
                <w:szCs w:val="20"/>
                <w:color w:val="auto"/>
              </w:rPr>
            </w:pPr>
            <w:r>
              <w:rPr>
                <w:rFonts w:ascii="Arial" w:cs="Arial" w:eastAsia="Arial" w:hAnsi="Arial"/>
                <w:sz w:val="18"/>
                <w:szCs w:val="18"/>
                <w:color w:val="auto"/>
              </w:rPr>
              <w:t>2022</w:t>
            </w:r>
          </w:p>
        </w:tc>
        <w:tc>
          <w:tcPr>
            <w:tcW w:w="1180" w:type="dxa"/>
            <w:vAlign w:val="bottom"/>
            <w:shd w:val="clear" w:color="auto" w:fill="F0F2F5"/>
          </w:tcPr>
          <w:p>
            <w:pPr>
              <w:jc w:val="center"/>
              <w:spacing w:after="0"/>
              <w:rPr>
                <w:sz w:val="20"/>
                <w:szCs w:val="20"/>
                <w:color w:val="auto"/>
              </w:rPr>
            </w:pPr>
            <w:r>
              <w:rPr>
                <w:rFonts w:ascii="Arial" w:cs="Arial" w:eastAsia="Arial" w:hAnsi="Arial"/>
                <w:sz w:val="18"/>
                <w:szCs w:val="18"/>
                <w:color w:val="auto"/>
                <w:w w:val="86"/>
              </w:rPr>
              <w:t>110</w:t>
            </w:r>
          </w:p>
        </w:tc>
        <w:tc>
          <w:tcPr>
            <w:tcW w:w="1260" w:type="dxa"/>
            <w:vAlign w:val="bottom"/>
            <w:shd w:val="clear" w:color="auto" w:fill="F0F2F5"/>
          </w:tcPr>
          <w:p>
            <w:pPr>
              <w:jc w:val="center"/>
              <w:spacing w:after="0"/>
              <w:rPr>
                <w:sz w:val="20"/>
                <w:szCs w:val="20"/>
                <w:color w:val="auto"/>
              </w:rPr>
            </w:pPr>
            <w:r>
              <w:rPr>
                <w:rFonts w:ascii="Arial" w:cs="Arial" w:eastAsia="Arial" w:hAnsi="Arial"/>
                <w:sz w:val="18"/>
                <w:szCs w:val="18"/>
                <w:color w:val="auto"/>
                <w:w w:val="90"/>
              </w:rPr>
              <w:t>90.9%</w:t>
            </w:r>
          </w:p>
        </w:tc>
        <w:tc>
          <w:tcPr>
            <w:tcW w:w="1440" w:type="dxa"/>
            <w:vAlign w:val="bottom"/>
            <w:shd w:val="clear" w:color="auto" w:fill="F0F2F5"/>
          </w:tcPr>
          <w:p>
            <w:pPr>
              <w:jc w:val="center"/>
              <w:spacing w:after="0"/>
              <w:rPr>
                <w:sz w:val="20"/>
                <w:szCs w:val="20"/>
                <w:color w:val="auto"/>
              </w:rPr>
            </w:pPr>
            <w:r>
              <w:rPr>
                <w:rFonts w:ascii="Arial" w:cs="Arial" w:eastAsia="Arial" w:hAnsi="Arial"/>
                <w:sz w:val="18"/>
                <w:szCs w:val="18"/>
                <w:color w:val="auto"/>
                <w:w w:val="99"/>
              </w:rPr>
              <w:t>8</w:t>
            </w:r>
          </w:p>
        </w:tc>
        <w:tc>
          <w:tcPr>
            <w:tcW w:w="1480" w:type="dxa"/>
            <w:vAlign w:val="bottom"/>
            <w:shd w:val="clear" w:color="auto" w:fill="F0F2F5"/>
          </w:tcPr>
          <w:p>
            <w:pPr>
              <w:jc w:val="center"/>
              <w:spacing w:after="0"/>
              <w:rPr>
                <w:sz w:val="20"/>
                <w:szCs w:val="20"/>
                <w:color w:val="auto"/>
              </w:rPr>
            </w:pPr>
            <w:r>
              <w:rPr>
                <w:rFonts w:ascii="Arial" w:cs="Arial" w:eastAsia="Arial" w:hAnsi="Arial"/>
                <w:sz w:val="18"/>
                <w:szCs w:val="18"/>
                <w:color w:val="auto"/>
                <w:w w:val="92"/>
              </w:rPr>
              <w:t>9.1%</w:t>
            </w:r>
          </w:p>
        </w:tc>
        <w:tc>
          <w:tcPr>
            <w:tcW w:w="2040" w:type="dxa"/>
            <w:vAlign w:val="bottom"/>
            <w:shd w:val="clear" w:color="auto" w:fill="F0F2F5"/>
          </w:tcPr>
          <w:p>
            <w:pPr>
              <w:jc w:val="center"/>
              <w:spacing w:after="0"/>
              <w:rPr>
                <w:sz w:val="20"/>
                <w:szCs w:val="20"/>
                <w:color w:val="auto"/>
              </w:rPr>
            </w:pPr>
            <w:r>
              <w:rPr>
                <w:rFonts w:ascii="Arial" w:cs="Arial" w:eastAsia="Arial" w:hAnsi="Arial"/>
                <w:sz w:val="18"/>
                <w:szCs w:val="18"/>
                <w:color w:val="auto"/>
                <w:w w:val="93"/>
              </w:rPr>
              <w:t>118</w:t>
            </w:r>
          </w:p>
        </w:tc>
        <w:tc>
          <w:tcPr>
            <w:tcW w:w="0" w:type="dxa"/>
            <w:vAlign w:val="bottom"/>
          </w:tcPr>
          <w:p>
            <w:pPr>
              <w:spacing w:after="0"/>
              <w:rPr>
                <w:sz w:val="1"/>
                <w:szCs w:val="1"/>
                <w:color w:val="auto"/>
              </w:rPr>
            </w:pPr>
          </w:p>
        </w:tc>
      </w:tr>
      <w:tr>
        <w:trPr>
          <w:trHeight w:val="202"/>
        </w:trPr>
        <w:tc>
          <w:tcPr>
            <w:tcW w:w="2920" w:type="dxa"/>
            <w:vAlign w:val="bottom"/>
            <w:shd w:val="clear" w:color="auto" w:fill="F0F2F5"/>
          </w:tcPr>
          <w:p>
            <w:pPr>
              <w:spacing w:after="0"/>
              <w:rPr>
                <w:sz w:val="17"/>
                <w:szCs w:val="17"/>
                <w:color w:val="auto"/>
              </w:rPr>
            </w:pPr>
          </w:p>
        </w:tc>
        <w:tc>
          <w:tcPr>
            <w:tcW w:w="920" w:type="dxa"/>
            <w:vAlign w:val="bottom"/>
            <w:shd w:val="clear" w:color="auto" w:fill="F0F2F5"/>
          </w:tcPr>
          <w:p>
            <w:pPr>
              <w:spacing w:after="0"/>
              <w:rPr>
                <w:sz w:val="17"/>
                <w:szCs w:val="17"/>
                <w:color w:val="auto"/>
              </w:rPr>
            </w:pPr>
          </w:p>
        </w:tc>
        <w:tc>
          <w:tcPr>
            <w:tcW w:w="1180" w:type="dxa"/>
            <w:vAlign w:val="bottom"/>
            <w:shd w:val="clear" w:color="auto" w:fill="F0F2F5"/>
          </w:tcPr>
          <w:p>
            <w:pPr>
              <w:spacing w:after="0"/>
              <w:rPr>
                <w:sz w:val="17"/>
                <w:szCs w:val="17"/>
                <w:color w:val="auto"/>
              </w:rPr>
            </w:pPr>
          </w:p>
        </w:tc>
        <w:tc>
          <w:tcPr>
            <w:tcW w:w="1260" w:type="dxa"/>
            <w:vAlign w:val="bottom"/>
            <w:shd w:val="clear" w:color="auto" w:fill="F0F2F5"/>
          </w:tcPr>
          <w:p>
            <w:pPr>
              <w:spacing w:after="0"/>
              <w:rPr>
                <w:sz w:val="17"/>
                <w:szCs w:val="17"/>
                <w:color w:val="auto"/>
              </w:rPr>
            </w:pPr>
          </w:p>
        </w:tc>
        <w:tc>
          <w:tcPr>
            <w:tcW w:w="1440" w:type="dxa"/>
            <w:vAlign w:val="bottom"/>
            <w:shd w:val="clear" w:color="auto" w:fill="F0F2F5"/>
          </w:tcPr>
          <w:p>
            <w:pPr>
              <w:spacing w:after="0"/>
              <w:rPr>
                <w:sz w:val="17"/>
                <w:szCs w:val="17"/>
                <w:color w:val="auto"/>
              </w:rPr>
            </w:pPr>
          </w:p>
        </w:tc>
        <w:tc>
          <w:tcPr>
            <w:tcW w:w="1480" w:type="dxa"/>
            <w:vAlign w:val="bottom"/>
            <w:shd w:val="clear" w:color="auto" w:fill="F0F2F5"/>
          </w:tcPr>
          <w:p>
            <w:pPr>
              <w:spacing w:after="0"/>
              <w:rPr>
                <w:sz w:val="17"/>
                <w:szCs w:val="17"/>
                <w:color w:val="auto"/>
              </w:rPr>
            </w:pPr>
          </w:p>
        </w:tc>
        <w:tc>
          <w:tcPr>
            <w:tcW w:w="2040" w:type="dxa"/>
            <w:vAlign w:val="bottom"/>
            <w:shd w:val="clear" w:color="auto" w:fill="F0F2F5"/>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920" w:type="dxa"/>
            <w:vAlign w:val="bottom"/>
          </w:tcPr>
          <w:p>
            <w:pPr>
              <w:spacing w:after="0"/>
              <w:rPr>
                <w:sz w:val="20"/>
                <w:szCs w:val="20"/>
                <w:color w:val="auto"/>
              </w:rPr>
            </w:pPr>
            <w:r>
              <w:rPr>
                <w:rFonts w:ascii="Arial" w:cs="Arial" w:eastAsia="Arial" w:hAnsi="Arial"/>
                <w:sz w:val="18"/>
                <w:szCs w:val="18"/>
                <w:color w:val="auto"/>
              </w:rPr>
              <w:t>(since October 5, 2021)</w:t>
            </w:r>
          </w:p>
        </w:tc>
        <w:tc>
          <w:tcPr>
            <w:tcW w:w="920" w:type="dxa"/>
            <w:vAlign w:val="bottom"/>
          </w:tcPr>
          <w:p>
            <w:pPr>
              <w:ind w:left="200"/>
              <w:spacing w:after="0"/>
              <w:rPr>
                <w:sz w:val="20"/>
                <w:szCs w:val="20"/>
                <w:color w:val="auto"/>
              </w:rPr>
            </w:pPr>
            <w:r>
              <w:rPr>
                <w:rFonts w:ascii="Arial" w:cs="Arial" w:eastAsia="Arial" w:hAnsi="Arial"/>
                <w:sz w:val="18"/>
                <w:szCs w:val="18"/>
                <w:color w:val="auto"/>
              </w:rPr>
              <w:t>2021</w:t>
            </w:r>
          </w:p>
        </w:tc>
        <w:tc>
          <w:tcPr>
            <w:tcW w:w="1180" w:type="dxa"/>
            <w:vAlign w:val="bottom"/>
          </w:tcPr>
          <w:p>
            <w:pPr>
              <w:jc w:val="center"/>
              <w:spacing w:after="0"/>
              <w:rPr>
                <w:sz w:val="20"/>
                <w:szCs w:val="20"/>
                <w:color w:val="auto"/>
              </w:rPr>
            </w:pPr>
            <w:r>
              <w:rPr>
                <w:rFonts w:ascii="Arial" w:cs="Arial" w:eastAsia="Arial" w:hAnsi="Arial"/>
                <w:sz w:val="18"/>
                <w:szCs w:val="18"/>
                <w:color w:val="auto"/>
                <w:w w:val="89"/>
              </w:rPr>
              <w:t>42</w:t>
            </w:r>
          </w:p>
        </w:tc>
        <w:tc>
          <w:tcPr>
            <w:tcW w:w="1260" w:type="dxa"/>
            <w:vAlign w:val="bottom"/>
          </w:tcPr>
          <w:p>
            <w:pPr>
              <w:jc w:val="center"/>
              <w:ind w:left="10"/>
              <w:spacing w:after="0"/>
              <w:rPr>
                <w:sz w:val="20"/>
                <w:szCs w:val="20"/>
                <w:color w:val="auto"/>
              </w:rPr>
            </w:pPr>
            <w:r>
              <w:rPr>
                <w:rFonts w:ascii="Arial" w:cs="Arial" w:eastAsia="Arial" w:hAnsi="Arial"/>
                <w:sz w:val="18"/>
                <w:szCs w:val="18"/>
                <w:color w:val="auto"/>
                <w:w w:val="88"/>
              </w:rPr>
              <w:t>84%</w:t>
            </w:r>
          </w:p>
        </w:tc>
        <w:tc>
          <w:tcPr>
            <w:tcW w:w="1440" w:type="dxa"/>
            <w:vAlign w:val="bottom"/>
          </w:tcPr>
          <w:p>
            <w:pPr>
              <w:jc w:val="center"/>
              <w:spacing w:after="0"/>
              <w:rPr>
                <w:sz w:val="20"/>
                <w:szCs w:val="20"/>
                <w:color w:val="auto"/>
              </w:rPr>
            </w:pPr>
            <w:r>
              <w:rPr>
                <w:rFonts w:ascii="Arial" w:cs="Arial" w:eastAsia="Arial" w:hAnsi="Arial"/>
                <w:sz w:val="18"/>
                <w:szCs w:val="18"/>
                <w:color w:val="auto"/>
                <w:w w:val="99"/>
              </w:rPr>
              <w:t>8</w:t>
            </w:r>
          </w:p>
        </w:tc>
        <w:tc>
          <w:tcPr>
            <w:tcW w:w="1480" w:type="dxa"/>
            <w:vAlign w:val="bottom"/>
          </w:tcPr>
          <w:p>
            <w:pPr>
              <w:jc w:val="center"/>
              <w:spacing w:after="0"/>
              <w:rPr>
                <w:sz w:val="20"/>
                <w:szCs w:val="20"/>
                <w:color w:val="auto"/>
              </w:rPr>
            </w:pPr>
            <w:r>
              <w:rPr>
                <w:rFonts w:ascii="Arial" w:cs="Arial" w:eastAsia="Arial" w:hAnsi="Arial"/>
                <w:sz w:val="18"/>
                <w:szCs w:val="18"/>
                <w:color w:val="auto"/>
                <w:w w:val="94"/>
              </w:rPr>
              <w:t>16%</w:t>
            </w:r>
          </w:p>
        </w:tc>
        <w:tc>
          <w:tcPr>
            <w:tcW w:w="2040" w:type="dxa"/>
            <w:vAlign w:val="bottom"/>
          </w:tcPr>
          <w:p>
            <w:pPr>
              <w:jc w:val="center"/>
              <w:spacing w:after="0"/>
              <w:rPr>
                <w:sz w:val="20"/>
                <w:szCs w:val="20"/>
                <w:color w:val="auto"/>
              </w:rPr>
            </w:pPr>
            <w:r>
              <w:rPr>
                <w:rFonts w:ascii="Arial" w:cs="Arial" w:eastAsia="Arial" w:hAnsi="Arial"/>
                <w:sz w:val="18"/>
                <w:szCs w:val="18"/>
                <w:color w:val="auto"/>
                <w:w w:val="89"/>
              </w:rPr>
              <w:t>50</w:t>
            </w:r>
          </w:p>
        </w:tc>
        <w:tc>
          <w:tcPr>
            <w:tcW w:w="0" w:type="dxa"/>
            <w:vAlign w:val="bottom"/>
          </w:tcPr>
          <w:p>
            <w:pPr>
              <w:spacing w:after="0"/>
              <w:rPr>
                <w:sz w:val="1"/>
                <w:szCs w:val="1"/>
                <w:color w:val="auto"/>
              </w:rPr>
            </w:pPr>
          </w:p>
        </w:tc>
      </w:tr>
      <w:tr>
        <w:trPr>
          <w:trHeight w:val="202"/>
        </w:trPr>
        <w:tc>
          <w:tcPr>
            <w:tcW w:w="29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920" w:type="dxa"/>
            <w:vAlign w:val="bottom"/>
            <w:shd w:val="clear" w:color="auto" w:fill="F0F2F5"/>
          </w:tcPr>
          <w:p>
            <w:pPr>
              <w:spacing w:after="0"/>
              <w:rPr>
                <w:sz w:val="20"/>
                <w:szCs w:val="20"/>
                <w:color w:val="auto"/>
              </w:rPr>
            </w:pPr>
            <w:r>
              <w:rPr>
                <w:rFonts w:ascii="Arial" w:cs="Arial" w:eastAsia="Arial" w:hAnsi="Arial"/>
                <w:sz w:val="18"/>
                <w:szCs w:val="18"/>
                <w:color w:val="auto"/>
              </w:rPr>
              <w:t>Hans Koenigsmann</w:t>
            </w:r>
          </w:p>
        </w:tc>
        <w:tc>
          <w:tcPr>
            <w:tcW w:w="920" w:type="dxa"/>
            <w:vAlign w:val="bottom"/>
            <w:shd w:val="clear" w:color="auto" w:fill="F0F2F5"/>
          </w:tcPr>
          <w:p>
            <w:pPr>
              <w:ind w:left="200"/>
              <w:spacing w:after="0"/>
              <w:rPr>
                <w:sz w:val="20"/>
                <w:szCs w:val="20"/>
                <w:color w:val="auto"/>
              </w:rPr>
            </w:pPr>
            <w:r>
              <w:rPr>
                <w:rFonts w:ascii="Arial" w:cs="Arial" w:eastAsia="Arial" w:hAnsi="Arial"/>
                <w:sz w:val="18"/>
                <w:szCs w:val="18"/>
                <w:color w:val="auto"/>
              </w:rPr>
              <w:t>2022</w:t>
            </w:r>
          </w:p>
        </w:tc>
        <w:tc>
          <w:tcPr>
            <w:tcW w:w="1180" w:type="dxa"/>
            <w:vAlign w:val="bottom"/>
            <w:shd w:val="clear" w:color="auto" w:fill="F0F2F5"/>
          </w:tcPr>
          <w:p>
            <w:pPr>
              <w:jc w:val="center"/>
              <w:spacing w:after="0"/>
              <w:rPr>
                <w:sz w:val="20"/>
                <w:szCs w:val="20"/>
                <w:color w:val="auto"/>
              </w:rPr>
            </w:pPr>
            <w:r>
              <w:rPr>
                <w:rFonts w:ascii="Arial" w:cs="Arial" w:eastAsia="Arial" w:hAnsi="Arial"/>
                <w:sz w:val="18"/>
                <w:szCs w:val="18"/>
                <w:color w:val="auto"/>
                <w:w w:val="89"/>
              </w:rPr>
              <w:t>60</w:t>
            </w:r>
          </w:p>
        </w:tc>
        <w:tc>
          <w:tcPr>
            <w:tcW w:w="1260" w:type="dxa"/>
            <w:vAlign w:val="bottom"/>
            <w:shd w:val="clear" w:color="auto" w:fill="F0F2F5"/>
          </w:tcPr>
          <w:p>
            <w:pPr>
              <w:jc w:val="center"/>
              <w:spacing w:after="0"/>
              <w:rPr>
                <w:sz w:val="20"/>
                <w:szCs w:val="20"/>
                <w:color w:val="auto"/>
              </w:rPr>
            </w:pPr>
            <w:r>
              <w:rPr>
                <w:rFonts w:ascii="Arial" w:cs="Arial" w:eastAsia="Arial" w:hAnsi="Arial"/>
                <w:sz w:val="18"/>
                <w:szCs w:val="18"/>
                <w:color w:val="auto"/>
                <w:w w:val="90"/>
              </w:rPr>
              <w:t>90.9%</w:t>
            </w:r>
          </w:p>
        </w:tc>
        <w:tc>
          <w:tcPr>
            <w:tcW w:w="1440" w:type="dxa"/>
            <w:vAlign w:val="bottom"/>
            <w:shd w:val="clear" w:color="auto" w:fill="F0F2F5"/>
          </w:tcPr>
          <w:p>
            <w:pPr>
              <w:jc w:val="center"/>
              <w:spacing w:after="0"/>
              <w:rPr>
                <w:sz w:val="20"/>
                <w:szCs w:val="20"/>
                <w:color w:val="auto"/>
              </w:rPr>
            </w:pPr>
            <w:r>
              <w:rPr>
                <w:rFonts w:ascii="Arial" w:cs="Arial" w:eastAsia="Arial" w:hAnsi="Arial"/>
                <w:sz w:val="18"/>
                <w:szCs w:val="18"/>
                <w:color w:val="auto"/>
                <w:w w:val="99"/>
              </w:rPr>
              <w:t>6</w:t>
            </w:r>
          </w:p>
        </w:tc>
        <w:tc>
          <w:tcPr>
            <w:tcW w:w="1480" w:type="dxa"/>
            <w:vAlign w:val="bottom"/>
            <w:shd w:val="clear" w:color="auto" w:fill="F0F2F5"/>
          </w:tcPr>
          <w:p>
            <w:pPr>
              <w:jc w:val="center"/>
              <w:spacing w:after="0"/>
              <w:rPr>
                <w:sz w:val="20"/>
                <w:szCs w:val="20"/>
                <w:color w:val="auto"/>
              </w:rPr>
            </w:pPr>
            <w:r>
              <w:rPr>
                <w:rFonts w:ascii="Arial" w:cs="Arial" w:eastAsia="Arial" w:hAnsi="Arial"/>
                <w:sz w:val="18"/>
                <w:szCs w:val="18"/>
                <w:color w:val="auto"/>
                <w:w w:val="92"/>
              </w:rPr>
              <w:t>9.1%</w:t>
            </w:r>
          </w:p>
        </w:tc>
        <w:tc>
          <w:tcPr>
            <w:tcW w:w="2040" w:type="dxa"/>
            <w:vAlign w:val="bottom"/>
            <w:shd w:val="clear" w:color="auto" w:fill="F0F2F5"/>
          </w:tcPr>
          <w:p>
            <w:pPr>
              <w:jc w:val="center"/>
              <w:spacing w:after="0"/>
              <w:rPr>
                <w:sz w:val="20"/>
                <w:szCs w:val="20"/>
                <w:color w:val="auto"/>
              </w:rPr>
            </w:pPr>
            <w:r>
              <w:rPr>
                <w:rFonts w:ascii="Arial" w:cs="Arial" w:eastAsia="Arial" w:hAnsi="Arial"/>
                <w:sz w:val="18"/>
                <w:szCs w:val="18"/>
                <w:color w:val="auto"/>
                <w:w w:val="89"/>
              </w:rPr>
              <w:t>66</w:t>
            </w:r>
          </w:p>
        </w:tc>
        <w:tc>
          <w:tcPr>
            <w:tcW w:w="0" w:type="dxa"/>
            <w:vAlign w:val="bottom"/>
          </w:tcPr>
          <w:p>
            <w:pPr>
              <w:spacing w:after="0"/>
              <w:rPr>
                <w:sz w:val="1"/>
                <w:szCs w:val="1"/>
                <w:color w:val="auto"/>
              </w:rPr>
            </w:pPr>
          </w:p>
        </w:tc>
      </w:tr>
      <w:tr>
        <w:trPr>
          <w:trHeight w:val="202"/>
        </w:trPr>
        <w:tc>
          <w:tcPr>
            <w:tcW w:w="2920" w:type="dxa"/>
            <w:vAlign w:val="bottom"/>
            <w:shd w:val="clear" w:color="auto" w:fill="F0F2F5"/>
          </w:tcPr>
          <w:p>
            <w:pPr>
              <w:spacing w:after="0"/>
              <w:rPr>
                <w:sz w:val="17"/>
                <w:szCs w:val="17"/>
                <w:color w:val="auto"/>
              </w:rPr>
            </w:pPr>
          </w:p>
        </w:tc>
        <w:tc>
          <w:tcPr>
            <w:tcW w:w="920" w:type="dxa"/>
            <w:vAlign w:val="bottom"/>
            <w:shd w:val="clear" w:color="auto" w:fill="F0F2F5"/>
          </w:tcPr>
          <w:p>
            <w:pPr>
              <w:spacing w:after="0"/>
              <w:rPr>
                <w:sz w:val="17"/>
                <w:szCs w:val="17"/>
                <w:color w:val="auto"/>
              </w:rPr>
            </w:pPr>
          </w:p>
        </w:tc>
        <w:tc>
          <w:tcPr>
            <w:tcW w:w="1180" w:type="dxa"/>
            <w:vAlign w:val="bottom"/>
            <w:shd w:val="clear" w:color="auto" w:fill="F0F2F5"/>
          </w:tcPr>
          <w:p>
            <w:pPr>
              <w:spacing w:after="0"/>
              <w:rPr>
                <w:sz w:val="17"/>
                <w:szCs w:val="17"/>
                <w:color w:val="auto"/>
              </w:rPr>
            </w:pPr>
          </w:p>
        </w:tc>
        <w:tc>
          <w:tcPr>
            <w:tcW w:w="1260" w:type="dxa"/>
            <w:vAlign w:val="bottom"/>
            <w:shd w:val="clear" w:color="auto" w:fill="F0F2F5"/>
          </w:tcPr>
          <w:p>
            <w:pPr>
              <w:spacing w:after="0"/>
              <w:rPr>
                <w:sz w:val="17"/>
                <w:szCs w:val="17"/>
                <w:color w:val="auto"/>
              </w:rPr>
            </w:pPr>
          </w:p>
        </w:tc>
        <w:tc>
          <w:tcPr>
            <w:tcW w:w="1440" w:type="dxa"/>
            <w:vAlign w:val="bottom"/>
            <w:shd w:val="clear" w:color="auto" w:fill="F0F2F5"/>
          </w:tcPr>
          <w:p>
            <w:pPr>
              <w:spacing w:after="0"/>
              <w:rPr>
                <w:sz w:val="17"/>
                <w:szCs w:val="17"/>
                <w:color w:val="auto"/>
              </w:rPr>
            </w:pPr>
          </w:p>
        </w:tc>
        <w:tc>
          <w:tcPr>
            <w:tcW w:w="1480" w:type="dxa"/>
            <w:vAlign w:val="bottom"/>
            <w:shd w:val="clear" w:color="auto" w:fill="F0F2F5"/>
          </w:tcPr>
          <w:p>
            <w:pPr>
              <w:spacing w:after="0"/>
              <w:rPr>
                <w:sz w:val="17"/>
                <w:szCs w:val="17"/>
                <w:color w:val="auto"/>
              </w:rPr>
            </w:pPr>
          </w:p>
        </w:tc>
        <w:tc>
          <w:tcPr>
            <w:tcW w:w="2040" w:type="dxa"/>
            <w:vAlign w:val="bottom"/>
            <w:shd w:val="clear" w:color="auto" w:fill="F0F2F5"/>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920" w:type="dxa"/>
            <w:vAlign w:val="bottom"/>
          </w:tcPr>
          <w:p>
            <w:pPr>
              <w:spacing w:after="0"/>
              <w:rPr>
                <w:sz w:val="20"/>
                <w:szCs w:val="20"/>
                <w:color w:val="auto"/>
              </w:rPr>
            </w:pPr>
            <w:r>
              <w:rPr>
                <w:rFonts w:ascii="Arial" w:cs="Arial" w:eastAsia="Arial" w:hAnsi="Arial"/>
                <w:sz w:val="18"/>
                <w:szCs w:val="18"/>
                <w:color w:val="auto"/>
              </w:rPr>
              <w:t>(since October 13, 2021)</w:t>
            </w:r>
          </w:p>
        </w:tc>
        <w:tc>
          <w:tcPr>
            <w:tcW w:w="920" w:type="dxa"/>
            <w:vAlign w:val="bottom"/>
          </w:tcPr>
          <w:p>
            <w:pPr>
              <w:ind w:left="200"/>
              <w:spacing w:after="0"/>
              <w:rPr>
                <w:sz w:val="20"/>
                <w:szCs w:val="20"/>
                <w:color w:val="auto"/>
              </w:rPr>
            </w:pPr>
            <w:r>
              <w:rPr>
                <w:rFonts w:ascii="Arial" w:cs="Arial" w:eastAsia="Arial" w:hAnsi="Arial"/>
                <w:sz w:val="18"/>
                <w:szCs w:val="18"/>
                <w:color w:val="auto"/>
              </w:rPr>
              <w:t>2021</w:t>
            </w:r>
          </w:p>
        </w:tc>
        <w:tc>
          <w:tcPr>
            <w:tcW w:w="1180" w:type="dxa"/>
            <w:vAlign w:val="bottom"/>
          </w:tcPr>
          <w:p>
            <w:pPr>
              <w:jc w:val="center"/>
              <w:spacing w:after="0"/>
              <w:rPr>
                <w:sz w:val="20"/>
                <w:szCs w:val="20"/>
                <w:color w:val="auto"/>
              </w:rPr>
            </w:pPr>
            <w:r>
              <w:rPr>
                <w:rFonts w:ascii="Arial" w:cs="Arial" w:eastAsia="Arial" w:hAnsi="Arial"/>
                <w:sz w:val="18"/>
                <w:szCs w:val="18"/>
                <w:color w:val="auto"/>
                <w:w w:val="89"/>
              </w:rPr>
              <w:t>11</w:t>
            </w:r>
          </w:p>
        </w:tc>
        <w:tc>
          <w:tcPr>
            <w:tcW w:w="1260" w:type="dxa"/>
            <w:vAlign w:val="bottom"/>
          </w:tcPr>
          <w:p>
            <w:pPr>
              <w:jc w:val="center"/>
              <w:spacing w:after="0"/>
              <w:rPr>
                <w:sz w:val="20"/>
                <w:szCs w:val="20"/>
                <w:color w:val="auto"/>
              </w:rPr>
            </w:pPr>
            <w:r>
              <w:rPr>
                <w:rFonts w:ascii="Arial" w:cs="Arial" w:eastAsia="Arial" w:hAnsi="Arial"/>
                <w:sz w:val="18"/>
                <w:szCs w:val="18"/>
                <w:color w:val="auto"/>
                <w:w w:val="90"/>
              </w:rPr>
              <w:t>91.7%</w:t>
            </w:r>
          </w:p>
        </w:tc>
        <w:tc>
          <w:tcPr>
            <w:tcW w:w="1440" w:type="dxa"/>
            <w:vAlign w:val="bottom"/>
          </w:tcPr>
          <w:p>
            <w:pPr>
              <w:jc w:val="center"/>
              <w:spacing w:after="0"/>
              <w:rPr>
                <w:sz w:val="20"/>
                <w:szCs w:val="20"/>
                <w:color w:val="auto"/>
              </w:rPr>
            </w:pPr>
            <w:r>
              <w:rPr>
                <w:rFonts w:ascii="Arial" w:cs="Arial" w:eastAsia="Arial" w:hAnsi="Arial"/>
                <w:sz w:val="18"/>
                <w:szCs w:val="18"/>
                <w:color w:val="auto"/>
                <w:w w:val="99"/>
              </w:rPr>
              <w:t>1</w:t>
            </w:r>
          </w:p>
        </w:tc>
        <w:tc>
          <w:tcPr>
            <w:tcW w:w="1480" w:type="dxa"/>
            <w:vAlign w:val="bottom"/>
          </w:tcPr>
          <w:p>
            <w:pPr>
              <w:jc w:val="center"/>
              <w:spacing w:after="0"/>
              <w:rPr>
                <w:sz w:val="20"/>
                <w:szCs w:val="20"/>
                <w:color w:val="auto"/>
              </w:rPr>
            </w:pPr>
            <w:r>
              <w:rPr>
                <w:rFonts w:ascii="Arial" w:cs="Arial" w:eastAsia="Arial" w:hAnsi="Arial"/>
                <w:sz w:val="18"/>
                <w:szCs w:val="18"/>
                <w:color w:val="auto"/>
                <w:w w:val="92"/>
              </w:rPr>
              <w:t>8,3%</w:t>
            </w:r>
          </w:p>
        </w:tc>
        <w:tc>
          <w:tcPr>
            <w:tcW w:w="2040" w:type="dxa"/>
            <w:vAlign w:val="bottom"/>
          </w:tcPr>
          <w:p>
            <w:pPr>
              <w:jc w:val="center"/>
              <w:spacing w:after="0"/>
              <w:rPr>
                <w:sz w:val="20"/>
                <w:szCs w:val="20"/>
                <w:color w:val="auto"/>
              </w:rPr>
            </w:pPr>
            <w:r>
              <w:rPr>
                <w:rFonts w:ascii="Arial" w:cs="Arial" w:eastAsia="Arial" w:hAnsi="Arial"/>
                <w:sz w:val="18"/>
                <w:szCs w:val="18"/>
                <w:color w:val="auto"/>
                <w:w w:val="89"/>
              </w:rPr>
              <w:t>12</w:t>
            </w:r>
          </w:p>
        </w:tc>
        <w:tc>
          <w:tcPr>
            <w:tcW w:w="0" w:type="dxa"/>
            <w:vAlign w:val="bottom"/>
          </w:tcPr>
          <w:p>
            <w:pPr>
              <w:spacing w:after="0"/>
              <w:rPr>
                <w:sz w:val="1"/>
                <w:szCs w:val="1"/>
                <w:color w:val="auto"/>
              </w:rPr>
            </w:pPr>
          </w:p>
        </w:tc>
      </w:tr>
      <w:tr>
        <w:trPr>
          <w:trHeight w:val="202"/>
        </w:trPr>
        <w:tc>
          <w:tcPr>
            <w:tcW w:w="29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920" w:type="dxa"/>
            <w:vAlign w:val="bottom"/>
            <w:shd w:val="clear" w:color="auto" w:fill="F0F2F5"/>
          </w:tcPr>
          <w:p>
            <w:pPr>
              <w:spacing w:after="0"/>
              <w:rPr>
                <w:sz w:val="20"/>
                <w:szCs w:val="20"/>
                <w:color w:val="auto"/>
              </w:rPr>
            </w:pPr>
            <w:r>
              <w:rPr>
                <w:rFonts w:ascii="Arial" w:cs="Arial" w:eastAsia="Arial" w:hAnsi="Arial"/>
                <w:sz w:val="18"/>
                <w:szCs w:val="18"/>
                <w:color w:val="auto"/>
              </w:rPr>
              <w:t>Steve Geskos</w:t>
            </w:r>
          </w:p>
        </w:tc>
        <w:tc>
          <w:tcPr>
            <w:tcW w:w="920" w:type="dxa"/>
            <w:vAlign w:val="bottom"/>
            <w:shd w:val="clear" w:color="auto" w:fill="F0F2F5"/>
          </w:tcPr>
          <w:p>
            <w:pPr>
              <w:ind w:left="200"/>
              <w:spacing w:after="0"/>
              <w:rPr>
                <w:sz w:val="20"/>
                <w:szCs w:val="20"/>
                <w:color w:val="auto"/>
              </w:rPr>
            </w:pPr>
            <w:r>
              <w:rPr>
                <w:rFonts w:ascii="Arial" w:cs="Arial" w:eastAsia="Arial" w:hAnsi="Arial"/>
                <w:sz w:val="18"/>
                <w:szCs w:val="18"/>
                <w:color w:val="auto"/>
              </w:rPr>
              <w:t>2022</w:t>
            </w:r>
          </w:p>
        </w:tc>
        <w:tc>
          <w:tcPr>
            <w:tcW w:w="1180" w:type="dxa"/>
            <w:vAlign w:val="bottom"/>
            <w:shd w:val="clear" w:color="auto" w:fill="F0F2F5"/>
          </w:tcPr>
          <w:p>
            <w:pPr>
              <w:jc w:val="center"/>
              <w:spacing w:after="0"/>
              <w:rPr>
                <w:sz w:val="20"/>
                <w:szCs w:val="20"/>
                <w:color w:val="auto"/>
              </w:rPr>
            </w:pPr>
            <w:r>
              <w:rPr>
                <w:rFonts w:ascii="Arial" w:cs="Arial" w:eastAsia="Arial" w:hAnsi="Arial"/>
                <w:sz w:val="18"/>
                <w:szCs w:val="18"/>
                <w:color w:val="auto"/>
                <w:w w:val="89"/>
              </w:rPr>
              <w:t>90</w:t>
            </w:r>
          </w:p>
        </w:tc>
        <w:tc>
          <w:tcPr>
            <w:tcW w:w="1260" w:type="dxa"/>
            <w:vAlign w:val="bottom"/>
            <w:shd w:val="clear" w:color="auto" w:fill="F0F2F5"/>
          </w:tcPr>
          <w:p>
            <w:pPr>
              <w:jc w:val="center"/>
              <w:spacing w:after="0"/>
              <w:rPr>
                <w:sz w:val="20"/>
                <w:szCs w:val="20"/>
                <w:color w:val="auto"/>
              </w:rPr>
            </w:pPr>
            <w:r>
              <w:rPr>
                <w:rFonts w:ascii="Arial" w:cs="Arial" w:eastAsia="Arial" w:hAnsi="Arial"/>
                <w:sz w:val="18"/>
                <w:szCs w:val="18"/>
                <w:color w:val="auto"/>
                <w:w w:val="90"/>
              </w:rPr>
              <w:t>89.1%</w:t>
            </w:r>
          </w:p>
        </w:tc>
        <w:tc>
          <w:tcPr>
            <w:tcW w:w="1440" w:type="dxa"/>
            <w:vAlign w:val="bottom"/>
            <w:shd w:val="clear" w:color="auto" w:fill="F0F2F5"/>
          </w:tcPr>
          <w:p>
            <w:pPr>
              <w:jc w:val="center"/>
              <w:spacing w:after="0"/>
              <w:rPr>
                <w:sz w:val="20"/>
                <w:szCs w:val="20"/>
                <w:color w:val="auto"/>
              </w:rPr>
            </w:pPr>
            <w:r>
              <w:rPr>
                <w:rFonts w:ascii="Arial" w:cs="Arial" w:eastAsia="Arial" w:hAnsi="Arial"/>
                <w:sz w:val="18"/>
                <w:szCs w:val="18"/>
                <w:color w:val="auto"/>
                <w:w w:val="89"/>
              </w:rPr>
              <w:t>11</w:t>
            </w:r>
          </w:p>
        </w:tc>
        <w:tc>
          <w:tcPr>
            <w:tcW w:w="1480" w:type="dxa"/>
            <w:vAlign w:val="bottom"/>
            <w:shd w:val="clear" w:color="auto" w:fill="F0F2F5"/>
          </w:tcPr>
          <w:p>
            <w:pPr>
              <w:jc w:val="center"/>
              <w:spacing w:after="0"/>
              <w:rPr>
                <w:sz w:val="20"/>
                <w:szCs w:val="20"/>
                <w:color w:val="auto"/>
              </w:rPr>
            </w:pPr>
            <w:r>
              <w:rPr>
                <w:rFonts w:ascii="Arial" w:cs="Arial" w:eastAsia="Arial" w:hAnsi="Arial"/>
                <w:sz w:val="18"/>
                <w:szCs w:val="18"/>
                <w:color w:val="auto"/>
                <w:w w:val="90"/>
              </w:rPr>
              <w:t>10.9%</w:t>
            </w:r>
          </w:p>
        </w:tc>
        <w:tc>
          <w:tcPr>
            <w:tcW w:w="2040" w:type="dxa"/>
            <w:vAlign w:val="bottom"/>
            <w:shd w:val="clear" w:color="auto" w:fill="F0F2F5"/>
          </w:tcPr>
          <w:p>
            <w:pPr>
              <w:jc w:val="center"/>
              <w:spacing w:after="0"/>
              <w:rPr>
                <w:sz w:val="20"/>
                <w:szCs w:val="20"/>
                <w:color w:val="auto"/>
              </w:rPr>
            </w:pPr>
            <w:r>
              <w:rPr>
                <w:rFonts w:ascii="Arial" w:cs="Arial" w:eastAsia="Arial" w:hAnsi="Arial"/>
                <w:sz w:val="18"/>
                <w:szCs w:val="18"/>
                <w:color w:val="auto"/>
                <w:w w:val="93"/>
              </w:rPr>
              <w:t>101</w:t>
            </w:r>
          </w:p>
        </w:tc>
        <w:tc>
          <w:tcPr>
            <w:tcW w:w="0" w:type="dxa"/>
            <w:vAlign w:val="bottom"/>
          </w:tcPr>
          <w:p>
            <w:pPr>
              <w:spacing w:after="0"/>
              <w:rPr>
                <w:sz w:val="1"/>
                <w:szCs w:val="1"/>
                <w:color w:val="auto"/>
              </w:rPr>
            </w:pPr>
          </w:p>
        </w:tc>
      </w:tr>
      <w:tr>
        <w:trPr>
          <w:trHeight w:val="202"/>
        </w:trPr>
        <w:tc>
          <w:tcPr>
            <w:tcW w:w="2920" w:type="dxa"/>
            <w:vAlign w:val="bottom"/>
            <w:shd w:val="clear" w:color="auto" w:fill="F0F2F5"/>
          </w:tcPr>
          <w:p>
            <w:pPr>
              <w:spacing w:after="0"/>
              <w:rPr>
                <w:sz w:val="17"/>
                <w:szCs w:val="17"/>
                <w:color w:val="auto"/>
              </w:rPr>
            </w:pPr>
          </w:p>
        </w:tc>
        <w:tc>
          <w:tcPr>
            <w:tcW w:w="920" w:type="dxa"/>
            <w:vAlign w:val="bottom"/>
            <w:shd w:val="clear" w:color="auto" w:fill="F0F2F5"/>
          </w:tcPr>
          <w:p>
            <w:pPr>
              <w:spacing w:after="0"/>
              <w:rPr>
                <w:sz w:val="17"/>
                <w:szCs w:val="17"/>
                <w:color w:val="auto"/>
              </w:rPr>
            </w:pPr>
          </w:p>
        </w:tc>
        <w:tc>
          <w:tcPr>
            <w:tcW w:w="1180" w:type="dxa"/>
            <w:vAlign w:val="bottom"/>
            <w:shd w:val="clear" w:color="auto" w:fill="F0F2F5"/>
          </w:tcPr>
          <w:p>
            <w:pPr>
              <w:spacing w:after="0"/>
              <w:rPr>
                <w:sz w:val="17"/>
                <w:szCs w:val="17"/>
                <w:color w:val="auto"/>
              </w:rPr>
            </w:pPr>
          </w:p>
        </w:tc>
        <w:tc>
          <w:tcPr>
            <w:tcW w:w="1260" w:type="dxa"/>
            <w:vAlign w:val="bottom"/>
            <w:shd w:val="clear" w:color="auto" w:fill="F0F2F5"/>
          </w:tcPr>
          <w:p>
            <w:pPr>
              <w:spacing w:after="0"/>
              <w:rPr>
                <w:sz w:val="17"/>
                <w:szCs w:val="17"/>
                <w:color w:val="auto"/>
              </w:rPr>
            </w:pPr>
          </w:p>
        </w:tc>
        <w:tc>
          <w:tcPr>
            <w:tcW w:w="1440" w:type="dxa"/>
            <w:vAlign w:val="bottom"/>
            <w:shd w:val="clear" w:color="auto" w:fill="F0F2F5"/>
          </w:tcPr>
          <w:p>
            <w:pPr>
              <w:spacing w:after="0"/>
              <w:rPr>
                <w:sz w:val="17"/>
                <w:szCs w:val="17"/>
                <w:color w:val="auto"/>
              </w:rPr>
            </w:pPr>
          </w:p>
        </w:tc>
        <w:tc>
          <w:tcPr>
            <w:tcW w:w="1480" w:type="dxa"/>
            <w:vAlign w:val="bottom"/>
            <w:shd w:val="clear" w:color="auto" w:fill="F0F2F5"/>
          </w:tcPr>
          <w:p>
            <w:pPr>
              <w:spacing w:after="0"/>
              <w:rPr>
                <w:sz w:val="17"/>
                <w:szCs w:val="17"/>
                <w:color w:val="auto"/>
              </w:rPr>
            </w:pPr>
          </w:p>
        </w:tc>
        <w:tc>
          <w:tcPr>
            <w:tcW w:w="2040" w:type="dxa"/>
            <w:vAlign w:val="bottom"/>
            <w:shd w:val="clear" w:color="auto" w:fill="F0F2F5"/>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920" w:type="dxa"/>
            <w:vAlign w:val="bottom"/>
          </w:tcPr>
          <w:p>
            <w:pPr>
              <w:spacing w:after="0"/>
              <w:rPr>
                <w:sz w:val="20"/>
                <w:szCs w:val="20"/>
                <w:color w:val="auto"/>
              </w:rPr>
            </w:pPr>
            <w:r>
              <w:rPr>
                <w:rFonts w:ascii="Arial" w:cs="Arial" w:eastAsia="Arial" w:hAnsi="Arial"/>
                <w:sz w:val="18"/>
                <w:szCs w:val="18"/>
                <w:color w:val="auto"/>
              </w:rPr>
              <w:t>(since May 14, 2021)</w:t>
            </w:r>
          </w:p>
        </w:tc>
        <w:tc>
          <w:tcPr>
            <w:tcW w:w="920" w:type="dxa"/>
            <w:vAlign w:val="bottom"/>
          </w:tcPr>
          <w:p>
            <w:pPr>
              <w:ind w:left="200"/>
              <w:spacing w:after="0"/>
              <w:rPr>
                <w:sz w:val="20"/>
                <w:szCs w:val="20"/>
                <w:color w:val="auto"/>
              </w:rPr>
            </w:pPr>
            <w:r>
              <w:rPr>
                <w:rFonts w:ascii="Arial" w:cs="Arial" w:eastAsia="Arial" w:hAnsi="Arial"/>
                <w:sz w:val="18"/>
                <w:szCs w:val="18"/>
                <w:color w:val="auto"/>
              </w:rPr>
              <w:t>2021</w:t>
            </w:r>
          </w:p>
        </w:tc>
        <w:tc>
          <w:tcPr>
            <w:tcW w:w="1180" w:type="dxa"/>
            <w:vAlign w:val="bottom"/>
          </w:tcPr>
          <w:p>
            <w:pPr>
              <w:jc w:val="center"/>
              <w:spacing w:after="0"/>
              <w:rPr>
                <w:sz w:val="20"/>
                <w:szCs w:val="20"/>
                <w:color w:val="auto"/>
              </w:rPr>
            </w:pPr>
            <w:r>
              <w:rPr>
                <w:rFonts w:ascii="Arial" w:cs="Arial" w:eastAsia="Arial" w:hAnsi="Arial"/>
                <w:sz w:val="18"/>
                <w:szCs w:val="18"/>
                <w:color w:val="auto"/>
                <w:w w:val="89"/>
              </w:rPr>
              <w:t>27</w:t>
            </w:r>
          </w:p>
        </w:tc>
        <w:tc>
          <w:tcPr>
            <w:tcW w:w="1260" w:type="dxa"/>
            <w:vAlign w:val="bottom"/>
          </w:tcPr>
          <w:p>
            <w:pPr>
              <w:jc w:val="center"/>
              <w:spacing w:after="0"/>
              <w:rPr>
                <w:sz w:val="20"/>
                <w:szCs w:val="20"/>
                <w:color w:val="auto"/>
              </w:rPr>
            </w:pPr>
            <w:r>
              <w:rPr>
                <w:rFonts w:ascii="Arial" w:cs="Arial" w:eastAsia="Arial" w:hAnsi="Arial"/>
                <w:sz w:val="18"/>
                <w:szCs w:val="18"/>
                <w:color w:val="auto"/>
                <w:w w:val="90"/>
              </w:rPr>
              <w:t>84.4%</w:t>
            </w:r>
          </w:p>
        </w:tc>
        <w:tc>
          <w:tcPr>
            <w:tcW w:w="1440" w:type="dxa"/>
            <w:vAlign w:val="bottom"/>
          </w:tcPr>
          <w:p>
            <w:pPr>
              <w:jc w:val="center"/>
              <w:spacing w:after="0"/>
              <w:rPr>
                <w:sz w:val="20"/>
                <w:szCs w:val="20"/>
                <w:color w:val="auto"/>
              </w:rPr>
            </w:pPr>
            <w:r>
              <w:rPr>
                <w:rFonts w:ascii="Arial" w:cs="Arial" w:eastAsia="Arial" w:hAnsi="Arial"/>
                <w:sz w:val="18"/>
                <w:szCs w:val="18"/>
                <w:color w:val="auto"/>
                <w:w w:val="99"/>
              </w:rPr>
              <w:t>5</w:t>
            </w:r>
          </w:p>
        </w:tc>
        <w:tc>
          <w:tcPr>
            <w:tcW w:w="1480" w:type="dxa"/>
            <w:vAlign w:val="bottom"/>
          </w:tcPr>
          <w:p>
            <w:pPr>
              <w:jc w:val="center"/>
              <w:spacing w:after="0"/>
              <w:rPr>
                <w:sz w:val="20"/>
                <w:szCs w:val="20"/>
                <w:color w:val="auto"/>
              </w:rPr>
            </w:pPr>
            <w:r>
              <w:rPr>
                <w:rFonts w:ascii="Arial" w:cs="Arial" w:eastAsia="Arial" w:hAnsi="Arial"/>
                <w:sz w:val="18"/>
                <w:szCs w:val="18"/>
                <w:color w:val="auto"/>
                <w:w w:val="90"/>
              </w:rPr>
              <w:t>15.6%</w:t>
            </w:r>
          </w:p>
        </w:tc>
        <w:tc>
          <w:tcPr>
            <w:tcW w:w="2040" w:type="dxa"/>
            <w:vAlign w:val="bottom"/>
          </w:tcPr>
          <w:p>
            <w:pPr>
              <w:jc w:val="center"/>
              <w:spacing w:after="0"/>
              <w:rPr>
                <w:sz w:val="20"/>
                <w:szCs w:val="20"/>
                <w:color w:val="auto"/>
              </w:rPr>
            </w:pPr>
            <w:r>
              <w:rPr>
                <w:rFonts w:ascii="Arial" w:cs="Arial" w:eastAsia="Arial" w:hAnsi="Arial"/>
                <w:sz w:val="18"/>
                <w:szCs w:val="18"/>
                <w:color w:val="auto"/>
                <w:w w:val="89"/>
              </w:rPr>
              <w:t>32</w:t>
            </w:r>
          </w:p>
        </w:tc>
        <w:tc>
          <w:tcPr>
            <w:tcW w:w="0" w:type="dxa"/>
            <w:vAlign w:val="bottom"/>
          </w:tcPr>
          <w:p>
            <w:pPr>
              <w:spacing w:after="0"/>
              <w:rPr>
                <w:sz w:val="1"/>
                <w:szCs w:val="1"/>
                <w:color w:val="auto"/>
              </w:rPr>
            </w:pPr>
          </w:p>
        </w:tc>
      </w:tr>
      <w:tr>
        <w:trPr>
          <w:trHeight w:val="202"/>
        </w:trPr>
        <w:tc>
          <w:tcPr>
            <w:tcW w:w="29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920" w:type="dxa"/>
            <w:vAlign w:val="bottom"/>
            <w:shd w:val="clear" w:color="auto" w:fill="F0F2F5"/>
          </w:tcPr>
          <w:p>
            <w:pPr>
              <w:spacing w:after="0"/>
              <w:rPr>
                <w:sz w:val="20"/>
                <w:szCs w:val="20"/>
                <w:color w:val="auto"/>
              </w:rPr>
            </w:pPr>
            <w:r>
              <w:rPr>
                <w:rFonts w:ascii="Arial" w:cs="Arial" w:eastAsia="Arial" w:hAnsi="Arial"/>
                <w:sz w:val="18"/>
                <w:szCs w:val="18"/>
                <w:color w:val="auto"/>
              </w:rPr>
              <w:t>Vincent Wobbe</w:t>
            </w:r>
          </w:p>
        </w:tc>
        <w:tc>
          <w:tcPr>
            <w:tcW w:w="920" w:type="dxa"/>
            <w:vAlign w:val="bottom"/>
            <w:shd w:val="clear" w:color="auto" w:fill="F0F2F5"/>
          </w:tcPr>
          <w:p>
            <w:pPr>
              <w:ind w:left="200"/>
              <w:spacing w:after="0"/>
              <w:rPr>
                <w:sz w:val="20"/>
                <w:szCs w:val="20"/>
                <w:color w:val="auto"/>
              </w:rPr>
            </w:pPr>
            <w:r>
              <w:rPr>
                <w:rFonts w:ascii="Arial" w:cs="Arial" w:eastAsia="Arial" w:hAnsi="Arial"/>
                <w:sz w:val="18"/>
                <w:szCs w:val="18"/>
                <w:color w:val="auto"/>
              </w:rPr>
              <w:t>2022</w:t>
            </w:r>
          </w:p>
        </w:tc>
        <w:tc>
          <w:tcPr>
            <w:tcW w:w="1180" w:type="dxa"/>
            <w:vAlign w:val="bottom"/>
            <w:shd w:val="clear" w:color="auto" w:fill="F0F2F5"/>
          </w:tcPr>
          <w:p>
            <w:pPr>
              <w:jc w:val="center"/>
              <w:spacing w:after="0"/>
              <w:rPr>
                <w:sz w:val="20"/>
                <w:szCs w:val="20"/>
                <w:color w:val="auto"/>
              </w:rPr>
            </w:pPr>
            <w:r>
              <w:rPr>
                <w:rFonts w:ascii="Arial" w:cs="Arial" w:eastAsia="Arial" w:hAnsi="Arial"/>
                <w:sz w:val="18"/>
                <w:szCs w:val="18"/>
                <w:color w:val="auto"/>
                <w:w w:val="89"/>
              </w:rPr>
              <w:t>60</w:t>
            </w:r>
          </w:p>
        </w:tc>
        <w:tc>
          <w:tcPr>
            <w:tcW w:w="1260" w:type="dxa"/>
            <w:vAlign w:val="bottom"/>
            <w:shd w:val="clear" w:color="auto" w:fill="F0F2F5"/>
          </w:tcPr>
          <w:p>
            <w:pPr>
              <w:jc w:val="center"/>
              <w:spacing w:after="0"/>
              <w:rPr>
                <w:sz w:val="20"/>
                <w:szCs w:val="20"/>
                <w:color w:val="auto"/>
              </w:rPr>
            </w:pPr>
            <w:r>
              <w:rPr>
                <w:rFonts w:ascii="Arial" w:cs="Arial" w:eastAsia="Arial" w:hAnsi="Arial"/>
                <w:sz w:val="18"/>
                <w:szCs w:val="18"/>
                <w:color w:val="auto"/>
                <w:w w:val="90"/>
              </w:rPr>
              <w:t>89.6%</w:t>
            </w:r>
          </w:p>
        </w:tc>
        <w:tc>
          <w:tcPr>
            <w:tcW w:w="1440" w:type="dxa"/>
            <w:vAlign w:val="bottom"/>
            <w:shd w:val="clear" w:color="auto" w:fill="F0F2F5"/>
          </w:tcPr>
          <w:p>
            <w:pPr>
              <w:jc w:val="center"/>
              <w:spacing w:after="0"/>
              <w:rPr>
                <w:sz w:val="20"/>
                <w:szCs w:val="20"/>
                <w:color w:val="auto"/>
              </w:rPr>
            </w:pPr>
            <w:r>
              <w:rPr>
                <w:rFonts w:ascii="Arial" w:cs="Arial" w:eastAsia="Arial" w:hAnsi="Arial"/>
                <w:sz w:val="18"/>
                <w:szCs w:val="18"/>
                <w:color w:val="auto"/>
                <w:w w:val="99"/>
              </w:rPr>
              <w:t>7</w:t>
            </w:r>
          </w:p>
        </w:tc>
        <w:tc>
          <w:tcPr>
            <w:tcW w:w="1480" w:type="dxa"/>
            <w:vAlign w:val="bottom"/>
            <w:shd w:val="clear" w:color="auto" w:fill="F0F2F5"/>
          </w:tcPr>
          <w:p>
            <w:pPr>
              <w:jc w:val="center"/>
              <w:spacing w:after="0"/>
              <w:rPr>
                <w:sz w:val="20"/>
                <w:szCs w:val="20"/>
                <w:color w:val="auto"/>
              </w:rPr>
            </w:pPr>
            <w:r>
              <w:rPr>
                <w:rFonts w:ascii="Arial" w:cs="Arial" w:eastAsia="Arial" w:hAnsi="Arial"/>
                <w:sz w:val="18"/>
                <w:szCs w:val="18"/>
                <w:color w:val="auto"/>
                <w:w w:val="90"/>
              </w:rPr>
              <w:t>10.4%</w:t>
            </w:r>
          </w:p>
        </w:tc>
        <w:tc>
          <w:tcPr>
            <w:tcW w:w="2040" w:type="dxa"/>
            <w:vAlign w:val="bottom"/>
            <w:shd w:val="clear" w:color="auto" w:fill="F0F2F5"/>
          </w:tcPr>
          <w:p>
            <w:pPr>
              <w:jc w:val="center"/>
              <w:spacing w:after="0"/>
              <w:rPr>
                <w:sz w:val="20"/>
                <w:szCs w:val="20"/>
                <w:color w:val="auto"/>
              </w:rPr>
            </w:pPr>
            <w:r>
              <w:rPr>
                <w:rFonts w:ascii="Arial" w:cs="Arial" w:eastAsia="Arial" w:hAnsi="Arial"/>
                <w:sz w:val="18"/>
                <w:szCs w:val="18"/>
                <w:color w:val="auto"/>
                <w:w w:val="89"/>
              </w:rPr>
              <w:t>67</w:t>
            </w:r>
          </w:p>
        </w:tc>
        <w:tc>
          <w:tcPr>
            <w:tcW w:w="0" w:type="dxa"/>
            <w:vAlign w:val="bottom"/>
          </w:tcPr>
          <w:p>
            <w:pPr>
              <w:spacing w:after="0"/>
              <w:rPr>
                <w:sz w:val="1"/>
                <w:szCs w:val="1"/>
                <w:color w:val="auto"/>
              </w:rPr>
            </w:pPr>
          </w:p>
        </w:tc>
      </w:tr>
      <w:tr>
        <w:trPr>
          <w:trHeight w:val="202"/>
        </w:trPr>
        <w:tc>
          <w:tcPr>
            <w:tcW w:w="2920" w:type="dxa"/>
            <w:vAlign w:val="bottom"/>
            <w:shd w:val="clear" w:color="auto" w:fill="F0F2F5"/>
          </w:tcPr>
          <w:p>
            <w:pPr>
              <w:spacing w:after="0"/>
              <w:rPr>
                <w:sz w:val="17"/>
                <w:szCs w:val="17"/>
                <w:color w:val="auto"/>
              </w:rPr>
            </w:pPr>
          </w:p>
        </w:tc>
        <w:tc>
          <w:tcPr>
            <w:tcW w:w="920" w:type="dxa"/>
            <w:vAlign w:val="bottom"/>
            <w:shd w:val="clear" w:color="auto" w:fill="F0F2F5"/>
          </w:tcPr>
          <w:p>
            <w:pPr>
              <w:spacing w:after="0"/>
              <w:rPr>
                <w:sz w:val="17"/>
                <w:szCs w:val="17"/>
                <w:color w:val="auto"/>
              </w:rPr>
            </w:pPr>
          </w:p>
        </w:tc>
        <w:tc>
          <w:tcPr>
            <w:tcW w:w="1180" w:type="dxa"/>
            <w:vAlign w:val="bottom"/>
            <w:shd w:val="clear" w:color="auto" w:fill="F0F2F5"/>
          </w:tcPr>
          <w:p>
            <w:pPr>
              <w:spacing w:after="0"/>
              <w:rPr>
                <w:sz w:val="17"/>
                <w:szCs w:val="17"/>
                <w:color w:val="auto"/>
              </w:rPr>
            </w:pPr>
          </w:p>
        </w:tc>
        <w:tc>
          <w:tcPr>
            <w:tcW w:w="1260" w:type="dxa"/>
            <w:vAlign w:val="bottom"/>
            <w:shd w:val="clear" w:color="auto" w:fill="F0F2F5"/>
          </w:tcPr>
          <w:p>
            <w:pPr>
              <w:spacing w:after="0"/>
              <w:rPr>
                <w:sz w:val="17"/>
                <w:szCs w:val="17"/>
                <w:color w:val="auto"/>
              </w:rPr>
            </w:pPr>
          </w:p>
        </w:tc>
        <w:tc>
          <w:tcPr>
            <w:tcW w:w="1440" w:type="dxa"/>
            <w:vAlign w:val="bottom"/>
            <w:shd w:val="clear" w:color="auto" w:fill="F0F2F5"/>
          </w:tcPr>
          <w:p>
            <w:pPr>
              <w:spacing w:after="0"/>
              <w:rPr>
                <w:sz w:val="17"/>
                <w:szCs w:val="17"/>
                <w:color w:val="auto"/>
              </w:rPr>
            </w:pPr>
          </w:p>
        </w:tc>
        <w:tc>
          <w:tcPr>
            <w:tcW w:w="1480" w:type="dxa"/>
            <w:vAlign w:val="bottom"/>
            <w:shd w:val="clear" w:color="auto" w:fill="F0F2F5"/>
          </w:tcPr>
          <w:p>
            <w:pPr>
              <w:spacing w:after="0"/>
              <w:rPr>
                <w:sz w:val="17"/>
                <w:szCs w:val="17"/>
                <w:color w:val="auto"/>
              </w:rPr>
            </w:pPr>
          </w:p>
        </w:tc>
        <w:tc>
          <w:tcPr>
            <w:tcW w:w="2040" w:type="dxa"/>
            <w:vAlign w:val="bottom"/>
            <w:shd w:val="clear" w:color="auto" w:fill="F0F2F5"/>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920" w:type="dxa"/>
            <w:vAlign w:val="bottom"/>
          </w:tcPr>
          <w:p>
            <w:pPr>
              <w:spacing w:after="0"/>
              <w:rPr>
                <w:sz w:val="20"/>
                <w:szCs w:val="20"/>
                <w:color w:val="auto"/>
              </w:rPr>
            </w:pPr>
            <w:r>
              <w:rPr>
                <w:rFonts w:ascii="Arial" w:cs="Arial" w:eastAsia="Arial" w:hAnsi="Arial"/>
                <w:sz w:val="18"/>
                <w:szCs w:val="18"/>
                <w:color w:val="auto"/>
              </w:rPr>
              <w:t>(since July 30, 2021)</w:t>
            </w:r>
          </w:p>
        </w:tc>
        <w:tc>
          <w:tcPr>
            <w:tcW w:w="920" w:type="dxa"/>
            <w:vAlign w:val="bottom"/>
          </w:tcPr>
          <w:p>
            <w:pPr>
              <w:ind w:left="200"/>
              <w:spacing w:after="0"/>
              <w:rPr>
                <w:sz w:val="20"/>
                <w:szCs w:val="20"/>
                <w:color w:val="auto"/>
              </w:rPr>
            </w:pPr>
            <w:r>
              <w:rPr>
                <w:rFonts w:ascii="Arial" w:cs="Arial" w:eastAsia="Arial" w:hAnsi="Arial"/>
                <w:sz w:val="18"/>
                <w:szCs w:val="18"/>
                <w:color w:val="auto"/>
              </w:rPr>
              <w:t>2021</w:t>
            </w:r>
          </w:p>
        </w:tc>
        <w:tc>
          <w:tcPr>
            <w:tcW w:w="1180" w:type="dxa"/>
            <w:vAlign w:val="bottom"/>
          </w:tcPr>
          <w:p>
            <w:pPr>
              <w:jc w:val="center"/>
              <w:spacing w:after="0"/>
              <w:rPr>
                <w:sz w:val="20"/>
                <w:szCs w:val="20"/>
                <w:color w:val="auto"/>
              </w:rPr>
            </w:pPr>
            <w:r>
              <w:rPr>
                <w:rFonts w:ascii="Arial" w:cs="Arial" w:eastAsia="Arial" w:hAnsi="Arial"/>
                <w:sz w:val="18"/>
                <w:szCs w:val="18"/>
                <w:color w:val="auto"/>
                <w:w w:val="89"/>
              </w:rPr>
              <w:t>16</w:t>
            </w:r>
          </w:p>
        </w:tc>
        <w:tc>
          <w:tcPr>
            <w:tcW w:w="1260" w:type="dxa"/>
            <w:vAlign w:val="bottom"/>
          </w:tcPr>
          <w:p>
            <w:pPr>
              <w:jc w:val="center"/>
              <w:spacing w:after="0"/>
              <w:rPr>
                <w:sz w:val="20"/>
                <w:szCs w:val="20"/>
                <w:color w:val="auto"/>
              </w:rPr>
            </w:pPr>
            <w:r>
              <w:rPr>
                <w:rFonts w:ascii="Arial" w:cs="Arial" w:eastAsia="Arial" w:hAnsi="Arial"/>
                <w:sz w:val="18"/>
                <w:szCs w:val="18"/>
                <w:color w:val="auto"/>
                <w:w w:val="90"/>
              </w:rPr>
              <w:t>84.2%</w:t>
            </w:r>
          </w:p>
        </w:tc>
        <w:tc>
          <w:tcPr>
            <w:tcW w:w="1440" w:type="dxa"/>
            <w:vAlign w:val="bottom"/>
          </w:tcPr>
          <w:p>
            <w:pPr>
              <w:jc w:val="center"/>
              <w:spacing w:after="0"/>
              <w:rPr>
                <w:sz w:val="20"/>
                <w:szCs w:val="20"/>
                <w:color w:val="auto"/>
              </w:rPr>
            </w:pPr>
            <w:r>
              <w:rPr>
                <w:rFonts w:ascii="Arial" w:cs="Arial" w:eastAsia="Arial" w:hAnsi="Arial"/>
                <w:sz w:val="18"/>
                <w:szCs w:val="18"/>
                <w:color w:val="auto"/>
                <w:w w:val="99"/>
              </w:rPr>
              <w:t>3</w:t>
            </w:r>
          </w:p>
        </w:tc>
        <w:tc>
          <w:tcPr>
            <w:tcW w:w="1480" w:type="dxa"/>
            <w:vAlign w:val="bottom"/>
          </w:tcPr>
          <w:p>
            <w:pPr>
              <w:jc w:val="center"/>
              <w:spacing w:after="0"/>
              <w:rPr>
                <w:sz w:val="20"/>
                <w:szCs w:val="20"/>
                <w:color w:val="auto"/>
              </w:rPr>
            </w:pPr>
            <w:r>
              <w:rPr>
                <w:rFonts w:ascii="Arial" w:cs="Arial" w:eastAsia="Arial" w:hAnsi="Arial"/>
                <w:sz w:val="18"/>
                <w:szCs w:val="18"/>
                <w:color w:val="auto"/>
                <w:w w:val="90"/>
              </w:rPr>
              <w:t>15.8%</w:t>
            </w:r>
          </w:p>
        </w:tc>
        <w:tc>
          <w:tcPr>
            <w:tcW w:w="2040" w:type="dxa"/>
            <w:vAlign w:val="bottom"/>
          </w:tcPr>
          <w:p>
            <w:pPr>
              <w:jc w:val="center"/>
              <w:spacing w:after="0"/>
              <w:rPr>
                <w:sz w:val="20"/>
                <w:szCs w:val="20"/>
                <w:color w:val="auto"/>
              </w:rPr>
            </w:pPr>
            <w:r>
              <w:rPr>
                <w:rFonts w:ascii="Arial" w:cs="Arial" w:eastAsia="Arial" w:hAnsi="Arial"/>
                <w:sz w:val="18"/>
                <w:szCs w:val="18"/>
                <w:color w:val="auto"/>
                <w:w w:val="89"/>
              </w:rPr>
              <w:t>19</w:t>
            </w:r>
          </w:p>
        </w:tc>
        <w:tc>
          <w:tcPr>
            <w:tcW w:w="0" w:type="dxa"/>
            <w:vAlign w:val="bottom"/>
          </w:tcPr>
          <w:p>
            <w:pPr>
              <w:spacing w:after="0"/>
              <w:rPr>
                <w:sz w:val="1"/>
                <w:szCs w:val="1"/>
                <w:color w:val="auto"/>
              </w:rPr>
            </w:pPr>
          </w:p>
        </w:tc>
      </w:tr>
    </w:tbl>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2.7.Comparative presentation of remuneration and earnings performance</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following tables show the annual change in the remuneration awarded and due to current and former members of the Management Board and Supervisory Board, the Company’s earnings performance, and employee remuneration on a full-time equivalent basis, the latter being based on the average wages and salaries of employees at all Group companies in Germany and abroad.</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the members of the Management Board and the Supervisory Board, the remuneration awarded and due within the meaning of section 162 para. 1 sentence 1 AktG for the financial years 2022 and 2021 is taken into account.</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presentation of average employee remuneration is based on the average remuneration of all employees of the Mynaric Group on a full-time equivalent basis. The components of average employee remuneration presented generally correspond to the remuneration awarded and due to the members of the Management Board and Supervisory Board in accordance with section 162 para. 1 sentence 1 AktG, with the exception of the long-term remuneration consisting of the stock option plan and a restricted stock unit program, which were measured as equity-settled share-based payment transactions in accordance with IFRS 2.</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47" w:name="page48"/>
    <w:bookmarkEnd w:id="47"/>
    <w:p>
      <w:pPr>
        <w:spacing w:after="0"/>
        <w:rPr>
          <w:sz w:val="20"/>
          <w:szCs w:val="20"/>
          <w:color w:val="auto"/>
        </w:rPr>
      </w:pPr>
      <w:r>
        <w:rPr>
          <w:rFonts w:ascii="Arial" w:cs="Arial" w:eastAsia="Arial" w:hAnsi="Arial"/>
          <w:sz w:val="16"/>
          <w:szCs w:val="16"/>
          <w:color w:val="auto"/>
        </w:rPr>
        <w:t>The presentation of the annual development in remuneration and the Company’s earnings performance is built up successively over a period of five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2634615</wp:posOffset>
            </wp:positionH>
            <wp:positionV relativeFrom="paragraph">
              <wp:posOffset>164465</wp:posOffset>
            </wp:positionV>
            <wp:extent cx="4504690" cy="7245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4504690" cy="724535"/>
                    </a:xfrm>
                    <a:prstGeom prst="rect">
                      <a:avLst/>
                    </a:prstGeom>
                    <a:noFill/>
                  </pic:spPr>
                </pic:pic>
              </a:graphicData>
            </a:graphic>
          </wp:anchor>
        </w:drawing>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3780" w:type="dxa"/>
            <w:vAlign w:val="bottom"/>
            <w:shd w:val="clear" w:color="auto" w:fill="E36C0A"/>
          </w:tcPr>
          <w:p>
            <w:pPr>
              <w:spacing w:after="0"/>
              <w:rPr>
                <w:sz w:val="18"/>
                <w:szCs w:val="18"/>
                <w:color w:val="auto"/>
              </w:rPr>
            </w:pPr>
          </w:p>
        </w:tc>
        <w:tc>
          <w:tcPr>
            <w:tcW w:w="380" w:type="dxa"/>
            <w:vAlign w:val="bottom"/>
            <w:shd w:val="clear" w:color="auto" w:fill="E36C0A"/>
          </w:tcPr>
          <w:p>
            <w:pPr>
              <w:spacing w:after="0"/>
              <w:rPr>
                <w:sz w:val="18"/>
                <w:szCs w:val="18"/>
                <w:color w:val="auto"/>
              </w:rPr>
            </w:pPr>
          </w:p>
        </w:tc>
        <w:tc>
          <w:tcPr>
            <w:tcW w:w="1460" w:type="dxa"/>
            <w:vAlign w:val="bottom"/>
            <w:vMerge w:val="restart"/>
            <w:shd w:val="clear" w:color="auto" w:fill="E36C0A"/>
          </w:tcPr>
          <w:p>
            <w:pPr>
              <w:jc w:val="center"/>
              <w:spacing w:after="0"/>
              <w:rPr>
                <w:sz w:val="20"/>
                <w:szCs w:val="20"/>
                <w:color w:val="auto"/>
              </w:rPr>
            </w:pPr>
            <w:r>
              <w:rPr>
                <w:rFonts w:ascii="Arial" w:cs="Arial" w:eastAsia="Arial" w:hAnsi="Arial"/>
                <w:sz w:val="18"/>
                <w:szCs w:val="18"/>
                <w:b w:val="1"/>
                <w:bCs w:val="1"/>
                <w:color w:val="auto"/>
                <w:w w:val="89"/>
              </w:rPr>
              <w:t>2022</w:t>
            </w:r>
          </w:p>
        </w:tc>
        <w:tc>
          <w:tcPr>
            <w:tcW w:w="1200" w:type="dxa"/>
            <w:vAlign w:val="bottom"/>
            <w:vMerge w:val="restart"/>
            <w:shd w:val="clear" w:color="auto" w:fill="E36C0A"/>
          </w:tcPr>
          <w:p>
            <w:pPr>
              <w:jc w:val="center"/>
              <w:spacing w:after="0"/>
              <w:rPr>
                <w:sz w:val="20"/>
                <w:szCs w:val="20"/>
                <w:color w:val="auto"/>
              </w:rPr>
            </w:pPr>
            <w:r>
              <w:rPr>
                <w:rFonts w:ascii="Arial" w:cs="Arial" w:eastAsia="Arial" w:hAnsi="Arial"/>
                <w:sz w:val="18"/>
                <w:szCs w:val="18"/>
                <w:b w:val="1"/>
                <w:bCs w:val="1"/>
                <w:color w:val="auto"/>
                <w:w w:val="89"/>
              </w:rPr>
              <w:t>2021</w:t>
            </w:r>
          </w:p>
        </w:tc>
        <w:tc>
          <w:tcPr>
            <w:tcW w:w="1620" w:type="dxa"/>
            <w:vAlign w:val="bottom"/>
            <w:shd w:val="clear" w:color="auto" w:fill="E36C0A"/>
          </w:tcPr>
          <w:p>
            <w:pPr>
              <w:jc w:val="center"/>
              <w:spacing w:after="0"/>
              <w:rPr>
                <w:sz w:val="20"/>
                <w:szCs w:val="20"/>
                <w:color w:val="auto"/>
              </w:rPr>
            </w:pPr>
            <w:r>
              <w:rPr>
                <w:rFonts w:ascii="Arial" w:cs="Arial" w:eastAsia="Arial" w:hAnsi="Arial"/>
                <w:sz w:val="18"/>
                <w:szCs w:val="18"/>
                <w:b w:val="1"/>
                <w:bCs w:val="1"/>
                <w:color w:val="auto"/>
                <w:w w:val="88"/>
              </w:rPr>
              <w:t>Development</w:t>
            </w:r>
          </w:p>
        </w:tc>
        <w:tc>
          <w:tcPr>
            <w:tcW w:w="1180" w:type="dxa"/>
            <w:vAlign w:val="bottom"/>
            <w:vMerge w:val="restart"/>
            <w:shd w:val="clear" w:color="auto" w:fill="E36C0A"/>
          </w:tcPr>
          <w:p>
            <w:pPr>
              <w:jc w:val="center"/>
              <w:spacing w:after="0"/>
              <w:rPr>
                <w:sz w:val="20"/>
                <w:szCs w:val="20"/>
                <w:color w:val="auto"/>
              </w:rPr>
            </w:pPr>
            <w:r>
              <w:rPr>
                <w:rFonts w:ascii="Arial" w:cs="Arial" w:eastAsia="Arial" w:hAnsi="Arial"/>
                <w:sz w:val="18"/>
                <w:szCs w:val="18"/>
                <w:b w:val="1"/>
                <w:bCs w:val="1"/>
                <w:color w:val="auto"/>
                <w:w w:val="89"/>
              </w:rPr>
              <w:t>2020</w:t>
            </w:r>
          </w:p>
        </w:tc>
        <w:tc>
          <w:tcPr>
            <w:tcW w:w="1620" w:type="dxa"/>
            <w:vAlign w:val="bottom"/>
            <w:shd w:val="clear" w:color="auto" w:fill="E36C0A"/>
          </w:tcPr>
          <w:p>
            <w:pPr>
              <w:jc w:val="center"/>
              <w:spacing w:after="0"/>
              <w:rPr>
                <w:sz w:val="20"/>
                <w:szCs w:val="20"/>
                <w:color w:val="auto"/>
              </w:rPr>
            </w:pPr>
            <w:r>
              <w:rPr>
                <w:rFonts w:ascii="Arial" w:cs="Arial" w:eastAsia="Arial" w:hAnsi="Arial"/>
                <w:sz w:val="18"/>
                <w:szCs w:val="18"/>
                <w:b w:val="1"/>
                <w:bCs w:val="1"/>
                <w:color w:val="auto"/>
                <w:w w:val="90"/>
              </w:rPr>
              <w:t>Development</w:t>
            </w:r>
          </w:p>
        </w:tc>
        <w:tc>
          <w:tcPr>
            <w:tcW w:w="0" w:type="dxa"/>
            <w:vAlign w:val="bottom"/>
          </w:tcPr>
          <w:p>
            <w:pPr>
              <w:spacing w:after="0"/>
              <w:rPr>
                <w:sz w:val="1"/>
                <w:szCs w:val="1"/>
                <w:color w:val="auto"/>
              </w:rPr>
            </w:pPr>
          </w:p>
        </w:tc>
      </w:tr>
      <w:tr>
        <w:trPr>
          <w:trHeight w:val="126"/>
        </w:trPr>
        <w:tc>
          <w:tcPr>
            <w:tcW w:w="4160" w:type="dxa"/>
            <w:vAlign w:val="bottom"/>
            <w:gridSpan w:val="2"/>
            <w:vMerge w:val="restart"/>
            <w:shd w:val="clear" w:color="auto" w:fill="E36C0A"/>
          </w:tcPr>
          <w:p>
            <w:pPr>
              <w:spacing w:after="0"/>
              <w:rPr>
                <w:sz w:val="20"/>
                <w:szCs w:val="20"/>
                <w:color w:val="auto"/>
              </w:rPr>
            </w:pPr>
            <w:r>
              <w:rPr>
                <w:rFonts w:ascii="Arial" w:cs="Arial" w:eastAsia="Arial" w:hAnsi="Arial"/>
                <w:sz w:val="18"/>
                <w:szCs w:val="18"/>
                <w:b w:val="1"/>
                <w:bCs w:val="1"/>
                <w:color w:val="auto"/>
              </w:rPr>
              <w:t>Comparative representation</w:t>
            </w:r>
          </w:p>
        </w:tc>
        <w:tc>
          <w:tcPr>
            <w:tcW w:w="1460" w:type="dxa"/>
            <w:vAlign w:val="bottom"/>
            <w:vMerge w:val="continue"/>
            <w:shd w:val="clear" w:color="auto" w:fill="E36C0A"/>
          </w:tcPr>
          <w:p>
            <w:pPr>
              <w:spacing w:after="0"/>
              <w:rPr>
                <w:sz w:val="10"/>
                <w:szCs w:val="10"/>
                <w:color w:val="auto"/>
              </w:rPr>
            </w:pPr>
          </w:p>
        </w:tc>
        <w:tc>
          <w:tcPr>
            <w:tcW w:w="1200" w:type="dxa"/>
            <w:vAlign w:val="bottom"/>
            <w:vMerge w:val="continue"/>
            <w:shd w:val="clear" w:color="auto" w:fill="E36C0A"/>
          </w:tcPr>
          <w:p>
            <w:pPr>
              <w:spacing w:after="0"/>
              <w:rPr>
                <w:sz w:val="10"/>
                <w:szCs w:val="10"/>
                <w:color w:val="auto"/>
              </w:rPr>
            </w:pPr>
          </w:p>
        </w:tc>
        <w:tc>
          <w:tcPr>
            <w:tcW w:w="1620" w:type="dxa"/>
            <w:vAlign w:val="bottom"/>
            <w:vMerge w:val="restart"/>
            <w:shd w:val="clear" w:color="auto" w:fill="E36C0A"/>
          </w:tcPr>
          <w:p>
            <w:pPr>
              <w:jc w:val="center"/>
              <w:spacing w:after="0"/>
              <w:rPr>
                <w:sz w:val="20"/>
                <w:szCs w:val="20"/>
                <w:color w:val="auto"/>
              </w:rPr>
            </w:pPr>
            <w:r>
              <w:rPr>
                <w:rFonts w:ascii="Arial" w:cs="Arial" w:eastAsia="Arial" w:hAnsi="Arial"/>
                <w:sz w:val="18"/>
                <w:szCs w:val="18"/>
                <w:b w:val="1"/>
                <w:bCs w:val="1"/>
                <w:color w:val="auto"/>
                <w:w w:val="89"/>
              </w:rPr>
              <w:t>2022/2021</w:t>
            </w:r>
          </w:p>
        </w:tc>
        <w:tc>
          <w:tcPr>
            <w:tcW w:w="1180" w:type="dxa"/>
            <w:vAlign w:val="bottom"/>
            <w:vMerge w:val="continue"/>
            <w:shd w:val="clear" w:color="auto" w:fill="E36C0A"/>
          </w:tcPr>
          <w:p>
            <w:pPr>
              <w:spacing w:after="0"/>
              <w:rPr>
                <w:sz w:val="10"/>
                <w:szCs w:val="10"/>
                <w:color w:val="auto"/>
              </w:rPr>
            </w:pPr>
          </w:p>
        </w:tc>
        <w:tc>
          <w:tcPr>
            <w:tcW w:w="1620" w:type="dxa"/>
            <w:vAlign w:val="bottom"/>
            <w:vMerge w:val="restart"/>
            <w:shd w:val="clear" w:color="auto" w:fill="E36C0A"/>
          </w:tcPr>
          <w:p>
            <w:pPr>
              <w:jc w:val="center"/>
              <w:spacing w:after="0"/>
              <w:rPr>
                <w:sz w:val="20"/>
                <w:szCs w:val="20"/>
                <w:color w:val="auto"/>
              </w:rPr>
            </w:pPr>
            <w:r>
              <w:rPr>
                <w:rFonts w:ascii="Arial" w:cs="Arial" w:eastAsia="Arial" w:hAnsi="Arial"/>
                <w:sz w:val="18"/>
                <w:szCs w:val="18"/>
                <w:b w:val="1"/>
                <w:bCs w:val="1"/>
                <w:color w:val="auto"/>
                <w:w w:val="91"/>
              </w:rPr>
              <w:t>2021/2020</w:t>
            </w:r>
          </w:p>
        </w:tc>
        <w:tc>
          <w:tcPr>
            <w:tcW w:w="0" w:type="dxa"/>
            <w:vAlign w:val="bottom"/>
          </w:tcPr>
          <w:p>
            <w:pPr>
              <w:spacing w:after="0"/>
              <w:rPr>
                <w:sz w:val="1"/>
                <w:szCs w:val="1"/>
                <w:color w:val="auto"/>
              </w:rPr>
            </w:pPr>
          </w:p>
        </w:tc>
      </w:tr>
      <w:tr>
        <w:trPr>
          <w:trHeight w:val="108"/>
        </w:trPr>
        <w:tc>
          <w:tcPr>
            <w:tcW w:w="4160" w:type="dxa"/>
            <w:vAlign w:val="bottom"/>
            <w:gridSpan w:val="2"/>
            <w:vMerge w:val="continue"/>
            <w:shd w:val="clear" w:color="auto" w:fill="E36C0A"/>
          </w:tcPr>
          <w:p>
            <w:pPr>
              <w:spacing w:after="0"/>
              <w:rPr>
                <w:sz w:val="9"/>
                <w:szCs w:val="9"/>
                <w:color w:val="auto"/>
              </w:rPr>
            </w:pPr>
          </w:p>
        </w:tc>
        <w:tc>
          <w:tcPr>
            <w:tcW w:w="1460" w:type="dxa"/>
            <w:vAlign w:val="bottom"/>
            <w:shd w:val="clear" w:color="auto" w:fill="E36C0A"/>
          </w:tcPr>
          <w:p>
            <w:pPr>
              <w:spacing w:after="0"/>
              <w:rPr>
                <w:sz w:val="9"/>
                <w:szCs w:val="9"/>
                <w:color w:val="auto"/>
              </w:rPr>
            </w:pPr>
          </w:p>
        </w:tc>
        <w:tc>
          <w:tcPr>
            <w:tcW w:w="1200" w:type="dxa"/>
            <w:vAlign w:val="bottom"/>
            <w:shd w:val="clear" w:color="auto" w:fill="E36C0A"/>
          </w:tcPr>
          <w:p>
            <w:pPr>
              <w:spacing w:after="0"/>
              <w:rPr>
                <w:sz w:val="9"/>
                <w:szCs w:val="9"/>
                <w:color w:val="auto"/>
              </w:rPr>
            </w:pPr>
          </w:p>
        </w:tc>
        <w:tc>
          <w:tcPr>
            <w:tcW w:w="1620" w:type="dxa"/>
            <w:vAlign w:val="bottom"/>
            <w:vMerge w:val="continue"/>
            <w:shd w:val="clear" w:color="auto" w:fill="E36C0A"/>
          </w:tcPr>
          <w:p>
            <w:pPr>
              <w:spacing w:after="0"/>
              <w:rPr>
                <w:sz w:val="9"/>
                <w:szCs w:val="9"/>
                <w:color w:val="auto"/>
              </w:rPr>
            </w:pPr>
          </w:p>
        </w:tc>
        <w:tc>
          <w:tcPr>
            <w:tcW w:w="1180" w:type="dxa"/>
            <w:vAlign w:val="bottom"/>
            <w:shd w:val="clear" w:color="auto" w:fill="E36C0A"/>
          </w:tcPr>
          <w:p>
            <w:pPr>
              <w:spacing w:after="0"/>
              <w:rPr>
                <w:sz w:val="9"/>
                <w:szCs w:val="9"/>
                <w:color w:val="auto"/>
              </w:rPr>
            </w:pPr>
          </w:p>
        </w:tc>
        <w:tc>
          <w:tcPr>
            <w:tcW w:w="1620" w:type="dxa"/>
            <w:vAlign w:val="bottom"/>
            <w:vMerge w:val="continue"/>
            <w:shd w:val="clear" w:color="auto" w:fill="E36C0A"/>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4160" w:type="dxa"/>
            <w:vAlign w:val="bottom"/>
            <w:gridSpan w:val="2"/>
            <w:vMerge w:val="continue"/>
            <w:shd w:val="clear" w:color="auto" w:fill="E36C0A"/>
          </w:tcPr>
          <w:p>
            <w:pPr>
              <w:spacing w:after="0"/>
              <w:rPr>
                <w:sz w:val="10"/>
                <w:szCs w:val="10"/>
                <w:color w:val="auto"/>
              </w:rPr>
            </w:pPr>
          </w:p>
        </w:tc>
        <w:tc>
          <w:tcPr>
            <w:tcW w:w="1460" w:type="dxa"/>
            <w:vAlign w:val="bottom"/>
            <w:shd w:val="clear" w:color="auto" w:fill="E36C0A"/>
          </w:tcPr>
          <w:p>
            <w:pPr>
              <w:spacing w:after="0"/>
              <w:rPr>
                <w:sz w:val="10"/>
                <w:szCs w:val="10"/>
                <w:color w:val="auto"/>
              </w:rPr>
            </w:pPr>
          </w:p>
        </w:tc>
        <w:tc>
          <w:tcPr>
            <w:tcW w:w="1200" w:type="dxa"/>
            <w:vAlign w:val="bottom"/>
            <w:shd w:val="clear" w:color="auto" w:fill="E36C0A"/>
          </w:tcPr>
          <w:p>
            <w:pPr>
              <w:spacing w:after="0"/>
              <w:rPr>
                <w:sz w:val="10"/>
                <w:szCs w:val="10"/>
                <w:color w:val="auto"/>
              </w:rPr>
            </w:pPr>
          </w:p>
        </w:tc>
        <w:tc>
          <w:tcPr>
            <w:tcW w:w="1620" w:type="dxa"/>
            <w:vAlign w:val="bottom"/>
            <w:shd w:val="clear" w:color="auto" w:fill="E36C0A"/>
          </w:tcPr>
          <w:p>
            <w:pPr>
              <w:spacing w:after="0"/>
              <w:rPr>
                <w:sz w:val="10"/>
                <w:szCs w:val="10"/>
                <w:color w:val="auto"/>
              </w:rPr>
            </w:pPr>
          </w:p>
        </w:tc>
        <w:tc>
          <w:tcPr>
            <w:tcW w:w="1180" w:type="dxa"/>
            <w:vAlign w:val="bottom"/>
            <w:shd w:val="clear" w:color="auto" w:fill="E36C0A"/>
          </w:tcPr>
          <w:p>
            <w:pPr>
              <w:spacing w:after="0"/>
              <w:rPr>
                <w:sz w:val="10"/>
                <w:szCs w:val="10"/>
                <w:color w:val="auto"/>
              </w:rPr>
            </w:pPr>
          </w:p>
        </w:tc>
        <w:tc>
          <w:tcPr>
            <w:tcW w:w="1620" w:type="dxa"/>
            <w:vAlign w:val="bottom"/>
            <w:shd w:val="clear" w:color="auto" w:fill="E36C0A"/>
          </w:tcPr>
          <w:p>
            <w:pPr>
              <w:spacing w:after="0"/>
              <w:rPr>
                <w:sz w:val="10"/>
                <w:szCs w:val="10"/>
                <w:color w:val="auto"/>
              </w:rPr>
            </w:pPr>
          </w:p>
        </w:tc>
        <w:tc>
          <w:tcPr>
            <w:tcW w:w="0" w:type="dxa"/>
            <w:vAlign w:val="bottom"/>
          </w:tcPr>
          <w:p>
            <w:pPr>
              <w:spacing w:after="0"/>
              <w:rPr>
                <w:sz w:val="1"/>
                <w:szCs w:val="1"/>
                <w:color w:val="auto"/>
              </w:rPr>
            </w:pPr>
          </w:p>
        </w:tc>
      </w:tr>
      <w:tr>
        <w:trPr>
          <w:trHeight w:val="338"/>
        </w:trPr>
        <w:tc>
          <w:tcPr>
            <w:tcW w:w="3780" w:type="dxa"/>
            <w:vAlign w:val="bottom"/>
            <w:shd w:val="clear" w:color="auto" w:fill="E36C0A"/>
          </w:tcPr>
          <w:p>
            <w:pPr>
              <w:spacing w:after="0"/>
              <w:rPr>
                <w:sz w:val="24"/>
                <w:szCs w:val="24"/>
                <w:color w:val="auto"/>
              </w:rPr>
            </w:pPr>
          </w:p>
        </w:tc>
        <w:tc>
          <w:tcPr>
            <w:tcW w:w="380" w:type="dxa"/>
            <w:vAlign w:val="bottom"/>
            <w:shd w:val="clear" w:color="auto" w:fill="E36C0A"/>
          </w:tcPr>
          <w:p>
            <w:pPr>
              <w:spacing w:after="0"/>
              <w:rPr>
                <w:sz w:val="24"/>
                <w:szCs w:val="24"/>
                <w:color w:val="auto"/>
              </w:rPr>
            </w:pPr>
          </w:p>
        </w:tc>
        <w:tc>
          <w:tcPr>
            <w:tcW w:w="1460" w:type="dxa"/>
            <w:vAlign w:val="bottom"/>
            <w:shd w:val="clear" w:color="auto" w:fill="E36C0A"/>
          </w:tcPr>
          <w:p>
            <w:pPr>
              <w:ind w:left="540"/>
              <w:spacing w:after="0"/>
              <w:rPr>
                <w:sz w:val="20"/>
                <w:szCs w:val="20"/>
                <w:color w:val="auto"/>
              </w:rPr>
            </w:pPr>
            <w:r>
              <w:rPr>
                <w:rFonts w:ascii="Arial" w:cs="Arial" w:eastAsia="Arial" w:hAnsi="Arial"/>
                <w:sz w:val="18"/>
                <w:szCs w:val="18"/>
                <w:b w:val="1"/>
                <w:bCs w:val="1"/>
                <w:color w:val="auto"/>
              </w:rPr>
              <w:t>in k€</w:t>
            </w:r>
          </w:p>
        </w:tc>
        <w:tc>
          <w:tcPr>
            <w:tcW w:w="1200" w:type="dxa"/>
            <w:vAlign w:val="bottom"/>
            <w:shd w:val="clear" w:color="auto" w:fill="E36C0A"/>
          </w:tcPr>
          <w:p>
            <w:pPr>
              <w:ind w:left="400"/>
              <w:spacing w:after="0"/>
              <w:rPr>
                <w:sz w:val="20"/>
                <w:szCs w:val="20"/>
                <w:color w:val="auto"/>
              </w:rPr>
            </w:pPr>
            <w:r>
              <w:rPr>
                <w:rFonts w:ascii="Arial" w:cs="Arial" w:eastAsia="Arial" w:hAnsi="Arial"/>
                <w:sz w:val="18"/>
                <w:szCs w:val="18"/>
                <w:b w:val="1"/>
                <w:bCs w:val="1"/>
                <w:color w:val="auto"/>
              </w:rPr>
              <w:t>in k€</w:t>
            </w:r>
          </w:p>
        </w:tc>
        <w:tc>
          <w:tcPr>
            <w:tcW w:w="1620" w:type="dxa"/>
            <w:vAlign w:val="bottom"/>
            <w:shd w:val="clear" w:color="auto" w:fill="E36C0A"/>
          </w:tcPr>
          <w:p>
            <w:pPr>
              <w:jc w:val="center"/>
              <w:spacing w:after="0"/>
              <w:rPr>
                <w:sz w:val="20"/>
                <w:szCs w:val="20"/>
                <w:color w:val="auto"/>
              </w:rPr>
            </w:pPr>
            <w:r>
              <w:rPr>
                <w:rFonts w:ascii="Arial" w:cs="Arial" w:eastAsia="Arial" w:hAnsi="Arial"/>
                <w:sz w:val="18"/>
                <w:szCs w:val="18"/>
                <w:b w:val="1"/>
                <w:bCs w:val="1"/>
                <w:color w:val="auto"/>
              </w:rPr>
              <w:t>in %</w:t>
            </w:r>
          </w:p>
        </w:tc>
        <w:tc>
          <w:tcPr>
            <w:tcW w:w="1180" w:type="dxa"/>
            <w:vAlign w:val="bottom"/>
            <w:shd w:val="clear" w:color="auto" w:fill="E36C0A"/>
          </w:tcPr>
          <w:p>
            <w:pPr>
              <w:ind w:left="440"/>
              <w:spacing w:after="0"/>
              <w:rPr>
                <w:sz w:val="20"/>
                <w:szCs w:val="20"/>
                <w:color w:val="auto"/>
              </w:rPr>
            </w:pPr>
            <w:r>
              <w:rPr>
                <w:rFonts w:ascii="Arial" w:cs="Arial" w:eastAsia="Arial" w:hAnsi="Arial"/>
                <w:sz w:val="18"/>
                <w:szCs w:val="18"/>
                <w:b w:val="1"/>
                <w:bCs w:val="1"/>
                <w:color w:val="auto"/>
              </w:rPr>
              <w:t>in €</w:t>
            </w:r>
          </w:p>
        </w:tc>
        <w:tc>
          <w:tcPr>
            <w:tcW w:w="1620" w:type="dxa"/>
            <w:vAlign w:val="bottom"/>
            <w:shd w:val="clear" w:color="auto" w:fill="E36C0A"/>
          </w:tcPr>
          <w:p>
            <w:pPr>
              <w:jc w:val="center"/>
              <w:spacing w:after="0"/>
              <w:rPr>
                <w:sz w:val="20"/>
                <w:szCs w:val="20"/>
                <w:color w:val="auto"/>
              </w:rPr>
            </w:pPr>
            <w:r>
              <w:rPr>
                <w:rFonts w:ascii="Arial" w:cs="Arial" w:eastAsia="Arial" w:hAnsi="Arial"/>
                <w:sz w:val="18"/>
                <w:szCs w:val="18"/>
                <w:b w:val="1"/>
                <w:bCs w:val="1"/>
                <w:color w:val="auto"/>
              </w:rPr>
              <w:t>in %</w:t>
            </w:r>
          </w:p>
        </w:tc>
        <w:tc>
          <w:tcPr>
            <w:tcW w:w="0" w:type="dxa"/>
            <w:vAlign w:val="bottom"/>
          </w:tcPr>
          <w:p>
            <w:pPr>
              <w:spacing w:after="0"/>
              <w:rPr>
                <w:sz w:val="1"/>
                <w:szCs w:val="1"/>
                <w:color w:val="auto"/>
              </w:rPr>
            </w:pPr>
          </w:p>
        </w:tc>
      </w:tr>
      <w:tr>
        <w:trPr>
          <w:trHeight w:val="230"/>
        </w:trPr>
        <w:tc>
          <w:tcPr>
            <w:tcW w:w="3780" w:type="dxa"/>
            <w:vAlign w:val="bottom"/>
            <w:shd w:val="clear" w:color="auto" w:fill="E36C0A"/>
          </w:tcPr>
          <w:p>
            <w:pPr>
              <w:spacing w:after="0"/>
              <w:rPr>
                <w:sz w:val="19"/>
                <w:szCs w:val="19"/>
                <w:color w:val="auto"/>
              </w:rPr>
            </w:pPr>
          </w:p>
        </w:tc>
        <w:tc>
          <w:tcPr>
            <w:tcW w:w="380" w:type="dxa"/>
            <w:vAlign w:val="bottom"/>
            <w:shd w:val="clear" w:color="auto" w:fill="E36C0A"/>
          </w:tcPr>
          <w:p>
            <w:pPr>
              <w:spacing w:after="0"/>
              <w:rPr>
                <w:sz w:val="19"/>
                <w:szCs w:val="19"/>
                <w:color w:val="auto"/>
              </w:rPr>
            </w:pPr>
          </w:p>
        </w:tc>
        <w:tc>
          <w:tcPr>
            <w:tcW w:w="1460" w:type="dxa"/>
            <w:vAlign w:val="bottom"/>
            <w:shd w:val="clear" w:color="auto" w:fill="E36C0A"/>
          </w:tcPr>
          <w:p>
            <w:pPr>
              <w:spacing w:after="0"/>
              <w:rPr>
                <w:sz w:val="19"/>
                <w:szCs w:val="19"/>
                <w:color w:val="auto"/>
              </w:rPr>
            </w:pPr>
          </w:p>
        </w:tc>
        <w:tc>
          <w:tcPr>
            <w:tcW w:w="1200" w:type="dxa"/>
            <w:vAlign w:val="bottom"/>
            <w:shd w:val="clear" w:color="auto" w:fill="E36C0A"/>
          </w:tcPr>
          <w:p>
            <w:pPr>
              <w:spacing w:after="0"/>
              <w:rPr>
                <w:sz w:val="19"/>
                <w:szCs w:val="19"/>
                <w:color w:val="auto"/>
              </w:rPr>
            </w:pPr>
          </w:p>
        </w:tc>
        <w:tc>
          <w:tcPr>
            <w:tcW w:w="1620" w:type="dxa"/>
            <w:vAlign w:val="bottom"/>
            <w:shd w:val="clear" w:color="auto" w:fill="E36C0A"/>
          </w:tcPr>
          <w:p>
            <w:pPr>
              <w:spacing w:after="0"/>
              <w:rPr>
                <w:sz w:val="19"/>
                <w:szCs w:val="19"/>
                <w:color w:val="auto"/>
              </w:rPr>
            </w:pPr>
          </w:p>
        </w:tc>
        <w:tc>
          <w:tcPr>
            <w:tcW w:w="1180" w:type="dxa"/>
            <w:vAlign w:val="bottom"/>
            <w:shd w:val="clear" w:color="auto" w:fill="E36C0A"/>
          </w:tcPr>
          <w:p>
            <w:pPr>
              <w:spacing w:after="0"/>
              <w:rPr>
                <w:sz w:val="19"/>
                <w:szCs w:val="19"/>
                <w:color w:val="auto"/>
              </w:rPr>
            </w:pPr>
          </w:p>
        </w:tc>
        <w:tc>
          <w:tcPr>
            <w:tcW w:w="1620" w:type="dxa"/>
            <w:vAlign w:val="bottom"/>
            <w:shd w:val="clear" w:color="auto" w:fill="E36C0A"/>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160" w:type="dxa"/>
            <w:vAlign w:val="bottom"/>
            <w:gridSpan w:val="2"/>
            <w:shd w:val="clear" w:color="auto" w:fill="F0F2F5"/>
          </w:tcPr>
          <w:p>
            <w:pPr>
              <w:spacing w:after="0"/>
              <w:rPr>
                <w:sz w:val="20"/>
                <w:szCs w:val="20"/>
                <w:color w:val="auto"/>
              </w:rPr>
            </w:pPr>
            <w:r>
              <w:rPr>
                <w:rFonts w:ascii="Arial" w:cs="Arial" w:eastAsia="Arial" w:hAnsi="Arial"/>
                <w:sz w:val="18"/>
                <w:szCs w:val="18"/>
                <w:b w:val="1"/>
                <w:bCs w:val="1"/>
                <w:color w:val="auto"/>
              </w:rPr>
              <w:t>Earnings development</w:t>
            </w:r>
          </w:p>
        </w:tc>
        <w:tc>
          <w:tcPr>
            <w:tcW w:w="1460" w:type="dxa"/>
            <w:vAlign w:val="bottom"/>
            <w:shd w:val="clear" w:color="auto" w:fill="F0F2F5"/>
          </w:tcPr>
          <w:p>
            <w:pPr>
              <w:spacing w:after="0"/>
              <w:rPr>
                <w:sz w:val="20"/>
                <w:szCs w:val="20"/>
                <w:color w:val="auto"/>
              </w:rPr>
            </w:pPr>
          </w:p>
        </w:tc>
        <w:tc>
          <w:tcPr>
            <w:tcW w:w="1200" w:type="dxa"/>
            <w:vAlign w:val="bottom"/>
            <w:shd w:val="clear" w:color="auto" w:fill="F0F2F5"/>
          </w:tcPr>
          <w:p>
            <w:pPr>
              <w:spacing w:after="0"/>
              <w:rPr>
                <w:sz w:val="20"/>
                <w:szCs w:val="20"/>
                <w:color w:val="auto"/>
              </w:rPr>
            </w:pPr>
          </w:p>
        </w:tc>
        <w:tc>
          <w:tcPr>
            <w:tcW w:w="1620" w:type="dxa"/>
            <w:vAlign w:val="bottom"/>
            <w:shd w:val="clear" w:color="auto" w:fill="F0F2F5"/>
          </w:tcPr>
          <w:p>
            <w:pPr>
              <w:spacing w:after="0"/>
              <w:rPr>
                <w:sz w:val="20"/>
                <w:szCs w:val="20"/>
                <w:color w:val="auto"/>
              </w:rPr>
            </w:pPr>
          </w:p>
        </w:tc>
        <w:tc>
          <w:tcPr>
            <w:tcW w:w="1180" w:type="dxa"/>
            <w:vAlign w:val="bottom"/>
            <w:shd w:val="clear" w:color="auto" w:fill="F0F2F5"/>
          </w:tcPr>
          <w:p>
            <w:pPr>
              <w:spacing w:after="0"/>
              <w:rPr>
                <w:sz w:val="20"/>
                <w:szCs w:val="20"/>
                <w:color w:val="auto"/>
              </w:rPr>
            </w:pPr>
          </w:p>
        </w:tc>
        <w:tc>
          <w:tcPr>
            <w:tcW w:w="1620" w:type="dxa"/>
            <w:vAlign w:val="bottom"/>
            <w:shd w:val="clear" w:color="auto" w:fill="F0F2F5"/>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3780" w:type="dxa"/>
            <w:vAlign w:val="bottom"/>
            <w:shd w:val="clear" w:color="auto" w:fill="F0F2F5"/>
          </w:tcPr>
          <w:p>
            <w:pPr>
              <w:spacing w:after="0"/>
              <w:rPr>
                <w:sz w:val="17"/>
                <w:szCs w:val="17"/>
                <w:color w:val="auto"/>
              </w:rPr>
            </w:pPr>
          </w:p>
        </w:tc>
        <w:tc>
          <w:tcPr>
            <w:tcW w:w="380" w:type="dxa"/>
            <w:vAlign w:val="bottom"/>
            <w:shd w:val="clear" w:color="auto" w:fill="F0F2F5"/>
          </w:tcPr>
          <w:p>
            <w:pPr>
              <w:spacing w:after="0"/>
              <w:rPr>
                <w:sz w:val="17"/>
                <w:szCs w:val="17"/>
                <w:color w:val="auto"/>
              </w:rPr>
            </w:pPr>
          </w:p>
        </w:tc>
        <w:tc>
          <w:tcPr>
            <w:tcW w:w="1460" w:type="dxa"/>
            <w:vAlign w:val="bottom"/>
            <w:shd w:val="clear" w:color="auto" w:fill="F0F2F5"/>
          </w:tcPr>
          <w:p>
            <w:pPr>
              <w:spacing w:after="0"/>
              <w:rPr>
                <w:sz w:val="17"/>
                <w:szCs w:val="17"/>
                <w:color w:val="auto"/>
              </w:rPr>
            </w:pPr>
          </w:p>
        </w:tc>
        <w:tc>
          <w:tcPr>
            <w:tcW w:w="1200" w:type="dxa"/>
            <w:vAlign w:val="bottom"/>
            <w:shd w:val="clear" w:color="auto" w:fill="F0F2F5"/>
          </w:tcPr>
          <w:p>
            <w:pPr>
              <w:spacing w:after="0"/>
              <w:rPr>
                <w:sz w:val="17"/>
                <w:szCs w:val="17"/>
                <w:color w:val="auto"/>
              </w:rPr>
            </w:pPr>
          </w:p>
        </w:tc>
        <w:tc>
          <w:tcPr>
            <w:tcW w:w="1620" w:type="dxa"/>
            <w:vAlign w:val="bottom"/>
            <w:shd w:val="clear" w:color="auto" w:fill="F0F2F5"/>
          </w:tcPr>
          <w:p>
            <w:pPr>
              <w:spacing w:after="0"/>
              <w:rPr>
                <w:sz w:val="17"/>
                <w:szCs w:val="17"/>
                <w:color w:val="auto"/>
              </w:rPr>
            </w:pPr>
          </w:p>
        </w:tc>
        <w:tc>
          <w:tcPr>
            <w:tcW w:w="1180" w:type="dxa"/>
            <w:vAlign w:val="bottom"/>
            <w:shd w:val="clear" w:color="auto" w:fill="F0F2F5"/>
          </w:tcPr>
          <w:p>
            <w:pPr>
              <w:spacing w:after="0"/>
              <w:rPr>
                <w:sz w:val="17"/>
                <w:szCs w:val="17"/>
                <w:color w:val="auto"/>
              </w:rPr>
            </w:pPr>
          </w:p>
        </w:tc>
        <w:tc>
          <w:tcPr>
            <w:tcW w:w="1620" w:type="dxa"/>
            <w:vAlign w:val="bottom"/>
            <w:shd w:val="clear" w:color="auto" w:fill="F0F2F5"/>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160" w:type="dxa"/>
            <w:vAlign w:val="bottom"/>
            <w:gridSpan w:val="2"/>
          </w:tcPr>
          <w:p>
            <w:pPr>
              <w:spacing w:after="0"/>
              <w:rPr>
                <w:sz w:val="20"/>
                <w:szCs w:val="20"/>
                <w:color w:val="auto"/>
              </w:rPr>
            </w:pPr>
            <w:r>
              <w:rPr>
                <w:rFonts w:ascii="Arial" w:cs="Arial" w:eastAsia="Arial" w:hAnsi="Arial"/>
                <w:sz w:val="18"/>
                <w:szCs w:val="18"/>
                <w:color w:val="auto"/>
              </w:rPr>
              <w:t>Consolidated net income/loss for the period</w:t>
            </w:r>
          </w:p>
        </w:tc>
        <w:tc>
          <w:tcPr>
            <w:tcW w:w="1460" w:type="dxa"/>
            <w:vAlign w:val="bottom"/>
          </w:tcPr>
          <w:p>
            <w:pPr>
              <w:jc w:val="center"/>
              <w:spacing w:after="0"/>
              <w:rPr>
                <w:sz w:val="20"/>
                <w:szCs w:val="20"/>
                <w:color w:val="auto"/>
              </w:rPr>
            </w:pPr>
            <w:r>
              <w:rPr>
                <w:rFonts w:ascii="Arial" w:cs="Arial" w:eastAsia="Arial" w:hAnsi="Arial"/>
                <w:sz w:val="18"/>
                <w:szCs w:val="18"/>
                <w:color w:val="auto"/>
                <w:w w:val="91"/>
              </w:rPr>
              <w:t>-73,782</w:t>
            </w:r>
          </w:p>
        </w:tc>
        <w:tc>
          <w:tcPr>
            <w:tcW w:w="1200" w:type="dxa"/>
            <w:vAlign w:val="bottom"/>
          </w:tcPr>
          <w:p>
            <w:pPr>
              <w:jc w:val="center"/>
              <w:spacing w:after="0"/>
              <w:rPr>
                <w:sz w:val="20"/>
                <w:szCs w:val="20"/>
                <w:color w:val="auto"/>
              </w:rPr>
            </w:pPr>
            <w:r>
              <w:rPr>
                <w:rFonts w:ascii="Arial" w:cs="Arial" w:eastAsia="Arial" w:hAnsi="Arial"/>
                <w:sz w:val="18"/>
                <w:szCs w:val="18"/>
                <w:color w:val="auto"/>
                <w:w w:val="91"/>
              </w:rPr>
              <w:t>-45,477</w:t>
            </w:r>
          </w:p>
        </w:tc>
        <w:tc>
          <w:tcPr>
            <w:tcW w:w="1620" w:type="dxa"/>
            <w:vAlign w:val="bottom"/>
          </w:tcPr>
          <w:p>
            <w:pPr>
              <w:jc w:val="center"/>
              <w:spacing w:after="0"/>
              <w:rPr>
                <w:sz w:val="20"/>
                <w:szCs w:val="20"/>
                <w:color w:val="auto"/>
              </w:rPr>
            </w:pPr>
            <w:r>
              <w:rPr>
                <w:rFonts w:ascii="Arial" w:cs="Arial" w:eastAsia="Arial" w:hAnsi="Arial"/>
                <w:sz w:val="18"/>
                <w:szCs w:val="18"/>
                <w:color w:val="auto"/>
                <w:w w:val="95"/>
              </w:rPr>
              <w:t>-62%</w:t>
            </w:r>
          </w:p>
        </w:tc>
        <w:tc>
          <w:tcPr>
            <w:tcW w:w="1180" w:type="dxa"/>
            <w:vAlign w:val="bottom"/>
          </w:tcPr>
          <w:p>
            <w:pPr>
              <w:jc w:val="center"/>
              <w:spacing w:after="0"/>
              <w:rPr>
                <w:sz w:val="20"/>
                <w:szCs w:val="20"/>
                <w:color w:val="auto"/>
              </w:rPr>
            </w:pPr>
            <w:r>
              <w:rPr>
                <w:rFonts w:ascii="Arial" w:cs="Arial" w:eastAsia="Arial" w:hAnsi="Arial"/>
                <w:sz w:val="18"/>
                <w:szCs w:val="18"/>
                <w:color w:val="auto"/>
                <w:w w:val="91"/>
              </w:rPr>
              <w:t>-20,642</w:t>
            </w:r>
          </w:p>
        </w:tc>
        <w:tc>
          <w:tcPr>
            <w:tcW w:w="1620" w:type="dxa"/>
            <w:vAlign w:val="bottom"/>
          </w:tcPr>
          <w:p>
            <w:pPr>
              <w:jc w:val="center"/>
              <w:spacing w:after="0"/>
              <w:rPr>
                <w:sz w:val="20"/>
                <w:szCs w:val="20"/>
                <w:color w:val="auto"/>
              </w:rPr>
            </w:pPr>
            <w:r>
              <w:rPr>
                <w:rFonts w:ascii="Arial" w:cs="Arial" w:eastAsia="Arial" w:hAnsi="Arial"/>
                <w:sz w:val="18"/>
                <w:szCs w:val="18"/>
                <w:color w:val="auto"/>
                <w:w w:val="92"/>
              </w:rPr>
              <w:t>-120%</w:t>
            </w:r>
          </w:p>
        </w:tc>
        <w:tc>
          <w:tcPr>
            <w:tcW w:w="0" w:type="dxa"/>
            <w:vAlign w:val="bottom"/>
          </w:tcPr>
          <w:p>
            <w:pPr>
              <w:spacing w:after="0"/>
              <w:rPr>
                <w:sz w:val="1"/>
                <w:szCs w:val="1"/>
                <w:color w:val="auto"/>
              </w:rPr>
            </w:pPr>
          </w:p>
        </w:tc>
      </w:tr>
      <w:tr>
        <w:trPr>
          <w:trHeight w:val="202"/>
        </w:trPr>
        <w:tc>
          <w:tcPr>
            <w:tcW w:w="3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160" w:type="dxa"/>
            <w:vAlign w:val="bottom"/>
            <w:gridSpan w:val="2"/>
            <w:shd w:val="clear" w:color="auto" w:fill="F0F2F5"/>
          </w:tcPr>
          <w:p>
            <w:pPr>
              <w:spacing w:after="0"/>
              <w:rPr>
                <w:sz w:val="20"/>
                <w:szCs w:val="20"/>
                <w:color w:val="auto"/>
              </w:rPr>
            </w:pPr>
            <w:r>
              <w:rPr>
                <w:rFonts w:ascii="Arial" w:cs="Arial" w:eastAsia="Arial" w:hAnsi="Arial"/>
                <w:sz w:val="18"/>
                <w:szCs w:val="18"/>
                <w:color w:val="auto"/>
              </w:rPr>
              <w:t>Net income/loss of Mynaric AG according to HGB</w:t>
            </w:r>
          </w:p>
        </w:tc>
        <w:tc>
          <w:tcPr>
            <w:tcW w:w="1460" w:type="dxa"/>
            <w:vAlign w:val="bottom"/>
            <w:shd w:val="clear" w:color="auto" w:fill="F0F2F5"/>
          </w:tcPr>
          <w:p>
            <w:pPr>
              <w:jc w:val="center"/>
              <w:spacing w:after="0"/>
              <w:rPr>
                <w:sz w:val="20"/>
                <w:szCs w:val="20"/>
                <w:color w:val="auto"/>
              </w:rPr>
            </w:pPr>
            <w:r>
              <w:rPr>
                <w:rFonts w:ascii="Arial" w:cs="Arial" w:eastAsia="Arial" w:hAnsi="Arial"/>
                <w:sz w:val="18"/>
                <w:szCs w:val="18"/>
                <w:color w:val="auto"/>
                <w:w w:val="90"/>
              </w:rPr>
              <w:t>-9,919</w:t>
            </w:r>
          </w:p>
        </w:tc>
        <w:tc>
          <w:tcPr>
            <w:tcW w:w="1200" w:type="dxa"/>
            <w:vAlign w:val="bottom"/>
            <w:shd w:val="clear" w:color="auto" w:fill="F0F2F5"/>
          </w:tcPr>
          <w:p>
            <w:pPr>
              <w:jc w:val="center"/>
              <w:spacing w:after="0"/>
              <w:rPr>
                <w:sz w:val="20"/>
                <w:szCs w:val="20"/>
                <w:color w:val="auto"/>
              </w:rPr>
            </w:pPr>
            <w:r>
              <w:rPr>
                <w:rFonts w:ascii="Arial" w:cs="Arial" w:eastAsia="Arial" w:hAnsi="Arial"/>
                <w:sz w:val="18"/>
                <w:szCs w:val="18"/>
                <w:color w:val="auto"/>
                <w:w w:val="91"/>
              </w:rPr>
              <w:t>-13,178</w:t>
            </w:r>
          </w:p>
        </w:tc>
        <w:tc>
          <w:tcPr>
            <w:tcW w:w="1620" w:type="dxa"/>
            <w:vAlign w:val="bottom"/>
            <w:shd w:val="clear" w:color="auto" w:fill="F0F2F5"/>
          </w:tcPr>
          <w:p>
            <w:pPr>
              <w:jc w:val="center"/>
              <w:spacing w:after="0"/>
              <w:rPr>
                <w:sz w:val="20"/>
                <w:szCs w:val="20"/>
                <w:color w:val="auto"/>
              </w:rPr>
            </w:pPr>
            <w:r>
              <w:rPr>
                <w:rFonts w:ascii="Arial" w:cs="Arial" w:eastAsia="Arial" w:hAnsi="Arial"/>
                <w:sz w:val="18"/>
                <w:szCs w:val="18"/>
                <w:color w:val="auto"/>
                <w:w w:val="88"/>
              </w:rPr>
              <w:t>25%</w:t>
            </w:r>
          </w:p>
        </w:tc>
        <w:tc>
          <w:tcPr>
            <w:tcW w:w="1180" w:type="dxa"/>
            <w:vAlign w:val="bottom"/>
            <w:shd w:val="clear" w:color="auto" w:fill="F0F2F5"/>
          </w:tcPr>
          <w:p>
            <w:pPr>
              <w:jc w:val="center"/>
              <w:spacing w:after="0"/>
              <w:rPr>
                <w:sz w:val="20"/>
                <w:szCs w:val="20"/>
                <w:color w:val="auto"/>
              </w:rPr>
            </w:pPr>
            <w:r>
              <w:rPr>
                <w:rFonts w:ascii="Arial" w:cs="Arial" w:eastAsia="Arial" w:hAnsi="Arial"/>
                <w:sz w:val="18"/>
                <w:szCs w:val="18"/>
                <w:color w:val="auto"/>
                <w:w w:val="90"/>
              </w:rPr>
              <w:t>-9,602</w:t>
            </w:r>
          </w:p>
        </w:tc>
        <w:tc>
          <w:tcPr>
            <w:tcW w:w="1620" w:type="dxa"/>
            <w:vAlign w:val="bottom"/>
            <w:shd w:val="clear" w:color="auto" w:fill="F0F2F5"/>
          </w:tcPr>
          <w:p>
            <w:pPr>
              <w:jc w:val="center"/>
              <w:spacing w:after="0"/>
              <w:rPr>
                <w:sz w:val="20"/>
                <w:szCs w:val="20"/>
                <w:color w:val="auto"/>
              </w:rPr>
            </w:pPr>
            <w:r>
              <w:rPr>
                <w:rFonts w:ascii="Arial" w:cs="Arial" w:eastAsia="Arial" w:hAnsi="Arial"/>
                <w:sz w:val="18"/>
                <w:szCs w:val="18"/>
                <w:color w:val="auto"/>
                <w:w w:val="90"/>
              </w:rPr>
              <w:t>-37%</w:t>
            </w:r>
          </w:p>
        </w:tc>
        <w:tc>
          <w:tcPr>
            <w:tcW w:w="0" w:type="dxa"/>
            <w:vAlign w:val="bottom"/>
          </w:tcPr>
          <w:p>
            <w:pPr>
              <w:spacing w:after="0"/>
              <w:rPr>
                <w:sz w:val="1"/>
                <w:szCs w:val="1"/>
                <w:color w:val="auto"/>
              </w:rPr>
            </w:pPr>
          </w:p>
        </w:tc>
      </w:tr>
      <w:tr>
        <w:trPr>
          <w:trHeight w:val="202"/>
        </w:trPr>
        <w:tc>
          <w:tcPr>
            <w:tcW w:w="3780" w:type="dxa"/>
            <w:vAlign w:val="bottom"/>
            <w:shd w:val="clear" w:color="auto" w:fill="F0F2F5"/>
          </w:tcPr>
          <w:p>
            <w:pPr>
              <w:spacing w:after="0"/>
              <w:rPr>
                <w:sz w:val="17"/>
                <w:szCs w:val="17"/>
                <w:color w:val="auto"/>
              </w:rPr>
            </w:pPr>
          </w:p>
        </w:tc>
        <w:tc>
          <w:tcPr>
            <w:tcW w:w="380" w:type="dxa"/>
            <w:vAlign w:val="bottom"/>
            <w:shd w:val="clear" w:color="auto" w:fill="F0F2F5"/>
          </w:tcPr>
          <w:p>
            <w:pPr>
              <w:spacing w:after="0"/>
              <w:rPr>
                <w:sz w:val="17"/>
                <w:szCs w:val="17"/>
                <w:color w:val="auto"/>
              </w:rPr>
            </w:pPr>
          </w:p>
        </w:tc>
        <w:tc>
          <w:tcPr>
            <w:tcW w:w="1460" w:type="dxa"/>
            <w:vAlign w:val="bottom"/>
            <w:shd w:val="clear" w:color="auto" w:fill="F0F2F5"/>
          </w:tcPr>
          <w:p>
            <w:pPr>
              <w:spacing w:after="0"/>
              <w:rPr>
                <w:sz w:val="17"/>
                <w:szCs w:val="17"/>
                <w:color w:val="auto"/>
              </w:rPr>
            </w:pPr>
          </w:p>
        </w:tc>
        <w:tc>
          <w:tcPr>
            <w:tcW w:w="1200" w:type="dxa"/>
            <w:vAlign w:val="bottom"/>
            <w:shd w:val="clear" w:color="auto" w:fill="F0F2F5"/>
          </w:tcPr>
          <w:p>
            <w:pPr>
              <w:spacing w:after="0"/>
              <w:rPr>
                <w:sz w:val="17"/>
                <w:szCs w:val="17"/>
                <w:color w:val="auto"/>
              </w:rPr>
            </w:pPr>
          </w:p>
        </w:tc>
        <w:tc>
          <w:tcPr>
            <w:tcW w:w="1620" w:type="dxa"/>
            <w:vAlign w:val="bottom"/>
            <w:shd w:val="clear" w:color="auto" w:fill="F0F2F5"/>
          </w:tcPr>
          <w:p>
            <w:pPr>
              <w:spacing w:after="0"/>
              <w:rPr>
                <w:sz w:val="17"/>
                <w:szCs w:val="17"/>
                <w:color w:val="auto"/>
              </w:rPr>
            </w:pPr>
          </w:p>
        </w:tc>
        <w:tc>
          <w:tcPr>
            <w:tcW w:w="1180" w:type="dxa"/>
            <w:vAlign w:val="bottom"/>
            <w:shd w:val="clear" w:color="auto" w:fill="F0F2F5"/>
          </w:tcPr>
          <w:p>
            <w:pPr>
              <w:spacing w:after="0"/>
              <w:rPr>
                <w:sz w:val="17"/>
                <w:szCs w:val="17"/>
                <w:color w:val="auto"/>
              </w:rPr>
            </w:pPr>
          </w:p>
        </w:tc>
        <w:tc>
          <w:tcPr>
            <w:tcW w:w="1620" w:type="dxa"/>
            <w:vAlign w:val="bottom"/>
            <w:shd w:val="clear" w:color="auto" w:fill="F0F2F5"/>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160" w:type="dxa"/>
            <w:vAlign w:val="bottom"/>
            <w:gridSpan w:val="2"/>
          </w:tcPr>
          <w:p>
            <w:pPr>
              <w:spacing w:after="0"/>
              <w:rPr>
                <w:sz w:val="20"/>
                <w:szCs w:val="20"/>
                <w:color w:val="auto"/>
              </w:rPr>
            </w:pPr>
            <w:r>
              <w:rPr>
                <w:rFonts w:ascii="Arial" w:cs="Arial" w:eastAsia="Arial" w:hAnsi="Arial"/>
                <w:sz w:val="18"/>
                <w:szCs w:val="18"/>
                <w:b w:val="1"/>
                <w:bCs w:val="1"/>
                <w:color w:val="auto"/>
              </w:rPr>
              <w:t>Employees</w:t>
            </w:r>
          </w:p>
        </w:tc>
        <w:tc>
          <w:tcPr>
            <w:tcW w:w="14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3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160" w:type="dxa"/>
            <w:vAlign w:val="bottom"/>
            <w:gridSpan w:val="2"/>
            <w:shd w:val="clear" w:color="auto" w:fill="F0F2F5"/>
          </w:tcPr>
          <w:p>
            <w:pPr>
              <w:spacing w:after="0"/>
              <w:rPr>
                <w:sz w:val="20"/>
                <w:szCs w:val="20"/>
                <w:color w:val="auto"/>
              </w:rPr>
            </w:pPr>
            <w:r>
              <w:rPr>
                <w:rFonts w:ascii="Arial" w:cs="Arial" w:eastAsia="Arial" w:hAnsi="Arial"/>
                <w:sz w:val="18"/>
                <w:szCs w:val="18"/>
                <w:color w:val="auto"/>
              </w:rPr>
              <w:t>Employee remuneration within the Mynaric Group</w:t>
            </w:r>
          </w:p>
        </w:tc>
        <w:tc>
          <w:tcPr>
            <w:tcW w:w="1460" w:type="dxa"/>
            <w:vAlign w:val="bottom"/>
            <w:shd w:val="clear" w:color="auto" w:fill="F0F2F5"/>
          </w:tcPr>
          <w:p>
            <w:pPr>
              <w:jc w:val="center"/>
              <w:spacing w:after="0"/>
              <w:rPr>
                <w:sz w:val="20"/>
                <w:szCs w:val="20"/>
                <w:color w:val="auto"/>
              </w:rPr>
            </w:pPr>
            <w:r>
              <w:rPr>
                <w:rFonts w:ascii="Arial" w:cs="Arial" w:eastAsia="Arial" w:hAnsi="Arial"/>
                <w:sz w:val="18"/>
                <w:szCs w:val="18"/>
                <w:color w:val="auto"/>
                <w:w w:val="89"/>
              </w:rPr>
              <w:t>95</w:t>
            </w:r>
          </w:p>
        </w:tc>
        <w:tc>
          <w:tcPr>
            <w:tcW w:w="1200" w:type="dxa"/>
            <w:vAlign w:val="bottom"/>
            <w:shd w:val="clear" w:color="auto" w:fill="F0F2F5"/>
          </w:tcPr>
          <w:p>
            <w:pPr>
              <w:jc w:val="center"/>
              <w:spacing w:after="0"/>
              <w:rPr>
                <w:sz w:val="20"/>
                <w:szCs w:val="20"/>
                <w:color w:val="auto"/>
              </w:rPr>
            </w:pPr>
            <w:r>
              <w:rPr>
                <w:rFonts w:ascii="Arial" w:cs="Arial" w:eastAsia="Arial" w:hAnsi="Arial"/>
                <w:sz w:val="18"/>
                <w:szCs w:val="18"/>
                <w:color w:val="auto"/>
                <w:w w:val="89"/>
              </w:rPr>
              <w:t>90</w:t>
            </w:r>
          </w:p>
        </w:tc>
        <w:tc>
          <w:tcPr>
            <w:tcW w:w="1620" w:type="dxa"/>
            <w:vAlign w:val="bottom"/>
            <w:shd w:val="clear" w:color="auto" w:fill="F0F2F5"/>
          </w:tcPr>
          <w:p>
            <w:pPr>
              <w:jc w:val="center"/>
              <w:spacing w:after="0"/>
              <w:rPr>
                <w:sz w:val="20"/>
                <w:szCs w:val="20"/>
                <w:color w:val="auto"/>
              </w:rPr>
            </w:pPr>
            <w:r>
              <w:rPr>
                <w:rFonts w:ascii="Arial" w:cs="Arial" w:eastAsia="Arial" w:hAnsi="Arial"/>
                <w:sz w:val="18"/>
                <w:szCs w:val="18"/>
                <w:color w:val="auto"/>
                <w:w w:val="92"/>
              </w:rPr>
              <w:t>6%</w:t>
            </w:r>
          </w:p>
        </w:tc>
        <w:tc>
          <w:tcPr>
            <w:tcW w:w="1180" w:type="dxa"/>
            <w:vAlign w:val="bottom"/>
            <w:shd w:val="clear" w:color="auto" w:fill="F0F2F5"/>
          </w:tcPr>
          <w:p>
            <w:pPr>
              <w:jc w:val="center"/>
              <w:spacing w:after="0"/>
              <w:rPr>
                <w:sz w:val="20"/>
                <w:szCs w:val="20"/>
                <w:color w:val="auto"/>
              </w:rPr>
            </w:pPr>
            <w:r>
              <w:rPr>
                <w:rFonts w:ascii="Arial" w:cs="Arial" w:eastAsia="Arial" w:hAnsi="Arial"/>
                <w:sz w:val="18"/>
                <w:szCs w:val="18"/>
                <w:color w:val="auto"/>
                <w:w w:val="89"/>
              </w:rPr>
              <w:t>84</w:t>
            </w:r>
          </w:p>
        </w:tc>
        <w:tc>
          <w:tcPr>
            <w:tcW w:w="1620" w:type="dxa"/>
            <w:vAlign w:val="bottom"/>
            <w:shd w:val="clear" w:color="auto" w:fill="F0F2F5"/>
          </w:tcPr>
          <w:p>
            <w:pPr>
              <w:jc w:val="center"/>
              <w:spacing w:after="0"/>
              <w:rPr>
                <w:sz w:val="20"/>
                <w:szCs w:val="20"/>
                <w:color w:val="auto"/>
              </w:rPr>
            </w:pPr>
            <w:r>
              <w:rPr>
                <w:rFonts w:ascii="Arial" w:cs="Arial" w:eastAsia="Arial" w:hAnsi="Arial"/>
                <w:sz w:val="18"/>
                <w:szCs w:val="18"/>
                <w:color w:val="auto"/>
                <w:w w:val="92"/>
              </w:rPr>
              <w:t>6%</w:t>
            </w:r>
          </w:p>
        </w:tc>
        <w:tc>
          <w:tcPr>
            <w:tcW w:w="0" w:type="dxa"/>
            <w:vAlign w:val="bottom"/>
          </w:tcPr>
          <w:p>
            <w:pPr>
              <w:spacing w:after="0"/>
              <w:rPr>
                <w:sz w:val="1"/>
                <w:szCs w:val="1"/>
                <w:color w:val="auto"/>
              </w:rPr>
            </w:pPr>
          </w:p>
        </w:tc>
      </w:tr>
      <w:tr>
        <w:trPr>
          <w:trHeight w:val="202"/>
        </w:trPr>
        <w:tc>
          <w:tcPr>
            <w:tcW w:w="3780" w:type="dxa"/>
            <w:vAlign w:val="bottom"/>
            <w:shd w:val="clear" w:color="auto" w:fill="F0F2F5"/>
          </w:tcPr>
          <w:p>
            <w:pPr>
              <w:spacing w:after="0"/>
              <w:rPr>
                <w:sz w:val="17"/>
                <w:szCs w:val="17"/>
                <w:color w:val="auto"/>
              </w:rPr>
            </w:pPr>
          </w:p>
        </w:tc>
        <w:tc>
          <w:tcPr>
            <w:tcW w:w="380" w:type="dxa"/>
            <w:vAlign w:val="bottom"/>
            <w:shd w:val="clear" w:color="auto" w:fill="F0F2F5"/>
          </w:tcPr>
          <w:p>
            <w:pPr>
              <w:spacing w:after="0"/>
              <w:rPr>
                <w:sz w:val="17"/>
                <w:szCs w:val="17"/>
                <w:color w:val="auto"/>
              </w:rPr>
            </w:pPr>
          </w:p>
        </w:tc>
        <w:tc>
          <w:tcPr>
            <w:tcW w:w="1460" w:type="dxa"/>
            <w:vAlign w:val="bottom"/>
            <w:shd w:val="clear" w:color="auto" w:fill="F0F2F5"/>
          </w:tcPr>
          <w:p>
            <w:pPr>
              <w:spacing w:after="0"/>
              <w:rPr>
                <w:sz w:val="17"/>
                <w:szCs w:val="17"/>
                <w:color w:val="auto"/>
              </w:rPr>
            </w:pPr>
          </w:p>
        </w:tc>
        <w:tc>
          <w:tcPr>
            <w:tcW w:w="1200" w:type="dxa"/>
            <w:vAlign w:val="bottom"/>
            <w:shd w:val="clear" w:color="auto" w:fill="F0F2F5"/>
          </w:tcPr>
          <w:p>
            <w:pPr>
              <w:spacing w:after="0"/>
              <w:rPr>
                <w:sz w:val="17"/>
                <w:szCs w:val="17"/>
                <w:color w:val="auto"/>
              </w:rPr>
            </w:pPr>
          </w:p>
        </w:tc>
        <w:tc>
          <w:tcPr>
            <w:tcW w:w="1620" w:type="dxa"/>
            <w:vAlign w:val="bottom"/>
            <w:shd w:val="clear" w:color="auto" w:fill="F0F2F5"/>
          </w:tcPr>
          <w:p>
            <w:pPr>
              <w:spacing w:after="0"/>
              <w:rPr>
                <w:sz w:val="17"/>
                <w:szCs w:val="17"/>
                <w:color w:val="auto"/>
              </w:rPr>
            </w:pPr>
          </w:p>
        </w:tc>
        <w:tc>
          <w:tcPr>
            <w:tcW w:w="1180" w:type="dxa"/>
            <w:vAlign w:val="bottom"/>
            <w:shd w:val="clear" w:color="auto" w:fill="F0F2F5"/>
          </w:tcPr>
          <w:p>
            <w:pPr>
              <w:spacing w:after="0"/>
              <w:rPr>
                <w:sz w:val="17"/>
                <w:szCs w:val="17"/>
                <w:color w:val="auto"/>
              </w:rPr>
            </w:pPr>
          </w:p>
        </w:tc>
        <w:tc>
          <w:tcPr>
            <w:tcW w:w="1620" w:type="dxa"/>
            <w:vAlign w:val="bottom"/>
            <w:shd w:val="clear" w:color="auto" w:fill="F0F2F5"/>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4160" w:type="dxa"/>
            <w:vAlign w:val="bottom"/>
            <w:gridSpan w:val="2"/>
          </w:tcPr>
          <w:p>
            <w:pPr>
              <w:spacing w:after="0" w:line="198" w:lineRule="exact"/>
              <w:rPr>
                <w:sz w:val="20"/>
                <w:szCs w:val="20"/>
                <w:color w:val="auto"/>
              </w:rPr>
            </w:pPr>
            <w:r>
              <w:rPr>
                <w:rFonts w:ascii="Arial" w:cs="Arial" w:eastAsia="Arial" w:hAnsi="Arial"/>
                <w:sz w:val="18"/>
                <w:szCs w:val="18"/>
                <w:b w:val="1"/>
                <w:bCs w:val="1"/>
                <w:color w:val="auto"/>
                <w:w w:val="99"/>
              </w:rPr>
              <w:t>Members of the Management Board active in the</w:t>
            </w:r>
          </w:p>
        </w:tc>
        <w:tc>
          <w:tcPr>
            <w:tcW w:w="14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160" w:type="dxa"/>
            <w:vAlign w:val="bottom"/>
            <w:gridSpan w:val="2"/>
          </w:tcPr>
          <w:p>
            <w:pPr>
              <w:spacing w:after="0"/>
              <w:rPr>
                <w:sz w:val="20"/>
                <w:szCs w:val="20"/>
                <w:color w:val="auto"/>
              </w:rPr>
            </w:pPr>
            <w:r>
              <w:rPr>
                <w:rFonts w:ascii="Arial" w:cs="Arial" w:eastAsia="Arial" w:hAnsi="Arial"/>
                <w:sz w:val="18"/>
                <w:szCs w:val="18"/>
                <w:b w:val="1"/>
                <w:bCs w:val="1"/>
                <w:color w:val="auto"/>
              </w:rPr>
              <w:t>financial year</w:t>
            </w:r>
          </w:p>
        </w:tc>
        <w:tc>
          <w:tcPr>
            <w:tcW w:w="14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160" w:type="dxa"/>
            <w:vAlign w:val="bottom"/>
            <w:gridSpan w:val="2"/>
            <w:shd w:val="clear" w:color="auto" w:fill="F0F2F5"/>
          </w:tcPr>
          <w:p>
            <w:pPr>
              <w:spacing w:after="0"/>
              <w:rPr>
                <w:sz w:val="20"/>
                <w:szCs w:val="20"/>
                <w:color w:val="auto"/>
              </w:rPr>
            </w:pPr>
            <w:r>
              <w:rPr>
                <w:rFonts w:ascii="Arial" w:cs="Arial" w:eastAsia="Arial" w:hAnsi="Arial"/>
                <w:sz w:val="18"/>
                <w:szCs w:val="18"/>
                <w:color w:val="auto"/>
              </w:rPr>
              <w:t>Bulent Altan</w:t>
            </w:r>
          </w:p>
        </w:tc>
        <w:tc>
          <w:tcPr>
            <w:tcW w:w="1460" w:type="dxa"/>
            <w:vAlign w:val="bottom"/>
            <w:shd w:val="clear" w:color="auto" w:fill="F0F2F5"/>
          </w:tcPr>
          <w:p>
            <w:pPr>
              <w:jc w:val="center"/>
              <w:spacing w:after="0"/>
              <w:rPr>
                <w:sz w:val="20"/>
                <w:szCs w:val="20"/>
                <w:color w:val="auto"/>
              </w:rPr>
            </w:pPr>
            <w:r>
              <w:rPr>
                <w:rFonts w:ascii="Arial" w:cs="Arial" w:eastAsia="Arial" w:hAnsi="Arial"/>
                <w:sz w:val="18"/>
                <w:szCs w:val="18"/>
                <w:color w:val="auto"/>
                <w:w w:val="93"/>
              </w:rPr>
              <w:t>819</w:t>
            </w:r>
          </w:p>
        </w:tc>
        <w:tc>
          <w:tcPr>
            <w:tcW w:w="1200" w:type="dxa"/>
            <w:vAlign w:val="bottom"/>
            <w:shd w:val="clear" w:color="auto" w:fill="F0F2F5"/>
          </w:tcPr>
          <w:p>
            <w:pPr>
              <w:jc w:val="center"/>
              <w:spacing w:after="0"/>
              <w:rPr>
                <w:sz w:val="20"/>
                <w:szCs w:val="20"/>
                <w:color w:val="auto"/>
              </w:rPr>
            </w:pPr>
            <w:r>
              <w:rPr>
                <w:rFonts w:ascii="Arial" w:cs="Arial" w:eastAsia="Arial" w:hAnsi="Arial"/>
                <w:sz w:val="18"/>
                <w:szCs w:val="18"/>
                <w:color w:val="auto"/>
                <w:w w:val="88"/>
              </w:rPr>
              <w:t>1,497</w:t>
            </w:r>
          </w:p>
        </w:tc>
        <w:tc>
          <w:tcPr>
            <w:tcW w:w="1620" w:type="dxa"/>
            <w:vAlign w:val="bottom"/>
            <w:shd w:val="clear" w:color="auto" w:fill="F0F2F5"/>
          </w:tcPr>
          <w:p>
            <w:pPr>
              <w:jc w:val="center"/>
              <w:spacing w:after="0"/>
              <w:rPr>
                <w:sz w:val="20"/>
                <w:szCs w:val="20"/>
                <w:color w:val="auto"/>
              </w:rPr>
            </w:pPr>
            <w:r>
              <w:rPr>
                <w:rFonts w:ascii="Arial" w:cs="Arial" w:eastAsia="Arial" w:hAnsi="Arial"/>
                <w:sz w:val="18"/>
                <w:szCs w:val="18"/>
                <w:color w:val="auto"/>
                <w:w w:val="95"/>
              </w:rPr>
              <w:t>-45%</w:t>
            </w:r>
          </w:p>
        </w:tc>
        <w:tc>
          <w:tcPr>
            <w:tcW w:w="1180" w:type="dxa"/>
            <w:vAlign w:val="bottom"/>
            <w:shd w:val="clear" w:color="auto" w:fill="F0F2F5"/>
          </w:tcPr>
          <w:p>
            <w:pPr>
              <w:jc w:val="center"/>
              <w:spacing w:after="0"/>
              <w:rPr>
                <w:sz w:val="20"/>
                <w:szCs w:val="20"/>
                <w:color w:val="auto"/>
              </w:rPr>
            </w:pPr>
            <w:r>
              <w:rPr>
                <w:rFonts w:ascii="Arial" w:cs="Arial" w:eastAsia="Arial" w:hAnsi="Arial"/>
                <w:sz w:val="18"/>
                <w:szCs w:val="18"/>
                <w:color w:val="auto"/>
                <w:w w:val="93"/>
              </w:rPr>
              <w:t>782</w:t>
            </w:r>
          </w:p>
        </w:tc>
        <w:tc>
          <w:tcPr>
            <w:tcW w:w="1620" w:type="dxa"/>
            <w:vAlign w:val="bottom"/>
            <w:shd w:val="clear" w:color="auto" w:fill="F0F2F5"/>
          </w:tcPr>
          <w:p>
            <w:pPr>
              <w:jc w:val="center"/>
              <w:spacing w:after="0"/>
              <w:rPr>
                <w:sz w:val="20"/>
                <w:szCs w:val="20"/>
                <w:color w:val="auto"/>
              </w:rPr>
            </w:pPr>
            <w:r>
              <w:rPr>
                <w:rFonts w:ascii="Arial" w:cs="Arial" w:eastAsia="Arial" w:hAnsi="Arial"/>
                <w:sz w:val="18"/>
                <w:szCs w:val="18"/>
                <w:color w:val="auto"/>
                <w:w w:val="94"/>
              </w:rPr>
              <w:t>91%</w:t>
            </w:r>
          </w:p>
        </w:tc>
        <w:tc>
          <w:tcPr>
            <w:tcW w:w="0" w:type="dxa"/>
            <w:vAlign w:val="bottom"/>
          </w:tcPr>
          <w:p>
            <w:pPr>
              <w:spacing w:after="0"/>
              <w:rPr>
                <w:sz w:val="1"/>
                <w:szCs w:val="1"/>
                <w:color w:val="auto"/>
              </w:rPr>
            </w:pPr>
          </w:p>
        </w:tc>
      </w:tr>
      <w:tr>
        <w:trPr>
          <w:trHeight w:val="202"/>
        </w:trPr>
        <w:tc>
          <w:tcPr>
            <w:tcW w:w="3780" w:type="dxa"/>
            <w:vAlign w:val="bottom"/>
            <w:shd w:val="clear" w:color="auto" w:fill="F0F2F5"/>
          </w:tcPr>
          <w:p>
            <w:pPr>
              <w:spacing w:after="0"/>
              <w:rPr>
                <w:sz w:val="17"/>
                <w:szCs w:val="17"/>
                <w:color w:val="auto"/>
              </w:rPr>
            </w:pPr>
          </w:p>
        </w:tc>
        <w:tc>
          <w:tcPr>
            <w:tcW w:w="380" w:type="dxa"/>
            <w:vAlign w:val="bottom"/>
            <w:shd w:val="clear" w:color="auto" w:fill="F0F2F5"/>
          </w:tcPr>
          <w:p>
            <w:pPr>
              <w:spacing w:after="0"/>
              <w:rPr>
                <w:sz w:val="17"/>
                <w:szCs w:val="17"/>
                <w:color w:val="auto"/>
              </w:rPr>
            </w:pPr>
          </w:p>
        </w:tc>
        <w:tc>
          <w:tcPr>
            <w:tcW w:w="1460" w:type="dxa"/>
            <w:vAlign w:val="bottom"/>
            <w:shd w:val="clear" w:color="auto" w:fill="F0F2F5"/>
          </w:tcPr>
          <w:p>
            <w:pPr>
              <w:spacing w:after="0"/>
              <w:rPr>
                <w:sz w:val="17"/>
                <w:szCs w:val="17"/>
                <w:color w:val="auto"/>
              </w:rPr>
            </w:pPr>
          </w:p>
        </w:tc>
        <w:tc>
          <w:tcPr>
            <w:tcW w:w="1200" w:type="dxa"/>
            <w:vAlign w:val="bottom"/>
            <w:shd w:val="clear" w:color="auto" w:fill="F0F2F5"/>
          </w:tcPr>
          <w:p>
            <w:pPr>
              <w:spacing w:after="0"/>
              <w:rPr>
                <w:sz w:val="17"/>
                <w:szCs w:val="17"/>
                <w:color w:val="auto"/>
              </w:rPr>
            </w:pPr>
          </w:p>
        </w:tc>
        <w:tc>
          <w:tcPr>
            <w:tcW w:w="1620" w:type="dxa"/>
            <w:vAlign w:val="bottom"/>
            <w:shd w:val="clear" w:color="auto" w:fill="F0F2F5"/>
          </w:tcPr>
          <w:p>
            <w:pPr>
              <w:spacing w:after="0"/>
              <w:rPr>
                <w:sz w:val="17"/>
                <w:szCs w:val="17"/>
                <w:color w:val="auto"/>
              </w:rPr>
            </w:pPr>
          </w:p>
        </w:tc>
        <w:tc>
          <w:tcPr>
            <w:tcW w:w="1180" w:type="dxa"/>
            <w:vAlign w:val="bottom"/>
            <w:shd w:val="clear" w:color="auto" w:fill="F0F2F5"/>
          </w:tcPr>
          <w:p>
            <w:pPr>
              <w:spacing w:after="0"/>
              <w:rPr>
                <w:sz w:val="17"/>
                <w:szCs w:val="17"/>
                <w:color w:val="auto"/>
              </w:rPr>
            </w:pPr>
          </w:p>
        </w:tc>
        <w:tc>
          <w:tcPr>
            <w:tcW w:w="1620" w:type="dxa"/>
            <w:vAlign w:val="bottom"/>
            <w:shd w:val="clear" w:color="auto" w:fill="F0F2F5"/>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160" w:type="dxa"/>
            <w:vAlign w:val="bottom"/>
            <w:gridSpan w:val="2"/>
          </w:tcPr>
          <w:p>
            <w:pPr>
              <w:spacing w:after="0"/>
              <w:rPr>
                <w:sz w:val="20"/>
                <w:szCs w:val="20"/>
                <w:color w:val="auto"/>
              </w:rPr>
            </w:pPr>
            <w:r>
              <w:rPr>
                <w:rFonts w:ascii="Arial" w:cs="Arial" w:eastAsia="Arial" w:hAnsi="Arial"/>
                <w:sz w:val="18"/>
                <w:szCs w:val="18"/>
                <w:color w:val="auto"/>
              </w:rPr>
              <w:t>Stefan Berndt-von Bülow</w:t>
            </w:r>
          </w:p>
        </w:tc>
        <w:tc>
          <w:tcPr>
            <w:tcW w:w="1460" w:type="dxa"/>
            <w:vAlign w:val="bottom"/>
            <w:vMerge w:val="restart"/>
          </w:tcPr>
          <w:p>
            <w:pPr>
              <w:jc w:val="center"/>
              <w:spacing w:after="0"/>
              <w:rPr>
                <w:sz w:val="20"/>
                <w:szCs w:val="20"/>
                <w:color w:val="auto"/>
              </w:rPr>
            </w:pPr>
            <w:r>
              <w:rPr>
                <w:rFonts w:ascii="Arial" w:cs="Arial" w:eastAsia="Arial" w:hAnsi="Arial"/>
                <w:sz w:val="18"/>
                <w:szCs w:val="18"/>
                <w:color w:val="auto"/>
                <w:w w:val="93"/>
              </w:rPr>
              <w:t>523</w:t>
            </w:r>
          </w:p>
        </w:tc>
        <w:tc>
          <w:tcPr>
            <w:tcW w:w="1200" w:type="dxa"/>
            <w:vAlign w:val="bottom"/>
            <w:vMerge w:val="restart"/>
          </w:tcPr>
          <w:p>
            <w:pPr>
              <w:jc w:val="center"/>
              <w:spacing w:after="0"/>
              <w:rPr>
                <w:sz w:val="20"/>
                <w:szCs w:val="20"/>
                <w:color w:val="auto"/>
              </w:rPr>
            </w:pPr>
            <w:r>
              <w:rPr>
                <w:rFonts w:ascii="Arial" w:cs="Arial" w:eastAsia="Arial" w:hAnsi="Arial"/>
                <w:sz w:val="18"/>
                <w:szCs w:val="18"/>
                <w:color w:val="auto"/>
                <w:w w:val="88"/>
              </w:rPr>
              <w:t>1,004</w:t>
            </w:r>
          </w:p>
        </w:tc>
        <w:tc>
          <w:tcPr>
            <w:tcW w:w="1620" w:type="dxa"/>
            <w:vAlign w:val="bottom"/>
            <w:vMerge w:val="restart"/>
          </w:tcPr>
          <w:p>
            <w:pPr>
              <w:jc w:val="center"/>
              <w:spacing w:after="0"/>
              <w:rPr>
                <w:sz w:val="20"/>
                <w:szCs w:val="20"/>
                <w:color w:val="auto"/>
              </w:rPr>
            </w:pPr>
            <w:r>
              <w:rPr>
                <w:rFonts w:ascii="Arial" w:cs="Arial" w:eastAsia="Arial" w:hAnsi="Arial"/>
                <w:sz w:val="18"/>
                <w:szCs w:val="18"/>
                <w:color w:val="auto"/>
                <w:w w:val="95"/>
              </w:rPr>
              <w:t>-48%</w:t>
            </w:r>
          </w:p>
        </w:tc>
        <w:tc>
          <w:tcPr>
            <w:tcW w:w="1180" w:type="dxa"/>
            <w:vAlign w:val="bottom"/>
            <w:vMerge w:val="restart"/>
          </w:tcPr>
          <w:p>
            <w:pPr>
              <w:jc w:val="center"/>
              <w:spacing w:after="0"/>
              <w:rPr>
                <w:sz w:val="20"/>
                <w:szCs w:val="20"/>
                <w:color w:val="auto"/>
              </w:rPr>
            </w:pPr>
            <w:r>
              <w:rPr>
                <w:rFonts w:ascii="Arial" w:cs="Arial" w:eastAsia="Arial" w:hAnsi="Arial"/>
                <w:sz w:val="18"/>
                <w:szCs w:val="18"/>
                <w:color w:val="auto"/>
                <w:w w:val="93"/>
              </w:rPr>
              <w:t>321</w:t>
            </w:r>
          </w:p>
        </w:tc>
        <w:tc>
          <w:tcPr>
            <w:tcW w:w="1620" w:type="dxa"/>
            <w:vAlign w:val="bottom"/>
            <w:vMerge w:val="restart"/>
          </w:tcPr>
          <w:p>
            <w:pPr>
              <w:jc w:val="center"/>
              <w:spacing w:after="0"/>
              <w:rPr>
                <w:sz w:val="20"/>
                <w:szCs w:val="20"/>
                <w:color w:val="auto"/>
              </w:rPr>
            </w:pPr>
            <w:r>
              <w:rPr>
                <w:rFonts w:ascii="Arial" w:cs="Arial" w:eastAsia="Arial" w:hAnsi="Arial"/>
                <w:sz w:val="18"/>
                <w:szCs w:val="18"/>
                <w:color w:val="auto"/>
                <w:w w:val="91"/>
              </w:rPr>
              <w:t>213%</w:t>
            </w:r>
          </w:p>
        </w:tc>
        <w:tc>
          <w:tcPr>
            <w:tcW w:w="0" w:type="dxa"/>
            <w:vAlign w:val="bottom"/>
          </w:tcPr>
          <w:p>
            <w:pPr>
              <w:spacing w:after="0"/>
              <w:rPr>
                <w:sz w:val="1"/>
                <w:szCs w:val="1"/>
                <w:color w:val="auto"/>
              </w:rPr>
            </w:pPr>
          </w:p>
        </w:tc>
      </w:tr>
      <w:tr>
        <w:trPr>
          <w:trHeight w:val="202"/>
        </w:trPr>
        <w:tc>
          <w:tcPr>
            <w:tcW w:w="4160" w:type="dxa"/>
            <w:vAlign w:val="bottom"/>
            <w:gridSpan w:val="2"/>
            <w:vMerge w:val="restart"/>
          </w:tcPr>
          <w:p>
            <w:pPr>
              <w:spacing w:after="0"/>
              <w:rPr>
                <w:sz w:val="20"/>
                <w:szCs w:val="20"/>
                <w:color w:val="auto"/>
              </w:rPr>
            </w:pPr>
            <w:r>
              <w:rPr>
                <w:rFonts w:ascii="Arial" w:cs="Arial" w:eastAsia="Arial" w:hAnsi="Arial"/>
                <w:sz w:val="18"/>
                <w:szCs w:val="18"/>
                <w:color w:val="auto"/>
              </w:rPr>
              <w:t>(since September 16, 2020)</w:t>
            </w:r>
          </w:p>
        </w:tc>
        <w:tc>
          <w:tcPr>
            <w:tcW w:w="1460" w:type="dxa"/>
            <w:vAlign w:val="bottom"/>
            <w:vMerge w:val="continue"/>
          </w:tcPr>
          <w:p>
            <w:pPr>
              <w:spacing w:after="0"/>
              <w:rPr>
                <w:sz w:val="17"/>
                <w:szCs w:val="17"/>
                <w:color w:val="auto"/>
              </w:rPr>
            </w:pPr>
          </w:p>
        </w:tc>
        <w:tc>
          <w:tcPr>
            <w:tcW w:w="1200" w:type="dxa"/>
            <w:vAlign w:val="bottom"/>
            <w:vMerge w:val="continue"/>
          </w:tcPr>
          <w:p>
            <w:pPr>
              <w:spacing w:after="0"/>
              <w:rPr>
                <w:sz w:val="17"/>
                <w:szCs w:val="17"/>
                <w:color w:val="auto"/>
              </w:rPr>
            </w:pPr>
          </w:p>
        </w:tc>
        <w:tc>
          <w:tcPr>
            <w:tcW w:w="1620" w:type="dxa"/>
            <w:vAlign w:val="bottom"/>
            <w:vMerge w:val="continue"/>
          </w:tcPr>
          <w:p>
            <w:pPr>
              <w:spacing w:after="0"/>
              <w:rPr>
                <w:sz w:val="17"/>
                <w:szCs w:val="17"/>
                <w:color w:val="auto"/>
              </w:rPr>
            </w:pPr>
          </w:p>
        </w:tc>
        <w:tc>
          <w:tcPr>
            <w:tcW w:w="1180" w:type="dxa"/>
            <w:vAlign w:val="bottom"/>
            <w:vMerge w:val="continue"/>
          </w:tcPr>
          <w:p>
            <w:pPr>
              <w:spacing w:after="0"/>
              <w:rPr>
                <w:sz w:val="17"/>
                <w:szCs w:val="17"/>
                <w:color w:val="auto"/>
              </w:rPr>
            </w:pPr>
          </w:p>
        </w:tc>
        <w:tc>
          <w:tcPr>
            <w:tcW w:w="16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160" w:type="dxa"/>
            <w:vAlign w:val="bottom"/>
            <w:gridSpan w:val="2"/>
            <w:vMerge w:val="continue"/>
          </w:tcPr>
          <w:p>
            <w:pPr>
              <w:spacing w:after="0"/>
              <w:rPr>
                <w:sz w:val="18"/>
                <w:szCs w:val="18"/>
                <w:color w:val="auto"/>
              </w:rPr>
            </w:pPr>
          </w:p>
        </w:tc>
        <w:tc>
          <w:tcPr>
            <w:tcW w:w="14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160" w:type="dxa"/>
            <w:vAlign w:val="bottom"/>
            <w:gridSpan w:val="2"/>
            <w:shd w:val="clear" w:color="auto" w:fill="F0F2F5"/>
          </w:tcPr>
          <w:p>
            <w:pPr>
              <w:spacing w:after="0"/>
              <w:rPr>
                <w:sz w:val="20"/>
                <w:szCs w:val="20"/>
                <w:color w:val="auto"/>
              </w:rPr>
            </w:pPr>
            <w:r>
              <w:rPr>
                <w:rFonts w:ascii="Arial" w:cs="Arial" w:eastAsia="Arial" w:hAnsi="Arial"/>
                <w:sz w:val="18"/>
                <w:szCs w:val="18"/>
                <w:color w:val="auto"/>
              </w:rPr>
              <w:t>Joachim Horwath</w:t>
            </w:r>
          </w:p>
        </w:tc>
        <w:tc>
          <w:tcPr>
            <w:tcW w:w="1460" w:type="dxa"/>
            <w:vAlign w:val="bottom"/>
            <w:shd w:val="clear" w:color="auto" w:fill="F0F2F5"/>
          </w:tcPr>
          <w:p>
            <w:pPr>
              <w:spacing w:after="0"/>
              <w:rPr>
                <w:sz w:val="19"/>
                <w:szCs w:val="19"/>
                <w:color w:val="auto"/>
              </w:rPr>
            </w:pPr>
          </w:p>
        </w:tc>
        <w:tc>
          <w:tcPr>
            <w:tcW w:w="1200" w:type="dxa"/>
            <w:vAlign w:val="bottom"/>
            <w:shd w:val="clear" w:color="auto" w:fill="F0F2F5"/>
          </w:tcPr>
          <w:p>
            <w:pPr>
              <w:spacing w:after="0"/>
              <w:rPr>
                <w:sz w:val="19"/>
                <w:szCs w:val="19"/>
                <w:color w:val="auto"/>
              </w:rPr>
            </w:pPr>
          </w:p>
        </w:tc>
        <w:tc>
          <w:tcPr>
            <w:tcW w:w="1620" w:type="dxa"/>
            <w:vAlign w:val="bottom"/>
            <w:shd w:val="clear" w:color="auto" w:fill="F0F2F5"/>
          </w:tcPr>
          <w:p>
            <w:pPr>
              <w:spacing w:after="0"/>
              <w:rPr>
                <w:sz w:val="19"/>
                <w:szCs w:val="19"/>
                <w:color w:val="auto"/>
              </w:rPr>
            </w:pPr>
          </w:p>
        </w:tc>
        <w:tc>
          <w:tcPr>
            <w:tcW w:w="1180" w:type="dxa"/>
            <w:vAlign w:val="bottom"/>
            <w:shd w:val="clear" w:color="auto" w:fill="F0F2F5"/>
          </w:tcPr>
          <w:p>
            <w:pPr>
              <w:spacing w:after="0"/>
              <w:rPr>
                <w:sz w:val="19"/>
                <w:szCs w:val="19"/>
                <w:color w:val="auto"/>
              </w:rPr>
            </w:pPr>
          </w:p>
        </w:tc>
        <w:tc>
          <w:tcPr>
            <w:tcW w:w="1620" w:type="dxa"/>
            <w:vAlign w:val="bottom"/>
            <w:shd w:val="clear" w:color="auto" w:fill="F0F2F5"/>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60" w:type="dxa"/>
            <w:vAlign w:val="bottom"/>
            <w:gridSpan w:val="2"/>
            <w:vMerge w:val="restart"/>
            <w:shd w:val="clear" w:color="auto" w:fill="F0F2F5"/>
          </w:tcPr>
          <w:p>
            <w:pPr>
              <w:spacing w:after="0"/>
              <w:rPr>
                <w:sz w:val="20"/>
                <w:szCs w:val="20"/>
                <w:color w:val="auto"/>
              </w:rPr>
            </w:pPr>
            <w:r>
              <w:rPr>
                <w:rFonts w:ascii="Arial" w:cs="Arial" w:eastAsia="Arial" w:hAnsi="Arial"/>
                <w:sz w:val="18"/>
                <w:szCs w:val="18"/>
                <w:color w:val="auto"/>
              </w:rPr>
              <w:t>(since February 17, 2021)</w:t>
            </w:r>
            <w:r>
              <w:rPr>
                <w:rFonts w:ascii="Arial" w:cs="Arial" w:eastAsia="Arial" w:hAnsi="Arial"/>
                <w:sz w:val="29"/>
                <w:szCs w:val="29"/>
                <w:color w:val="auto"/>
                <w:vertAlign w:val="superscript"/>
              </w:rPr>
              <w:t>16</w:t>
            </w:r>
          </w:p>
        </w:tc>
        <w:tc>
          <w:tcPr>
            <w:tcW w:w="1460" w:type="dxa"/>
            <w:vAlign w:val="bottom"/>
            <w:shd w:val="clear" w:color="auto" w:fill="F0F2F5"/>
          </w:tcPr>
          <w:p>
            <w:pPr>
              <w:jc w:val="center"/>
              <w:spacing w:after="0"/>
              <w:rPr>
                <w:sz w:val="20"/>
                <w:szCs w:val="20"/>
                <w:color w:val="auto"/>
              </w:rPr>
            </w:pPr>
            <w:r>
              <w:rPr>
                <w:rFonts w:ascii="Arial" w:cs="Arial" w:eastAsia="Arial" w:hAnsi="Arial"/>
                <w:sz w:val="18"/>
                <w:szCs w:val="18"/>
                <w:color w:val="auto"/>
                <w:w w:val="93"/>
              </w:rPr>
              <w:t>523</w:t>
            </w:r>
          </w:p>
        </w:tc>
        <w:tc>
          <w:tcPr>
            <w:tcW w:w="1200" w:type="dxa"/>
            <w:vAlign w:val="bottom"/>
            <w:shd w:val="clear" w:color="auto" w:fill="F0F2F5"/>
          </w:tcPr>
          <w:p>
            <w:pPr>
              <w:jc w:val="center"/>
              <w:spacing w:after="0"/>
              <w:rPr>
                <w:sz w:val="20"/>
                <w:szCs w:val="20"/>
                <w:color w:val="auto"/>
              </w:rPr>
            </w:pPr>
            <w:r>
              <w:rPr>
                <w:rFonts w:ascii="Arial" w:cs="Arial" w:eastAsia="Arial" w:hAnsi="Arial"/>
                <w:sz w:val="18"/>
                <w:szCs w:val="18"/>
                <w:color w:val="auto"/>
                <w:w w:val="86"/>
              </w:rPr>
              <w:t>934</w:t>
            </w:r>
          </w:p>
        </w:tc>
        <w:tc>
          <w:tcPr>
            <w:tcW w:w="1620" w:type="dxa"/>
            <w:vAlign w:val="bottom"/>
            <w:shd w:val="clear" w:color="auto" w:fill="F0F2F5"/>
          </w:tcPr>
          <w:p>
            <w:pPr>
              <w:jc w:val="center"/>
              <w:spacing w:after="0"/>
              <w:rPr>
                <w:sz w:val="20"/>
                <w:szCs w:val="20"/>
                <w:color w:val="auto"/>
              </w:rPr>
            </w:pPr>
            <w:r>
              <w:rPr>
                <w:rFonts w:ascii="Arial" w:cs="Arial" w:eastAsia="Arial" w:hAnsi="Arial"/>
                <w:sz w:val="18"/>
                <w:szCs w:val="18"/>
                <w:color w:val="auto"/>
                <w:w w:val="95"/>
              </w:rPr>
              <w:t>-44%</w:t>
            </w:r>
          </w:p>
        </w:tc>
        <w:tc>
          <w:tcPr>
            <w:tcW w:w="1180" w:type="dxa"/>
            <w:vAlign w:val="bottom"/>
            <w:shd w:val="clear" w:color="auto" w:fill="F0F2F5"/>
          </w:tcPr>
          <w:p>
            <w:pPr>
              <w:jc w:val="center"/>
              <w:spacing w:after="0"/>
              <w:rPr>
                <w:sz w:val="20"/>
                <w:szCs w:val="20"/>
                <w:color w:val="auto"/>
              </w:rPr>
            </w:pPr>
            <w:r>
              <w:rPr>
                <w:rFonts w:ascii="Arial" w:cs="Arial" w:eastAsia="Arial" w:hAnsi="Arial"/>
                <w:sz w:val="18"/>
                <w:szCs w:val="18"/>
                <w:color w:val="auto"/>
                <w:w w:val="89"/>
              </w:rPr>
              <w:t>18</w:t>
            </w:r>
          </w:p>
        </w:tc>
        <w:tc>
          <w:tcPr>
            <w:tcW w:w="1620" w:type="dxa"/>
            <w:vAlign w:val="bottom"/>
            <w:shd w:val="clear" w:color="auto" w:fill="F0F2F5"/>
          </w:tcPr>
          <w:p>
            <w:pPr>
              <w:jc w:val="center"/>
              <w:spacing w:after="0"/>
              <w:rPr>
                <w:sz w:val="20"/>
                <w:szCs w:val="20"/>
                <w:color w:val="auto"/>
              </w:rPr>
            </w:pPr>
            <w:r>
              <w:rPr>
                <w:rFonts w:ascii="Arial" w:cs="Arial" w:eastAsia="Arial" w:hAnsi="Arial"/>
                <w:sz w:val="18"/>
                <w:szCs w:val="18"/>
                <w:color w:val="auto"/>
                <w:w w:val="91"/>
              </w:rPr>
              <w:t>5,089%</w:t>
            </w:r>
          </w:p>
        </w:tc>
        <w:tc>
          <w:tcPr>
            <w:tcW w:w="0" w:type="dxa"/>
            <w:vAlign w:val="bottom"/>
          </w:tcPr>
          <w:p>
            <w:pPr>
              <w:spacing w:after="0"/>
              <w:rPr>
                <w:sz w:val="1"/>
                <w:szCs w:val="1"/>
                <w:color w:val="auto"/>
              </w:rPr>
            </w:pPr>
          </w:p>
        </w:tc>
      </w:tr>
      <w:tr>
        <w:trPr>
          <w:trHeight w:val="352"/>
        </w:trPr>
        <w:tc>
          <w:tcPr>
            <w:tcW w:w="4160" w:type="dxa"/>
            <w:vAlign w:val="bottom"/>
            <w:gridSpan w:val="2"/>
            <w:vMerge w:val="continue"/>
            <w:shd w:val="clear" w:color="auto" w:fill="F0F2F5"/>
          </w:tcPr>
          <w:p>
            <w:pPr>
              <w:spacing w:after="0"/>
              <w:rPr>
                <w:sz w:val="24"/>
                <w:szCs w:val="24"/>
                <w:color w:val="auto"/>
              </w:rPr>
            </w:pPr>
          </w:p>
        </w:tc>
        <w:tc>
          <w:tcPr>
            <w:tcW w:w="1460" w:type="dxa"/>
            <w:vAlign w:val="bottom"/>
            <w:shd w:val="clear" w:color="auto" w:fill="F0F2F5"/>
          </w:tcPr>
          <w:p>
            <w:pPr>
              <w:spacing w:after="0"/>
              <w:rPr>
                <w:sz w:val="24"/>
                <w:szCs w:val="24"/>
                <w:color w:val="auto"/>
              </w:rPr>
            </w:pPr>
          </w:p>
        </w:tc>
        <w:tc>
          <w:tcPr>
            <w:tcW w:w="1200" w:type="dxa"/>
            <w:vAlign w:val="bottom"/>
            <w:shd w:val="clear" w:color="auto" w:fill="F0F2F5"/>
          </w:tcPr>
          <w:p>
            <w:pPr>
              <w:spacing w:after="0"/>
              <w:rPr>
                <w:sz w:val="24"/>
                <w:szCs w:val="24"/>
                <w:color w:val="auto"/>
              </w:rPr>
            </w:pPr>
          </w:p>
        </w:tc>
        <w:tc>
          <w:tcPr>
            <w:tcW w:w="1620" w:type="dxa"/>
            <w:vAlign w:val="bottom"/>
            <w:shd w:val="clear" w:color="auto" w:fill="F0F2F5"/>
          </w:tcPr>
          <w:p>
            <w:pPr>
              <w:spacing w:after="0"/>
              <w:rPr>
                <w:sz w:val="24"/>
                <w:szCs w:val="24"/>
                <w:color w:val="auto"/>
              </w:rPr>
            </w:pPr>
          </w:p>
        </w:tc>
        <w:tc>
          <w:tcPr>
            <w:tcW w:w="1180" w:type="dxa"/>
            <w:vAlign w:val="bottom"/>
            <w:shd w:val="clear" w:color="auto" w:fill="F0F2F5"/>
          </w:tcPr>
          <w:p>
            <w:pPr>
              <w:spacing w:after="0"/>
              <w:rPr>
                <w:sz w:val="24"/>
                <w:szCs w:val="24"/>
                <w:color w:val="auto"/>
              </w:rPr>
            </w:pPr>
          </w:p>
        </w:tc>
        <w:tc>
          <w:tcPr>
            <w:tcW w:w="1620" w:type="dxa"/>
            <w:vAlign w:val="bottom"/>
            <w:shd w:val="clear" w:color="auto" w:fill="F0F2F5"/>
          </w:tcPr>
          <w:p>
            <w:pPr>
              <w:spacing w:after="0"/>
              <w:rPr>
                <w:sz w:val="24"/>
                <w:szCs w:val="24"/>
                <w:color w:val="auto"/>
              </w:rPr>
            </w:pPr>
          </w:p>
        </w:tc>
        <w:tc>
          <w:tcPr>
            <w:tcW w:w="0" w:type="dxa"/>
            <w:vAlign w:val="bottom"/>
          </w:tcPr>
          <w:p>
            <w:pPr>
              <w:spacing w:after="0"/>
              <w:rPr>
                <w:sz w:val="1"/>
                <w:szCs w:val="1"/>
                <w:color w:val="auto"/>
              </w:rPr>
            </w:pPr>
          </w:p>
        </w:tc>
      </w:tr>
      <w:tr>
        <w:trPr>
          <w:trHeight w:val="93"/>
        </w:trPr>
        <w:tc>
          <w:tcPr>
            <w:tcW w:w="3780" w:type="dxa"/>
            <w:vAlign w:val="bottom"/>
            <w:shd w:val="clear" w:color="auto" w:fill="F0F2F5"/>
          </w:tcPr>
          <w:p>
            <w:pPr>
              <w:spacing w:after="0"/>
              <w:rPr>
                <w:sz w:val="8"/>
                <w:szCs w:val="8"/>
                <w:color w:val="auto"/>
              </w:rPr>
            </w:pPr>
          </w:p>
        </w:tc>
        <w:tc>
          <w:tcPr>
            <w:tcW w:w="380" w:type="dxa"/>
            <w:vAlign w:val="bottom"/>
            <w:shd w:val="clear" w:color="auto" w:fill="F0F2F5"/>
          </w:tcPr>
          <w:p>
            <w:pPr>
              <w:spacing w:after="0"/>
              <w:rPr>
                <w:sz w:val="8"/>
                <w:szCs w:val="8"/>
                <w:color w:val="auto"/>
              </w:rPr>
            </w:pPr>
          </w:p>
        </w:tc>
        <w:tc>
          <w:tcPr>
            <w:tcW w:w="1460" w:type="dxa"/>
            <w:vAlign w:val="bottom"/>
            <w:shd w:val="clear" w:color="auto" w:fill="F0F2F5"/>
          </w:tcPr>
          <w:p>
            <w:pPr>
              <w:spacing w:after="0"/>
              <w:rPr>
                <w:sz w:val="8"/>
                <w:szCs w:val="8"/>
                <w:color w:val="auto"/>
              </w:rPr>
            </w:pPr>
          </w:p>
        </w:tc>
        <w:tc>
          <w:tcPr>
            <w:tcW w:w="1200" w:type="dxa"/>
            <w:vAlign w:val="bottom"/>
            <w:shd w:val="clear" w:color="auto" w:fill="F0F2F5"/>
          </w:tcPr>
          <w:p>
            <w:pPr>
              <w:spacing w:after="0"/>
              <w:rPr>
                <w:sz w:val="8"/>
                <w:szCs w:val="8"/>
                <w:color w:val="auto"/>
              </w:rPr>
            </w:pPr>
          </w:p>
        </w:tc>
        <w:tc>
          <w:tcPr>
            <w:tcW w:w="1620" w:type="dxa"/>
            <w:vAlign w:val="bottom"/>
            <w:shd w:val="clear" w:color="auto" w:fill="F0F2F5"/>
          </w:tcPr>
          <w:p>
            <w:pPr>
              <w:spacing w:after="0"/>
              <w:rPr>
                <w:sz w:val="8"/>
                <w:szCs w:val="8"/>
                <w:color w:val="auto"/>
              </w:rPr>
            </w:pPr>
          </w:p>
        </w:tc>
        <w:tc>
          <w:tcPr>
            <w:tcW w:w="1180" w:type="dxa"/>
            <w:vAlign w:val="bottom"/>
            <w:shd w:val="clear" w:color="auto" w:fill="F0F2F5"/>
          </w:tcPr>
          <w:p>
            <w:pPr>
              <w:spacing w:after="0"/>
              <w:rPr>
                <w:sz w:val="8"/>
                <w:szCs w:val="8"/>
                <w:color w:val="auto"/>
              </w:rPr>
            </w:pPr>
          </w:p>
        </w:tc>
        <w:tc>
          <w:tcPr>
            <w:tcW w:w="1620" w:type="dxa"/>
            <w:vAlign w:val="bottom"/>
            <w:shd w:val="clear" w:color="auto" w:fill="F0F2F5"/>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4160" w:type="dxa"/>
            <w:vAlign w:val="bottom"/>
            <w:gridSpan w:val="2"/>
          </w:tcPr>
          <w:p>
            <w:pPr>
              <w:spacing w:after="0"/>
              <w:rPr>
                <w:sz w:val="20"/>
                <w:szCs w:val="20"/>
                <w:color w:val="auto"/>
              </w:rPr>
            </w:pPr>
            <w:r>
              <w:rPr>
                <w:rFonts w:ascii="Arial" w:cs="Arial" w:eastAsia="Arial" w:hAnsi="Arial"/>
                <w:sz w:val="18"/>
                <w:szCs w:val="18"/>
                <w:color w:val="auto"/>
              </w:rPr>
              <w:t>Mustafa Veziroglu</w:t>
            </w:r>
          </w:p>
        </w:tc>
        <w:tc>
          <w:tcPr>
            <w:tcW w:w="1460" w:type="dxa"/>
            <w:vAlign w:val="bottom"/>
            <w:vMerge w:val="restart"/>
          </w:tcPr>
          <w:p>
            <w:pPr>
              <w:jc w:val="center"/>
              <w:spacing w:after="0"/>
              <w:rPr>
                <w:sz w:val="20"/>
                <w:szCs w:val="20"/>
                <w:color w:val="auto"/>
              </w:rPr>
            </w:pPr>
            <w:r>
              <w:rPr>
                <w:rFonts w:ascii="Arial" w:cs="Arial" w:eastAsia="Arial" w:hAnsi="Arial"/>
                <w:sz w:val="18"/>
                <w:szCs w:val="18"/>
                <w:color w:val="auto"/>
                <w:w w:val="93"/>
              </w:rPr>
              <w:t>261</w:t>
            </w:r>
          </w:p>
        </w:tc>
        <w:tc>
          <w:tcPr>
            <w:tcW w:w="1200" w:type="dxa"/>
            <w:vAlign w:val="bottom"/>
            <w:vMerge w:val="restart"/>
          </w:tcPr>
          <w:p>
            <w:pPr>
              <w:jc w:val="center"/>
              <w:spacing w:after="0"/>
              <w:rPr>
                <w:sz w:val="20"/>
                <w:szCs w:val="20"/>
                <w:color w:val="auto"/>
              </w:rPr>
            </w:pPr>
            <w:r>
              <w:rPr>
                <w:rFonts w:ascii="Arial" w:cs="Arial" w:eastAsia="Arial" w:hAnsi="Arial"/>
                <w:sz w:val="18"/>
                <w:szCs w:val="18"/>
                <w:color w:val="auto"/>
                <w:w w:val="92"/>
              </w:rPr>
              <w:t>./.</w:t>
            </w:r>
          </w:p>
        </w:tc>
        <w:tc>
          <w:tcPr>
            <w:tcW w:w="1620" w:type="dxa"/>
            <w:vAlign w:val="bottom"/>
            <w:vMerge w:val="restart"/>
          </w:tcPr>
          <w:p>
            <w:pPr>
              <w:jc w:val="center"/>
              <w:spacing w:after="0"/>
              <w:rPr>
                <w:sz w:val="20"/>
                <w:szCs w:val="20"/>
                <w:color w:val="auto"/>
              </w:rPr>
            </w:pPr>
            <w:r>
              <w:rPr>
                <w:rFonts w:ascii="Arial" w:cs="Arial" w:eastAsia="Arial" w:hAnsi="Arial"/>
                <w:sz w:val="18"/>
                <w:szCs w:val="18"/>
                <w:color w:val="auto"/>
                <w:w w:val="92"/>
              </w:rPr>
              <w:t>./.</w:t>
            </w:r>
          </w:p>
        </w:tc>
        <w:tc>
          <w:tcPr>
            <w:tcW w:w="1180" w:type="dxa"/>
            <w:vAlign w:val="bottom"/>
            <w:vMerge w:val="restart"/>
          </w:tcPr>
          <w:p>
            <w:pPr>
              <w:jc w:val="center"/>
              <w:spacing w:after="0"/>
              <w:rPr>
                <w:sz w:val="20"/>
                <w:szCs w:val="20"/>
                <w:color w:val="auto"/>
              </w:rPr>
            </w:pPr>
            <w:r>
              <w:rPr>
                <w:rFonts w:ascii="Arial" w:cs="Arial" w:eastAsia="Arial" w:hAnsi="Arial"/>
                <w:sz w:val="18"/>
                <w:szCs w:val="18"/>
                <w:color w:val="auto"/>
                <w:w w:val="92"/>
              </w:rPr>
              <w:t>./.</w:t>
            </w:r>
          </w:p>
        </w:tc>
        <w:tc>
          <w:tcPr>
            <w:tcW w:w="1620" w:type="dxa"/>
            <w:vAlign w:val="bottom"/>
            <w:vMerge w:val="restart"/>
          </w:tcPr>
          <w:p>
            <w:pPr>
              <w:jc w:val="center"/>
              <w:spacing w:after="0"/>
              <w:rPr>
                <w:sz w:val="20"/>
                <w:szCs w:val="20"/>
                <w:color w:val="auto"/>
              </w:rPr>
            </w:pPr>
            <w:r>
              <w:rPr>
                <w:rFonts w:ascii="Arial" w:cs="Arial" w:eastAsia="Arial" w:hAnsi="Arial"/>
                <w:sz w:val="18"/>
                <w:szCs w:val="18"/>
                <w:color w:val="auto"/>
                <w:w w:val="92"/>
              </w:rPr>
              <w:t>./.</w:t>
            </w:r>
          </w:p>
        </w:tc>
        <w:tc>
          <w:tcPr>
            <w:tcW w:w="0" w:type="dxa"/>
            <w:vAlign w:val="bottom"/>
          </w:tcPr>
          <w:p>
            <w:pPr>
              <w:spacing w:after="0"/>
              <w:rPr>
                <w:sz w:val="1"/>
                <w:szCs w:val="1"/>
                <w:color w:val="auto"/>
              </w:rPr>
            </w:pPr>
          </w:p>
        </w:tc>
      </w:tr>
      <w:tr>
        <w:trPr>
          <w:trHeight w:val="202"/>
        </w:trPr>
        <w:tc>
          <w:tcPr>
            <w:tcW w:w="4160" w:type="dxa"/>
            <w:vAlign w:val="bottom"/>
            <w:gridSpan w:val="2"/>
            <w:vMerge w:val="restart"/>
          </w:tcPr>
          <w:p>
            <w:pPr>
              <w:spacing w:after="0"/>
              <w:rPr>
                <w:sz w:val="20"/>
                <w:szCs w:val="20"/>
                <w:color w:val="auto"/>
              </w:rPr>
            </w:pPr>
            <w:r>
              <w:rPr>
                <w:rFonts w:ascii="Arial" w:cs="Arial" w:eastAsia="Arial" w:hAnsi="Arial"/>
                <w:sz w:val="18"/>
                <w:szCs w:val="18"/>
                <w:color w:val="auto"/>
              </w:rPr>
              <w:t>(since August 15, 2022)</w:t>
            </w:r>
          </w:p>
        </w:tc>
        <w:tc>
          <w:tcPr>
            <w:tcW w:w="1460" w:type="dxa"/>
            <w:vAlign w:val="bottom"/>
            <w:vMerge w:val="continue"/>
          </w:tcPr>
          <w:p>
            <w:pPr>
              <w:spacing w:after="0"/>
              <w:rPr>
                <w:sz w:val="17"/>
                <w:szCs w:val="17"/>
                <w:color w:val="auto"/>
              </w:rPr>
            </w:pPr>
          </w:p>
        </w:tc>
        <w:tc>
          <w:tcPr>
            <w:tcW w:w="1200" w:type="dxa"/>
            <w:vAlign w:val="bottom"/>
            <w:vMerge w:val="continue"/>
          </w:tcPr>
          <w:p>
            <w:pPr>
              <w:spacing w:after="0"/>
              <w:rPr>
                <w:sz w:val="17"/>
                <w:szCs w:val="17"/>
                <w:color w:val="auto"/>
              </w:rPr>
            </w:pPr>
          </w:p>
        </w:tc>
        <w:tc>
          <w:tcPr>
            <w:tcW w:w="1620" w:type="dxa"/>
            <w:vAlign w:val="bottom"/>
            <w:vMerge w:val="continue"/>
          </w:tcPr>
          <w:p>
            <w:pPr>
              <w:spacing w:after="0"/>
              <w:rPr>
                <w:sz w:val="17"/>
                <w:szCs w:val="17"/>
                <w:color w:val="auto"/>
              </w:rPr>
            </w:pPr>
          </w:p>
        </w:tc>
        <w:tc>
          <w:tcPr>
            <w:tcW w:w="1180" w:type="dxa"/>
            <w:vAlign w:val="bottom"/>
            <w:vMerge w:val="continue"/>
          </w:tcPr>
          <w:p>
            <w:pPr>
              <w:spacing w:after="0"/>
              <w:rPr>
                <w:sz w:val="17"/>
                <w:szCs w:val="17"/>
                <w:color w:val="auto"/>
              </w:rPr>
            </w:pPr>
          </w:p>
        </w:tc>
        <w:tc>
          <w:tcPr>
            <w:tcW w:w="16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160" w:type="dxa"/>
            <w:vAlign w:val="bottom"/>
            <w:gridSpan w:val="2"/>
            <w:vMerge w:val="continue"/>
          </w:tcPr>
          <w:p>
            <w:pPr>
              <w:spacing w:after="0"/>
              <w:rPr>
                <w:sz w:val="18"/>
                <w:szCs w:val="18"/>
                <w:color w:val="auto"/>
              </w:rPr>
            </w:pPr>
          </w:p>
        </w:tc>
        <w:tc>
          <w:tcPr>
            <w:tcW w:w="14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160" w:type="dxa"/>
            <w:vAlign w:val="bottom"/>
            <w:gridSpan w:val="2"/>
            <w:shd w:val="clear" w:color="auto" w:fill="F0F2F5"/>
          </w:tcPr>
          <w:p>
            <w:pPr>
              <w:spacing w:after="0"/>
              <w:rPr>
                <w:sz w:val="20"/>
                <w:szCs w:val="20"/>
                <w:color w:val="auto"/>
              </w:rPr>
            </w:pPr>
            <w:r>
              <w:rPr>
                <w:rFonts w:ascii="Arial" w:cs="Arial" w:eastAsia="Arial" w:hAnsi="Arial"/>
                <w:sz w:val="18"/>
                <w:szCs w:val="18"/>
                <w:b w:val="1"/>
                <w:bCs w:val="1"/>
                <w:color w:val="auto"/>
              </w:rPr>
              <w:t>Average</w:t>
            </w:r>
          </w:p>
        </w:tc>
        <w:tc>
          <w:tcPr>
            <w:tcW w:w="1460" w:type="dxa"/>
            <w:vAlign w:val="bottom"/>
            <w:shd w:val="clear" w:color="auto" w:fill="F0F2F5"/>
          </w:tcPr>
          <w:p>
            <w:pPr>
              <w:jc w:val="center"/>
              <w:spacing w:after="0"/>
              <w:rPr>
                <w:sz w:val="20"/>
                <w:szCs w:val="20"/>
                <w:color w:val="auto"/>
              </w:rPr>
            </w:pPr>
            <w:r>
              <w:rPr>
                <w:rFonts w:ascii="Arial" w:cs="Arial" w:eastAsia="Arial" w:hAnsi="Arial"/>
                <w:sz w:val="18"/>
                <w:szCs w:val="18"/>
                <w:b w:val="1"/>
                <w:bCs w:val="1"/>
                <w:color w:val="auto"/>
                <w:w w:val="93"/>
              </w:rPr>
              <w:t>531</w:t>
            </w:r>
          </w:p>
        </w:tc>
        <w:tc>
          <w:tcPr>
            <w:tcW w:w="1200" w:type="dxa"/>
            <w:vAlign w:val="bottom"/>
            <w:shd w:val="clear" w:color="auto" w:fill="F0F2F5"/>
          </w:tcPr>
          <w:p>
            <w:pPr>
              <w:jc w:val="center"/>
              <w:spacing w:after="0"/>
              <w:rPr>
                <w:sz w:val="20"/>
                <w:szCs w:val="20"/>
                <w:color w:val="auto"/>
              </w:rPr>
            </w:pPr>
            <w:r>
              <w:rPr>
                <w:rFonts w:ascii="Arial" w:cs="Arial" w:eastAsia="Arial" w:hAnsi="Arial"/>
                <w:sz w:val="18"/>
                <w:szCs w:val="18"/>
                <w:b w:val="1"/>
                <w:bCs w:val="1"/>
                <w:color w:val="auto"/>
                <w:w w:val="88"/>
              </w:rPr>
              <w:t>1,145</w:t>
            </w:r>
          </w:p>
        </w:tc>
        <w:tc>
          <w:tcPr>
            <w:tcW w:w="1620" w:type="dxa"/>
            <w:vAlign w:val="bottom"/>
            <w:shd w:val="clear" w:color="auto" w:fill="F0F2F5"/>
          </w:tcPr>
          <w:p>
            <w:pPr>
              <w:jc w:val="center"/>
              <w:spacing w:after="0"/>
              <w:rPr>
                <w:sz w:val="20"/>
                <w:szCs w:val="20"/>
                <w:color w:val="auto"/>
              </w:rPr>
            </w:pPr>
            <w:r>
              <w:rPr>
                <w:rFonts w:ascii="Arial" w:cs="Arial" w:eastAsia="Arial" w:hAnsi="Arial"/>
                <w:sz w:val="18"/>
                <w:szCs w:val="18"/>
                <w:b w:val="1"/>
                <w:bCs w:val="1"/>
                <w:color w:val="auto"/>
                <w:w w:val="99"/>
              </w:rPr>
              <w:t>-54%</w:t>
            </w:r>
          </w:p>
        </w:tc>
        <w:tc>
          <w:tcPr>
            <w:tcW w:w="1180" w:type="dxa"/>
            <w:vAlign w:val="bottom"/>
            <w:shd w:val="clear" w:color="auto" w:fill="F0F2F5"/>
          </w:tcPr>
          <w:p>
            <w:pPr>
              <w:jc w:val="center"/>
              <w:spacing w:after="0"/>
              <w:rPr>
                <w:sz w:val="20"/>
                <w:szCs w:val="20"/>
                <w:color w:val="auto"/>
              </w:rPr>
            </w:pPr>
            <w:r>
              <w:rPr>
                <w:rFonts w:ascii="Arial" w:cs="Arial" w:eastAsia="Arial" w:hAnsi="Arial"/>
                <w:sz w:val="18"/>
                <w:szCs w:val="18"/>
                <w:b w:val="1"/>
                <w:bCs w:val="1"/>
                <w:color w:val="auto"/>
                <w:w w:val="93"/>
              </w:rPr>
              <w:t>374</w:t>
            </w:r>
          </w:p>
        </w:tc>
        <w:tc>
          <w:tcPr>
            <w:tcW w:w="1620" w:type="dxa"/>
            <w:vAlign w:val="bottom"/>
            <w:shd w:val="clear" w:color="auto" w:fill="F0F2F5"/>
          </w:tcPr>
          <w:p>
            <w:pPr>
              <w:jc w:val="center"/>
              <w:spacing w:after="0"/>
              <w:rPr>
                <w:sz w:val="20"/>
                <w:szCs w:val="20"/>
                <w:color w:val="auto"/>
              </w:rPr>
            </w:pPr>
            <w:r>
              <w:rPr>
                <w:rFonts w:ascii="Arial" w:cs="Arial" w:eastAsia="Arial" w:hAnsi="Arial"/>
                <w:sz w:val="18"/>
                <w:szCs w:val="18"/>
                <w:b w:val="1"/>
                <w:bCs w:val="1"/>
                <w:color w:val="auto"/>
                <w:w w:val="99"/>
              </w:rPr>
              <w:t>206%</w:t>
            </w:r>
          </w:p>
        </w:tc>
        <w:tc>
          <w:tcPr>
            <w:tcW w:w="0" w:type="dxa"/>
            <w:vAlign w:val="bottom"/>
          </w:tcPr>
          <w:p>
            <w:pPr>
              <w:spacing w:after="0"/>
              <w:rPr>
                <w:sz w:val="1"/>
                <w:szCs w:val="1"/>
                <w:color w:val="auto"/>
              </w:rPr>
            </w:pPr>
          </w:p>
        </w:tc>
      </w:tr>
      <w:tr>
        <w:trPr>
          <w:trHeight w:val="198"/>
        </w:trPr>
        <w:tc>
          <w:tcPr>
            <w:tcW w:w="3780" w:type="dxa"/>
            <w:vAlign w:val="bottom"/>
            <w:shd w:val="clear" w:color="auto" w:fill="F0F2F5"/>
          </w:tcPr>
          <w:p>
            <w:pPr>
              <w:spacing w:after="0"/>
              <w:rPr>
                <w:sz w:val="17"/>
                <w:szCs w:val="17"/>
                <w:color w:val="auto"/>
              </w:rPr>
            </w:pPr>
          </w:p>
        </w:tc>
        <w:tc>
          <w:tcPr>
            <w:tcW w:w="380" w:type="dxa"/>
            <w:vAlign w:val="bottom"/>
            <w:shd w:val="clear" w:color="auto" w:fill="F0F2F5"/>
          </w:tcPr>
          <w:p>
            <w:pPr>
              <w:spacing w:after="0"/>
              <w:rPr>
                <w:sz w:val="17"/>
                <w:szCs w:val="17"/>
                <w:color w:val="auto"/>
              </w:rPr>
            </w:pPr>
          </w:p>
        </w:tc>
        <w:tc>
          <w:tcPr>
            <w:tcW w:w="1460" w:type="dxa"/>
            <w:vAlign w:val="bottom"/>
            <w:shd w:val="clear" w:color="auto" w:fill="F0F2F5"/>
          </w:tcPr>
          <w:p>
            <w:pPr>
              <w:spacing w:after="0"/>
              <w:rPr>
                <w:sz w:val="17"/>
                <w:szCs w:val="17"/>
                <w:color w:val="auto"/>
              </w:rPr>
            </w:pPr>
          </w:p>
        </w:tc>
        <w:tc>
          <w:tcPr>
            <w:tcW w:w="1200" w:type="dxa"/>
            <w:vAlign w:val="bottom"/>
            <w:shd w:val="clear" w:color="auto" w:fill="F0F2F5"/>
          </w:tcPr>
          <w:p>
            <w:pPr>
              <w:spacing w:after="0"/>
              <w:rPr>
                <w:sz w:val="17"/>
                <w:szCs w:val="17"/>
                <w:color w:val="auto"/>
              </w:rPr>
            </w:pPr>
          </w:p>
        </w:tc>
        <w:tc>
          <w:tcPr>
            <w:tcW w:w="1620" w:type="dxa"/>
            <w:vAlign w:val="bottom"/>
            <w:shd w:val="clear" w:color="auto" w:fill="F0F2F5"/>
          </w:tcPr>
          <w:p>
            <w:pPr>
              <w:spacing w:after="0"/>
              <w:rPr>
                <w:sz w:val="17"/>
                <w:szCs w:val="17"/>
                <w:color w:val="auto"/>
              </w:rPr>
            </w:pPr>
          </w:p>
        </w:tc>
        <w:tc>
          <w:tcPr>
            <w:tcW w:w="1180" w:type="dxa"/>
            <w:vAlign w:val="bottom"/>
            <w:shd w:val="clear" w:color="auto" w:fill="F0F2F5"/>
          </w:tcPr>
          <w:p>
            <w:pPr>
              <w:spacing w:after="0"/>
              <w:rPr>
                <w:sz w:val="17"/>
                <w:szCs w:val="17"/>
                <w:color w:val="auto"/>
              </w:rPr>
            </w:pPr>
          </w:p>
        </w:tc>
        <w:tc>
          <w:tcPr>
            <w:tcW w:w="1620" w:type="dxa"/>
            <w:vAlign w:val="bottom"/>
            <w:shd w:val="clear" w:color="auto" w:fill="F0F2F5"/>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3780" w:type="dxa"/>
            <w:vAlign w:val="bottom"/>
            <w:tcBorders>
              <w:bottom w:val="single" w:sz="8" w:color="auto"/>
            </w:tcBorders>
          </w:tcPr>
          <w:p>
            <w:pPr>
              <w:spacing w:after="0"/>
              <w:rPr>
                <w:sz w:val="15"/>
                <w:szCs w:val="15"/>
                <w:color w:val="auto"/>
              </w:rPr>
            </w:pPr>
          </w:p>
        </w:tc>
        <w:tc>
          <w:tcPr>
            <w:tcW w:w="3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59" w:lineRule="exact"/>
        <w:rPr>
          <w:sz w:val="20"/>
          <w:szCs w:val="20"/>
          <w:color w:val="auto"/>
        </w:rPr>
      </w:pPr>
    </w:p>
    <w:p>
      <w:pPr>
        <w:ind w:firstLine="8"/>
        <w:spacing w:after="0" w:line="263" w:lineRule="auto"/>
        <w:tabs>
          <w:tab w:leader="none" w:pos="192" w:val="left"/>
        </w:tabs>
        <w:numPr>
          <w:ilvl w:val="0"/>
          <w:numId w:val="37"/>
        </w:numPr>
        <w:rPr>
          <w:rFonts w:ascii="Arial" w:cs="Arial" w:eastAsia="Arial" w:hAnsi="Arial"/>
          <w:sz w:val="23"/>
          <w:szCs w:val="23"/>
          <w:color w:val="auto"/>
          <w:vertAlign w:val="superscript"/>
        </w:rPr>
      </w:pPr>
      <w:r>
        <w:rPr>
          <w:rFonts w:ascii="Arial" w:cs="Arial" w:eastAsia="Arial" w:hAnsi="Arial"/>
          <w:sz w:val="15"/>
          <w:szCs w:val="15"/>
          <w:color w:val="auto"/>
        </w:rPr>
        <w:t>The remuneration presented for 2020 for Joachim Horwath relates to the payment of a bonus as a member of the Executive Board (until March 13, 2019) for financial year 2019, which has been paid in the financial year 2022.</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color w:val="auto"/>
        </w:rPr>
        <w:t>Former members of the Management Board</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4220" w:type="dxa"/>
            <w:vAlign w:val="bottom"/>
            <w:shd w:val="clear" w:color="auto" w:fill="F0F2F5"/>
          </w:tcPr>
          <w:p>
            <w:pPr>
              <w:spacing w:after="0"/>
              <w:rPr>
                <w:sz w:val="20"/>
                <w:szCs w:val="20"/>
                <w:color w:val="auto"/>
              </w:rPr>
            </w:pPr>
            <w:r>
              <w:rPr>
                <w:rFonts w:ascii="Arial" w:cs="Arial" w:eastAsia="Arial" w:hAnsi="Arial"/>
                <w:sz w:val="18"/>
                <w:szCs w:val="18"/>
                <w:color w:val="auto"/>
              </w:rPr>
              <w:t>Dr. Wolfram Peschko</w:t>
            </w:r>
          </w:p>
        </w:tc>
        <w:tc>
          <w:tcPr>
            <w:tcW w:w="1060" w:type="dxa"/>
            <w:vAlign w:val="bottom"/>
            <w:shd w:val="clear" w:color="auto" w:fill="F0F2F5"/>
          </w:tcPr>
          <w:p>
            <w:pPr>
              <w:jc w:val="center"/>
              <w:ind w:left="190"/>
              <w:spacing w:after="0"/>
              <w:rPr>
                <w:sz w:val="20"/>
                <w:szCs w:val="20"/>
                <w:color w:val="auto"/>
              </w:rPr>
            </w:pPr>
            <w:r>
              <w:rPr>
                <w:rFonts w:ascii="Arial" w:cs="Arial" w:eastAsia="Arial" w:hAnsi="Arial"/>
                <w:sz w:val="18"/>
                <w:szCs w:val="18"/>
                <w:color w:val="auto"/>
                <w:w w:val="89"/>
              </w:rPr>
              <w:t>93</w:t>
            </w:r>
          </w:p>
        </w:tc>
        <w:tc>
          <w:tcPr>
            <w:tcW w:w="1600" w:type="dxa"/>
            <w:vAlign w:val="bottom"/>
            <w:shd w:val="clear" w:color="auto" w:fill="F0F2F5"/>
          </w:tcPr>
          <w:p>
            <w:pPr>
              <w:jc w:val="center"/>
              <w:ind w:left="170"/>
              <w:spacing w:after="0"/>
              <w:rPr>
                <w:sz w:val="20"/>
                <w:szCs w:val="20"/>
                <w:color w:val="auto"/>
              </w:rPr>
            </w:pPr>
            <w:r>
              <w:rPr>
                <w:rFonts w:ascii="Arial" w:cs="Arial" w:eastAsia="Arial" w:hAnsi="Arial"/>
                <w:sz w:val="18"/>
                <w:szCs w:val="18"/>
                <w:color w:val="auto"/>
                <w:w w:val="86"/>
              </w:rPr>
              <w:t>348</w:t>
            </w:r>
          </w:p>
        </w:tc>
        <w:tc>
          <w:tcPr>
            <w:tcW w:w="1480" w:type="dxa"/>
            <w:vAlign w:val="bottom"/>
            <w:shd w:val="clear" w:color="auto" w:fill="F0F2F5"/>
          </w:tcPr>
          <w:p>
            <w:pPr>
              <w:jc w:val="center"/>
              <w:spacing w:after="0"/>
              <w:rPr>
                <w:sz w:val="20"/>
                <w:szCs w:val="20"/>
                <w:color w:val="auto"/>
              </w:rPr>
            </w:pPr>
            <w:r>
              <w:rPr>
                <w:rFonts w:ascii="Arial" w:cs="Arial" w:eastAsia="Arial" w:hAnsi="Arial"/>
                <w:sz w:val="18"/>
                <w:szCs w:val="18"/>
                <w:color w:val="auto"/>
                <w:w w:val="95"/>
              </w:rPr>
              <w:t>-73%</w:t>
            </w:r>
          </w:p>
        </w:tc>
        <w:tc>
          <w:tcPr>
            <w:tcW w:w="1320" w:type="dxa"/>
            <w:vAlign w:val="bottom"/>
            <w:shd w:val="clear" w:color="auto" w:fill="F0F2F5"/>
          </w:tcPr>
          <w:p>
            <w:pPr>
              <w:jc w:val="center"/>
              <w:spacing w:after="0"/>
              <w:rPr>
                <w:sz w:val="20"/>
                <w:szCs w:val="20"/>
                <w:color w:val="auto"/>
              </w:rPr>
            </w:pPr>
            <w:r>
              <w:rPr>
                <w:rFonts w:ascii="Arial" w:cs="Arial" w:eastAsia="Arial" w:hAnsi="Arial"/>
                <w:sz w:val="18"/>
                <w:szCs w:val="18"/>
                <w:color w:val="auto"/>
                <w:w w:val="93"/>
              </w:rPr>
              <w:t>277</w:t>
            </w:r>
          </w:p>
        </w:tc>
        <w:tc>
          <w:tcPr>
            <w:tcW w:w="1560" w:type="dxa"/>
            <w:vAlign w:val="bottom"/>
            <w:shd w:val="clear" w:color="auto" w:fill="F0F2F5"/>
          </w:tcPr>
          <w:p>
            <w:pPr>
              <w:jc w:val="center"/>
              <w:spacing w:after="0"/>
              <w:rPr>
                <w:sz w:val="20"/>
                <w:szCs w:val="20"/>
                <w:color w:val="auto"/>
              </w:rPr>
            </w:pPr>
            <w:r>
              <w:rPr>
                <w:rFonts w:ascii="Arial" w:cs="Arial" w:eastAsia="Arial" w:hAnsi="Arial"/>
                <w:sz w:val="18"/>
                <w:szCs w:val="18"/>
                <w:color w:val="auto"/>
                <w:w w:val="94"/>
              </w:rPr>
              <w:t>26%</w:t>
            </w:r>
          </w:p>
        </w:tc>
        <w:tc>
          <w:tcPr>
            <w:tcW w:w="0" w:type="dxa"/>
            <w:vAlign w:val="bottom"/>
          </w:tcPr>
          <w:p>
            <w:pPr>
              <w:spacing w:after="0"/>
              <w:rPr>
                <w:sz w:val="1"/>
                <w:szCs w:val="1"/>
                <w:color w:val="auto"/>
              </w:rPr>
            </w:pPr>
          </w:p>
        </w:tc>
      </w:tr>
      <w:tr>
        <w:trPr>
          <w:trHeight w:val="398"/>
        </w:trPr>
        <w:tc>
          <w:tcPr>
            <w:tcW w:w="4220" w:type="dxa"/>
            <w:vAlign w:val="bottom"/>
            <w:shd w:val="clear" w:color="auto" w:fill="F0F2F5"/>
          </w:tcPr>
          <w:p>
            <w:pPr>
              <w:spacing w:after="0"/>
              <w:rPr>
                <w:sz w:val="20"/>
                <w:szCs w:val="20"/>
                <w:color w:val="auto"/>
              </w:rPr>
            </w:pPr>
            <w:r>
              <w:rPr>
                <w:rFonts w:ascii="Arial" w:cs="Arial" w:eastAsia="Arial" w:hAnsi="Arial"/>
                <w:sz w:val="18"/>
                <w:szCs w:val="18"/>
                <w:color w:val="auto"/>
              </w:rPr>
              <w:t>(until May 5, 2020)</w:t>
            </w:r>
          </w:p>
        </w:tc>
        <w:tc>
          <w:tcPr>
            <w:tcW w:w="1060" w:type="dxa"/>
            <w:vAlign w:val="bottom"/>
            <w:shd w:val="clear" w:color="auto" w:fill="F0F2F5"/>
          </w:tcPr>
          <w:p>
            <w:pPr>
              <w:spacing w:after="0"/>
              <w:rPr>
                <w:sz w:val="24"/>
                <w:szCs w:val="24"/>
                <w:color w:val="auto"/>
              </w:rPr>
            </w:pPr>
          </w:p>
        </w:tc>
        <w:tc>
          <w:tcPr>
            <w:tcW w:w="1600" w:type="dxa"/>
            <w:vAlign w:val="bottom"/>
            <w:shd w:val="clear" w:color="auto" w:fill="F0F2F5"/>
          </w:tcPr>
          <w:p>
            <w:pPr>
              <w:spacing w:after="0"/>
              <w:rPr>
                <w:sz w:val="24"/>
                <w:szCs w:val="24"/>
                <w:color w:val="auto"/>
              </w:rPr>
            </w:pPr>
          </w:p>
        </w:tc>
        <w:tc>
          <w:tcPr>
            <w:tcW w:w="1480" w:type="dxa"/>
            <w:vAlign w:val="bottom"/>
            <w:shd w:val="clear" w:color="auto" w:fill="F0F2F5"/>
          </w:tcPr>
          <w:p>
            <w:pPr>
              <w:spacing w:after="0"/>
              <w:rPr>
                <w:sz w:val="24"/>
                <w:szCs w:val="24"/>
                <w:color w:val="auto"/>
              </w:rPr>
            </w:pPr>
          </w:p>
        </w:tc>
        <w:tc>
          <w:tcPr>
            <w:tcW w:w="1320" w:type="dxa"/>
            <w:vAlign w:val="bottom"/>
            <w:shd w:val="clear" w:color="auto" w:fill="F0F2F5"/>
          </w:tcPr>
          <w:p>
            <w:pPr>
              <w:spacing w:after="0"/>
              <w:rPr>
                <w:sz w:val="24"/>
                <w:szCs w:val="24"/>
                <w:color w:val="auto"/>
              </w:rPr>
            </w:pPr>
          </w:p>
        </w:tc>
        <w:tc>
          <w:tcPr>
            <w:tcW w:w="1560" w:type="dxa"/>
            <w:vAlign w:val="bottom"/>
            <w:shd w:val="clear" w:color="auto" w:fill="F0F2F5"/>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220" w:type="dxa"/>
            <w:vAlign w:val="bottom"/>
            <w:shd w:val="clear" w:color="auto" w:fill="F0F2F5"/>
          </w:tcPr>
          <w:p>
            <w:pPr>
              <w:spacing w:after="0"/>
              <w:rPr>
                <w:sz w:val="18"/>
                <w:szCs w:val="18"/>
                <w:color w:val="auto"/>
              </w:rPr>
            </w:pPr>
          </w:p>
        </w:tc>
        <w:tc>
          <w:tcPr>
            <w:tcW w:w="1060" w:type="dxa"/>
            <w:vAlign w:val="bottom"/>
            <w:shd w:val="clear" w:color="auto" w:fill="F0F2F5"/>
          </w:tcPr>
          <w:p>
            <w:pPr>
              <w:spacing w:after="0"/>
              <w:rPr>
                <w:sz w:val="18"/>
                <w:szCs w:val="18"/>
                <w:color w:val="auto"/>
              </w:rPr>
            </w:pPr>
          </w:p>
        </w:tc>
        <w:tc>
          <w:tcPr>
            <w:tcW w:w="1600" w:type="dxa"/>
            <w:vAlign w:val="bottom"/>
            <w:shd w:val="clear" w:color="auto" w:fill="F0F2F5"/>
          </w:tcPr>
          <w:p>
            <w:pPr>
              <w:spacing w:after="0"/>
              <w:rPr>
                <w:sz w:val="18"/>
                <w:szCs w:val="18"/>
                <w:color w:val="auto"/>
              </w:rPr>
            </w:pPr>
          </w:p>
        </w:tc>
        <w:tc>
          <w:tcPr>
            <w:tcW w:w="1480" w:type="dxa"/>
            <w:vAlign w:val="bottom"/>
            <w:shd w:val="clear" w:color="auto" w:fill="F0F2F5"/>
          </w:tcPr>
          <w:p>
            <w:pPr>
              <w:spacing w:after="0"/>
              <w:rPr>
                <w:sz w:val="18"/>
                <w:szCs w:val="18"/>
                <w:color w:val="auto"/>
              </w:rPr>
            </w:pPr>
          </w:p>
        </w:tc>
        <w:tc>
          <w:tcPr>
            <w:tcW w:w="1320" w:type="dxa"/>
            <w:vAlign w:val="bottom"/>
            <w:shd w:val="clear" w:color="auto" w:fill="F0F2F5"/>
          </w:tcPr>
          <w:p>
            <w:pPr>
              <w:spacing w:after="0"/>
              <w:rPr>
                <w:sz w:val="18"/>
                <w:szCs w:val="18"/>
                <w:color w:val="auto"/>
              </w:rPr>
            </w:pPr>
          </w:p>
        </w:tc>
        <w:tc>
          <w:tcPr>
            <w:tcW w:w="1560" w:type="dxa"/>
            <w:vAlign w:val="bottom"/>
            <w:shd w:val="clear" w:color="auto" w:fill="F0F2F5"/>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220" w:type="dxa"/>
            <w:vAlign w:val="bottom"/>
          </w:tcPr>
          <w:p>
            <w:pPr>
              <w:spacing w:after="0"/>
              <w:rPr>
                <w:sz w:val="20"/>
                <w:szCs w:val="20"/>
                <w:color w:val="auto"/>
              </w:rPr>
            </w:pPr>
            <w:r>
              <w:rPr>
                <w:rFonts w:ascii="Arial" w:cs="Arial" w:eastAsia="Arial" w:hAnsi="Arial"/>
                <w:sz w:val="18"/>
                <w:szCs w:val="18"/>
                <w:b w:val="1"/>
                <w:bCs w:val="1"/>
                <w:color w:val="auto"/>
              </w:rPr>
              <w:t>Average</w:t>
            </w:r>
          </w:p>
        </w:tc>
        <w:tc>
          <w:tcPr>
            <w:tcW w:w="1060" w:type="dxa"/>
            <w:vAlign w:val="bottom"/>
          </w:tcPr>
          <w:p>
            <w:pPr>
              <w:jc w:val="center"/>
              <w:ind w:left="190"/>
              <w:spacing w:after="0"/>
              <w:rPr>
                <w:sz w:val="20"/>
                <w:szCs w:val="20"/>
                <w:color w:val="auto"/>
              </w:rPr>
            </w:pPr>
            <w:r>
              <w:rPr>
                <w:rFonts w:ascii="Arial" w:cs="Arial" w:eastAsia="Arial" w:hAnsi="Arial"/>
                <w:sz w:val="18"/>
                <w:szCs w:val="18"/>
                <w:b w:val="1"/>
                <w:bCs w:val="1"/>
                <w:color w:val="auto"/>
                <w:w w:val="89"/>
              </w:rPr>
              <w:t>93</w:t>
            </w:r>
          </w:p>
        </w:tc>
        <w:tc>
          <w:tcPr>
            <w:tcW w:w="1600" w:type="dxa"/>
            <w:vAlign w:val="bottom"/>
          </w:tcPr>
          <w:p>
            <w:pPr>
              <w:jc w:val="center"/>
              <w:ind w:left="170"/>
              <w:spacing w:after="0"/>
              <w:rPr>
                <w:sz w:val="20"/>
                <w:szCs w:val="20"/>
                <w:color w:val="auto"/>
              </w:rPr>
            </w:pPr>
            <w:r>
              <w:rPr>
                <w:rFonts w:ascii="Arial" w:cs="Arial" w:eastAsia="Arial" w:hAnsi="Arial"/>
                <w:sz w:val="18"/>
                <w:szCs w:val="18"/>
                <w:b w:val="1"/>
                <w:bCs w:val="1"/>
                <w:color w:val="auto"/>
                <w:w w:val="86"/>
              </w:rPr>
              <w:t>348</w:t>
            </w: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99"/>
              </w:rPr>
              <w:t>-73%</w:t>
            </w:r>
          </w:p>
        </w:tc>
        <w:tc>
          <w:tcPr>
            <w:tcW w:w="1320" w:type="dxa"/>
            <w:vAlign w:val="bottom"/>
          </w:tcPr>
          <w:p>
            <w:pPr>
              <w:jc w:val="center"/>
              <w:spacing w:after="0"/>
              <w:rPr>
                <w:sz w:val="20"/>
                <w:szCs w:val="20"/>
                <w:color w:val="auto"/>
              </w:rPr>
            </w:pPr>
            <w:r>
              <w:rPr>
                <w:rFonts w:ascii="Arial" w:cs="Arial" w:eastAsia="Arial" w:hAnsi="Arial"/>
                <w:sz w:val="18"/>
                <w:szCs w:val="18"/>
                <w:b w:val="1"/>
                <w:bCs w:val="1"/>
                <w:color w:val="auto"/>
                <w:w w:val="93"/>
              </w:rPr>
              <w:t>277</w:t>
            </w:r>
          </w:p>
        </w:tc>
        <w:tc>
          <w:tcPr>
            <w:tcW w:w="1560" w:type="dxa"/>
            <w:vAlign w:val="bottom"/>
          </w:tcPr>
          <w:p>
            <w:pPr>
              <w:jc w:val="center"/>
              <w:spacing w:after="0"/>
              <w:rPr>
                <w:sz w:val="20"/>
                <w:szCs w:val="20"/>
                <w:color w:val="auto"/>
              </w:rPr>
            </w:pPr>
            <w:r>
              <w:rPr>
                <w:rFonts w:ascii="Arial" w:cs="Arial" w:eastAsia="Arial" w:hAnsi="Arial"/>
                <w:sz w:val="18"/>
                <w:szCs w:val="18"/>
                <w:b w:val="1"/>
                <w:bCs w:val="1"/>
                <w:color w:val="auto"/>
                <w:w w:val="99"/>
              </w:rPr>
              <w:t>26%</w:t>
            </w:r>
          </w:p>
        </w:tc>
        <w:tc>
          <w:tcPr>
            <w:tcW w:w="0" w:type="dxa"/>
            <w:vAlign w:val="bottom"/>
          </w:tcPr>
          <w:p>
            <w:pPr>
              <w:spacing w:after="0"/>
              <w:rPr>
                <w:sz w:val="1"/>
                <w:szCs w:val="1"/>
                <w:color w:val="auto"/>
              </w:rPr>
            </w:pPr>
          </w:p>
        </w:tc>
      </w:tr>
      <w:tr>
        <w:trPr>
          <w:trHeight w:val="198"/>
        </w:trPr>
        <w:tc>
          <w:tcPr>
            <w:tcW w:w="4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4220" w:type="dxa"/>
            <w:vAlign w:val="bottom"/>
            <w:shd w:val="clear" w:color="auto" w:fill="F0F2F5"/>
          </w:tcPr>
          <w:p>
            <w:pPr>
              <w:spacing w:after="0" w:line="198" w:lineRule="exact"/>
              <w:rPr>
                <w:sz w:val="20"/>
                <w:szCs w:val="20"/>
                <w:color w:val="auto"/>
              </w:rPr>
            </w:pPr>
            <w:r>
              <w:rPr>
                <w:rFonts w:ascii="Arial" w:cs="Arial" w:eastAsia="Arial" w:hAnsi="Arial"/>
                <w:sz w:val="18"/>
                <w:szCs w:val="18"/>
                <w:b w:val="1"/>
                <w:bCs w:val="1"/>
                <w:color w:val="auto"/>
              </w:rPr>
              <w:t>Members of the Supervisory Board active in the</w:t>
            </w:r>
          </w:p>
        </w:tc>
        <w:tc>
          <w:tcPr>
            <w:tcW w:w="1060" w:type="dxa"/>
            <w:vAlign w:val="bottom"/>
            <w:shd w:val="clear" w:color="auto" w:fill="F0F2F5"/>
          </w:tcPr>
          <w:p>
            <w:pPr>
              <w:spacing w:after="0"/>
              <w:rPr>
                <w:sz w:val="17"/>
                <w:szCs w:val="17"/>
                <w:color w:val="auto"/>
              </w:rPr>
            </w:pPr>
          </w:p>
        </w:tc>
        <w:tc>
          <w:tcPr>
            <w:tcW w:w="1600" w:type="dxa"/>
            <w:vAlign w:val="bottom"/>
            <w:shd w:val="clear" w:color="auto" w:fill="F0F2F5"/>
          </w:tcPr>
          <w:p>
            <w:pPr>
              <w:spacing w:after="0"/>
              <w:rPr>
                <w:sz w:val="17"/>
                <w:szCs w:val="17"/>
                <w:color w:val="auto"/>
              </w:rPr>
            </w:pPr>
          </w:p>
        </w:tc>
        <w:tc>
          <w:tcPr>
            <w:tcW w:w="1480" w:type="dxa"/>
            <w:vAlign w:val="bottom"/>
            <w:shd w:val="clear" w:color="auto" w:fill="F0F2F5"/>
          </w:tcPr>
          <w:p>
            <w:pPr>
              <w:spacing w:after="0"/>
              <w:rPr>
                <w:sz w:val="17"/>
                <w:szCs w:val="17"/>
                <w:color w:val="auto"/>
              </w:rPr>
            </w:pPr>
          </w:p>
        </w:tc>
        <w:tc>
          <w:tcPr>
            <w:tcW w:w="1320" w:type="dxa"/>
            <w:vAlign w:val="bottom"/>
            <w:shd w:val="clear" w:color="auto" w:fill="F0F2F5"/>
          </w:tcPr>
          <w:p>
            <w:pPr>
              <w:spacing w:after="0"/>
              <w:rPr>
                <w:sz w:val="17"/>
                <w:szCs w:val="17"/>
                <w:color w:val="auto"/>
              </w:rPr>
            </w:pPr>
          </w:p>
        </w:tc>
        <w:tc>
          <w:tcPr>
            <w:tcW w:w="1560" w:type="dxa"/>
            <w:vAlign w:val="bottom"/>
            <w:shd w:val="clear" w:color="auto" w:fill="F0F2F5"/>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220" w:type="dxa"/>
            <w:vAlign w:val="bottom"/>
            <w:shd w:val="clear" w:color="auto" w:fill="F0F2F5"/>
          </w:tcPr>
          <w:p>
            <w:pPr>
              <w:spacing w:after="0"/>
              <w:rPr>
                <w:sz w:val="20"/>
                <w:szCs w:val="20"/>
                <w:color w:val="auto"/>
              </w:rPr>
            </w:pPr>
            <w:r>
              <w:rPr>
                <w:rFonts w:ascii="Arial" w:cs="Arial" w:eastAsia="Arial" w:hAnsi="Arial"/>
                <w:sz w:val="18"/>
                <w:szCs w:val="18"/>
                <w:b w:val="1"/>
                <w:bCs w:val="1"/>
                <w:color w:val="auto"/>
              </w:rPr>
              <w:t>financial year</w:t>
            </w:r>
          </w:p>
        </w:tc>
        <w:tc>
          <w:tcPr>
            <w:tcW w:w="1060" w:type="dxa"/>
            <w:vAlign w:val="bottom"/>
            <w:shd w:val="clear" w:color="auto" w:fill="F0F2F5"/>
          </w:tcPr>
          <w:p>
            <w:pPr>
              <w:spacing w:after="0"/>
              <w:rPr>
                <w:sz w:val="20"/>
                <w:szCs w:val="20"/>
                <w:color w:val="auto"/>
              </w:rPr>
            </w:pPr>
          </w:p>
        </w:tc>
        <w:tc>
          <w:tcPr>
            <w:tcW w:w="1600" w:type="dxa"/>
            <w:vAlign w:val="bottom"/>
            <w:shd w:val="clear" w:color="auto" w:fill="F0F2F5"/>
          </w:tcPr>
          <w:p>
            <w:pPr>
              <w:spacing w:after="0"/>
              <w:rPr>
                <w:sz w:val="20"/>
                <w:szCs w:val="20"/>
                <w:color w:val="auto"/>
              </w:rPr>
            </w:pPr>
          </w:p>
        </w:tc>
        <w:tc>
          <w:tcPr>
            <w:tcW w:w="1480" w:type="dxa"/>
            <w:vAlign w:val="bottom"/>
            <w:shd w:val="clear" w:color="auto" w:fill="F0F2F5"/>
          </w:tcPr>
          <w:p>
            <w:pPr>
              <w:spacing w:after="0"/>
              <w:rPr>
                <w:sz w:val="20"/>
                <w:szCs w:val="20"/>
                <w:color w:val="auto"/>
              </w:rPr>
            </w:pPr>
          </w:p>
        </w:tc>
        <w:tc>
          <w:tcPr>
            <w:tcW w:w="1320" w:type="dxa"/>
            <w:vAlign w:val="bottom"/>
            <w:shd w:val="clear" w:color="auto" w:fill="F0F2F5"/>
          </w:tcPr>
          <w:p>
            <w:pPr>
              <w:spacing w:after="0"/>
              <w:rPr>
                <w:sz w:val="20"/>
                <w:szCs w:val="20"/>
                <w:color w:val="auto"/>
              </w:rPr>
            </w:pPr>
          </w:p>
        </w:tc>
        <w:tc>
          <w:tcPr>
            <w:tcW w:w="1560" w:type="dxa"/>
            <w:vAlign w:val="bottom"/>
            <w:shd w:val="clear" w:color="auto" w:fill="F0F2F5"/>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220" w:type="dxa"/>
            <w:vAlign w:val="bottom"/>
            <w:shd w:val="clear" w:color="auto" w:fill="F0F2F5"/>
          </w:tcPr>
          <w:p>
            <w:pPr>
              <w:spacing w:after="0"/>
              <w:rPr>
                <w:sz w:val="18"/>
                <w:szCs w:val="18"/>
                <w:color w:val="auto"/>
              </w:rPr>
            </w:pPr>
          </w:p>
        </w:tc>
        <w:tc>
          <w:tcPr>
            <w:tcW w:w="1060" w:type="dxa"/>
            <w:vAlign w:val="bottom"/>
            <w:shd w:val="clear" w:color="auto" w:fill="F0F2F5"/>
          </w:tcPr>
          <w:p>
            <w:pPr>
              <w:spacing w:after="0"/>
              <w:rPr>
                <w:sz w:val="18"/>
                <w:szCs w:val="18"/>
                <w:color w:val="auto"/>
              </w:rPr>
            </w:pPr>
          </w:p>
        </w:tc>
        <w:tc>
          <w:tcPr>
            <w:tcW w:w="1600" w:type="dxa"/>
            <w:vAlign w:val="bottom"/>
            <w:shd w:val="clear" w:color="auto" w:fill="F0F2F5"/>
          </w:tcPr>
          <w:p>
            <w:pPr>
              <w:spacing w:after="0"/>
              <w:rPr>
                <w:sz w:val="18"/>
                <w:szCs w:val="18"/>
                <w:color w:val="auto"/>
              </w:rPr>
            </w:pPr>
          </w:p>
        </w:tc>
        <w:tc>
          <w:tcPr>
            <w:tcW w:w="1480" w:type="dxa"/>
            <w:vAlign w:val="bottom"/>
            <w:shd w:val="clear" w:color="auto" w:fill="F0F2F5"/>
          </w:tcPr>
          <w:p>
            <w:pPr>
              <w:spacing w:after="0"/>
              <w:rPr>
                <w:sz w:val="18"/>
                <w:szCs w:val="18"/>
                <w:color w:val="auto"/>
              </w:rPr>
            </w:pPr>
          </w:p>
        </w:tc>
        <w:tc>
          <w:tcPr>
            <w:tcW w:w="1320" w:type="dxa"/>
            <w:vAlign w:val="bottom"/>
            <w:shd w:val="clear" w:color="auto" w:fill="F0F2F5"/>
          </w:tcPr>
          <w:p>
            <w:pPr>
              <w:spacing w:after="0"/>
              <w:rPr>
                <w:sz w:val="18"/>
                <w:szCs w:val="18"/>
                <w:color w:val="auto"/>
              </w:rPr>
            </w:pPr>
          </w:p>
        </w:tc>
        <w:tc>
          <w:tcPr>
            <w:tcW w:w="1560" w:type="dxa"/>
            <w:vAlign w:val="bottom"/>
            <w:shd w:val="clear" w:color="auto" w:fill="F0F2F5"/>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20" w:type="dxa"/>
            <w:vAlign w:val="bottom"/>
          </w:tcPr>
          <w:p>
            <w:pPr>
              <w:spacing w:after="0"/>
              <w:rPr>
                <w:sz w:val="20"/>
                <w:szCs w:val="20"/>
                <w:color w:val="auto"/>
              </w:rPr>
            </w:pPr>
            <w:r>
              <w:rPr>
                <w:rFonts w:ascii="Arial" w:cs="Arial" w:eastAsia="Arial" w:hAnsi="Arial"/>
                <w:sz w:val="18"/>
                <w:szCs w:val="18"/>
                <w:color w:val="auto"/>
              </w:rPr>
              <w:t>Dr. Manfred Krischke</w:t>
            </w:r>
          </w:p>
        </w:tc>
        <w:tc>
          <w:tcPr>
            <w:tcW w:w="1060" w:type="dxa"/>
            <w:vAlign w:val="bottom"/>
          </w:tcPr>
          <w:p>
            <w:pPr>
              <w:jc w:val="center"/>
              <w:ind w:left="170"/>
              <w:spacing w:after="0"/>
              <w:rPr>
                <w:sz w:val="20"/>
                <w:szCs w:val="20"/>
                <w:color w:val="auto"/>
              </w:rPr>
            </w:pPr>
            <w:r>
              <w:rPr>
                <w:rFonts w:ascii="Arial" w:cs="Arial" w:eastAsia="Arial" w:hAnsi="Arial"/>
                <w:sz w:val="18"/>
                <w:szCs w:val="18"/>
                <w:color w:val="auto"/>
                <w:w w:val="93"/>
              </w:rPr>
              <w:t>151</w:t>
            </w:r>
          </w:p>
        </w:tc>
        <w:tc>
          <w:tcPr>
            <w:tcW w:w="1600" w:type="dxa"/>
            <w:vAlign w:val="bottom"/>
          </w:tcPr>
          <w:p>
            <w:pPr>
              <w:jc w:val="center"/>
              <w:ind w:left="170"/>
              <w:spacing w:after="0"/>
              <w:rPr>
                <w:sz w:val="20"/>
                <w:szCs w:val="20"/>
                <w:color w:val="auto"/>
              </w:rPr>
            </w:pPr>
            <w:r>
              <w:rPr>
                <w:rFonts w:ascii="Arial" w:cs="Arial" w:eastAsia="Arial" w:hAnsi="Arial"/>
                <w:sz w:val="18"/>
                <w:szCs w:val="18"/>
                <w:color w:val="auto"/>
                <w:w w:val="89"/>
              </w:rPr>
              <w:t>80</w:t>
            </w:r>
          </w:p>
        </w:tc>
        <w:tc>
          <w:tcPr>
            <w:tcW w:w="1480" w:type="dxa"/>
            <w:vAlign w:val="bottom"/>
          </w:tcPr>
          <w:p>
            <w:pPr>
              <w:jc w:val="center"/>
              <w:spacing w:after="0"/>
              <w:rPr>
                <w:sz w:val="20"/>
                <w:szCs w:val="20"/>
                <w:color w:val="auto"/>
              </w:rPr>
            </w:pPr>
            <w:r>
              <w:rPr>
                <w:rFonts w:ascii="Arial" w:cs="Arial" w:eastAsia="Arial" w:hAnsi="Arial"/>
                <w:sz w:val="18"/>
                <w:szCs w:val="18"/>
                <w:color w:val="auto"/>
                <w:w w:val="88"/>
              </w:rPr>
              <w:t>89%</w:t>
            </w:r>
          </w:p>
        </w:tc>
        <w:tc>
          <w:tcPr>
            <w:tcW w:w="1320" w:type="dxa"/>
            <w:vAlign w:val="bottom"/>
          </w:tcPr>
          <w:p>
            <w:pPr>
              <w:jc w:val="center"/>
              <w:spacing w:after="0"/>
              <w:rPr>
                <w:sz w:val="20"/>
                <w:szCs w:val="20"/>
                <w:color w:val="auto"/>
              </w:rPr>
            </w:pPr>
            <w:r>
              <w:rPr>
                <w:rFonts w:ascii="Arial" w:cs="Arial" w:eastAsia="Arial" w:hAnsi="Arial"/>
                <w:sz w:val="18"/>
                <w:szCs w:val="18"/>
                <w:color w:val="auto"/>
                <w:w w:val="89"/>
              </w:rPr>
              <w:t>40</w:t>
            </w:r>
          </w:p>
        </w:tc>
        <w:tc>
          <w:tcPr>
            <w:tcW w:w="1560" w:type="dxa"/>
            <w:vAlign w:val="bottom"/>
          </w:tcPr>
          <w:p>
            <w:pPr>
              <w:jc w:val="center"/>
              <w:spacing w:after="0"/>
              <w:rPr>
                <w:sz w:val="20"/>
                <w:szCs w:val="20"/>
                <w:color w:val="auto"/>
              </w:rPr>
            </w:pPr>
            <w:r>
              <w:rPr>
                <w:rFonts w:ascii="Arial" w:cs="Arial" w:eastAsia="Arial" w:hAnsi="Arial"/>
                <w:sz w:val="18"/>
                <w:szCs w:val="18"/>
                <w:color w:val="auto"/>
                <w:w w:val="91"/>
              </w:rPr>
              <w:t>100%</w:t>
            </w:r>
          </w:p>
        </w:tc>
        <w:tc>
          <w:tcPr>
            <w:tcW w:w="0" w:type="dxa"/>
            <w:vAlign w:val="bottom"/>
          </w:tcPr>
          <w:p>
            <w:pPr>
              <w:spacing w:after="0"/>
              <w:rPr>
                <w:sz w:val="1"/>
                <w:szCs w:val="1"/>
                <w:color w:val="auto"/>
              </w:rPr>
            </w:pPr>
          </w:p>
        </w:tc>
      </w:tr>
      <w:tr>
        <w:trPr>
          <w:trHeight w:val="202"/>
        </w:trPr>
        <w:tc>
          <w:tcPr>
            <w:tcW w:w="4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220" w:type="dxa"/>
            <w:vAlign w:val="bottom"/>
            <w:shd w:val="clear" w:color="auto" w:fill="F0F2F5"/>
          </w:tcPr>
          <w:p>
            <w:pPr>
              <w:spacing w:after="0"/>
              <w:rPr>
                <w:sz w:val="20"/>
                <w:szCs w:val="20"/>
                <w:color w:val="auto"/>
              </w:rPr>
            </w:pPr>
            <w:r>
              <w:rPr>
                <w:rFonts w:ascii="Arial" w:cs="Arial" w:eastAsia="Arial" w:hAnsi="Arial"/>
                <w:sz w:val="18"/>
                <w:szCs w:val="18"/>
                <w:color w:val="auto"/>
              </w:rPr>
              <w:t>Peter Müller-Brühl</w:t>
            </w:r>
          </w:p>
        </w:tc>
        <w:tc>
          <w:tcPr>
            <w:tcW w:w="1060" w:type="dxa"/>
            <w:vAlign w:val="bottom"/>
            <w:vMerge w:val="restart"/>
            <w:shd w:val="clear" w:color="auto" w:fill="F0F2F5"/>
          </w:tcPr>
          <w:p>
            <w:pPr>
              <w:jc w:val="center"/>
              <w:ind w:left="190"/>
              <w:spacing w:after="0"/>
              <w:rPr>
                <w:sz w:val="20"/>
                <w:szCs w:val="20"/>
                <w:color w:val="auto"/>
              </w:rPr>
            </w:pPr>
            <w:r>
              <w:rPr>
                <w:rFonts w:ascii="Arial" w:cs="Arial" w:eastAsia="Arial" w:hAnsi="Arial"/>
                <w:sz w:val="18"/>
                <w:szCs w:val="18"/>
                <w:color w:val="auto"/>
                <w:w w:val="86"/>
              </w:rPr>
              <w:t>118</w:t>
            </w:r>
          </w:p>
        </w:tc>
        <w:tc>
          <w:tcPr>
            <w:tcW w:w="1600" w:type="dxa"/>
            <w:vAlign w:val="bottom"/>
            <w:vMerge w:val="restart"/>
            <w:shd w:val="clear" w:color="auto" w:fill="F0F2F5"/>
          </w:tcPr>
          <w:p>
            <w:pPr>
              <w:jc w:val="center"/>
              <w:ind w:left="170"/>
              <w:spacing w:after="0"/>
              <w:rPr>
                <w:sz w:val="20"/>
                <w:szCs w:val="20"/>
                <w:color w:val="auto"/>
              </w:rPr>
            </w:pPr>
            <w:r>
              <w:rPr>
                <w:rFonts w:ascii="Arial" w:cs="Arial" w:eastAsia="Arial" w:hAnsi="Arial"/>
                <w:sz w:val="18"/>
                <w:szCs w:val="18"/>
                <w:color w:val="auto"/>
                <w:w w:val="89"/>
              </w:rPr>
              <w:t>50</w:t>
            </w:r>
          </w:p>
        </w:tc>
        <w:tc>
          <w:tcPr>
            <w:tcW w:w="1480" w:type="dxa"/>
            <w:vAlign w:val="bottom"/>
            <w:vMerge w:val="restart"/>
            <w:shd w:val="clear" w:color="auto" w:fill="F0F2F5"/>
          </w:tcPr>
          <w:p>
            <w:pPr>
              <w:jc w:val="center"/>
              <w:spacing w:after="0"/>
              <w:rPr>
                <w:sz w:val="20"/>
                <w:szCs w:val="20"/>
                <w:color w:val="auto"/>
              </w:rPr>
            </w:pPr>
            <w:r>
              <w:rPr>
                <w:rFonts w:ascii="Arial" w:cs="Arial" w:eastAsia="Arial" w:hAnsi="Arial"/>
                <w:sz w:val="18"/>
                <w:szCs w:val="18"/>
                <w:color w:val="auto"/>
                <w:w w:val="91"/>
              </w:rPr>
              <w:t>136%</w:t>
            </w:r>
          </w:p>
        </w:tc>
        <w:tc>
          <w:tcPr>
            <w:tcW w:w="1320" w:type="dxa"/>
            <w:vAlign w:val="bottom"/>
            <w:vMerge w:val="restart"/>
            <w:shd w:val="clear" w:color="auto" w:fill="F0F2F5"/>
          </w:tcPr>
          <w:p>
            <w:pPr>
              <w:jc w:val="center"/>
              <w:spacing w:after="0"/>
              <w:rPr>
                <w:sz w:val="20"/>
                <w:szCs w:val="20"/>
                <w:color w:val="auto"/>
              </w:rPr>
            </w:pPr>
            <w:r>
              <w:rPr>
                <w:rFonts w:ascii="Arial" w:cs="Arial" w:eastAsia="Arial" w:hAnsi="Arial"/>
                <w:sz w:val="18"/>
                <w:szCs w:val="18"/>
                <w:color w:val="auto"/>
                <w:w w:val="89"/>
              </w:rPr>
              <w:t>20</w:t>
            </w:r>
          </w:p>
        </w:tc>
        <w:tc>
          <w:tcPr>
            <w:tcW w:w="1560" w:type="dxa"/>
            <w:vAlign w:val="bottom"/>
            <w:vMerge w:val="restart"/>
            <w:shd w:val="clear" w:color="auto" w:fill="F0F2F5"/>
          </w:tcPr>
          <w:p>
            <w:pPr>
              <w:jc w:val="center"/>
              <w:spacing w:after="0"/>
              <w:rPr>
                <w:sz w:val="20"/>
                <w:szCs w:val="20"/>
                <w:color w:val="auto"/>
              </w:rPr>
            </w:pPr>
            <w:r>
              <w:rPr>
                <w:rFonts w:ascii="Arial" w:cs="Arial" w:eastAsia="Arial" w:hAnsi="Arial"/>
                <w:sz w:val="18"/>
                <w:szCs w:val="18"/>
                <w:color w:val="auto"/>
                <w:w w:val="91"/>
              </w:rPr>
              <w:t>150%</w:t>
            </w:r>
          </w:p>
        </w:tc>
        <w:tc>
          <w:tcPr>
            <w:tcW w:w="0" w:type="dxa"/>
            <w:vAlign w:val="bottom"/>
          </w:tcPr>
          <w:p>
            <w:pPr>
              <w:spacing w:after="0"/>
              <w:rPr>
                <w:sz w:val="1"/>
                <w:szCs w:val="1"/>
                <w:color w:val="auto"/>
              </w:rPr>
            </w:pPr>
          </w:p>
        </w:tc>
      </w:tr>
      <w:tr>
        <w:trPr>
          <w:trHeight w:val="202"/>
        </w:trPr>
        <w:tc>
          <w:tcPr>
            <w:tcW w:w="4220" w:type="dxa"/>
            <w:vAlign w:val="bottom"/>
            <w:vMerge w:val="restart"/>
            <w:shd w:val="clear" w:color="auto" w:fill="F0F2F5"/>
          </w:tcPr>
          <w:p>
            <w:pPr>
              <w:spacing w:after="0"/>
              <w:rPr>
                <w:sz w:val="20"/>
                <w:szCs w:val="20"/>
                <w:color w:val="auto"/>
              </w:rPr>
            </w:pPr>
            <w:r>
              <w:rPr>
                <w:rFonts w:ascii="Arial" w:cs="Arial" w:eastAsia="Arial" w:hAnsi="Arial"/>
                <w:sz w:val="18"/>
                <w:szCs w:val="18"/>
                <w:color w:val="auto"/>
              </w:rPr>
              <w:t>(Vice Chairman since October 5, 2021)</w:t>
            </w:r>
          </w:p>
        </w:tc>
        <w:tc>
          <w:tcPr>
            <w:tcW w:w="1060" w:type="dxa"/>
            <w:vAlign w:val="bottom"/>
            <w:vMerge w:val="continue"/>
            <w:shd w:val="clear" w:color="auto" w:fill="F0F2F5"/>
          </w:tcPr>
          <w:p>
            <w:pPr>
              <w:spacing w:after="0"/>
              <w:rPr>
                <w:sz w:val="17"/>
                <w:szCs w:val="17"/>
                <w:color w:val="auto"/>
              </w:rPr>
            </w:pPr>
          </w:p>
        </w:tc>
        <w:tc>
          <w:tcPr>
            <w:tcW w:w="1600" w:type="dxa"/>
            <w:vAlign w:val="bottom"/>
            <w:vMerge w:val="continue"/>
            <w:shd w:val="clear" w:color="auto" w:fill="F0F2F5"/>
          </w:tcPr>
          <w:p>
            <w:pPr>
              <w:spacing w:after="0"/>
              <w:rPr>
                <w:sz w:val="17"/>
                <w:szCs w:val="17"/>
                <w:color w:val="auto"/>
              </w:rPr>
            </w:pPr>
          </w:p>
        </w:tc>
        <w:tc>
          <w:tcPr>
            <w:tcW w:w="1480" w:type="dxa"/>
            <w:vAlign w:val="bottom"/>
            <w:vMerge w:val="continue"/>
            <w:shd w:val="clear" w:color="auto" w:fill="F0F2F5"/>
          </w:tcPr>
          <w:p>
            <w:pPr>
              <w:spacing w:after="0"/>
              <w:rPr>
                <w:sz w:val="17"/>
                <w:szCs w:val="17"/>
                <w:color w:val="auto"/>
              </w:rPr>
            </w:pPr>
          </w:p>
        </w:tc>
        <w:tc>
          <w:tcPr>
            <w:tcW w:w="1320" w:type="dxa"/>
            <w:vAlign w:val="bottom"/>
            <w:vMerge w:val="continue"/>
            <w:shd w:val="clear" w:color="auto" w:fill="F0F2F5"/>
          </w:tcPr>
          <w:p>
            <w:pPr>
              <w:spacing w:after="0"/>
              <w:rPr>
                <w:sz w:val="17"/>
                <w:szCs w:val="17"/>
                <w:color w:val="auto"/>
              </w:rPr>
            </w:pPr>
          </w:p>
        </w:tc>
        <w:tc>
          <w:tcPr>
            <w:tcW w:w="1560" w:type="dxa"/>
            <w:vAlign w:val="bottom"/>
            <w:vMerge w:val="continue"/>
            <w:shd w:val="clear" w:color="auto" w:fill="F0F2F5"/>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220" w:type="dxa"/>
            <w:vAlign w:val="bottom"/>
            <w:vMerge w:val="continue"/>
            <w:shd w:val="clear" w:color="auto" w:fill="F0F2F5"/>
          </w:tcPr>
          <w:p>
            <w:pPr>
              <w:spacing w:after="0"/>
              <w:rPr>
                <w:sz w:val="18"/>
                <w:szCs w:val="18"/>
                <w:color w:val="auto"/>
              </w:rPr>
            </w:pPr>
          </w:p>
        </w:tc>
        <w:tc>
          <w:tcPr>
            <w:tcW w:w="1060" w:type="dxa"/>
            <w:vAlign w:val="bottom"/>
            <w:shd w:val="clear" w:color="auto" w:fill="F0F2F5"/>
          </w:tcPr>
          <w:p>
            <w:pPr>
              <w:spacing w:after="0"/>
              <w:rPr>
                <w:sz w:val="18"/>
                <w:szCs w:val="18"/>
                <w:color w:val="auto"/>
              </w:rPr>
            </w:pPr>
          </w:p>
        </w:tc>
        <w:tc>
          <w:tcPr>
            <w:tcW w:w="1600" w:type="dxa"/>
            <w:vAlign w:val="bottom"/>
            <w:shd w:val="clear" w:color="auto" w:fill="F0F2F5"/>
          </w:tcPr>
          <w:p>
            <w:pPr>
              <w:spacing w:after="0"/>
              <w:rPr>
                <w:sz w:val="18"/>
                <w:szCs w:val="18"/>
                <w:color w:val="auto"/>
              </w:rPr>
            </w:pPr>
          </w:p>
        </w:tc>
        <w:tc>
          <w:tcPr>
            <w:tcW w:w="1480" w:type="dxa"/>
            <w:vAlign w:val="bottom"/>
            <w:shd w:val="clear" w:color="auto" w:fill="F0F2F5"/>
          </w:tcPr>
          <w:p>
            <w:pPr>
              <w:spacing w:after="0"/>
              <w:rPr>
                <w:sz w:val="18"/>
                <w:szCs w:val="18"/>
                <w:color w:val="auto"/>
              </w:rPr>
            </w:pPr>
          </w:p>
        </w:tc>
        <w:tc>
          <w:tcPr>
            <w:tcW w:w="1320" w:type="dxa"/>
            <w:vAlign w:val="bottom"/>
            <w:shd w:val="clear" w:color="auto" w:fill="F0F2F5"/>
          </w:tcPr>
          <w:p>
            <w:pPr>
              <w:spacing w:after="0"/>
              <w:rPr>
                <w:sz w:val="18"/>
                <w:szCs w:val="18"/>
                <w:color w:val="auto"/>
              </w:rPr>
            </w:pPr>
          </w:p>
        </w:tc>
        <w:tc>
          <w:tcPr>
            <w:tcW w:w="1560" w:type="dxa"/>
            <w:vAlign w:val="bottom"/>
            <w:shd w:val="clear" w:color="auto" w:fill="F0F2F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shd w:val="clear" w:color="auto" w:fill="F0F2F5"/>
          </w:tcPr>
          <w:p>
            <w:pPr>
              <w:spacing w:after="0"/>
              <w:rPr>
                <w:sz w:val="18"/>
                <w:szCs w:val="18"/>
                <w:color w:val="auto"/>
              </w:rPr>
            </w:pPr>
          </w:p>
        </w:tc>
        <w:tc>
          <w:tcPr>
            <w:tcW w:w="1060" w:type="dxa"/>
            <w:vAlign w:val="bottom"/>
            <w:shd w:val="clear" w:color="auto" w:fill="F0F2F5"/>
          </w:tcPr>
          <w:p>
            <w:pPr>
              <w:spacing w:after="0"/>
              <w:rPr>
                <w:sz w:val="18"/>
                <w:szCs w:val="18"/>
                <w:color w:val="auto"/>
              </w:rPr>
            </w:pPr>
          </w:p>
        </w:tc>
        <w:tc>
          <w:tcPr>
            <w:tcW w:w="1600" w:type="dxa"/>
            <w:vAlign w:val="bottom"/>
            <w:shd w:val="clear" w:color="auto" w:fill="F0F2F5"/>
          </w:tcPr>
          <w:p>
            <w:pPr>
              <w:spacing w:after="0"/>
              <w:rPr>
                <w:sz w:val="18"/>
                <w:szCs w:val="18"/>
                <w:color w:val="auto"/>
              </w:rPr>
            </w:pPr>
          </w:p>
        </w:tc>
        <w:tc>
          <w:tcPr>
            <w:tcW w:w="1480" w:type="dxa"/>
            <w:vAlign w:val="bottom"/>
            <w:shd w:val="clear" w:color="auto" w:fill="F0F2F5"/>
          </w:tcPr>
          <w:p>
            <w:pPr>
              <w:spacing w:after="0"/>
              <w:rPr>
                <w:sz w:val="18"/>
                <w:szCs w:val="18"/>
                <w:color w:val="auto"/>
              </w:rPr>
            </w:pPr>
          </w:p>
        </w:tc>
        <w:tc>
          <w:tcPr>
            <w:tcW w:w="1320" w:type="dxa"/>
            <w:vAlign w:val="bottom"/>
            <w:shd w:val="clear" w:color="auto" w:fill="F0F2F5"/>
          </w:tcPr>
          <w:p>
            <w:pPr>
              <w:spacing w:after="0"/>
              <w:rPr>
                <w:sz w:val="18"/>
                <w:szCs w:val="18"/>
                <w:color w:val="auto"/>
              </w:rPr>
            </w:pPr>
          </w:p>
        </w:tc>
        <w:tc>
          <w:tcPr>
            <w:tcW w:w="1560" w:type="dxa"/>
            <w:vAlign w:val="bottom"/>
            <w:shd w:val="clear" w:color="auto" w:fill="F0F2F5"/>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20" w:type="dxa"/>
            <w:vAlign w:val="bottom"/>
          </w:tcPr>
          <w:p>
            <w:pPr>
              <w:spacing w:after="0"/>
              <w:rPr>
                <w:sz w:val="20"/>
                <w:szCs w:val="20"/>
                <w:color w:val="auto"/>
              </w:rPr>
            </w:pPr>
            <w:r>
              <w:rPr>
                <w:rFonts w:ascii="Arial" w:cs="Arial" w:eastAsia="Arial" w:hAnsi="Arial"/>
                <w:sz w:val="18"/>
                <w:szCs w:val="18"/>
                <w:color w:val="auto"/>
              </w:rPr>
              <w:t>Hans Koenigsmann</w:t>
            </w:r>
          </w:p>
        </w:tc>
        <w:tc>
          <w:tcPr>
            <w:tcW w:w="1060" w:type="dxa"/>
            <w:vAlign w:val="bottom"/>
            <w:vMerge w:val="restart"/>
          </w:tcPr>
          <w:p>
            <w:pPr>
              <w:jc w:val="center"/>
              <w:ind w:left="190"/>
              <w:spacing w:after="0"/>
              <w:rPr>
                <w:sz w:val="20"/>
                <w:szCs w:val="20"/>
                <w:color w:val="auto"/>
              </w:rPr>
            </w:pPr>
            <w:r>
              <w:rPr>
                <w:rFonts w:ascii="Arial" w:cs="Arial" w:eastAsia="Arial" w:hAnsi="Arial"/>
                <w:sz w:val="18"/>
                <w:szCs w:val="18"/>
                <w:color w:val="auto"/>
                <w:w w:val="89"/>
              </w:rPr>
              <w:t>66</w:t>
            </w:r>
          </w:p>
        </w:tc>
        <w:tc>
          <w:tcPr>
            <w:tcW w:w="1600" w:type="dxa"/>
            <w:vAlign w:val="bottom"/>
            <w:vMerge w:val="restart"/>
          </w:tcPr>
          <w:p>
            <w:pPr>
              <w:jc w:val="center"/>
              <w:ind w:left="170"/>
              <w:spacing w:after="0"/>
              <w:rPr>
                <w:sz w:val="20"/>
                <w:szCs w:val="20"/>
                <w:color w:val="auto"/>
              </w:rPr>
            </w:pPr>
            <w:r>
              <w:rPr>
                <w:rFonts w:ascii="Arial" w:cs="Arial" w:eastAsia="Arial" w:hAnsi="Arial"/>
                <w:sz w:val="18"/>
                <w:szCs w:val="18"/>
                <w:color w:val="auto"/>
                <w:w w:val="89"/>
              </w:rPr>
              <w:t>12</w:t>
            </w:r>
          </w:p>
        </w:tc>
        <w:tc>
          <w:tcPr>
            <w:tcW w:w="1480" w:type="dxa"/>
            <w:vAlign w:val="bottom"/>
            <w:vMerge w:val="restart"/>
          </w:tcPr>
          <w:p>
            <w:pPr>
              <w:jc w:val="center"/>
              <w:spacing w:after="0"/>
              <w:rPr>
                <w:sz w:val="20"/>
                <w:szCs w:val="20"/>
                <w:color w:val="auto"/>
              </w:rPr>
            </w:pPr>
            <w:r>
              <w:rPr>
                <w:rFonts w:ascii="Arial" w:cs="Arial" w:eastAsia="Arial" w:hAnsi="Arial"/>
                <w:sz w:val="18"/>
                <w:szCs w:val="18"/>
                <w:color w:val="auto"/>
                <w:w w:val="91"/>
              </w:rPr>
              <w:t>450%</w:t>
            </w:r>
          </w:p>
        </w:tc>
        <w:tc>
          <w:tcPr>
            <w:tcW w:w="1320" w:type="dxa"/>
            <w:vAlign w:val="bottom"/>
            <w:vMerge w:val="restart"/>
          </w:tcPr>
          <w:p>
            <w:pPr>
              <w:jc w:val="center"/>
              <w:spacing w:after="0"/>
              <w:rPr>
                <w:sz w:val="20"/>
                <w:szCs w:val="20"/>
                <w:color w:val="auto"/>
              </w:rPr>
            </w:pPr>
            <w:r>
              <w:rPr>
                <w:rFonts w:ascii="Arial" w:cs="Arial" w:eastAsia="Arial" w:hAnsi="Arial"/>
                <w:sz w:val="18"/>
                <w:szCs w:val="18"/>
                <w:color w:val="auto"/>
                <w:w w:val="92"/>
              </w:rPr>
              <w:t>./.</w:t>
            </w:r>
          </w:p>
        </w:tc>
        <w:tc>
          <w:tcPr>
            <w:tcW w:w="1560" w:type="dxa"/>
            <w:vAlign w:val="bottom"/>
            <w:vMerge w:val="restart"/>
          </w:tcPr>
          <w:p>
            <w:pPr>
              <w:jc w:val="center"/>
              <w:spacing w:after="0"/>
              <w:rPr>
                <w:sz w:val="20"/>
                <w:szCs w:val="20"/>
                <w:color w:val="auto"/>
              </w:rPr>
            </w:pPr>
            <w:r>
              <w:rPr>
                <w:rFonts w:ascii="Arial" w:cs="Arial" w:eastAsia="Arial" w:hAnsi="Arial"/>
                <w:sz w:val="18"/>
                <w:szCs w:val="18"/>
                <w:color w:val="auto"/>
                <w:w w:val="92"/>
              </w:rPr>
              <w:t>./.</w:t>
            </w:r>
          </w:p>
        </w:tc>
        <w:tc>
          <w:tcPr>
            <w:tcW w:w="0" w:type="dxa"/>
            <w:vAlign w:val="bottom"/>
          </w:tcPr>
          <w:p>
            <w:pPr>
              <w:spacing w:after="0"/>
              <w:rPr>
                <w:sz w:val="1"/>
                <w:szCs w:val="1"/>
                <w:color w:val="auto"/>
              </w:rPr>
            </w:pPr>
          </w:p>
        </w:tc>
      </w:tr>
      <w:tr>
        <w:trPr>
          <w:trHeight w:val="202"/>
        </w:trPr>
        <w:tc>
          <w:tcPr>
            <w:tcW w:w="4220" w:type="dxa"/>
            <w:vAlign w:val="bottom"/>
            <w:vMerge w:val="restart"/>
          </w:tcPr>
          <w:p>
            <w:pPr>
              <w:spacing w:after="0"/>
              <w:rPr>
                <w:sz w:val="20"/>
                <w:szCs w:val="20"/>
                <w:color w:val="auto"/>
              </w:rPr>
            </w:pPr>
            <w:r>
              <w:rPr>
                <w:rFonts w:ascii="Arial" w:cs="Arial" w:eastAsia="Arial" w:hAnsi="Arial"/>
                <w:sz w:val="18"/>
                <w:szCs w:val="18"/>
                <w:color w:val="auto"/>
              </w:rPr>
              <w:t>(since October 13, 2021)</w:t>
            </w:r>
          </w:p>
        </w:tc>
        <w:tc>
          <w:tcPr>
            <w:tcW w:w="1060" w:type="dxa"/>
            <w:vAlign w:val="bottom"/>
            <w:vMerge w:val="continue"/>
          </w:tcPr>
          <w:p>
            <w:pPr>
              <w:spacing w:after="0"/>
              <w:rPr>
                <w:sz w:val="17"/>
                <w:szCs w:val="17"/>
                <w:color w:val="auto"/>
              </w:rPr>
            </w:pPr>
          </w:p>
        </w:tc>
        <w:tc>
          <w:tcPr>
            <w:tcW w:w="1600" w:type="dxa"/>
            <w:vAlign w:val="bottom"/>
            <w:vMerge w:val="continue"/>
          </w:tcPr>
          <w:p>
            <w:pPr>
              <w:spacing w:after="0"/>
              <w:rPr>
                <w:sz w:val="17"/>
                <w:szCs w:val="17"/>
                <w:color w:val="auto"/>
              </w:rPr>
            </w:pPr>
          </w:p>
        </w:tc>
        <w:tc>
          <w:tcPr>
            <w:tcW w:w="1480" w:type="dxa"/>
            <w:vAlign w:val="bottom"/>
            <w:vMerge w:val="continue"/>
          </w:tcPr>
          <w:p>
            <w:pPr>
              <w:spacing w:after="0"/>
              <w:rPr>
                <w:sz w:val="17"/>
                <w:szCs w:val="17"/>
                <w:color w:val="auto"/>
              </w:rPr>
            </w:pPr>
          </w:p>
        </w:tc>
        <w:tc>
          <w:tcPr>
            <w:tcW w:w="1320" w:type="dxa"/>
            <w:vAlign w:val="bottom"/>
            <w:vMerge w:val="continue"/>
          </w:tcPr>
          <w:p>
            <w:pPr>
              <w:spacing w:after="0"/>
              <w:rPr>
                <w:sz w:val="17"/>
                <w:szCs w:val="17"/>
                <w:color w:val="auto"/>
              </w:rPr>
            </w:pPr>
          </w:p>
        </w:tc>
        <w:tc>
          <w:tcPr>
            <w:tcW w:w="15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220" w:type="dxa"/>
            <w:vAlign w:val="bottom"/>
            <w:vMerge w:val="continue"/>
          </w:tcPr>
          <w:p>
            <w:pPr>
              <w:spacing w:after="0"/>
              <w:rPr>
                <w:sz w:val="18"/>
                <w:szCs w:val="18"/>
                <w:color w:val="auto"/>
              </w:rPr>
            </w:pPr>
          </w:p>
        </w:tc>
        <w:tc>
          <w:tcPr>
            <w:tcW w:w="10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20" w:type="dxa"/>
            <w:vAlign w:val="bottom"/>
            <w:shd w:val="clear" w:color="auto" w:fill="F0F2F5"/>
          </w:tcPr>
          <w:p>
            <w:pPr>
              <w:spacing w:after="0"/>
              <w:rPr>
                <w:sz w:val="20"/>
                <w:szCs w:val="20"/>
                <w:color w:val="auto"/>
              </w:rPr>
            </w:pPr>
            <w:r>
              <w:rPr>
                <w:rFonts w:ascii="Arial" w:cs="Arial" w:eastAsia="Arial" w:hAnsi="Arial"/>
                <w:sz w:val="18"/>
                <w:szCs w:val="18"/>
                <w:color w:val="auto"/>
              </w:rPr>
              <w:t>Steve Geskos</w:t>
            </w:r>
          </w:p>
        </w:tc>
        <w:tc>
          <w:tcPr>
            <w:tcW w:w="1060" w:type="dxa"/>
            <w:vAlign w:val="bottom"/>
            <w:vMerge w:val="restart"/>
            <w:shd w:val="clear" w:color="auto" w:fill="F0F2F5"/>
          </w:tcPr>
          <w:p>
            <w:pPr>
              <w:jc w:val="center"/>
              <w:ind w:left="170"/>
              <w:spacing w:after="0"/>
              <w:rPr>
                <w:sz w:val="20"/>
                <w:szCs w:val="20"/>
                <w:color w:val="auto"/>
              </w:rPr>
            </w:pPr>
            <w:r>
              <w:rPr>
                <w:rFonts w:ascii="Arial" w:cs="Arial" w:eastAsia="Arial" w:hAnsi="Arial"/>
                <w:sz w:val="18"/>
                <w:szCs w:val="18"/>
                <w:color w:val="auto"/>
                <w:w w:val="93"/>
              </w:rPr>
              <w:t>101</w:t>
            </w:r>
          </w:p>
        </w:tc>
        <w:tc>
          <w:tcPr>
            <w:tcW w:w="1600" w:type="dxa"/>
            <w:vAlign w:val="bottom"/>
            <w:vMerge w:val="restart"/>
            <w:shd w:val="clear" w:color="auto" w:fill="F0F2F5"/>
          </w:tcPr>
          <w:p>
            <w:pPr>
              <w:jc w:val="center"/>
              <w:ind w:left="170"/>
              <w:spacing w:after="0"/>
              <w:rPr>
                <w:sz w:val="20"/>
                <w:szCs w:val="20"/>
                <w:color w:val="auto"/>
              </w:rPr>
            </w:pPr>
            <w:r>
              <w:rPr>
                <w:rFonts w:ascii="Arial" w:cs="Arial" w:eastAsia="Arial" w:hAnsi="Arial"/>
                <w:sz w:val="18"/>
                <w:szCs w:val="18"/>
                <w:color w:val="auto"/>
                <w:w w:val="89"/>
              </w:rPr>
              <w:t>32</w:t>
            </w:r>
          </w:p>
        </w:tc>
        <w:tc>
          <w:tcPr>
            <w:tcW w:w="1480" w:type="dxa"/>
            <w:vAlign w:val="bottom"/>
            <w:vMerge w:val="restart"/>
            <w:shd w:val="clear" w:color="auto" w:fill="F0F2F5"/>
          </w:tcPr>
          <w:p>
            <w:pPr>
              <w:jc w:val="center"/>
              <w:spacing w:after="0"/>
              <w:rPr>
                <w:sz w:val="20"/>
                <w:szCs w:val="20"/>
                <w:color w:val="auto"/>
              </w:rPr>
            </w:pPr>
            <w:r>
              <w:rPr>
                <w:rFonts w:ascii="Arial" w:cs="Arial" w:eastAsia="Arial" w:hAnsi="Arial"/>
                <w:sz w:val="18"/>
                <w:szCs w:val="18"/>
                <w:color w:val="auto"/>
                <w:w w:val="91"/>
              </w:rPr>
              <w:t>216%</w:t>
            </w:r>
          </w:p>
        </w:tc>
        <w:tc>
          <w:tcPr>
            <w:tcW w:w="1320" w:type="dxa"/>
            <w:vAlign w:val="bottom"/>
            <w:vMerge w:val="restart"/>
            <w:shd w:val="clear" w:color="auto" w:fill="F0F2F5"/>
          </w:tcPr>
          <w:p>
            <w:pPr>
              <w:jc w:val="center"/>
              <w:spacing w:after="0"/>
              <w:rPr>
                <w:sz w:val="20"/>
                <w:szCs w:val="20"/>
                <w:color w:val="auto"/>
              </w:rPr>
            </w:pPr>
            <w:r>
              <w:rPr>
                <w:rFonts w:ascii="Arial" w:cs="Arial" w:eastAsia="Arial" w:hAnsi="Arial"/>
                <w:sz w:val="18"/>
                <w:szCs w:val="18"/>
                <w:color w:val="auto"/>
                <w:w w:val="92"/>
              </w:rPr>
              <w:t>./.</w:t>
            </w:r>
          </w:p>
        </w:tc>
        <w:tc>
          <w:tcPr>
            <w:tcW w:w="1560" w:type="dxa"/>
            <w:vAlign w:val="bottom"/>
            <w:vMerge w:val="restart"/>
            <w:shd w:val="clear" w:color="auto" w:fill="F0F2F5"/>
          </w:tcPr>
          <w:p>
            <w:pPr>
              <w:jc w:val="center"/>
              <w:spacing w:after="0"/>
              <w:rPr>
                <w:sz w:val="20"/>
                <w:szCs w:val="20"/>
                <w:color w:val="auto"/>
              </w:rPr>
            </w:pPr>
            <w:r>
              <w:rPr>
                <w:rFonts w:ascii="Arial" w:cs="Arial" w:eastAsia="Arial" w:hAnsi="Arial"/>
                <w:sz w:val="18"/>
                <w:szCs w:val="18"/>
                <w:color w:val="auto"/>
                <w:w w:val="92"/>
              </w:rPr>
              <w:t>./.</w:t>
            </w:r>
          </w:p>
        </w:tc>
        <w:tc>
          <w:tcPr>
            <w:tcW w:w="0" w:type="dxa"/>
            <w:vAlign w:val="bottom"/>
          </w:tcPr>
          <w:p>
            <w:pPr>
              <w:spacing w:after="0"/>
              <w:rPr>
                <w:sz w:val="1"/>
                <w:szCs w:val="1"/>
                <w:color w:val="auto"/>
              </w:rPr>
            </w:pPr>
          </w:p>
        </w:tc>
      </w:tr>
      <w:tr>
        <w:trPr>
          <w:trHeight w:val="202"/>
        </w:trPr>
        <w:tc>
          <w:tcPr>
            <w:tcW w:w="4220" w:type="dxa"/>
            <w:vAlign w:val="bottom"/>
            <w:vMerge w:val="restart"/>
            <w:shd w:val="clear" w:color="auto" w:fill="F0F2F5"/>
          </w:tcPr>
          <w:p>
            <w:pPr>
              <w:spacing w:after="0"/>
              <w:rPr>
                <w:sz w:val="20"/>
                <w:szCs w:val="20"/>
                <w:color w:val="auto"/>
              </w:rPr>
            </w:pPr>
            <w:r>
              <w:rPr>
                <w:rFonts w:ascii="Arial" w:cs="Arial" w:eastAsia="Arial" w:hAnsi="Arial"/>
                <w:sz w:val="18"/>
                <w:szCs w:val="18"/>
                <w:color w:val="auto"/>
              </w:rPr>
              <w:t>(since May 14, 2021)</w:t>
            </w:r>
          </w:p>
        </w:tc>
        <w:tc>
          <w:tcPr>
            <w:tcW w:w="1060" w:type="dxa"/>
            <w:vAlign w:val="bottom"/>
            <w:vMerge w:val="continue"/>
            <w:shd w:val="clear" w:color="auto" w:fill="F0F2F5"/>
          </w:tcPr>
          <w:p>
            <w:pPr>
              <w:spacing w:after="0"/>
              <w:rPr>
                <w:sz w:val="17"/>
                <w:szCs w:val="17"/>
                <w:color w:val="auto"/>
              </w:rPr>
            </w:pPr>
          </w:p>
        </w:tc>
        <w:tc>
          <w:tcPr>
            <w:tcW w:w="1600" w:type="dxa"/>
            <w:vAlign w:val="bottom"/>
            <w:vMerge w:val="continue"/>
            <w:shd w:val="clear" w:color="auto" w:fill="F0F2F5"/>
          </w:tcPr>
          <w:p>
            <w:pPr>
              <w:spacing w:after="0"/>
              <w:rPr>
                <w:sz w:val="17"/>
                <w:szCs w:val="17"/>
                <w:color w:val="auto"/>
              </w:rPr>
            </w:pPr>
          </w:p>
        </w:tc>
        <w:tc>
          <w:tcPr>
            <w:tcW w:w="1480" w:type="dxa"/>
            <w:vAlign w:val="bottom"/>
            <w:vMerge w:val="continue"/>
            <w:shd w:val="clear" w:color="auto" w:fill="F0F2F5"/>
          </w:tcPr>
          <w:p>
            <w:pPr>
              <w:spacing w:after="0"/>
              <w:rPr>
                <w:sz w:val="17"/>
                <w:szCs w:val="17"/>
                <w:color w:val="auto"/>
              </w:rPr>
            </w:pPr>
          </w:p>
        </w:tc>
        <w:tc>
          <w:tcPr>
            <w:tcW w:w="1320" w:type="dxa"/>
            <w:vAlign w:val="bottom"/>
            <w:vMerge w:val="continue"/>
            <w:shd w:val="clear" w:color="auto" w:fill="F0F2F5"/>
          </w:tcPr>
          <w:p>
            <w:pPr>
              <w:spacing w:after="0"/>
              <w:rPr>
                <w:sz w:val="17"/>
                <w:szCs w:val="17"/>
                <w:color w:val="auto"/>
              </w:rPr>
            </w:pPr>
          </w:p>
        </w:tc>
        <w:tc>
          <w:tcPr>
            <w:tcW w:w="1560" w:type="dxa"/>
            <w:vAlign w:val="bottom"/>
            <w:vMerge w:val="continue"/>
            <w:shd w:val="clear" w:color="auto" w:fill="F0F2F5"/>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220" w:type="dxa"/>
            <w:vAlign w:val="bottom"/>
            <w:vMerge w:val="continue"/>
            <w:shd w:val="clear" w:color="auto" w:fill="F0F2F5"/>
          </w:tcPr>
          <w:p>
            <w:pPr>
              <w:spacing w:after="0"/>
              <w:rPr>
                <w:sz w:val="18"/>
                <w:szCs w:val="18"/>
                <w:color w:val="auto"/>
              </w:rPr>
            </w:pPr>
          </w:p>
        </w:tc>
        <w:tc>
          <w:tcPr>
            <w:tcW w:w="1060" w:type="dxa"/>
            <w:vAlign w:val="bottom"/>
            <w:shd w:val="clear" w:color="auto" w:fill="F0F2F5"/>
          </w:tcPr>
          <w:p>
            <w:pPr>
              <w:spacing w:after="0"/>
              <w:rPr>
                <w:sz w:val="18"/>
                <w:szCs w:val="18"/>
                <w:color w:val="auto"/>
              </w:rPr>
            </w:pPr>
          </w:p>
        </w:tc>
        <w:tc>
          <w:tcPr>
            <w:tcW w:w="1600" w:type="dxa"/>
            <w:vAlign w:val="bottom"/>
            <w:shd w:val="clear" w:color="auto" w:fill="F0F2F5"/>
          </w:tcPr>
          <w:p>
            <w:pPr>
              <w:spacing w:after="0"/>
              <w:rPr>
                <w:sz w:val="18"/>
                <w:szCs w:val="18"/>
                <w:color w:val="auto"/>
              </w:rPr>
            </w:pPr>
          </w:p>
        </w:tc>
        <w:tc>
          <w:tcPr>
            <w:tcW w:w="1480" w:type="dxa"/>
            <w:vAlign w:val="bottom"/>
            <w:shd w:val="clear" w:color="auto" w:fill="F0F2F5"/>
          </w:tcPr>
          <w:p>
            <w:pPr>
              <w:spacing w:after="0"/>
              <w:rPr>
                <w:sz w:val="18"/>
                <w:szCs w:val="18"/>
                <w:color w:val="auto"/>
              </w:rPr>
            </w:pPr>
          </w:p>
        </w:tc>
        <w:tc>
          <w:tcPr>
            <w:tcW w:w="1320" w:type="dxa"/>
            <w:vAlign w:val="bottom"/>
            <w:shd w:val="clear" w:color="auto" w:fill="F0F2F5"/>
          </w:tcPr>
          <w:p>
            <w:pPr>
              <w:spacing w:after="0"/>
              <w:rPr>
                <w:sz w:val="18"/>
                <w:szCs w:val="18"/>
                <w:color w:val="auto"/>
              </w:rPr>
            </w:pPr>
          </w:p>
        </w:tc>
        <w:tc>
          <w:tcPr>
            <w:tcW w:w="1560" w:type="dxa"/>
            <w:vAlign w:val="bottom"/>
            <w:shd w:val="clear" w:color="auto" w:fill="F0F2F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shd w:val="clear" w:color="auto" w:fill="F0F2F5"/>
          </w:tcPr>
          <w:p>
            <w:pPr>
              <w:spacing w:after="0"/>
              <w:rPr>
                <w:sz w:val="18"/>
                <w:szCs w:val="18"/>
                <w:color w:val="auto"/>
              </w:rPr>
            </w:pPr>
          </w:p>
        </w:tc>
        <w:tc>
          <w:tcPr>
            <w:tcW w:w="1060" w:type="dxa"/>
            <w:vAlign w:val="bottom"/>
            <w:shd w:val="clear" w:color="auto" w:fill="F0F2F5"/>
          </w:tcPr>
          <w:p>
            <w:pPr>
              <w:spacing w:after="0"/>
              <w:rPr>
                <w:sz w:val="18"/>
                <w:szCs w:val="18"/>
                <w:color w:val="auto"/>
              </w:rPr>
            </w:pPr>
          </w:p>
        </w:tc>
        <w:tc>
          <w:tcPr>
            <w:tcW w:w="1600" w:type="dxa"/>
            <w:vAlign w:val="bottom"/>
            <w:shd w:val="clear" w:color="auto" w:fill="F0F2F5"/>
          </w:tcPr>
          <w:p>
            <w:pPr>
              <w:spacing w:after="0"/>
              <w:rPr>
                <w:sz w:val="18"/>
                <w:szCs w:val="18"/>
                <w:color w:val="auto"/>
              </w:rPr>
            </w:pPr>
          </w:p>
        </w:tc>
        <w:tc>
          <w:tcPr>
            <w:tcW w:w="1480" w:type="dxa"/>
            <w:vAlign w:val="bottom"/>
            <w:shd w:val="clear" w:color="auto" w:fill="F0F2F5"/>
          </w:tcPr>
          <w:p>
            <w:pPr>
              <w:spacing w:after="0"/>
              <w:rPr>
                <w:sz w:val="18"/>
                <w:szCs w:val="18"/>
                <w:color w:val="auto"/>
              </w:rPr>
            </w:pPr>
          </w:p>
        </w:tc>
        <w:tc>
          <w:tcPr>
            <w:tcW w:w="1320" w:type="dxa"/>
            <w:vAlign w:val="bottom"/>
            <w:shd w:val="clear" w:color="auto" w:fill="F0F2F5"/>
          </w:tcPr>
          <w:p>
            <w:pPr>
              <w:spacing w:after="0"/>
              <w:rPr>
                <w:sz w:val="18"/>
                <w:szCs w:val="18"/>
                <w:color w:val="auto"/>
              </w:rPr>
            </w:pPr>
          </w:p>
        </w:tc>
        <w:tc>
          <w:tcPr>
            <w:tcW w:w="1560" w:type="dxa"/>
            <w:vAlign w:val="bottom"/>
            <w:shd w:val="clear" w:color="auto" w:fill="F0F2F5"/>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20" w:type="dxa"/>
            <w:vAlign w:val="bottom"/>
          </w:tcPr>
          <w:p>
            <w:pPr>
              <w:spacing w:after="0"/>
              <w:rPr>
                <w:sz w:val="20"/>
                <w:szCs w:val="20"/>
                <w:color w:val="auto"/>
              </w:rPr>
            </w:pPr>
            <w:r>
              <w:rPr>
                <w:rFonts w:ascii="Arial" w:cs="Arial" w:eastAsia="Arial" w:hAnsi="Arial"/>
                <w:sz w:val="18"/>
                <w:szCs w:val="18"/>
                <w:color w:val="auto"/>
              </w:rPr>
              <w:t>Vincent Wobbe</w:t>
            </w:r>
          </w:p>
        </w:tc>
        <w:tc>
          <w:tcPr>
            <w:tcW w:w="1060" w:type="dxa"/>
            <w:vAlign w:val="bottom"/>
            <w:vMerge w:val="restart"/>
          </w:tcPr>
          <w:p>
            <w:pPr>
              <w:jc w:val="center"/>
              <w:ind w:left="190"/>
              <w:spacing w:after="0"/>
              <w:rPr>
                <w:sz w:val="20"/>
                <w:szCs w:val="20"/>
                <w:color w:val="auto"/>
              </w:rPr>
            </w:pPr>
            <w:r>
              <w:rPr>
                <w:rFonts w:ascii="Arial" w:cs="Arial" w:eastAsia="Arial" w:hAnsi="Arial"/>
                <w:sz w:val="18"/>
                <w:szCs w:val="18"/>
                <w:color w:val="auto"/>
                <w:w w:val="89"/>
              </w:rPr>
              <w:t>67</w:t>
            </w:r>
          </w:p>
        </w:tc>
        <w:tc>
          <w:tcPr>
            <w:tcW w:w="1600" w:type="dxa"/>
            <w:vAlign w:val="bottom"/>
            <w:vMerge w:val="restart"/>
          </w:tcPr>
          <w:p>
            <w:pPr>
              <w:jc w:val="center"/>
              <w:ind w:left="170"/>
              <w:spacing w:after="0"/>
              <w:rPr>
                <w:sz w:val="20"/>
                <w:szCs w:val="20"/>
                <w:color w:val="auto"/>
              </w:rPr>
            </w:pPr>
            <w:r>
              <w:rPr>
                <w:rFonts w:ascii="Arial" w:cs="Arial" w:eastAsia="Arial" w:hAnsi="Arial"/>
                <w:sz w:val="18"/>
                <w:szCs w:val="18"/>
                <w:color w:val="auto"/>
                <w:w w:val="89"/>
              </w:rPr>
              <w:t>19</w:t>
            </w:r>
          </w:p>
        </w:tc>
        <w:tc>
          <w:tcPr>
            <w:tcW w:w="1480" w:type="dxa"/>
            <w:vAlign w:val="bottom"/>
            <w:vMerge w:val="restart"/>
          </w:tcPr>
          <w:p>
            <w:pPr>
              <w:jc w:val="center"/>
              <w:spacing w:after="0"/>
              <w:rPr>
                <w:sz w:val="20"/>
                <w:szCs w:val="20"/>
                <w:color w:val="auto"/>
              </w:rPr>
            </w:pPr>
            <w:r>
              <w:rPr>
                <w:rFonts w:ascii="Arial" w:cs="Arial" w:eastAsia="Arial" w:hAnsi="Arial"/>
                <w:sz w:val="18"/>
                <w:szCs w:val="18"/>
                <w:color w:val="auto"/>
                <w:w w:val="91"/>
              </w:rPr>
              <w:t>253%</w:t>
            </w:r>
          </w:p>
        </w:tc>
        <w:tc>
          <w:tcPr>
            <w:tcW w:w="1320" w:type="dxa"/>
            <w:vAlign w:val="bottom"/>
            <w:vMerge w:val="restart"/>
          </w:tcPr>
          <w:p>
            <w:pPr>
              <w:jc w:val="center"/>
              <w:spacing w:after="0"/>
              <w:rPr>
                <w:sz w:val="20"/>
                <w:szCs w:val="20"/>
                <w:color w:val="auto"/>
              </w:rPr>
            </w:pPr>
            <w:r>
              <w:rPr>
                <w:rFonts w:ascii="Arial" w:cs="Arial" w:eastAsia="Arial" w:hAnsi="Arial"/>
                <w:sz w:val="18"/>
                <w:szCs w:val="18"/>
                <w:color w:val="auto"/>
                <w:w w:val="92"/>
              </w:rPr>
              <w:t>./.</w:t>
            </w:r>
          </w:p>
        </w:tc>
        <w:tc>
          <w:tcPr>
            <w:tcW w:w="1560" w:type="dxa"/>
            <w:vAlign w:val="bottom"/>
            <w:vMerge w:val="restart"/>
          </w:tcPr>
          <w:p>
            <w:pPr>
              <w:jc w:val="center"/>
              <w:spacing w:after="0"/>
              <w:rPr>
                <w:sz w:val="20"/>
                <w:szCs w:val="20"/>
                <w:color w:val="auto"/>
              </w:rPr>
            </w:pPr>
            <w:r>
              <w:rPr>
                <w:rFonts w:ascii="Arial" w:cs="Arial" w:eastAsia="Arial" w:hAnsi="Arial"/>
                <w:sz w:val="18"/>
                <w:szCs w:val="18"/>
                <w:color w:val="auto"/>
                <w:w w:val="92"/>
              </w:rPr>
              <w:t>./.</w:t>
            </w:r>
          </w:p>
        </w:tc>
        <w:tc>
          <w:tcPr>
            <w:tcW w:w="0" w:type="dxa"/>
            <w:vAlign w:val="bottom"/>
          </w:tcPr>
          <w:p>
            <w:pPr>
              <w:spacing w:after="0"/>
              <w:rPr>
                <w:sz w:val="1"/>
                <w:szCs w:val="1"/>
                <w:color w:val="auto"/>
              </w:rPr>
            </w:pPr>
          </w:p>
        </w:tc>
      </w:tr>
      <w:tr>
        <w:trPr>
          <w:trHeight w:val="202"/>
        </w:trPr>
        <w:tc>
          <w:tcPr>
            <w:tcW w:w="4220" w:type="dxa"/>
            <w:vAlign w:val="bottom"/>
            <w:vMerge w:val="restart"/>
          </w:tcPr>
          <w:p>
            <w:pPr>
              <w:spacing w:after="0"/>
              <w:rPr>
                <w:sz w:val="20"/>
                <w:szCs w:val="20"/>
                <w:color w:val="auto"/>
              </w:rPr>
            </w:pPr>
            <w:r>
              <w:rPr>
                <w:rFonts w:ascii="Arial" w:cs="Arial" w:eastAsia="Arial" w:hAnsi="Arial"/>
                <w:sz w:val="18"/>
                <w:szCs w:val="18"/>
                <w:color w:val="auto"/>
              </w:rPr>
              <w:t>(since July 30, 2021)</w:t>
            </w:r>
          </w:p>
        </w:tc>
        <w:tc>
          <w:tcPr>
            <w:tcW w:w="1060" w:type="dxa"/>
            <w:vAlign w:val="bottom"/>
            <w:vMerge w:val="continue"/>
          </w:tcPr>
          <w:p>
            <w:pPr>
              <w:spacing w:after="0"/>
              <w:rPr>
                <w:sz w:val="17"/>
                <w:szCs w:val="17"/>
                <w:color w:val="auto"/>
              </w:rPr>
            </w:pPr>
          </w:p>
        </w:tc>
        <w:tc>
          <w:tcPr>
            <w:tcW w:w="1600" w:type="dxa"/>
            <w:vAlign w:val="bottom"/>
            <w:vMerge w:val="continue"/>
          </w:tcPr>
          <w:p>
            <w:pPr>
              <w:spacing w:after="0"/>
              <w:rPr>
                <w:sz w:val="17"/>
                <w:szCs w:val="17"/>
                <w:color w:val="auto"/>
              </w:rPr>
            </w:pPr>
          </w:p>
        </w:tc>
        <w:tc>
          <w:tcPr>
            <w:tcW w:w="1480" w:type="dxa"/>
            <w:vAlign w:val="bottom"/>
            <w:vMerge w:val="continue"/>
          </w:tcPr>
          <w:p>
            <w:pPr>
              <w:spacing w:after="0"/>
              <w:rPr>
                <w:sz w:val="17"/>
                <w:szCs w:val="17"/>
                <w:color w:val="auto"/>
              </w:rPr>
            </w:pPr>
          </w:p>
        </w:tc>
        <w:tc>
          <w:tcPr>
            <w:tcW w:w="1320" w:type="dxa"/>
            <w:vAlign w:val="bottom"/>
            <w:vMerge w:val="continue"/>
          </w:tcPr>
          <w:p>
            <w:pPr>
              <w:spacing w:after="0"/>
              <w:rPr>
                <w:sz w:val="17"/>
                <w:szCs w:val="17"/>
                <w:color w:val="auto"/>
              </w:rPr>
            </w:pPr>
          </w:p>
        </w:tc>
        <w:tc>
          <w:tcPr>
            <w:tcW w:w="15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220" w:type="dxa"/>
            <w:vAlign w:val="bottom"/>
            <w:vMerge w:val="continue"/>
          </w:tcPr>
          <w:p>
            <w:pPr>
              <w:spacing w:after="0"/>
              <w:rPr>
                <w:sz w:val="18"/>
                <w:szCs w:val="18"/>
                <w:color w:val="auto"/>
              </w:rPr>
            </w:pPr>
          </w:p>
        </w:tc>
        <w:tc>
          <w:tcPr>
            <w:tcW w:w="10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220" w:type="dxa"/>
            <w:vAlign w:val="bottom"/>
            <w:shd w:val="clear" w:color="auto" w:fill="F0F2F5"/>
          </w:tcPr>
          <w:p>
            <w:pPr>
              <w:spacing w:after="0"/>
              <w:rPr>
                <w:sz w:val="20"/>
                <w:szCs w:val="20"/>
                <w:color w:val="auto"/>
              </w:rPr>
            </w:pPr>
            <w:r>
              <w:rPr>
                <w:rFonts w:ascii="Arial" w:cs="Arial" w:eastAsia="Arial" w:hAnsi="Arial"/>
                <w:sz w:val="18"/>
                <w:szCs w:val="18"/>
                <w:b w:val="1"/>
                <w:bCs w:val="1"/>
                <w:color w:val="auto"/>
              </w:rPr>
              <w:t>Average</w:t>
            </w:r>
          </w:p>
        </w:tc>
        <w:tc>
          <w:tcPr>
            <w:tcW w:w="1060" w:type="dxa"/>
            <w:vAlign w:val="bottom"/>
            <w:shd w:val="clear" w:color="auto" w:fill="F0F2F5"/>
          </w:tcPr>
          <w:p>
            <w:pPr>
              <w:jc w:val="center"/>
              <w:ind w:left="170"/>
              <w:spacing w:after="0"/>
              <w:rPr>
                <w:sz w:val="20"/>
                <w:szCs w:val="20"/>
                <w:color w:val="auto"/>
              </w:rPr>
            </w:pPr>
            <w:r>
              <w:rPr>
                <w:rFonts w:ascii="Arial" w:cs="Arial" w:eastAsia="Arial" w:hAnsi="Arial"/>
                <w:sz w:val="18"/>
                <w:szCs w:val="18"/>
                <w:b w:val="1"/>
                <w:bCs w:val="1"/>
                <w:color w:val="auto"/>
                <w:w w:val="93"/>
              </w:rPr>
              <w:t>101</w:t>
            </w:r>
          </w:p>
        </w:tc>
        <w:tc>
          <w:tcPr>
            <w:tcW w:w="1600" w:type="dxa"/>
            <w:vAlign w:val="bottom"/>
            <w:shd w:val="clear" w:color="auto" w:fill="F0F2F5"/>
          </w:tcPr>
          <w:p>
            <w:pPr>
              <w:jc w:val="center"/>
              <w:ind w:left="170"/>
              <w:spacing w:after="0"/>
              <w:rPr>
                <w:sz w:val="20"/>
                <w:szCs w:val="20"/>
                <w:color w:val="auto"/>
              </w:rPr>
            </w:pPr>
            <w:r>
              <w:rPr>
                <w:rFonts w:ascii="Arial" w:cs="Arial" w:eastAsia="Arial" w:hAnsi="Arial"/>
                <w:sz w:val="18"/>
                <w:szCs w:val="18"/>
                <w:b w:val="1"/>
                <w:bCs w:val="1"/>
                <w:color w:val="auto"/>
                <w:w w:val="89"/>
              </w:rPr>
              <w:t>39</w:t>
            </w:r>
          </w:p>
        </w:tc>
        <w:tc>
          <w:tcPr>
            <w:tcW w:w="1480" w:type="dxa"/>
            <w:vAlign w:val="bottom"/>
            <w:shd w:val="clear" w:color="auto" w:fill="F0F2F5"/>
          </w:tcPr>
          <w:p>
            <w:pPr>
              <w:jc w:val="center"/>
              <w:spacing w:after="0"/>
              <w:rPr>
                <w:sz w:val="20"/>
                <w:szCs w:val="20"/>
                <w:color w:val="auto"/>
              </w:rPr>
            </w:pPr>
            <w:r>
              <w:rPr>
                <w:rFonts w:ascii="Arial" w:cs="Arial" w:eastAsia="Arial" w:hAnsi="Arial"/>
                <w:sz w:val="18"/>
                <w:szCs w:val="18"/>
                <w:b w:val="1"/>
                <w:bCs w:val="1"/>
                <w:color w:val="auto"/>
                <w:w w:val="95"/>
              </w:rPr>
              <w:t>161%</w:t>
            </w:r>
          </w:p>
        </w:tc>
        <w:tc>
          <w:tcPr>
            <w:tcW w:w="1320" w:type="dxa"/>
            <w:vAlign w:val="bottom"/>
            <w:shd w:val="clear" w:color="auto" w:fill="F0F2F5"/>
          </w:tcPr>
          <w:p>
            <w:pPr>
              <w:jc w:val="center"/>
              <w:spacing w:after="0"/>
              <w:rPr>
                <w:sz w:val="20"/>
                <w:szCs w:val="20"/>
                <w:color w:val="auto"/>
              </w:rPr>
            </w:pPr>
            <w:r>
              <w:rPr>
                <w:rFonts w:ascii="Arial" w:cs="Arial" w:eastAsia="Arial" w:hAnsi="Arial"/>
                <w:sz w:val="18"/>
                <w:szCs w:val="18"/>
                <w:color w:val="auto"/>
                <w:w w:val="89"/>
              </w:rPr>
              <w:t>30</w:t>
            </w:r>
          </w:p>
        </w:tc>
        <w:tc>
          <w:tcPr>
            <w:tcW w:w="1560" w:type="dxa"/>
            <w:vAlign w:val="bottom"/>
            <w:shd w:val="clear" w:color="auto" w:fill="F0F2F5"/>
          </w:tcPr>
          <w:p>
            <w:pPr>
              <w:jc w:val="center"/>
              <w:spacing w:after="0"/>
              <w:rPr>
                <w:sz w:val="20"/>
                <w:szCs w:val="20"/>
                <w:color w:val="auto"/>
              </w:rPr>
            </w:pPr>
            <w:r>
              <w:rPr>
                <w:rFonts w:ascii="Arial" w:cs="Arial" w:eastAsia="Arial" w:hAnsi="Arial"/>
                <w:sz w:val="18"/>
                <w:szCs w:val="18"/>
                <w:b w:val="1"/>
                <w:bCs w:val="1"/>
                <w:color w:val="auto"/>
                <w:w w:val="99"/>
              </w:rPr>
              <w:t>29%</w:t>
            </w:r>
          </w:p>
        </w:tc>
        <w:tc>
          <w:tcPr>
            <w:tcW w:w="0" w:type="dxa"/>
            <w:vAlign w:val="bottom"/>
          </w:tcPr>
          <w:p>
            <w:pPr>
              <w:spacing w:after="0"/>
              <w:rPr>
                <w:sz w:val="1"/>
                <w:szCs w:val="1"/>
                <w:color w:val="auto"/>
              </w:rPr>
            </w:pPr>
          </w:p>
        </w:tc>
      </w:tr>
      <w:tr>
        <w:trPr>
          <w:trHeight w:val="198"/>
        </w:trPr>
        <w:tc>
          <w:tcPr>
            <w:tcW w:w="4220" w:type="dxa"/>
            <w:vAlign w:val="bottom"/>
            <w:shd w:val="clear" w:color="auto" w:fill="F0F2F5"/>
          </w:tcPr>
          <w:p>
            <w:pPr>
              <w:spacing w:after="0"/>
              <w:rPr>
                <w:sz w:val="17"/>
                <w:szCs w:val="17"/>
                <w:color w:val="auto"/>
              </w:rPr>
            </w:pPr>
          </w:p>
        </w:tc>
        <w:tc>
          <w:tcPr>
            <w:tcW w:w="1060" w:type="dxa"/>
            <w:vAlign w:val="bottom"/>
            <w:shd w:val="clear" w:color="auto" w:fill="F0F2F5"/>
          </w:tcPr>
          <w:p>
            <w:pPr>
              <w:spacing w:after="0"/>
              <w:rPr>
                <w:sz w:val="17"/>
                <w:szCs w:val="17"/>
                <w:color w:val="auto"/>
              </w:rPr>
            </w:pPr>
          </w:p>
        </w:tc>
        <w:tc>
          <w:tcPr>
            <w:tcW w:w="1600" w:type="dxa"/>
            <w:vAlign w:val="bottom"/>
            <w:shd w:val="clear" w:color="auto" w:fill="F0F2F5"/>
          </w:tcPr>
          <w:p>
            <w:pPr>
              <w:spacing w:after="0"/>
              <w:rPr>
                <w:sz w:val="17"/>
                <w:szCs w:val="17"/>
                <w:color w:val="auto"/>
              </w:rPr>
            </w:pPr>
          </w:p>
        </w:tc>
        <w:tc>
          <w:tcPr>
            <w:tcW w:w="1480" w:type="dxa"/>
            <w:vAlign w:val="bottom"/>
            <w:shd w:val="clear" w:color="auto" w:fill="F0F2F5"/>
          </w:tcPr>
          <w:p>
            <w:pPr>
              <w:spacing w:after="0"/>
              <w:rPr>
                <w:sz w:val="17"/>
                <w:szCs w:val="17"/>
                <w:color w:val="auto"/>
              </w:rPr>
            </w:pPr>
          </w:p>
        </w:tc>
        <w:tc>
          <w:tcPr>
            <w:tcW w:w="1320" w:type="dxa"/>
            <w:vAlign w:val="bottom"/>
            <w:shd w:val="clear" w:color="auto" w:fill="F0F2F5"/>
          </w:tcPr>
          <w:p>
            <w:pPr>
              <w:spacing w:after="0"/>
              <w:rPr>
                <w:sz w:val="17"/>
                <w:szCs w:val="17"/>
                <w:color w:val="auto"/>
              </w:rPr>
            </w:pPr>
          </w:p>
        </w:tc>
        <w:tc>
          <w:tcPr>
            <w:tcW w:w="1560" w:type="dxa"/>
            <w:vAlign w:val="bottom"/>
            <w:shd w:val="clear" w:color="auto" w:fill="F0F2F5"/>
          </w:tcPr>
          <w:p>
            <w:pPr>
              <w:spacing w:after="0"/>
              <w:rPr>
                <w:sz w:val="17"/>
                <w:szCs w:val="17"/>
                <w:color w:val="auto"/>
              </w:rPr>
            </w:pPr>
          </w:p>
        </w:tc>
        <w:tc>
          <w:tcPr>
            <w:tcW w:w="0" w:type="dxa"/>
            <w:vAlign w:val="bottom"/>
          </w:tcPr>
          <w:p>
            <w:pPr>
              <w:spacing w:after="0"/>
              <w:rPr>
                <w:sz w:val="1"/>
                <w:szCs w:val="1"/>
                <w:color w:val="auto"/>
              </w:rPr>
            </w:pPr>
          </w:p>
        </w:tc>
      </w:tr>
      <w:tr>
        <w:trPr>
          <w:trHeight w:val="648"/>
        </w:trPr>
        <w:tc>
          <w:tcPr>
            <w:tcW w:w="42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jc w:val="right"/>
              <w:ind w:right="1070"/>
              <w:spacing w:after="0"/>
              <w:rPr>
                <w:sz w:val="20"/>
                <w:szCs w:val="20"/>
                <w:color w:val="auto"/>
              </w:rPr>
            </w:pPr>
            <w:r>
              <w:rPr>
                <w:rFonts w:ascii="Arial" w:cs="Arial" w:eastAsia="Arial" w:hAnsi="Arial"/>
                <w:sz w:val="18"/>
                <w:szCs w:val="18"/>
                <w:color w:val="auto"/>
              </w:rPr>
              <w:t>45</w:t>
            </w:r>
          </w:p>
        </w:tc>
        <w:tc>
          <w:tcPr>
            <w:tcW w:w="148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53" w:right="339" w:bottom="144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color w:val="auto"/>
        </w:rPr>
        <w:t>3.Other</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Mynaric AG maintains a D&amp;O insurance policy for the members of the Management Board, which provides for a deductible for Management Board members that meets the requirements of the German Stock Corporation Act.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4.Supplementary notes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This report is also available in German. In case of any discrepancies between the English and the German version, the German version shall prevail.</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260" w:type="dxa"/>
            <w:vAlign w:val="bottom"/>
          </w:tcPr>
          <w:p>
            <w:pPr>
              <w:spacing w:after="0"/>
              <w:rPr>
                <w:sz w:val="20"/>
                <w:szCs w:val="20"/>
                <w:color w:val="auto"/>
              </w:rPr>
            </w:pPr>
            <w:r>
              <w:rPr>
                <w:rFonts w:ascii="Arial" w:cs="Arial" w:eastAsia="Arial" w:hAnsi="Arial"/>
                <w:sz w:val="18"/>
                <w:szCs w:val="18"/>
                <w:color w:val="auto"/>
              </w:rPr>
              <w:t>May 15, 2023</w:t>
            </w:r>
          </w:p>
        </w:tc>
        <w:tc>
          <w:tcPr>
            <w:tcW w:w="1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1260" w:type="dxa"/>
            <w:vAlign w:val="bottom"/>
          </w:tcPr>
          <w:p>
            <w:pPr>
              <w:spacing w:after="0"/>
              <w:rPr>
                <w:sz w:val="20"/>
                <w:szCs w:val="20"/>
                <w:color w:val="auto"/>
              </w:rPr>
            </w:pPr>
            <w:r>
              <w:rPr>
                <w:rFonts w:ascii="Arial" w:cs="Arial" w:eastAsia="Arial" w:hAnsi="Arial"/>
                <w:sz w:val="18"/>
                <w:szCs w:val="18"/>
                <w:color w:val="auto"/>
              </w:rPr>
              <w:t>Management</w:t>
            </w:r>
          </w:p>
        </w:tc>
        <w:tc>
          <w:tcPr>
            <w:tcW w:w="1600" w:type="dxa"/>
            <w:vAlign w:val="bottom"/>
            <w:vMerge w:val="restart"/>
          </w:tcPr>
          <w:p>
            <w:pPr>
              <w:ind w:left="260"/>
              <w:spacing w:after="0"/>
              <w:rPr>
                <w:sz w:val="20"/>
                <w:szCs w:val="20"/>
                <w:color w:val="auto"/>
              </w:rPr>
            </w:pPr>
            <w:r>
              <w:rPr>
                <w:rFonts w:ascii="Arial" w:cs="Arial" w:eastAsia="Arial" w:hAnsi="Arial"/>
                <w:sz w:val="18"/>
                <w:szCs w:val="18"/>
                <w:color w:val="auto"/>
                <w:w w:val="89"/>
              </w:rPr>
              <w:t>Supervisory Board</w:t>
            </w:r>
          </w:p>
        </w:tc>
        <w:tc>
          <w:tcPr>
            <w:tcW w:w="0" w:type="dxa"/>
            <w:vAlign w:val="bottom"/>
          </w:tcPr>
          <w:p>
            <w:pPr>
              <w:spacing w:after="0"/>
              <w:rPr>
                <w:sz w:val="1"/>
                <w:szCs w:val="1"/>
                <w:color w:val="auto"/>
              </w:rPr>
            </w:pPr>
          </w:p>
        </w:tc>
      </w:tr>
      <w:tr>
        <w:trPr>
          <w:trHeight w:val="122"/>
        </w:trPr>
        <w:tc>
          <w:tcPr>
            <w:tcW w:w="1260" w:type="dxa"/>
            <w:vAlign w:val="bottom"/>
            <w:vMerge w:val="restart"/>
          </w:tcPr>
          <w:p>
            <w:pPr>
              <w:spacing w:after="0"/>
              <w:rPr>
                <w:sz w:val="20"/>
                <w:szCs w:val="20"/>
                <w:color w:val="auto"/>
              </w:rPr>
            </w:pPr>
            <w:r>
              <w:rPr>
                <w:rFonts w:ascii="Arial" w:cs="Arial" w:eastAsia="Arial" w:hAnsi="Arial"/>
                <w:sz w:val="18"/>
                <w:szCs w:val="18"/>
                <w:color w:val="auto"/>
              </w:rPr>
              <w:t>Board</w:t>
            </w:r>
          </w:p>
        </w:tc>
        <w:tc>
          <w:tcPr>
            <w:tcW w:w="16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260" w:type="dxa"/>
            <w:vAlign w:val="bottom"/>
            <w:vMerge w:val="continue"/>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50" w:name="page51"/>
    <w:bookmarkEnd w:id="50"/>
    <w:p>
      <w:pPr>
        <w:spacing w:after="0"/>
        <w:rPr>
          <w:sz w:val="20"/>
          <w:szCs w:val="20"/>
          <w:color w:val="auto"/>
        </w:rPr>
      </w:pPr>
      <w:r>
        <w:rPr>
          <w:rFonts w:ascii="Arial" w:cs="Arial" w:eastAsia="Arial" w:hAnsi="Arial"/>
          <w:sz w:val="18"/>
          <w:szCs w:val="18"/>
          <w:color w:val="00338D"/>
        </w:rPr>
        <w:t>Independent Auditor’s Report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To Mynaric AG</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00338D"/>
        </w:rPr>
        <w:t>Report on the audit of the remuneration report</w:t>
      </w:r>
    </w:p>
    <w:p>
      <w:pPr>
        <w:spacing w:after="0" w:line="229"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We have audited the attached remuneration report of Mynaric AG, Gilching, for the financial year from January 1, 2022 to December 31, 2022, including the related disclosures, prepared to meet the requirements of Section 162 AktG [Aktiengesetz: German Stock Corporation Act]. Mynaric AG is not a listed company within the meaning of Section 162 para. 1 AKtG in conjunction with section 3 para. 2 AktG, as the shares of Mynaric AG are not admitted to trading on a German regulated market or a comparable market. The company is not obliged to prepare the renumeration report. The Management Board and the Supervisory Board have voluntarily prepared the renumeration report in accordance with the requirements of Section 162 AktG.</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Responsibilities of Management and the Supervisory Board</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management and the Supervisory Board of Mynaric AG are responsible for the preparation of the remuneration report, including the related disclosures, in accordance with the requirements of Section 162 AktG. The management and the Supervisory Board are also responsible for such internal control as they have determined necessary to enable the preparation of the remuneration report that is free from material misstatement, whether due to fraud or error.</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Auditor’s responsibilities</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responsibility is to express an opinion on this remuneration report, including the related disclosures, based on our audit. We conducted our audit in accordance with the German Generally Accepted Standards for Financial Statement Audits promulgated by the Institut der Wirtschaftsprüfer [Institute of Public Auditors in Germany] (IDW). Those standards require that we comply with ethical requirements and plan and perform the audit to obtain reasonable assurance about whether the remuneration report, including the related disclosures, is free from material misstatement.</w:t>
      </w:r>
    </w:p>
    <w:p>
      <w:pPr>
        <w:spacing w:after="0" w:line="17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An audit involves performing procedures to obtain audit evidence about the amounts, including the related disclosures, in the remuneration report. The procedures selected depend on the auditor’s professional judgement. This includes an assessment of the risks of material misstatement, whether due to fraud or error, in the remuneration report, including the related disclosures. In assessing these risks, the auditor considers the internal control system relevant for the preparation of the remuneration report, including the related disclosures. The objective is to plan and perform audit procedures that are appropriate in the circumstances, but not for the purpose of expressing an opinion on the effectiveness of the Company’s internal control. An audit also includes evaluating the appropriateness of accounting policies used and the reasonableness of accounting estimates made by management and the Supervisory Board, as well as evaluating the overall presentation of the remuneration report, including the related disclosures.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We believe that the evidence we have obtained is sufficient and appropriate to provide a basis for our opinion.</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51" w:name="page52"/>
    <w:bookmarkEnd w:id="51"/>
    <w:p>
      <w:pPr>
        <w:spacing w:after="0"/>
        <w:rPr>
          <w:sz w:val="20"/>
          <w:szCs w:val="20"/>
          <w:color w:val="auto"/>
        </w:rPr>
      </w:pPr>
      <w:r>
        <w:rPr>
          <w:rFonts w:ascii="Arial" w:cs="Arial" w:eastAsia="Arial" w:hAnsi="Arial"/>
          <w:sz w:val="18"/>
          <w:szCs w:val="18"/>
          <w:b w:val="1"/>
          <w:bCs w:val="1"/>
          <w:color w:val="auto"/>
        </w:rPr>
        <w:t>Opinion</w:t>
      </w:r>
    </w:p>
    <w:p>
      <w:pPr>
        <w:spacing w:after="0" w:line="22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In our opinion, on the basis of the knowledge obtained in the audit, the remuneration report for the financial year from January 1, 2022 to December 31, 2022, including the related disclosures, complies in all material respects with the financial reporting requirements of Section 162 AktG.</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matter – formal examination of the remuneration report</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substantive audit of the remuneration report described in this independent auditor’s report includes the formal examination of the remuneration report required by Section 162 (3) AktG, including issuing an assurance report on this examination. As we have issued an unqualified opinion on the substantive audit of the remuneration report, this opinion includes the conclusion that the disclosures pursuant to Section 162 (1) and (2) AktG have been made, in all material respects, in the remuneration report.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 of liability</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terms governing this engagement, which we fulfilled by rendering the aforesaid services to Mynaric AG, are set out in the General Engagement Terms for Wirtschaftsprüfer and Wirtschaftsprüfungsgesellschaften [German Public Auditors and Public Audit Firms] as amended on 1 January 2017. By taking note of and using the information as contained in this auditor’s report, each recipient confirms to have taken note of the terms and conditions laid down therein (including the limitation of liability of EUR 4 million for negligence under Clause 9 of the General Engagement Terms) and acknowledges their validity in relation to us.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52" w:name="page53"/>
    <w:bookmarkEnd w:id="52"/>
    <w:p>
      <w:pPr>
        <w:jc w:val="center"/>
        <w:ind w:left="3660" w:right="20" w:hanging="3626"/>
        <w:spacing w:after="0" w:line="282" w:lineRule="auto"/>
        <w:tabs>
          <w:tab w:leader="none" w:pos="328"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color w:val="auto"/>
        </w:rPr>
        <w:t>Written report of the Management Board to the general meeting on agenda item 10on the exclusion of subscription rights pursuant to sections 203 para. 2 sentence 2, 186 para. 4 sentence 2 AktG</w:t>
      </w:r>
    </w:p>
    <w:p>
      <w:pPr>
        <w:spacing w:after="0" w:line="166"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Pursuant to section 203 para. 2 sentence 2 AktG in conjunction with section 186 para. 4 sentence 2 AktG, the Management Board reports on agenda item 10 of the Annual General Meeting on the reasons for the exclusion of shareholders’ subscription rights when issuing the new shares:</w:t>
      </w:r>
    </w:p>
    <w:p>
      <w:pPr>
        <w:spacing w:after="0" w:line="14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Under agenda item 10 it will be proposed to the Annual General Meeting on August 7, 2023, to cancel the existing authorization of the Management Board under the Articles of Association to increase the share capital (Authorized Capital 2022/I), which has been granted until July 13, 2027, and to create a new, increased Authorized Capital 2023/I until and including August 6, 2028. The new, increased Authorized Capital 2023/I shall enable the Management Board and the Supervisory Board to quickly seize business opportunities as they arise.</w:t>
      </w:r>
    </w:p>
    <w:p>
      <w:pPr>
        <w:spacing w:after="0" w:line="18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This will enable the management to issue shares for the purpose of procuring further financial resources, in particular for the acquisition of companies and shareholdings, or otherwise for reasons in the interest of the Company, without having to refer the matter to the general meeting in each case. To enable the management to make optimum and flexible use of this possibility in the interests of the Company, the resolution is to provide for authorization to exclude shareholders’ subscription rights for various purposes specified in the proposed resolution:</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According to letter b (i) of the proposed resolution on agenda item 10 the Management Board is to be authorized, with the approval of the Supervisory Board, to exclude shareholders’ statutory subscription rights to compensate for fractional amounts. The authorization to exclude subscription rights in the case of fractional amounts is based exclusively on technical reasons. This is intended to enable the Management Board to establish a smooth subscription ratio in individual cases. This facilitates the settlement of subscription rights and saves additional expense. The possible dilution effect is low due to the restriction to fractional amounts.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53" w:name="page54"/>
    <w:bookmarkEnd w:id="53"/>
    <w:p>
      <w:pPr>
        <w:jc w:val="both"/>
        <w:spacing w:after="0" w:line="285" w:lineRule="auto"/>
        <w:rPr>
          <w:sz w:val="20"/>
          <w:szCs w:val="20"/>
          <w:color w:val="auto"/>
        </w:rPr>
      </w:pPr>
      <w:r>
        <w:rPr>
          <w:rFonts w:ascii="Arial" w:cs="Arial" w:eastAsia="Arial" w:hAnsi="Arial"/>
          <w:sz w:val="16"/>
          <w:szCs w:val="16"/>
          <w:color w:val="auto"/>
        </w:rPr>
        <w:t>The Management Board shall, in letter b (ii) of the proposed resolution on agenda item 10 further be authorized, with the approval of the Supervisory Board, to exclude subscription rights in the event of a capital increase against contributions in kind, in particular in the context of business combinations or for the (also indirect) acquisition of companies, businesses, parts of businesses, shareholdings or other assets or claims to the acquisition of assets including receivables from the Company or its Group companies. This authorization to exclude subscription rights in the case of capital increases from authorized capital is intended to enable the Company in appropriate cases to acquire companies, businesses, parts of companies, shareholdings or other assets or claims to the acquisition of assets including receivables against the Company or its Group companies in return for the issue of shares in the Company or to merge with other companies. The Company thus has an instrument for realizing possible acquisition opportunities with the aid of flexible financing options that do not strain liquidity. The possibility of being able to respond quickly and successfully to corresponding advantageous offers or opportunities that arise also serves to maintain and increase the competitiveness of the Company. The authorization extends in particular to the acquisition of shareholdings in the context of so-called “share deals”, i.e., by acquiring shares in companies, and to acquisitions in the context of so-called “asset deals”, i.e., the takeover of a company or part of a company by acquiring the assets, rights, contractual positions and the like that determine it. The possibility of being able to repay not only receivables from third parties but also receivables from the Company by issuing shares in the Company also has the advantage of avoiding a strain on liquidity. As a capital increase in the aforementioned cases often has to be carried out at short notice, it cannot as a rule be resolved directly by the Annual General Meeting, which is held only once a year. In these cases, however, convening an extraordinary general meeting for each individual acquisition would not be practicable for reasons of cost and time. In order to be able to act at short notice even in such cases, it is in the interest of the Company to increase the capital stock by issuing new shares excluding shareholders’ subscription rights against contributions in kind.</w:t>
      </w:r>
    </w:p>
    <w:p>
      <w:pPr>
        <w:spacing w:after="0" w:line="176"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Furthermore, under letter b) (iii), the Management Board is to be authorized, with the approval of the Supervisory Board, to exclude subscription rights in the event of a cash capital increase if a capital increase against cash contributions does not exceed 10% of the share capital and the issue price of the new shares is not significantly lower than the stock market price (section 186 para. 2 sentence 4 AktG). The stock exchange price shall also be deemed to be the price of shares certificated in the form of American Depositary Shares (“</w:t>
      </w:r>
      <w:r>
        <w:rPr>
          <w:rFonts w:ascii="Arial" w:cs="Arial" w:eastAsia="Arial" w:hAnsi="Arial"/>
          <w:sz w:val="16"/>
          <w:szCs w:val="16"/>
          <w:b w:val="1"/>
          <w:bCs w:val="1"/>
          <w:color w:val="auto"/>
        </w:rPr>
        <w:t>ADSs</w:t>
      </w:r>
      <w:r>
        <w:rPr>
          <w:rFonts w:ascii="Arial" w:cs="Arial" w:eastAsia="Arial" w:hAnsi="Arial"/>
          <w:sz w:val="16"/>
          <w:szCs w:val="16"/>
          <w:color w:val="auto"/>
        </w:rPr>
        <w:t>”) listed on the New York Stock Exchange or on the NASDAQ Stock Exchange, multiplied by the number of ADSs representing one share. If the Company’s shares are listed on the Xetra trading system of the Frankfurt Stock Exchange (or a functionally comparable successor system replacing the Xetra system) and, at the same time, ADSs of the Company are listed on the New York Stock Exchange or on the NASDAQ Stock Exchange, the Company shall choose which of these stock exchange prices shall be decisive. This authorization to exclude subscription rights in the case of cash capital increases gives the Management Board the possibility, with the approval of the Supervisory Board, to exclude shareholders’ subscription rights in accordance with section 186 para. 3 sentence 4 AktG. The proposal is therefore in line with the statutory provisions. The volume of the authorization corresponds to 10% of the Company’s share capital. This authorization allows a short-term share placement with flexible use of favorable market conditions and generally leads to a significantly higher inflow of funds than in the case of a share placement with subscription rights, as no price change risk has to be taken into account for the period of the subscription period when determining the placement fee. This form of capital increase is intended to enable the Management Board to strengthen the equity base required for future business development under optimum conditions. By ensuring that the issue price of the shares is not significantly lower than the stock market price, the shareholders’ interest in protection against dilution in value terms is taken into account. As the new shares will be placed close to the stock market price, each shareholder will be able to purchase shares on the market at approximately the same conditions as the issue in order to maintain his shareholding quota. The Management Board will set the issue price as close to the then current stock market price as possible, taking into account the respective situation on the capital market, and will endeavor to place the new shares in a way that protects the market.</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54" w:name="page55"/>
    <w:bookmarkEnd w:id="54"/>
    <w:p>
      <w:pPr>
        <w:jc w:val="both"/>
        <w:spacing w:after="0" w:line="263" w:lineRule="auto"/>
        <w:rPr>
          <w:sz w:val="20"/>
          <w:szCs w:val="20"/>
          <w:color w:val="auto"/>
        </w:rPr>
      </w:pPr>
      <w:r>
        <w:rPr>
          <w:rFonts w:ascii="Arial" w:cs="Arial" w:eastAsia="Arial" w:hAnsi="Arial"/>
          <w:sz w:val="18"/>
          <w:szCs w:val="18"/>
          <w:color w:val="auto"/>
        </w:rPr>
        <w:t>With regard to the scope of the placement – in conjunction with an exclusion of subscription rights – the Company shall be in a position to take advantage of any opportunities arising under market conditions at the time of such an IPO to expand its shareholder base and to raise new liquidity to the extent justifiable in light of the interest of existing shareholders in avoiding an unreasonable dilution of their shareholdings.</w:t>
      </w:r>
    </w:p>
    <w:p>
      <w:pPr>
        <w:spacing w:after="0" w:line="184"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In setting a placement price that is in line with market expectations, the Management Board requires a certain degree of discretion in view of the volatility that cannot be ruled out, particularly in the case of technology stocks. The Management Board will always take appropriate account of the asset interests of existing shareholders. In particular, when setting the placement price, the Management Board will only apply any discounts to the prevailing stock market price in connection with the placement to such an extent as it deems conducive to a successful placement on the foreign stock exchange. The Management Board will determine the price on the basis of a pricing procedure close to the market price, for example in the context of a bookbuilding.</w:t>
      </w:r>
    </w:p>
    <w:p>
      <w:pPr>
        <w:spacing w:after="0" w:line="16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the basis of the foregoing, the authorization to exclude subscription rights is necessary in all cases within the limits described and is in the interests of the Company. The Supervisory Board will only grant its necessary consent to the utilization of the authorized capital with the exclusion of subscription rights if the described and all legal requirements are met.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Management Board will inform the respective next general meeting of any utilization of the Authorized Capital 2023/I.</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55" w:name="page56"/>
    <w:bookmarkEnd w:id="55"/>
    <w:p>
      <w:pPr>
        <w:jc w:val="center"/>
        <w:ind w:left="340" w:right="160"/>
        <w:spacing w:after="0" w:line="282" w:lineRule="auto"/>
        <w:rPr>
          <w:sz w:val="20"/>
          <w:szCs w:val="20"/>
          <w:color w:val="auto"/>
        </w:rPr>
      </w:pPr>
      <w:r>
        <w:rPr>
          <w:rFonts w:ascii="Arial" w:cs="Arial" w:eastAsia="Arial" w:hAnsi="Arial"/>
          <w:sz w:val="18"/>
          <w:szCs w:val="18"/>
          <w:b w:val="1"/>
          <w:bCs w:val="1"/>
          <w:color w:val="auto"/>
        </w:rPr>
        <w:t>IV. Report of the Management Board to the general meeting on agenda item 11 on the exclusion of subscription rights pursuant to sections 203 para. 2 sentence 2, 186 para. 4 sentence 2 AktG</w:t>
      </w:r>
    </w:p>
    <w:p>
      <w:pPr>
        <w:spacing w:after="0" w:line="166"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Pursuant to section 203 para. 2 sentence 2 AktG in conjunction with section 186 para. 4 sentence 2 AktG, the Management Board submits a report on agenda item 11 of the Annual General Meeting on the reasons for the exclusion of shareholders’ subscription rights when issuing the new shares:</w:t>
      </w:r>
    </w:p>
    <w:p>
      <w:pPr>
        <w:spacing w:after="0" w:line="14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Under agenda item 11 of the Annual General Meeting on August 7, 2023, the Management Board and the Supervisory Board propose to the Annual General Meeting to create a new Authorized Capital 2023/II and to amend section 4 of the Articles of Association accordingly.</w:t>
      </w:r>
    </w:p>
    <w:p>
      <w:pPr>
        <w:spacing w:after="0" w:line="170"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participation of key employees of the Company and its affiliated companies in the economic risks and opportunities of the respective business operations is an important component of an internationally competitive compensation system. This is intended to strengthen commitment to the Company, attract and retain competent and dedicated employees whose efforts lead to the growth and profitability of the Company, and align their interests with those of the shareholders in order to increase the value of the Company. To this end, the Management Board intends, with the approval of the Supervisory Board, to adopt a Restricted Stock Unit Program as a long-term, share-based remuneration element for selected employees of the Company and its affiliates (the “</w:t>
      </w:r>
      <w:r>
        <w:rPr>
          <w:rFonts w:ascii="Arial" w:cs="Arial" w:eastAsia="Arial" w:hAnsi="Arial"/>
          <w:sz w:val="16"/>
          <w:szCs w:val="16"/>
          <w:b w:val="1"/>
          <w:bCs w:val="1"/>
          <w:color w:val="auto"/>
        </w:rPr>
        <w:t>Participants</w:t>
      </w:r>
      <w:r>
        <w:rPr>
          <w:rFonts w:ascii="Arial" w:cs="Arial" w:eastAsia="Arial" w:hAnsi="Arial"/>
          <w:sz w:val="16"/>
          <w:szCs w:val="16"/>
          <w:color w:val="auto"/>
        </w:rPr>
        <w:t>”) (the “</w:t>
      </w:r>
      <w:r>
        <w:rPr>
          <w:rFonts w:ascii="Arial" w:cs="Arial" w:eastAsia="Arial" w:hAnsi="Arial"/>
          <w:sz w:val="16"/>
          <w:szCs w:val="16"/>
          <w:b w:val="1"/>
          <w:bCs w:val="1"/>
          <w:color w:val="auto"/>
        </w:rPr>
        <w:t>RSUP</w:t>
      </w:r>
      <w:r>
        <w:rPr>
          <w:rFonts w:ascii="Arial" w:cs="Arial" w:eastAsia="Arial" w:hAnsi="Arial"/>
          <w:sz w:val="16"/>
          <w:szCs w:val="16"/>
          <w:color w:val="auto"/>
        </w:rPr>
        <w:t>”). The RSUP shall be substantially similar to the Company’s existing Restricted Stock Unit Program.</w:t>
      </w:r>
    </w:p>
    <w:p>
      <w:pPr>
        <w:spacing w:after="0" w:line="16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Accordingly, under the proposed RSUP, the Company shall be able to grant Participants so-called restricted stock units (“</w:t>
      </w:r>
      <w:r>
        <w:rPr>
          <w:rFonts w:ascii="Arial" w:cs="Arial" w:eastAsia="Arial" w:hAnsi="Arial"/>
          <w:sz w:val="18"/>
          <w:szCs w:val="18"/>
          <w:b w:val="1"/>
          <w:bCs w:val="1"/>
          <w:color w:val="auto"/>
        </w:rPr>
        <w:t>RSUs</w:t>
      </w:r>
      <w:r>
        <w:rPr>
          <w:rFonts w:ascii="Arial" w:cs="Arial" w:eastAsia="Arial" w:hAnsi="Arial"/>
          <w:sz w:val="18"/>
          <w:szCs w:val="18"/>
          <w:color w:val="auto"/>
        </w:rPr>
        <w:t>”) which, subject to certain conditions, convey to the beneficiary Participant a right to a cash payment, a transfer of shares of the Company or a combination of cash payment and shares of the Company, with the total amount of the Participant’s entitlement depending on the development of the share price of the Company. In this context, the Company has the option to decide at its own discretion whether to fulfill the Participant’s claim by cash payment, by shares of the Company or by a combination of cash payment and shares of the Company. To enable the Company to issue new shares in this connection, a new Authorized Capital 2023/II shall be created.</w:t>
      </w:r>
    </w:p>
    <w:p>
      <w:pPr>
        <w:spacing w:after="0" w:line="19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granting and the exercise of the RSUs as well as the issuance of shares for their fulfillment shall be subject to the following provisions, which may be adjusted by the Company in case of a delisting of the shares of the Company from the Frankfurt Stock Exchange and/or the admission of the shares of the Company or the rights or certificates representing them to another stock exchange, while maintaining the economic key principles: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(i) Group of Participants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56" w:name="page57"/>
    <w:bookmarkEnd w:id="56"/>
    <w:p>
      <w:pPr>
        <w:jc w:val="both"/>
        <w:spacing w:after="0" w:line="277" w:lineRule="auto"/>
        <w:rPr>
          <w:sz w:val="20"/>
          <w:szCs w:val="20"/>
          <w:color w:val="auto"/>
        </w:rPr>
      </w:pPr>
      <w:r>
        <w:rPr>
          <w:rFonts w:ascii="Arial" w:cs="Arial" w:eastAsia="Arial" w:hAnsi="Arial"/>
          <w:sz w:val="18"/>
          <w:szCs w:val="18"/>
          <w:color w:val="auto"/>
        </w:rPr>
        <w:t>The group of Participants includes employees of the Company, employees of companies affiliated with the Company within the meaning of section 15 AktG (“</w:t>
      </w:r>
      <w:r>
        <w:rPr>
          <w:rFonts w:ascii="Arial" w:cs="Arial" w:eastAsia="Arial" w:hAnsi="Arial"/>
          <w:sz w:val="18"/>
          <w:szCs w:val="18"/>
          <w:b w:val="1"/>
          <w:bCs w:val="1"/>
          <w:color w:val="auto"/>
        </w:rPr>
        <w:t>Affiliated Companies</w:t>
      </w:r>
      <w:r>
        <w:rPr>
          <w:rFonts w:ascii="Arial" w:cs="Arial" w:eastAsia="Arial" w:hAnsi="Arial"/>
          <w:sz w:val="18"/>
          <w:szCs w:val="18"/>
          <w:color w:val="auto"/>
        </w:rPr>
        <w:t>”) and managing directors of Affiliated Companies.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(ii) Issue periods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Participants may generally be granted RSUs in one or more tranches at any time, subject to the existence of an unterminated employment or service relationship with the Company or with an Affiliated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(iii) Settlement of RSUs</w:t>
      </w:r>
    </w:p>
    <w:p>
      <w:pPr>
        <w:spacing w:after="0" w:line="22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Company will generally settle all vested RSUs once a year, generally within a period of 40 trading days after the publication of its annual financial statements, at its own discretion either by shares or cash payment or a combination of both. Trading days within this meaning are days on which the trading system has been open for general stock exchange trading with the highest total trading volume in shares of the Company or in rights or certificates representing such shares over a period of one month prior to the date of publication of the respective annual financial statements. In exceptional cases, in particular to meet national or international regulatory requirements, the Company may, at its own discretion, also provide for a different settlement period.</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(iv) Payment claim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One RSU grants the respective Participant a payment claim against the Company. This corresponds to</w:t>
      </w:r>
    </w:p>
    <w:p>
      <w:pPr>
        <w:spacing w:after="0" w:line="225" w:lineRule="exact"/>
        <w:rPr>
          <w:sz w:val="20"/>
          <w:szCs w:val="20"/>
          <w:color w:val="auto"/>
        </w:rPr>
      </w:pPr>
    </w:p>
    <w:p>
      <w:pPr>
        <w:jc w:val="both"/>
        <w:ind w:left="460" w:hanging="452"/>
        <w:spacing w:after="0" w:line="257" w:lineRule="auto"/>
        <w:tabs>
          <w:tab w:leader="none" w:pos="4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 the event of settlement in shares, the closing price of the shares of the Company or the closing price of the right or certificate representing the share on the last trading day prior to the day of the resolution of the Management Board of the Company, with the consent of the Supervisory Board, on the utilization of Authorized Capital 2023/II against contribution in kind in the trading system with the highest total trading volume in shares of the Company or in rights or certificates representing such shares on the last ten days prior to the day of this resolution of the Management Board on which this trading system has been open for trading, or</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57" w:name="page58"/>
    <w:bookmarkEnd w:id="57"/>
    <w:p>
      <w:pPr>
        <w:jc w:val="both"/>
        <w:ind w:left="460" w:hanging="452"/>
        <w:spacing w:after="0" w:line="259" w:lineRule="auto"/>
        <w:tabs>
          <w:tab w:leader="none" w:pos="4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 the event of settlement by cash payment, the closing price of the shares of the Company or the closing price of the right or certificate representing the share on the last trading day prior to settlement of the payment claim in the trading system with the highest total trading volume in shares of the Company or in rights or certificates representing such shares on the ten last days prior to the day of settlement of the payment claim of the Company on which this trading system has been open for trading.</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(v) Other regulations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further details shall be determined by the Management Board with the approval of the Supervisory Board. The further provisions include in particular the decision on the one-time or repeated issuance of tranches as well as provisions on the implementation of the RSUP and the procedure for the allocation and exercise of the RSUs as well as provisions on the exercisability or forfeiture in special cases, in particular in the event of the departure of Participants from the employment relationship, in the event of death or in the event of a change of control</w:t>
      </w:r>
      <w:r>
        <w:rPr>
          <w:rFonts w:ascii="Arial" w:cs="Arial" w:eastAsia="Arial" w:hAnsi="Arial"/>
          <w:sz w:val="18"/>
          <w:szCs w:val="18"/>
          <w:i w:val="1"/>
          <w:iCs w:val="1"/>
          <w:color w:val="auto"/>
        </w:rPr>
        <w:t>,</w:t>
      </w:r>
      <w:r>
        <w:rPr>
          <w:rFonts w:ascii="Arial" w:cs="Arial" w:eastAsia="Arial" w:hAnsi="Arial"/>
          <w:sz w:val="18"/>
          <w:szCs w:val="18"/>
          <w:color w:val="auto"/>
        </w:rPr>
        <w:t xml:space="preserve"> the conclusion of an intercompany agreement or a delisting as well as to meet legal requirements.</w:t>
      </w:r>
    </w:p>
    <w:p>
      <w:pPr>
        <w:spacing w:after="0" w:line="188"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Company’s share capital currently amounts to EUR 6,233,615.00. Under the Authorized Capital 2023/II, the Management Board is to be authorized, with the consent of the Supervisory Board, to increase the Company’s share capital on one or more occasions on or before August 6, 2023, by a total of up to EUR 172,716.00 by issuing up to 172,716 no-par value registered shares in exchange for cash contributions and/or contributions in kind, i.e. by approximately 2.77% of the current share capital. Together with the resolution passed under agenda item 11 the total volume of the Company’s authorized capital, taking into account the capital increase proposed under agenda item 10 the total volume of the authorized capital of the Company, taking into account the cancellation of the Authorized Capital 2022/I and the creation of a new Authorized Capital 2023/I as well as the existing Authorized Capitals 2021/II and 2022/II, also proposed under agenda item 10, reaches a total amount of all existing authorized capitals as well as authorized capitals proposed for resolution of EUR 3,116,807.00, i.e. 50% of the current share capital. 40% thereof are allocated to the Authorized Capital 2023/I for general purposes and 10% to the Authorized Capitals 2021/II, 2022/II and 2023/II for the purpose of fulfilling Restricted Stock Units. In order to increase the Company’s flexibility and preserve its liquidity, the creation of Authorized Capital 2023/II is intended to enable the Company to satisfy the claims of holders of RSUs under the RSUP by delivering new shares. Specifically, under the terms of the RSUP, the Company is to be entitled at its own discretion to choose to satisfy the claims against it by delivering shares. Serving the claims by shares instead of a cash payment to the beneficiaries has the advantage for the Company that there is no outflow of cash and it continues to have the corresponding liquidity.</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58" w:name="page59"/>
    <w:bookmarkEnd w:id="58"/>
    <w:p>
      <w:pPr>
        <w:jc w:val="both"/>
        <w:spacing w:after="0" w:line="275" w:lineRule="auto"/>
        <w:rPr>
          <w:sz w:val="20"/>
          <w:szCs w:val="20"/>
          <w:color w:val="auto"/>
        </w:rPr>
      </w:pPr>
      <w:r>
        <w:rPr>
          <w:rFonts w:ascii="Arial" w:cs="Arial" w:eastAsia="Arial" w:hAnsi="Arial"/>
          <w:sz w:val="17"/>
          <w:szCs w:val="17"/>
          <w:color w:val="auto"/>
        </w:rPr>
        <w:t>Within the framework of Authorized Capital 2023/II, shareholders’ subscription rights are excluded in accordance with section 203 para. 1 sentence 1 in conjunction with section 186 para. 3, para. 4 AktG. The background is that the Authorized Capital 2023/II is to be used exclusively for the delivery of shares in the Company to service RSUs granted under the RSUP to employees of the Company and employees of companies affiliated with the Company against contribution of the respective payment entitlements arising under the RSUs. Shares from Authorized Capital 2023/II may be issued exclusively for this purpose and not for any other purpose and also not to other beneficiaries.</w:t>
      </w:r>
    </w:p>
    <w:p>
      <w:pPr>
        <w:spacing w:after="0" w:line="17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issue amount of the new shares from Authorized Capital 2023/II may be provided by contributions in cash and/or in kind, in particular also by contribution of receivables from the Company under the RSUP. The Management Board shall be authorized to determine the further details of the capital increase and its implementation with the approval of the Supervisory Board; this shall also include the determination of the dividend entitlement of the new shares, which, in deviation of section 60 para. 2 AktG, may also be determined for a financial year which has already expired.</w:t>
      </w:r>
    </w:p>
    <w:p>
      <w:pPr>
        <w:spacing w:after="0" w:line="17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 possible dilution of the voting rights of the shareholders excluded from the subscription right is limited, among other things, by the small volume of Authorized Capital 2023/II. Taking into account all the circumstances, the exclusion of subscription rights is, in the view of the Management Board and the Supervisory Board, suitable, necessary and appropriate within the limits described and in the interest of the Company.</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The Management Board will inform the respective next Annual General Meeting of any utilization of Authorized Capital 2023/II.</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59" w:name="page60"/>
    <w:bookmarkEnd w:id="59"/>
    <w:p>
      <w:pPr>
        <w:jc w:val="center"/>
        <w:spacing w:after="0"/>
        <w:rPr>
          <w:sz w:val="20"/>
          <w:szCs w:val="20"/>
          <w:color w:val="auto"/>
        </w:rPr>
      </w:pPr>
      <w:r>
        <w:rPr>
          <w:rFonts w:ascii="Arial" w:cs="Arial" w:eastAsia="Arial" w:hAnsi="Arial"/>
          <w:sz w:val="16"/>
          <w:szCs w:val="16"/>
          <w:b w:val="1"/>
          <w:bCs w:val="1"/>
          <w:color w:val="auto"/>
        </w:rPr>
        <w:t>V. Report of the Management Board pursuant to section 186 para. 4 sentence 2 AktG on the exclusion of subscription rights under agenda item 13</w:t>
      </w:r>
    </w:p>
    <w:p>
      <w:pPr>
        <w:spacing w:after="0" w:line="25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Company grants the members of the Management Board of the Company a variable remuneration component with a long-term incentive effect. This is intended to promote the entrepreneurial activities of the respective participants, bind them to the Company in the long term and ensure that their remuneration is in line with the market. Under agenda item 13 it is therefore proposed to authorize the Supervisory Board of the Company to grant subscription rights (stock options) for a total of up to 197,317, or, in case the decrease of the Conditional Capital 2019 and the corresponding amendment to the articles of association will not be approved by the Annual General Meeting on August 7, 2023 as proposed under agenda item 12 with the required majority, 100,567 no-par value registered shares to the Beneficiaries on one or more occasions until and including August 6, 2028. Accordingly, a Conditional Capital 2023 shall also be created and a new paragraph 14 shall be added to section 4 of the Articles of Association.</w:t>
      </w:r>
    </w:p>
    <w:p>
      <w:pPr>
        <w:spacing w:after="0" w:line="177"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Together with the existing Conditional Capitals 2019 (in the reduced amount as proposed under agenda item 12), 2020/I, 2020/II, 2021/II, 2022/I and 2022/II, the Conditional Capital 2023 in the amount of EUR 197,317.00 corresponds to a total of approximately 43.64% of the current share capital of the Company. In case the decrease of the Conditional Capital 2019 as proposed under agenda item 12 will not be approved with the required majority, the Conditional Capital 2023 as proposed for this case under agenda item 13 in the amount of EUR 100,567.00 together with the existing Conditional Capitals 2019 (in the current not decreased amount), 2020/I, 2020/II, 2021/II, 2022/I and 2022/II corresponds as well to approx. 43.6% of current share capital of the Company. In accordance with the existing statutory maximum limit pursuant to section 192 para. 2 no. 3, para. 3 sentence 1 AktG, the Conditional Capitals 2019, 2020/I, 2021/II, 2022/II and the Conditional Capital 2023 proposed for resolution, which serve to fulfil subscription rights of employees and members of the management of the Company or an affiliated company within the scope of the stock option programs, each taking into account the resolutions under agenda item 12 and 13 proposed to the Annual General Meeting on August 7, 2023, account for a total of EUR 623,361.00 and thus 10% of the existing share capital. The Conditional Capital 2023 serves to enable the Company to issue new shares and use them to transfer them to the beneficiaries in the event that they exercise the stock options granted to them. The new shares will not be issued until stock options have been issued to beneficiaries in accordance with the conditions set out in the resolution of the Annual General Meeting and the beneficiaries exercise their subscription rights after expiry of the waiting period and in accordance with the achievement of the performance targets set out in the authorization and the other conditions set out in the stock option program. Due to the restricted purpose of the Conditional Capital 2023, shareholders have no subscription rights to the new shares.</w:t>
      </w:r>
    </w:p>
    <w:p>
      <w:pPr>
        <w:spacing w:after="0" w:line="18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issue of stock options entitling the holder to subscribe for shares in the Company is intended to bind members of the Management Board of the Company to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Stock options are to be issued in tranches once or several times a year during the authorization period.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60" w:name="page61"/>
    <w:bookmarkEnd w:id="60"/>
    <w:p>
      <w:pPr>
        <w:jc w:val="both"/>
        <w:spacing w:after="0" w:line="277" w:lineRule="auto"/>
        <w:rPr>
          <w:sz w:val="20"/>
          <w:szCs w:val="20"/>
          <w:color w:val="auto"/>
        </w:rPr>
      </w:pPr>
      <w:r>
        <w:rPr>
          <w:rFonts w:ascii="Arial" w:cs="Arial" w:eastAsia="Arial" w:hAnsi="Arial"/>
          <w:sz w:val="18"/>
          <w:szCs w:val="18"/>
          <w:color w:val="auto"/>
        </w:rPr>
        <w:t>However, the Supervisory Board reserves the right to decide on the issue of stock options and the size of the individual tranches on a case-by-case basis, taking into account the overall situation of the Company and using the compensation structure of relevant peer companies.</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Stock options may be issued from Conditional Capital 2022/II at the earliest after expiry of the waiting period of four calendar years following the Issue Date of the relevant tranche of stock options and the corresponding exercise notice. Stock options may only be exercised if the waiting period has expired and the performance targets have been met, otherwise the stock options expire without compensation.</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performance targets are linked to the absolute performance of the Company’s share price during the waiting period and to the achievement of an ESG target during the waiting period, with the absolute performance target within the overall target achievement being weighted at 80% and the ESG target at 20%.</w:t>
      </w:r>
    </w:p>
    <w:p>
      <w:pPr>
        <w:spacing w:after="0" w:line="184"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absolute share price performance target is linked to the development of the Company’s share price during the waiting period. To determine whether the performance target has been achieved, the last year of the waiting period is divided into four quarters and the three-month volume-weighted average price of the Company’s share or the three-month volume-weighted average price, to be converted into amounts per share, of the right or certificate representing the share in the trading system with the highest total trading volume in shares of the Company or in rights or certificates representing such shares (in each case a “</w:t>
      </w:r>
      <w:r>
        <w:rPr>
          <w:rFonts w:ascii="Arial" w:cs="Arial" w:eastAsia="Arial" w:hAnsi="Arial"/>
          <w:sz w:val="16"/>
          <w:szCs w:val="16"/>
          <w:b w:val="1"/>
          <w:bCs w:val="1"/>
          <w:color w:val="auto"/>
        </w:rPr>
        <w:t>Relevant Closing Price</w:t>
      </w:r>
      <w:r>
        <w:rPr>
          <w:rFonts w:ascii="Arial" w:cs="Arial" w:eastAsia="Arial" w:hAnsi="Arial"/>
          <w:sz w:val="16"/>
          <w:szCs w:val="16"/>
          <w:color w:val="auto"/>
        </w:rPr>
        <w:t>”) is determined at the end of each quarter. The performance target achievement is 100% if at least one Relevant Closing Price is at least 50% above the exercise price. The relevant trading system shall be determined on the basis of the average trading volume in shares of the Company or in rights or certificates representing such shares during the relevant three months. If the performance target for absolute share price performance is not achieved, the target achievement for this performance target is 0%. A target achievement of more than 100 % is not possible.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The ESG Target is composed of a diversity target and an employee engagement target as follows:</w:t>
      </w:r>
    </w:p>
    <w:p>
      <w:pPr>
        <w:spacing w:after="0" w:line="22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To determine the achievement of the diversity target, the Supervisory Board determines the percentage of women within the Mynaric Group at the beginning of the waiting period. The diversity target is achieved if the percentage of women within the Mynaric Group at the end of the waiting period is five percentage points higher than the percentage of women determined at the beginning of the waiting period. If the proportion of women at the beginning of the waiting period is at least 30% or if the proportion of women within the Mynaric group is at least 30% during the waiting period, the diversity target is achieved if the proportion of women within the Mynaric group is still at least 30% at the end of the waiting period.</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61" w:name="page62"/>
    <w:bookmarkEnd w:id="61"/>
    <w:p>
      <w:pPr>
        <w:jc w:val="both"/>
        <w:spacing w:after="0" w:line="279" w:lineRule="auto"/>
        <w:rPr>
          <w:sz w:val="20"/>
          <w:szCs w:val="20"/>
          <w:color w:val="auto"/>
        </w:rPr>
      </w:pPr>
      <w:r>
        <w:rPr>
          <w:rFonts w:ascii="Arial" w:cs="Arial" w:eastAsia="Arial" w:hAnsi="Arial"/>
          <w:sz w:val="17"/>
          <w:szCs w:val="17"/>
          <w:color w:val="auto"/>
        </w:rPr>
        <w:t>The employee engagement target is achieved if the employee engagement within the Mynaric Group at the end of the waiting period, as determined by an external service provider, is at least five percentage points higher than the employee engagement at the beginning of the waiting period. If the employee engagement is at least 80% at the beginning of the waiting period or if the employee engagement of 80% is achieved during the waiting period, the employee engagement target is achieved if the employee engagement is still at least 80% at the end of the waiting period.</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At the end of the waiting period, the Supervisory Board determines target achievement for the ESG target as follows: If none of the above targets has been achieved by the end of the waiting period, the target achievement for the ESG target is 0%. If one of the above targets has been achieved, the target achievement for the ESG target is 50%. If both of the above targets are achieved, the target achievement for the ESG target is 100%. A target achievement of the ESG target above 100% is not possible.</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the overall target achievement, the achievement of the absolute share price performance target is weighted at 80% and the ESG target at 20%. The result forms the overall target achievement level (in percent), which (rounded down to the nearest whole number) determines the number of exercisable stock options.</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Exercisable stock options can generally be exercised by the beneficiaries within an exercise period of five years. The exercise period begins after the date on which the waiting period has expired.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Upon exercise of the stock options, the exercise price is payable for each share to be subscribed.</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exercise price per share shall correspond to the six-month volume-weighted average price of the Company’s share or the six-month volume-weighted average price, to be converted into amounts per share, of the right or certificate representing the share in the trading system with the highest total trading volume in shares of the Company or in rights or certificates representing such shares on the ten days preceding the day before the issue period on which this trading system was open for trading. For periods in which the trading system with the highest total trading volume in shares of the Company or in rights or certificates representing such shares on the ten days preceding the day before the issue period on which this trading system has been open for trading is the Frankfurt Stock Exchange, the exercise price per share shall correspond to the volume-weighted six-month average price of the share in Xetra trading (or a comparable successor system) on the Frankfurt Stock Exchange on the day before the issue period. The minimum exercise price is at least equal to the lowest issue price within the meaning of section 9 para. 1 AktG.</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color w:val="auto"/>
        </w:rPr>
        <w:t>The Supervisory Board of the Company shall be authorized to determine the further details of the conditional capital increase and its implementation.</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62" w:name="page63"/>
    <w:bookmarkEnd w:id="62"/>
    <w:p>
      <w:pPr>
        <w:jc w:val="both"/>
        <w:spacing w:after="0" w:line="263" w:lineRule="auto"/>
        <w:rPr>
          <w:sz w:val="20"/>
          <w:szCs w:val="20"/>
          <w:color w:val="auto"/>
        </w:rPr>
      </w:pPr>
      <w:r>
        <w:rPr>
          <w:rFonts w:ascii="Arial" w:cs="Arial" w:eastAsia="Arial" w:hAnsi="Arial"/>
          <w:sz w:val="18"/>
          <w:szCs w:val="18"/>
          <w:color w:val="auto"/>
        </w:rPr>
        <w:t>The Management Board and the Supervisory Board are convinced that the proposed authorization to issue stock options to the beneficiaries is particularly suitable to bring about a sustainable performance incentive for the beneficiaries and thus to contribute to a sustainable increase in the value of the Company in the interest of the Company and its shareholders.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 Report of the Management Board on the partial utilization of Authorized Capital 2021/II</w:t>
      </w:r>
    </w:p>
    <w:p>
      <w:pPr>
        <w:spacing w:after="0" w:line="229"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Pursuant to section 4 para. 8 of the Articles of Association of the Company in its current version, the Management Board is authorized, with the approval of the Supervisory Board, to increase the share capital of the Company on one or more occasions in the period up to May 13, 2026, by issuing new no-par value bearer or registered shares against cash and/or non-cash contributions (“</w:t>
      </w:r>
      <w:r>
        <w:rPr>
          <w:rFonts w:ascii="Arial" w:cs="Arial" w:eastAsia="Arial" w:hAnsi="Arial"/>
          <w:sz w:val="16"/>
          <w:szCs w:val="16"/>
          <w:b w:val="1"/>
          <w:bCs w:val="1"/>
          <w:color w:val="auto"/>
        </w:rPr>
        <w:t>Authorized Capital 2021/II</w:t>
      </w:r>
      <w:r>
        <w:rPr>
          <w:rFonts w:ascii="Arial" w:cs="Arial" w:eastAsia="Arial" w:hAnsi="Arial"/>
          <w:sz w:val="16"/>
          <w:szCs w:val="16"/>
          <w:color w:val="auto"/>
        </w:rPr>
        <w:t>”). The Authorized Capital 2021/II was created by resolution of the Annual General Meeting on May 14, 2021, and became effective upon its registration with the Commercial Register of the Local Court of Munich on June 11, 2021. The Authorized Capital 2021/II had a total volume of EUR 204,647.00 when it was issued.</w:t>
      </w:r>
    </w:p>
    <w:p>
      <w:pPr>
        <w:spacing w:after="0" w:line="157"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The Authorized Capital 2021/II is for the delivery of shares of the Company to service restricted stock units (“</w:t>
      </w:r>
      <w:r>
        <w:rPr>
          <w:rFonts w:ascii="Arial" w:cs="Arial" w:eastAsia="Arial" w:hAnsi="Arial"/>
          <w:sz w:val="18"/>
          <w:szCs w:val="18"/>
          <w:b w:val="1"/>
          <w:bCs w:val="1"/>
          <w:color w:val="auto"/>
        </w:rPr>
        <w:t>RSUs</w:t>
      </w:r>
      <w:r>
        <w:rPr>
          <w:rFonts w:ascii="Arial" w:cs="Arial" w:eastAsia="Arial" w:hAnsi="Arial"/>
          <w:sz w:val="18"/>
          <w:szCs w:val="18"/>
          <w:color w:val="auto"/>
        </w:rPr>
        <w:t>”) granted under the Company’s Restricted Stock Unit Program (“</w:t>
      </w:r>
      <w:r>
        <w:rPr>
          <w:rFonts w:ascii="Arial" w:cs="Arial" w:eastAsia="Arial" w:hAnsi="Arial"/>
          <w:sz w:val="18"/>
          <w:szCs w:val="18"/>
          <w:b w:val="1"/>
          <w:bCs w:val="1"/>
          <w:color w:val="auto"/>
        </w:rPr>
        <w:t>RSUP”)</w:t>
      </w:r>
      <w:r>
        <w:rPr>
          <w:rFonts w:ascii="Arial" w:cs="Arial" w:eastAsia="Arial" w:hAnsi="Arial"/>
          <w:sz w:val="18"/>
          <w:szCs w:val="18"/>
          <w:color w:val="auto"/>
        </w:rPr>
        <w:t xml:space="preserve"> to selected employees of the Company and its affiliates in accordance with the RSUP in exchange for the contribution of the respective payment entitlements arising under the RSUs.</w:t>
      </w:r>
    </w:p>
    <w:p>
      <w:pPr>
        <w:spacing w:after="0" w:line="18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On August 1, 2022, the Management Board of the Company resolved, with the approval of the Supervisory Board on the same day, to increase the share capital of the Company from EUR 5,652,242.00 to EUR 5,668,391.00 by issuing 16,149 new registered shares, making partial use of Authorized Capital 2021/II, in exchange for contributions in kind. The new shares shall carry dividend rights from January 1, 2022.</w:t>
      </w:r>
    </w:p>
    <w:p>
      <w:pPr>
        <w:spacing w:after="0" w:line="16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new shares were issued at an issue price of EUR 1.00. The capital increase served to fulfill payment claims arising from a total of 16,149 RSUs granted to employees of the Company and of companies affiliated with the Company (the “</w:t>
      </w:r>
      <w:r>
        <w:rPr>
          <w:rFonts w:ascii="Arial" w:cs="Arial" w:eastAsia="Arial" w:hAnsi="Arial"/>
          <w:sz w:val="18"/>
          <w:szCs w:val="18"/>
          <w:b w:val="1"/>
          <w:bCs w:val="1"/>
          <w:color w:val="auto"/>
        </w:rPr>
        <w:t>Beneficiaries”</w:t>
      </w:r>
      <w:r>
        <w:rPr>
          <w:rFonts w:ascii="Arial" w:cs="Arial" w:eastAsia="Arial" w:hAnsi="Arial"/>
          <w:sz w:val="18"/>
          <w:szCs w:val="18"/>
          <w:color w:val="auto"/>
        </w:rPr>
        <w:t>). The new shares were issued to the Beneficiaries against contributions in kind by way of assignment and contribution of the respective Beneficiary’s payment claim to or in the Company arising from the RSUs. The total of all payment claims contributed as contributions in kind amounted to EUR 592,668.30. The subscription rights of the other shareholders were excluded.</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63" w:name="page64"/>
    <w:bookmarkEnd w:id="63"/>
    <w:p>
      <w:pPr>
        <w:jc w:val="both"/>
        <w:spacing w:after="0" w:line="263" w:lineRule="auto"/>
        <w:rPr>
          <w:sz w:val="20"/>
          <w:szCs w:val="20"/>
          <w:color w:val="auto"/>
        </w:rPr>
      </w:pPr>
      <w:r>
        <w:rPr>
          <w:rFonts w:ascii="Arial" w:cs="Arial" w:eastAsia="Arial" w:hAnsi="Arial"/>
          <w:sz w:val="18"/>
          <w:szCs w:val="18"/>
          <w:color w:val="auto"/>
        </w:rPr>
        <w:t>The capital increase became effective on August 11, 2022, when it was entered in the commercial register of the Company. As a result, the Company’s share capital increased to EUR 5,668,391.00, divided into 5,668,391 no-par value registered shares. Following its partial utilization, the Authorized Capital 2021/II still amounts to EUR 188,498.00.</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VII. Report of the Management Board on the partial utilization of Authorized Capital 2022/I</w:t>
      </w:r>
    </w:p>
    <w:p>
      <w:pPr>
        <w:spacing w:after="0" w:line="22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Pursuant to section 4 para. 3 of the current version of the Company’s Articles of Association, the Management Board is authorized, with the approval of the Supervisory Board, to increase the share capital on one or more occasions on or before July 13, 2027, against cash and/or non-cash contributions by issuing new no-par value bearer or registered shares, so-called Authorized Capital 2022/I. The Authorized Capital 2022/I was created by resolution of the Annual General Meeting on July 14, 2022, and became effective upon its registration with the commercial register of the local court of Munich on August 23, 2022. The Authorized Capital 2022/I had a total volume of EUR 2,154,680.00 when it was created.</w:t>
      </w:r>
    </w:p>
    <w:p>
      <w:pPr>
        <w:spacing w:after="0" w:line="17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One component of Authorized Capital 2022/I is an authorization of the Management Board, with the approval of the Supervisory Board, to exclude shareholders’ subscription rights in accordance with section 186 para. 3 sentence 4 AktG if the capital increase against cash contributions does not exceed 10% of the share capital either at the time the authorization becomes effective or – if this amount is lower – at the time the authorization is exercised and the issue price of the new shares is not significantly lower than the stock market price.</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April 25, 2023, the Management Board of the Company resolved, with the approval of the Supervisory Board on the same day, to increase the share capital of the Company by EUR 565,224.00 from previously EUR 5,668,491.00 to EUR 6,233,615.00 by issuing 565,224 new registered no-par value shares against cash contributions, excluding the shareholders’ statutory subscription rights (the “</w:t>
      </w:r>
      <w:r>
        <w:rPr>
          <w:rFonts w:ascii="Arial" w:cs="Arial" w:eastAsia="Arial" w:hAnsi="Arial"/>
          <w:sz w:val="18"/>
          <w:szCs w:val="18"/>
          <w:b w:val="1"/>
          <w:bCs w:val="1"/>
          <w:color w:val="auto"/>
        </w:rPr>
        <w:t>Capital Increase 2023</w:t>
      </w:r>
      <w:r>
        <w:rPr>
          <w:rFonts w:ascii="Arial" w:cs="Arial" w:eastAsia="Arial" w:hAnsi="Arial"/>
          <w:sz w:val="18"/>
          <w:szCs w:val="18"/>
          <w:color w:val="auto"/>
        </w:rPr>
        <w:t>”), making partial use of Authorized Capital 2022/I. The new shares are entitled to dividends as of January 1, 2022.</w:t>
      </w:r>
    </w:p>
    <w:p>
      <w:pPr>
        <w:spacing w:after="0" w:line="187"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capital increase corresponds to an increase of approximately 9.97% of the Company’s share capital existing at the time Authorized Capital 2022/I becomes effective and at the same time at the time Authorized Capital 2022/I is utilized. Against the background that the possibility of simplified exclusion of subscription rights pursuant to section 189 para. 3 sentence 4 AktG has not yet been used under Authorized Capital 2022/I of the Company, the full 10% of the share capital were available to the Company. The volume limit provided for in the Authorized Capital 2022/I for shares that can be issued against cash contributions with exclusion of subscription rights pursuant to section 186 para. 3 sentence 4 AktG was therefore complied with.</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64" w:name="page65"/>
    <w:bookmarkEnd w:id="64"/>
    <w:p>
      <w:pPr>
        <w:jc w:val="both"/>
        <w:spacing w:after="0" w:line="263" w:lineRule="auto"/>
        <w:rPr>
          <w:sz w:val="20"/>
          <w:szCs w:val="20"/>
          <w:color w:val="auto"/>
        </w:rPr>
      </w:pPr>
      <w:r>
        <w:rPr>
          <w:rFonts w:ascii="Arial" w:cs="Arial" w:eastAsia="Arial" w:hAnsi="Arial"/>
          <w:sz w:val="18"/>
          <w:szCs w:val="18"/>
          <w:color w:val="auto"/>
        </w:rPr>
        <w:t>Only COF IV Obsidian S.à r.l., a limited liability company (</w:t>
      </w:r>
      <w:r>
        <w:rPr>
          <w:rFonts w:ascii="Arial" w:cs="Arial" w:eastAsia="Arial" w:hAnsi="Arial"/>
          <w:sz w:val="18"/>
          <w:szCs w:val="18"/>
          <w:i w:val="1"/>
          <w:iCs w:val="1"/>
          <w:color w:val="auto"/>
        </w:rPr>
        <w:t>société à responsabilité limitée</w:t>
      </w:r>
      <w:r>
        <w:rPr>
          <w:rFonts w:ascii="Arial" w:cs="Arial" w:eastAsia="Arial" w:hAnsi="Arial"/>
          <w:sz w:val="18"/>
          <w:szCs w:val="18"/>
          <w:color w:val="auto"/>
        </w:rPr>
        <w:t>) under the laws of the Grand Duchy of Luxembourg (in the amount of 401,309 new shares), and OC III LVS LIII LP, a limited partnership under the laws of the State of Delaware, USA (in the amount of 163,915 new shares), were admitted subscribing for the shares. The subscription rights of the other shareholders were excluded.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new shares were issued at an issue price of EUR 22.019 per new share.</w:t>
      </w:r>
    </w:p>
    <w:p>
      <w:pPr>
        <w:spacing w:after="0" w:line="22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Company received gross proceeds of approximately EUR 12.4 million from the Capital Increase 2023. The proceeds are to be used to repay in full the Company’s existing debt under a credit agreement from May 2022 and for working capital financing to support the short- to medium-term business plan.</w:t>
      </w:r>
    </w:p>
    <w:p>
      <w:pPr>
        <w:spacing w:after="0" w:line="12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Capital Increase 2023 became effective on May 3, 2023, with the entry of its implementation in the commercial register. As a result, the Company’s share capital has increased to EUR 6,233,615.00 and is divided into 6,233,615 no-par value registered shares. After the partial utilization in the course of the Capital Increase 2023, the Authorized Capital 2022/I still amounts to EUR 1,589,456.00. Against this background, the cancellation of the Authorized Capital 2022/I reduced by the Capital Increase 2023 and the creation of a new Authorized Capital will be proposed to today’s Annual General Meeting for resolution under agenda item 10.</w:t>
      </w:r>
    </w:p>
    <w:p>
      <w:pPr>
        <w:spacing w:after="0" w:line="18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setting the issue price, the requirements of section 186 para. 3 sentence 4 AktG were observed, compliance with which is prescribed by Authorized Capital 2022/I for the so-called simplified exclusion of subscription rights in the case of a capital increase against cash contributions of up to 10% of the share capital. According to this, the issue price for the new shares may not be significantly lower than the stock market price of the share. The shares of the Company are included in trading on the over-the-counter markets of the Berlin, Düsseldorf, Frankfurt (Scale), Hamburg, Munich and Stuttgart stock exchanges and are listed in the form of American Depositary Shares on the Global Select Market of NASDAQ. The closing price of the Company’s shares on April 24, 2023, the last trading day before the date of the resolution by the Management Board and the Supervisory Board on the utilization of Authorized Capital 2022/I, amounted to EUR 22,679. The issue price of EUR 22.019 per new share thus included a discount of approx. 3% to the relevant closing price. Consequently, the issue price of the new shares did not fall significantly below the share price.</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65" w:name="page66"/>
    <w:bookmarkEnd w:id="65"/>
    <w:p>
      <w:pPr>
        <w:jc w:val="both"/>
        <w:spacing w:after="0" w:line="289" w:lineRule="auto"/>
        <w:rPr>
          <w:sz w:val="20"/>
          <w:szCs w:val="20"/>
          <w:color w:val="auto"/>
        </w:rPr>
      </w:pPr>
      <w:r>
        <w:rPr>
          <w:rFonts w:ascii="Arial" w:cs="Arial" w:eastAsia="Arial" w:hAnsi="Arial"/>
          <w:sz w:val="16"/>
          <w:szCs w:val="16"/>
          <w:color w:val="auto"/>
        </w:rPr>
        <w:t>The exclusion of shareholders’ subscription rights was in the best interests of the Company and took into account the shareholders’ interests. The alternative implementation of a capital increase with subscription rights for all shareholders would not have been more advantageous from the point of view of either the Company or the shareholders. On the one hand, a capital increase with subscription rights would have been significantly more costly in terms of time and money, as the law stipulates a minimum subscription period of two weeks and the involvement of a bank as settlement agent would have been necessary. Secondly, the scope of the capital increase was limited to around 9.97% of the share capital existing at the time the Authorized Capital 2022/I was utilized. In principle, this gave the remaining shareholders the opportunity to maintain their relative shareholding in the Company by purchasing additional shares on the stock exchange. By issuing the new shares at a price not significantly below the stock market price, it was also ensured that the capital increase did not result in any economic dilution of the shareholders. Based on the above considerations, the exclusion of subscription rights carried out as part of the capital increase in compliance with the requirements of Authorized Capital 2022/I was appropriate and objectively justified.</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VIII. Further information and notes</w:t>
      </w:r>
    </w:p>
    <w:p>
      <w:pPr>
        <w:spacing w:after="0" w:line="225" w:lineRule="exact"/>
        <w:rPr>
          <w:sz w:val="20"/>
          <w:szCs w:val="20"/>
          <w:color w:val="auto"/>
        </w:rPr>
      </w:pPr>
    </w:p>
    <w:p>
      <w:pPr>
        <w:ind w:left="460" w:right="60" w:hanging="452"/>
        <w:spacing w:after="0" w:line="282" w:lineRule="auto"/>
        <w:tabs>
          <w:tab w:leader="none" w:pos="460" w:val="left"/>
        </w:tabs>
        <w:numPr>
          <w:ilvl w:val="0"/>
          <w:numId w:val="41"/>
        </w:numPr>
        <w:rPr>
          <w:rFonts w:ascii="Arial" w:cs="Arial" w:eastAsia="Arial" w:hAnsi="Arial"/>
          <w:sz w:val="18"/>
          <w:szCs w:val="18"/>
          <w:b w:val="1"/>
          <w:bCs w:val="1"/>
          <w:color w:val="auto"/>
        </w:rPr>
      </w:pPr>
      <w:r>
        <w:rPr>
          <w:rFonts w:ascii="Arial" w:cs="Arial" w:eastAsia="Arial" w:hAnsi="Arial"/>
          <w:sz w:val="18"/>
          <w:szCs w:val="18"/>
          <w:b w:val="1"/>
          <w:bCs w:val="1"/>
          <w:color w:val="auto"/>
        </w:rPr>
        <w:t>Requirements for attending the Annual General Meeting and exercising voting rights; disposition of shares; stop on changes to the entries in the share register</w:t>
      </w:r>
    </w:p>
    <w:p>
      <w:pPr>
        <w:spacing w:after="0" w:line="1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Pursuant to section 16 para. 3 of the Articles of Association of the Company, only those shareholders who are registered with the Company’s share register on the day of the Annual General Meeting and who register no later than July 31, 2023, 24:00 hours (CEST).</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The registration can be made electronically using the password-protected internet service at the Company’s website at </w:t>
      </w:r>
      <w:r>
        <w:rPr>
          <w:rFonts w:ascii="Arial" w:cs="Arial" w:eastAsia="Arial" w:hAnsi="Arial"/>
          <w:sz w:val="18"/>
          <w:szCs w:val="18"/>
          <w:u w:val="single" w:color="auto"/>
          <w:color w:val="auto"/>
        </w:rPr>
        <w:t>https://mynaric.com/hv</w:t>
      </w:r>
      <w:r>
        <w:rPr>
          <w:rFonts w:ascii="Arial" w:cs="Arial" w:eastAsia="Arial" w:hAnsi="Arial"/>
          <w:sz w:val="18"/>
          <w:szCs w:val="18"/>
          <w:color w:val="auto"/>
        </w:rPr>
        <w:t xml:space="preserve"> in accordance with the procedure determined by the Company or in text form (section 126b BGB).</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An access authorization is required for the use of the password-protected internet service. Shareholders who are registered in the Company’s share register no later than July 17, 2023, 00:00 hours (MESZ) will receive their individual access date (access code and password) together with the invitation to the Annual General Meeting.</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66" w:name="page67"/>
    <w:bookmarkEnd w:id="66"/>
    <w:p>
      <w:pPr>
        <w:spacing w:after="0"/>
        <w:rPr>
          <w:sz w:val="20"/>
          <w:szCs w:val="20"/>
          <w:color w:val="auto"/>
        </w:rPr>
      </w:pPr>
      <w:r>
        <w:rPr>
          <w:rFonts w:ascii="Arial" w:cs="Arial" w:eastAsia="Arial" w:hAnsi="Arial"/>
          <w:sz w:val="18"/>
          <w:szCs w:val="18"/>
          <w:color w:val="auto"/>
        </w:rPr>
        <w:t>The registration of the shareholder can also be made in text form (section 126b BGB) to the following address, fax number or e-mail address: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Mynaric AG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 Better Orange IR &amp; HV AG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Haidelweg 48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81241 Munich</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Germany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Fax: +49 (0)89 88 96 906 33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E-mail: mynaric@better-orange.de</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A registration form will be sent together with the invitation to the Annual General Meeting to shareholders who are entered in the Company’s share register no later than the beginning of the 21st day before the Annual General Meeting (Monday, July 17, 2023, 0:00 hours). A registration form will also be available for download at the Company’s website under </w:t>
      </w:r>
      <w:r>
        <w:rPr>
          <w:rFonts w:ascii="Arial" w:cs="Arial" w:eastAsia="Arial" w:hAnsi="Arial"/>
          <w:sz w:val="18"/>
          <w:szCs w:val="18"/>
          <w:u w:val="single" w:color="auto"/>
          <w:color w:val="auto"/>
        </w:rPr>
        <w:t>https://mynaric.com/hv</w:t>
      </w:r>
      <w:r>
        <w:rPr>
          <w:rFonts w:ascii="Arial" w:cs="Arial" w:eastAsia="Arial" w:hAnsi="Arial"/>
          <w:sz w:val="18"/>
          <w:szCs w:val="18"/>
          <w:color w:val="auto"/>
        </w:rPr>
        <w:t>. It can also be requested free of charge from the Company, e.g., by e-mail under mynaric@better-orange.de or by telephone at +49 (0)89 88 96 906 610.</w:t>
      </w:r>
    </w:p>
    <w:p>
      <w:pPr>
        <w:spacing w:after="0" w:line="18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New shareholders who are entered in the Company’s share register after July 17, 2023, 00:00 hours (CEST), until 31 July 2023, 24:00 hours (CEST), and who are therefore not sent a form for registration and ordering admission tickets, may also register in text form (section 126b BGB) at the above address, fax number or e-mail address. If the form sent by the Company is not used for registration, the shareholder registering must be clearly identified, e.g., by stating the full name or the full company name of the shareholder, the address and the shareholder number.</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After timely and proper registration, admission tickets for the Annual General Meeting will be sent or deposited at the meeting venue as organisational aids.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Please register early if you intend to attend the Annual General Meeting in order to facilitate the organisation of the Annual General Meeting.</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Shareholders are still entitled to dispose of their shares after registering for the Annual General Meeting. The number of shares entered in the share register on the day of the Annual General Meeting is decisive for the right to participate and exercise voting rights at the Annual General Meeting. Please note that for technical processing reasons, there will be a so-called registration stop at the end of July 31, 2023, 24:00 hours (CEST), during which no registrations or de-registrations can be made in the share register. This means that orders for changes to the share register received by the Company after the end of the last registration day, i.e., between August 1, 2023, 0:00 hours (CEST), and August 7, 2023, inclusive, cannot be processed and taken into account until after the end of the Annual General Meeting on August 7, 2023.</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67" w:name="page68"/>
    <w:bookmarkEnd w:id="67"/>
    <w:p>
      <w:pPr>
        <w:jc w:val="both"/>
        <w:spacing w:after="0" w:line="291" w:lineRule="auto"/>
        <w:rPr>
          <w:sz w:val="20"/>
          <w:szCs w:val="20"/>
          <w:color w:val="auto"/>
        </w:rPr>
      </w:pPr>
      <w:r>
        <w:rPr>
          <w:rFonts w:ascii="Arial" w:cs="Arial" w:eastAsia="Arial" w:hAnsi="Arial"/>
          <w:sz w:val="16"/>
          <w:szCs w:val="16"/>
          <w:color w:val="auto"/>
        </w:rPr>
        <w:t>In relation to the Company, only those persons entered in the Company’s share register on the day of the Annual General Meeting shall be deemed shareholders for the purpose of attending the Annual General Meeting or exercising voting rights. Persons who are not entered in the Company’s share register on the day of the Annual General Meeting are only entitled to attend and vote at the Annual General Meeting in respect of the shares they hold if the Company receives an application in due form and time and the shareholder entered in the Company’s share register on the day of the Annual General Meeting authorizes the new shareholder or authorizes him to exercise the right. Likewise, intermediaries, shareholders’ associations, proxy advisors or other persons, institutions or companies equivalent to these pursuant to section 135 para. 8 AktG may only exercise voting rights for shares which do not belong to them but for which they are entered in the share register as the holder on the basis of authorization by the shareholder.</w:t>
      </w:r>
    </w:p>
    <w:p>
      <w:pPr>
        <w:spacing w:after="0" w:line="16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Registered holders of American Depositary Receipts (ADRs) may obtain information regarding the general meeting and voting information and materials from The Bank of New York Mellon, BNY Mellon Shareowner Services (shrrelations@cpushareownerservices.com; telephone: +1 201 680 6825 and toll-free from within the United States: +1 888 269 2377).</w:t>
      </w:r>
    </w:p>
    <w:p>
      <w:pPr>
        <w:spacing w:after="0" w:line="180" w:lineRule="exact"/>
        <w:rPr>
          <w:sz w:val="20"/>
          <w:szCs w:val="20"/>
          <w:color w:val="auto"/>
        </w:rPr>
      </w:pPr>
    </w:p>
    <w:p>
      <w:pPr>
        <w:ind w:left="460" w:hanging="452"/>
        <w:spacing w:after="0"/>
        <w:tabs>
          <w:tab w:leader="none" w:pos="460" w:val="left"/>
        </w:tabs>
        <w:numPr>
          <w:ilvl w:val="0"/>
          <w:numId w:val="42"/>
        </w:numPr>
        <w:rPr>
          <w:rFonts w:ascii="Arial" w:cs="Arial" w:eastAsia="Arial" w:hAnsi="Arial"/>
          <w:sz w:val="18"/>
          <w:szCs w:val="18"/>
          <w:b w:val="1"/>
          <w:bCs w:val="1"/>
          <w:color w:val="auto"/>
        </w:rPr>
      </w:pPr>
      <w:r>
        <w:rPr>
          <w:rFonts w:ascii="Arial" w:cs="Arial" w:eastAsia="Arial" w:hAnsi="Arial"/>
          <w:sz w:val="18"/>
          <w:szCs w:val="18"/>
          <w:b w:val="1"/>
          <w:bCs w:val="1"/>
          <w:color w:val="auto"/>
        </w:rPr>
        <w:t>Procedure for voting</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Representation</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Shareholders also have the option of having their voting rights exercised by a proxy, e.g., by a shareholders’ association or an intermediary. In this case, too, timely registration must be ensured.</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granting of the proxy, its revocation and the proof of authorization vis-à-vis the Company must be in text form (section 126b of the German Civil Code (</w:t>
      </w:r>
      <w:r>
        <w:rPr>
          <w:rFonts w:ascii="Arial" w:cs="Arial" w:eastAsia="Arial" w:hAnsi="Arial"/>
          <w:sz w:val="18"/>
          <w:szCs w:val="18"/>
          <w:i w:val="1"/>
          <w:iCs w:val="1"/>
          <w:color w:val="auto"/>
        </w:rPr>
        <w:t>BGB</w:t>
      </w:r>
      <w:r>
        <w:rPr>
          <w:rFonts w:ascii="Arial" w:cs="Arial" w:eastAsia="Arial" w:hAnsi="Arial"/>
          <w:sz w:val="18"/>
          <w:szCs w:val="18"/>
          <w:color w:val="auto"/>
        </w:rPr>
        <w:t>)). The power of attorney may be declared to the person to be authorized or to the Company.</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Proof of proxy authorisation may also be furnished by the proxy presenting the proxy authorisation at the entrance control on the day of the Annual General Meeting.</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68" w:name="page69"/>
    <w:bookmarkEnd w:id="68"/>
    <w:p>
      <w:pPr>
        <w:spacing w:after="0"/>
        <w:rPr>
          <w:sz w:val="20"/>
          <w:szCs w:val="20"/>
          <w:color w:val="auto"/>
        </w:rPr>
      </w:pPr>
      <w:r>
        <w:rPr>
          <w:rFonts w:ascii="Arial" w:cs="Arial" w:eastAsia="Arial" w:hAnsi="Arial"/>
          <w:sz w:val="18"/>
          <w:szCs w:val="18"/>
          <w:color w:val="auto"/>
        </w:rPr>
        <w:t>Proof of authorization may be submitted by e-mail, post or fax to the following address, fax number or e-mail address: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Mynaric AG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 Better Orange IR &amp; HV AG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Haidelweg 48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81241 Munich</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Germany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Fax: +49 (0) 89 / 88 96 906 33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u w:val="single" w:color="auto"/>
          <w:color w:val="auto"/>
        </w:rPr>
        <w:t>mynaric@better-orange.de</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aforementioned communication channels are also available if the proxy is to be granted by declaration to the Company; in this case, separate proof of the granting of the proxy is not required. The revocation or amendment of a proxy already granted may also be declared directly to the Company by the aforementioned means of transmission.</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Alternatively, the granting of a proxy by declaration to the Company, its amendment or revocation is also possible by electronic means using the password-protected Internet service on the Company’s website at </w:t>
      </w:r>
      <w:r>
        <w:rPr>
          <w:rFonts w:ascii="Arial" w:cs="Arial" w:eastAsia="Arial" w:hAnsi="Arial"/>
          <w:sz w:val="18"/>
          <w:szCs w:val="18"/>
          <w:u w:val="single" w:color="auto"/>
          <w:color w:val="auto"/>
        </w:rPr>
        <w:t>https://mynaric.com/hv</w:t>
      </w:r>
      <w:r>
        <w:rPr>
          <w:rFonts w:ascii="Arial" w:cs="Arial" w:eastAsia="Arial" w:hAnsi="Arial"/>
          <w:sz w:val="18"/>
          <w:szCs w:val="18"/>
          <w:color w:val="auto"/>
        </w:rPr>
        <w:t xml:space="preserve"> in accordance with the procedure specified by the Company by no later than August 6, 2023, 24:00 hours (CEST).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use of the password-protected internet service by the proxy requires that the proxy receives the corresponding access data.</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 xml:space="preserve">A form for ordering admission tickets for a proxy will be sent to the shareholders registered with their address in the share register on July 17, 2023, 00:00 hours (CEST), together with the invitation to the Annual General Meeting. A corresponding form for ordering admission tickets for a proxy as well as a form for granting power of attorney are also available for download on the Company’s website at https://mynaric.com/hv. These forms can also be requested free of charge from the Company, e.g., by e-mail at </w:t>
      </w:r>
      <w:r>
        <w:rPr>
          <w:rFonts w:ascii="Arial" w:cs="Arial" w:eastAsia="Arial" w:hAnsi="Arial"/>
          <w:sz w:val="17"/>
          <w:szCs w:val="17"/>
          <w:u w:val="single" w:color="auto"/>
          <w:color w:val="auto"/>
        </w:rPr>
        <w:t>mynaric@better-orange.de</w:t>
      </w:r>
      <w:r>
        <w:rPr>
          <w:rFonts w:ascii="Arial" w:cs="Arial" w:eastAsia="Arial" w:hAnsi="Arial"/>
          <w:sz w:val="17"/>
          <w:szCs w:val="17"/>
          <w:color w:val="auto"/>
        </w:rPr>
        <w:t xml:space="preserve"> or by telephone at +49 (0) 89 88 96 906 610.</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Proxy forms will also be available during the Annual General Meeting. The admission tickets issued by the Company also contain a form for granting proxy.</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the case of the authorization of intermediaries, shareholders’ associations, proxy advisors or other persons or institutions treated as equivalent pursuant to section 135 para. 8 AktG, the procedure, form and revocation of the authorization are governed by special rules. Please contact the relevant intermediary, shareholders’ association or other person or institution referred to in section 135 para. 8 AktG for further details.</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69" w:name="page70"/>
    <w:bookmarkEnd w:id="69"/>
    <w:p>
      <w:pPr>
        <w:spacing w:after="0"/>
        <w:rPr>
          <w:sz w:val="20"/>
          <w:szCs w:val="20"/>
          <w:color w:val="auto"/>
        </w:rPr>
      </w:pPr>
      <w:r>
        <w:rPr>
          <w:rFonts w:ascii="Arial" w:cs="Arial" w:eastAsia="Arial" w:hAnsi="Arial"/>
          <w:sz w:val="18"/>
          <w:szCs w:val="18"/>
          <w:b w:val="1"/>
          <w:bCs w:val="1"/>
          <w:i w:val="1"/>
          <w:iCs w:val="1"/>
          <w:color w:val="auto"/>
        </w:rPr>
        <w:t>Voting by proxies of the Company bound by instructions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Shareholders may exercise their voting rights by granting power of attorney to proxies appointed by the Company and bound by instructions. In this case, too, proper registration is required as described above under section 1 described above.</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A form that can be used to issue powers of attorney and instructions to the proxies appointed by the Company will be sent to shareholders together with the invitation to the Annual General Meeting. It is also available for download at </w:t>
      </w:r>
      <w:r>
        <w:rPr>
          <w:rFonts w:ascii="Arial" w:cs="Arial" w:eastAsia="Arial" w:hAnsi="Arial"/>
          <w:sz w:val="18"/>
          <w:szCs w:val="18"/>
          <w:u w:val="single" w:color="auto"/>
          <w:color w:val="auto"/>
        </w:rPr>
        <w:t>https://mynaric.com/hv</w:t>
      </w:r>
      <w:r>
        <w:rPr>
          <w:rFonts w:ascii="Arial" w:cs="Arial" w:eastAsia="Arial" w:hAnsi="Arial"/>
          <w:sz w:val="18"/>
          <w:szCs w:val="18"/>
          <w:color w:val="auto"/>
        </w:rPr>
        <w:t>.</w:t>
      </w:r>
    </w:p>
    <w:p>
      <w:pPr>
        <w:spacing w:after="0" w:line="17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granting or revocation of a proxy or the issuance or amendment of instructions to the proxies nominated by the Company may be made by post, fax or e-mail to the following address, fax number or e-mail address no later than August 6, 2023, 24:00 hours (CEST) (time of receipt):</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Mynaric AG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 Better Orange IR &amp; HV AG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Haidelweg 48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81241 Munich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Germany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Fax: +49 (0) 89 / 88 96 906 33</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E-mail: mynaric@better-orange.de</w:t>
      </w:r>
    </w:p>
    <w:p>
      <w:pPr>
        <w:spacing w:after="0" w:line="211"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 xml:space="preserve">Alternatively, the granting or revocation of a power of attorney or the issuance or amendment of instructions to the proxies nominated by the Company may be made electronically using the password-protected internet service on the Company’s website at </w:t>
      </w:r>
      <w:r>
        <w:rPr>
          <w:rFonts w:ascii="Arial" w:cs="Arial" w:eastAsia="Arial" w:hAnsi="Arial"/>
          <w:sz w:val="16"/>
          <w:szCs w:val="16"/>
          <w:u w:val="single" w:color="auto"/>
          <w:color w:val="auto"/>
        </w:rPr>
        <w:t>https://mynaric.com/hv</w:t>
      </w:r>
      <w:r>
        <w:rPr>
          <w:rFonts w:ascii="Arial" w:cs="Arial" w:eastAsia="Arial" w:hAnsi="Arial"/>
          <w:sz w:val="16"/>
          <w:szCs w:val="16"/>
          <w:color w:val="auto"/>
        </w:rPr>
        <w:t xml:space="preserve"> until August 6, 2023, 24:00 hours (CEST), in accordance with the procedure established by the Company. An additional proof of authorization of the proxies is not required.</w:t>
      </w:r>
    </w:p>
    <w:p>
      <w:pPr>
        <w:spacing w:after="0" w:line="149"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 xml:space="preserve">The individual access data for the use of the password-protected internet service as well as a form for, among other thing, the authorization of the proxies appointed by the Company and for the issuance of instructions to them will be sent to the shareholders registered in the share register with their address on July 17, 2023, 00:00 hours (CEST), together with the invitation to the Annual General Meeting. A form for authorising the proxies appointed by the Company and for issuing instructions to them is also available for download on the Company’s website at </w:t>
      </w:r>
      <w:r>
        <w:rPr>
          <w:rFonts w:ascii="Arial" w:cs="Arial" w:eastAsia="Arial" w:hAnsi="Arial"/>
          <w:sz w:val="16"/>
          <w:szCs w:val="16"/>
          <w:u w:val="single" w:color="auto"/>
          <w:color w:val="auto"/>
        </w:rPr>
        <w:t>https://mynaric.com/hv</w:t>
      </w:r>
      <w:r>
        <w:rPr>
          <w:rFonts w:ascii="Arial" w:cs="Arial" w:eastAsia="Arial" w:hAnsi="Arial"/>
          <w:sz w:val="16"/>
          <w:szCs w:val="16"/>
          <w:color w:val="auto"/>
        </w:rPr>
        <w:t xml:space="preserve"> and can also be requested free of charge from the Company, e.g., by e-mail at mynaric@better-orange.de or by telephone at +49 (0)89 88 96 906 610.</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70" w:name="page71"/>
    <w:bookmarkEnd w:id="70"/>
    <w:p>
      <w:pPr>
        <w:jc w:val="both"/>
        <w:spacing w:after="0" w:line="277" w:lineRule="auto"/>
        <w:rPr>
          <w:sz w:val="20"/>
          <w:szCs w:val="20"/>
          <w:color w:val="auto"/>
        </w:rPr>
      </w:pPr>
      <w:r>
        <w:rPr>
          <w:rFonts w:ascii="Arial" w:cs="Arial" w:eastAsia="Arial" w:hAnsi="Arial"/>
          <w:sz w:val="18"/>
          <w:szCs w:val="18"/>
          <w:color w:val="auto"/>
        </w:rPr>
        <w:t>The revocation of the power of attorney to the proxies appointed by the Company may also be effected by the shareholder attending the Annual General Meeting in person or by granting a power of attorney to another proxy.</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Annual General Meeting, power of attorney and instructions to the proxies appointed by the Company may be issued on site, inter alia, by using the form provided for this purpose on the voting card.</w:t>
      </w:r>
    </w:p>
    <w:p>
      <w:pPr>
        <w:spacing w:after="0" w:line="17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If proxies appointed by the Company are authorized, they must in any case be given instructions on how to exercise voting rights. The proxies are obliged to vote in accordance with the instructions given to them; even if they have been granted power of attorney, they are only authorized to exercise voting rights insofar as express instructions have been given on the resolution proposals of the Management Board and/or Supervisory Board on the individual agenda items, on the proposed resolutions of shareholders announced with any additions to the agenda in accordance with section 122 para. 2 AktG, or on countermotions and election proposals of shareholders made available prior to the Annual General Meeting in accordance with sections 126, 127 AktG. The proxies of the Company do not accept any powers of attorney to file objections against resolutions of the Annual General Meeting, to exercise the right to ask questions or to file motions.</w:t>
      </w:r>
    </w:p>
    <w:p>
      <w:pPr>
        <w:spacing w:after="0" w:line="19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Should an individual vote be held on an agenda item without this having been communicated in advance of the Annual General Meeting, an instruction on this agenda item as a whole shall also be deemed to be a corresponding instruction for each item of the individual vote.</w:t>
      </w:r>
    </w:p>
    <w:p>
      <w:pPr>
        <w:spacing w:after="0" w:line="166" w:lineRule="exact"/>
        <w:rPr>
          <w:sz w:val="20"/>
          <w:szCs w:val="20"/>
          <w:color w:val="auto"/>
        </w:rPr>
      </w:pPr>
    </w:p>
    <w:p>
      <w:pPr>
        <w:ind w:left="460" w:hanging="452"/>
        <w:spacing w:after="0"/>
        <w:tabs>
          <w:tab w:leader="none" w:pos="460" w:val="left"/>
        </w:tabs>
        <w:numPr>
          <w:ilvl w:val="0"/>
          <w:numId w:val="43"/>
        </w:numPr>
        <w:rPr>
          <w:rFonts w:ascii="Arial" w:cs="Arial" w:eastAsia="Arial" w:hAnsi="Arial"/>
          <w:sz w:val="18"/>
          <w:szCs w:val="18"/>
          <w:b w:val="1"/>
          <w:bCs w:val="1"/>
          <w:color w:val="auto"/>
        </w:rPr>
      </w:pPr>
      <w:r>
        <w:rPr>
          <w:rFonts w:ascii="Arial" w:cs="Arial" w:eastAsia="Arial" w:hAnsi="Arial"/>
          <w:sz w:val="18"/>
          <w:szCs w:val="18"/>
          <w:b w:val="1"/>
          <w:bCs w:val="1"/>
          <w:color w:val="auto"/>
        </w:rPr>
        <w:t>Further information on shareholders’ rights pursuant to sections 122 para. 2, 126 para. 1, 127, 131 para. 1 AktG</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Motions for additions to the agenda pursuant to section 122 para. 2 AktG</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Shareholders whose shares alone or together amount to one-twentieth (5%) of the share capital or the pro rata amount of EUR 500,000.00 may request that items be placed on the agenda and published. Each new item must be accompanied by a statement of reasons or a draft resolution. The request must be sent to the Management Board of the Company in writing and must be received by the Company at the address below no later than July 13, 24:00 hours (CEST).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postal: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Mynaric AG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 Management Board -</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Dornierstr. 19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82205 Gilching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Germany</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71" w:name="page72"/>
    <w:bookmarkEnd w:id="71"/>
    <w:p>
      <w:pPr>
        <w:jc w:val="both"/>
        <w:spacing w:after="0" w:line="277" w:lineRule="auto"/>
        <w:rPr>
          <w:sz w:val="20"/>
          <w:szCs w:val="20"/>
          <w:color w:val="auto"/>
        </w:rPr>
      </w:pPr>
      <w:r>
        <w:rPr>
          <w:rFonts w:ascii="Arial" w:cs="Arial" w:eastAsia="Arial" w:hAnsi="Arial"/>
          <w:sz w:val="18"/>
          <w:szCs w:val="18"/>
          <w:color w:val="auto"/>
        </w:rPr>
        <w:t>The applicants must prove that they have held the shares for at least 90 days prior to the date of receipt of the request and that they will hold the shares until the Management Board has decided on the request.</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Additions to the agenda which are to be announced will be published in the Federal Gazette without delay after receipt of the request, unless they have already been announced with the notice of the meeting. They will also be published on the internet at https://mynaric.com/hv.</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Countermotions and election proposals by shareholders pursuant to sections 126 para. 1, 127 AktG</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Shareholders may submit countermotions (together with any justification) against a proposal by the Management Board and/or Supervisory Board on a specific agenda item as well as election proposals to the Company.</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Election proposals from shareholders as well as countermotions received by the Company no later than July 23, 2023, 24:00 hours (CEST) at the address, fax number or e-mail address stated below will, insofar as the other requirements for an obligation to publish pursuant to sections 126, 127 AktG are met, be made available on the Company’s website at https://mynaric.com/hv without undue delay after their receipt, including the name of the shareholder and any statement of grounds: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postal: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Mynaric AG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 Better Orange IR &amp; HV AG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Haidelweg 48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81241 Munich</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Germany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fax +49 (0) 89 / 88 96 906-55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electronic: antraege@better-orange.de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Any statements by the administration on any countermotions and election proposals will also be published at the above Internet address.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Countermotions or election proposals addressed otherwise or received late will not be published by the Company on the Internet.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72" w:name="page73"/>
    <w:bookmarkEnd w:id="72"/>
    <w:p>
      <w:pPr>
        <w:spacing w:after="0"/>
        <w:rPr>
          <w:sz w:val="20"/>
          <w:szCs w:val="20"/>
          <w:color w:val="auto"/>
        </w:rPr>
      </w:pPr>
      <w:r>
        <w:rPr>
          <w:rFonts w:ascii="Arial" w:cs="Arial" w:eastAsia="Arial" w:hAnsi="Arial"/>
          <w:sz w:val="18"/>
          <w:szCs w:val="18"/>
          <w:b w:val="1"/>
          <w:bCs w:val="1"/>
          <w:i w:val="1"/>
          <w:iCs w:val="1"/>
          <w:color w:val="auto"/>
        </w:rPr>
        <w:t>Right to information pursuant to section 131 para. 1 AktG</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Pursuant to section 131 para. 1 AktG, the Management Board must provide each shareholder with information on the Company’s affairs, the Company’s legal and business relations with affiliated companies, and the situation of the Group and the companies included in the consolidated financial statements upon request at the Annual General Meeting, insofar as the information is necessary for the proper assessment of an item on the agenda. The Management Board may refrain from answering individual questions for the reasons stated in section 131 para. 3 AktG.</w:t>
      </w:r>
    </w:p>
    <w:p>
      <w:pPr>
        <w:spacing w:after="0" w:line="167" w:lineRule="exact"/>
        <w:rPr>
          <w:sz w:val="20"/>
          <w:szCs w:val="20"/>
          <w:color w:val="auto"/>
        </w:rPr>
      </w:pPr>
    </w:p>
    <w:p>
      <w:pPr>
        <w:ind w:left="460" w:hanging="452"/>
        <w:spacing w:after="0"/>
        <w:tabs>
          <w:tab w:leader="none" w:pos="460" w:val="left"/>
        </w:tabs>
        <w:numPr>
          <w:ilvl w:val="0"/>
          <w:numId w:val="44"/>
        </w:numPr>
        <w:rPr>
          <w:rFonts w:ascii="Arial" w:cs="Arial" w:eastAsia="Arial" w:hAnsi="Arial"/>
          <w:sz w:val="18"/>
          <w:szCs w:val="18"/>
          <w:b w:val="1"/>
          <w:bCs w:val="1"/>
          <w:color w:val="auto"/>
        </w:rPr>
      </w:pPr>
      <w:r>
        <w:rPr>
          <w:rFonts w:ascii="Arial" w:cs="Arial" w:eastAsia="Arial" w:hAnsi="Arial"/>
          <w:sz w:val="18"/>
          <w:szCs w:val="18"/>
          <w:b w:val="1"/>
          <w:bCs w:val="1"/>
          <w:color w:val="auto"/>
        </w:rPr>
        <w:t>Total number of shares and voting rights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Company’s share capital of EUR 6,233,615.00 is divided into 6,233,615 no-par value registered shares. Each no-par share grants one vote. The total number of shares and voting rights at the time the Annual General Meeting is convened is therefore 6,233,615. The Company does not hold any treasury shares at the time the Annual General Meeting is convened.</w:t>
      </w:r>
    </w:p>
    <w:p>
      <w:pPr>
        <w:spacing w:after="0" w:line="180" w:lineRule="exact"/>
        <w:rPr>
          <w:sz w:val="20"/>
          <w:szCs w:val="20"/>
          <w:color w:val="auto"/>
        </w:rPr>
      </w:pPr>
    </w:p>
    <w:p>
      <w:pPr>
        <w:ind w:left="460" w:hanging="452"/>
        <w:spacing w:after="0"/>
        <w:tabs>
          <w:tab w:leader="none" w:pos="460" w:val="left"/>
        </w:tabs>
        <w:numPr>
          <w:ilvl w:val="0"/>
          <w:numId w:val="45"/>
        </w:numPr>
        <w:rPr>
          <w:rFonts w:ascii="Arial" w:cs="Arial" w:eastAsia="Arial" w:hAnsi="Arial"/>
          <w:sz w:val="18"/>
          <w:szCs w:val="18"/>
          <w:b w:val="1"/>
          <w:bCs w:val="1"/>
          <w:color w:val="auto"/>
        </w:rPr>
      </w:pPr>
      <w:r>
        <w:rPr>
          <w:rFonts w:ascii="Arial" w:cs="Arial" w:eastAsia="Arial" w:hAnsi="Arial"/>
          <w:sz w:val="18"/>
          <w:szCs w:val="18"/>
          <w:b w:val="1"/>
          <w:bCs w:val="1"/>
          <w:color w:val="auto"/>
        </w:rPr>
        <w:t>Further explanations and information on the Company’s website/documents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All documents required by law for the Annual General Meeting and motions from shareholders are available on the Company’s website at https://mynaric.com/hv from the time the meeting is convened. The voting results are announced after the Annual General Meeting at the same internet address.</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documents to be made available by law will also be accessible on the Company’s website at https://mynaric.com/hv during the Annual General Meeting.</w:t>
      </w:r>
    </w:p>
    <w:p>
      <w:pPr>
        <w:spacing w:after="0" w:line="166" w:lineRule="exact"/>
        <w:rPr>
          <w:sz w:val="20"/>
          <w:szCs w:val="20"/>
          <w:color w:val="auto"/>
        </w:rPr>
      </w:pPr>
    </w:p>
    <w:p>
      <w:pPr>
        <w:ind w:left="460" w:hanging="452"/>
        <w:spacing w:after="0"/>
        <w:tabs>
          <w:tab w:leader="none" w:pos="460" w:val="left"/>
        </w:tabs>
        <w:numPr>
          <w:ilvl w:val="0"/>
          <w:numId w:val="46"/>
        </w:numPr>
        <w:rPr>
          <w:rFonts w:ascii="Arial" w:cs="Arial" w:eastAsia="Arial" w:hAnsi="Arial"/>
          <w:sz w:val="18"/>
          <w:szCs w:val="18"/>
          <w:b w:val="1"/>
          <w:bCs w:val="1"/>
          <w:color w:val="auto"/>
        </w:rPr>
      </w:pPr>
      <w:r>
        <w:rPr>
          <w:rFonts w:ascii="Arial" w:cs="Arial" w:eastAsia="Arial" w:hAnsi="Arial"/>
          <w:sz w:val="18"/>
          <w:szCs w:val="18"/>
          <w:b w:val="1"/>
          <w:bCs w:val="1"/>
          <w:color w:val="auto"/>
        </w:rPr>
        <w:t>Notes on data protection of shareholders, shareholder representatives and ADS holders</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Mynaric AG, as the “controller” within the meaning of Art. 4 no. 7 Data Protection Regulation (“</w:t>
      </w:r>
      <w:r>
        <w:rPr>
          <w:rFonts w:ascii="Arial" w:cs="Arial" w:eastAsia="Arial" w:hAnsi="Arial"/>
          <w:sz w:val="17"/>
          <w:szCs w:val="17"/>
          <w:b w:val="1"/>
          <w:bCs w:val="1"/>
          <w:color w:val="auto"/>
        </w:rPr>
        <w:t>DS-GVO”</w:t>
      </w:r>
      <w:r>
        <w:rPr>
          <w:rFonts w:ascii="Arial" w:cs="Arial" w:eastAsia="Arial" w:hAnsi="Arial"/>
          <w:sz w:val="17"/>
          <w:szCs w:val="17"/>
          <w:color w:val="auto"/>
        </w:rPr>
        <w:t>), processes personal data of the shareholders, any shareholder representatives and the ADS holders (in particular name, address, e-mail address, number of shares, class of shares, type of ownership of the shares, number of the admission ticket as well as the granting of any proxies) on the basis of the data protection provisions applicable in Germany in order to enable the shareholders, shareholder representatives and the ADS holders to exercise their rights in the context of the Annual General Meeting and to ensure a lawful and statutory course of the negotiations and resolutions of the Annual General Meeting. To the extent that Mynaric AG does not receive this data from the shareholders, any shareholder representatives and/or ADS holders, the bank holding their securities account or the Depositary shall transmit this personal data to Mynaric AG.</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73" w:name="page74"/>
    <w:bookmarkEnd w:id="73"/>
    <w:p>
      <w:pPr>
        <w:jc w:val="both"/>
        <w:spacing w:after="0" w:line="342" w:lineRule="auto"/>
        <w:rPr>
          <w:sz w:val="20"/>
          <w:szCs w:val="20"/>
          <w:color w:val="auto"/>
        </w:rPr>
      </w:pPr>
      <w:r>
        <w:rPr>
          <w:rFonts w:ascii="Arial" w:cs="Arial" w:eastAsia="Arial" w:hAnsi="Arial"/>
          <w:sz w:val="16"/>
          <w:szCs w:val="16"/>
          <w:color w:val="auto"/>
        </w:rPr>
        <w:t>The processing of the personal data of the shareholders, any shareholder representatives and the ADS holders is mandatory for the conduct of the Annual General Meeting. The legal basis for the processing is Art. 6 para. 1 subparagraph 1 letter c) DS-GVO in conjunction with sections 123, 129, 135 AktG.</w:t>
      </w:r>
    </w:p>
    <w:p>
      <w:pPr>
        <w:spacing w:after="0" w:line="12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the purpose of organizing the Annual General Meeting, Mynaric AG commissions various service providers and consultants. These only receive personal data that is required for the execution of the respective order. The service providers and consultants process this data exclusively according to the instructions of Mynaric AG.</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personal data will be stored for as long as required by law or for as long as the Company has a legitimate interest in storing it, for example in the event of disputes in or out of court arising from the Annual General Meeting. The personal data will then be deleted.</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Subject to the legal requirements, the existence of which is to be verified in each individual case, shareholders, any shareholder representatives and ADS holders have the right to request information on the processing of their personal data, rectification or erasure of their personal data or restriction of processing, as well as to receive their personal data in a structured, common and machine-readable format (data portability). Subject to the statutory requirements, the existence of which must be verified in each individual case, shareholders, any shareholder representatives and ADS holders also have the right to object to the processing of their personal data.</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Data subjects may exercise these rights by contacting Mynaric AG at the following contact details: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Mynaric AG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Dornierstr. 19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82205 Gilching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Phone: +49 8105 79990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u w:val="single" w:color="auto"/>
          <w:color w:val="auto"/>
        </w:rPr>
        <w:t>info@mynaric.com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 addition, the data subjects have a right of appeal to the data protection supervisory authorities pursuant to Art. 77 DS-GVO.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company data protection officer of Mynaric AG can be reached as follows: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Stephan Krischke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Mynaric AG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Dornierstr. 19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82205 Gilching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u w:val="single" w:color="auto"/>
          <w:color w:val="auto"/>
        </w:rPr>
        <w:t>dataprotection@mynaric.com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Gilching, June 2023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Management Board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55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763845E"/>
    <w:multiLevelType w:val="hybridMultilevel"/>
    <w:lvl w:ilvl="0">
      <w:lvlJc w:val="left"/>
      <w:lvlText w:val="%1."/>
      <w:numFmt w:val="decimal"/>
      <w:start w:val="1"/>
    </w:lvl>
  </w:abstractNum>
  <w:abstractNum w:abstractNumId="1">
    <w:nsid w:val="75A2A8D4"/>
    <w:multiLevelType w:val="hybridMultilevel"/>
    <w:lvl w:ilvl="0">
      <w:lvlJc w:val="left"/>
      <w:lvlText w:val="%1."/>
      <w:numFmt w:val="decimal"/>
      <w:start w:val="2"/>
    </w:lvl>
  </w:abstractNum>
  <w:abstractNum w:abstractNumId="2">
    <w:nsid w:val="8EDBDAB"/>
    <w:multiLevelType w:val="hybridMultilevel"/>
    <w:lvl w:ilvl="0">
      <w:lvlJc w:val="left"/>
      <w:lvlText w:val="%1."/>
      <w:numFmt w:val="lowerLetter"/>
      <w:start w:val="1"/>
    </w:lvl>
  </w:abstractNum>
  <w:abstractNum w:abstractNumId="3">
    <w:nsid w:val="79838CB2"/>
    <w:multiLevelType w:val="hybridMultilevel"/>
    <w:lvl w:ilvl="0">
      <w:lvlJc w:val="left"/>
      <w:lvlText w:val="%1."/>
      <w:numFmt w:val="lowerLetter"/>
      <w:start w:val="1"/>
    </w:lvl>
  </w:abstractNum>
  <w:abstractNum w:abstractNumId="4">
    <w:nsid w:val="4353D0CD"/>
    <w:multiLevelType w:val="hybridMultilevel"/>
    <w:lvl w:ilvl="0">
      <w:lvlJc w:val="left"/>
      <w:lvlText w:val="%1."/>
      <w:numFmt w:val="decimal"/>
      <w:start w:val="6"/>
    </w:lvl>
  </w:abstractNum>
  <w:abstractNum w:abstractNumId="5">
    <w:nsid w:val="B03E0C6"/>
    <w:multiLevelType w:val="hybridMultilevel"/>
    <w:lvl w:ilvl="0">
      <w:lvlJc w:val="left"/>
      <w:lvlText w:val="%1."/>
      <w:numFmt w:val="decimal"/>
      <w:start w:val="7"/>
    </w:lvl>
  </w:abstractNum>
  <w:abstractNum w:abstractNumId="6">
    <w:nsid w:val="189A769B"/>
    <w:multiLevelType w:val="hybridMultilevel"/>
    <w:lvl w:ilvl="0">
      <w:lvlJc w:val="left"/>
      <w:lvlText w:val="%1."/>
      <w:numFmt w:val="decimal"/>
      <w:start w:val="9"/>
    </w:lvl>
  </w:abstractNum>
  <w:abstractNum w:abstractNumId="7">
    <w:nsid w:val="54E49EB4"/>
    <w:multiLevelType w:val="hybridMultilevel"/>
    <w:lvl w:ilvl="0">
      <w:lvlJc w:val="left"/>
      <w:lvlText w:val="%1."/>
      <w:numFmt w:val="decimal"/>
      <w:start w:val="10"/>
    </w:lvl>
    <w:lvl w:ilvl="1">
      <w:lvlJc w:val="left"/>
      <w:lvlText w:val="%2)"/>
      <w:numFmt w:val="lowerLetter"/>
      <w:start w:val="1"/>
    </w:lvl>
  </w:abstractNum>
  <w:abstractNum w:abstractNumId="8">
    <w:nsid w:val="71F32454"/>
    <w:multiLevelType w:val="hybridMultilevel"/>
    <w:lvl w:ilvl="0">
      <w:lvlJc w:val="left"/>
      <w:lvlText w:val="(%1)"/>
      <w:numFmt w:val="lowerRoman"/>
      <w:start w:val="1"/>
    </w:lvl>
  </w:abstractNum>
  <w:abstractNum w:abstractNumId="9">
    <w:nsid w:val="2CA88611"/>
    <w:multiLevelType w:val="hybridMultilevel"/>
    <w:lvl w:ilvl="0">
      <w:lvlJc w:val="left"/>
      <w:lvlText w:val="(%1)"/>
      <w:numFmt w:val="lowerRoman"/>
      <w:start w:val="3"/>
    </w:lvl>
  </w:abstractNum>
  <w:abstractNum w:abstractNumId="10">
    <w:nsid w:val="836C40E"/>
    <w:multiLevelType w:val="hybridMultilevel"/>
    <w:lvl w:ilvl="0">
      <w:lvlJc w:val="left"/>
      <w:lvlText w:val="%1)"/>
      <w:numFmt w:val="lowerLetter"/>
      <w:start w:val="3"/>
    </w:lvl>
  </w:abstractNum>
  <w:abstractNum w:abstractNumId="11">
    <w:nsid w:val="2901D82"/>
    <w:multiLevelType w:val="hybridMultilevel"/>
    <w:lvl w:ilvl="0">
      <w:lvlJc w:val="left"/>
      <w:lvlText w:val="%1."/>
      <w:numFmt w:val="decimal"/>
      <w:start w:val="11"/>
    </w:lvl>
    <w:lvl w:ilvl="1">
      <w:lvlJc w:val="left"/>
      <w:lvlText w:val="%2)"/>
      <w:numFmt w:val="lowerLetter"/>
      <w:start w:val="1"/>
    </w:lvl>
  </w:abstractNum>
  <w:abstractNum w:abstractNumId="12">
    <w:nsid w:val="3A95F874"/>
    <w:multiLevelType w:val="hybridMultilevel"/>
    <w:lvl w:ilvl="0">
      <w:lvlJc w:val="left"/>
      <w:lvlText w:val="%1)"/>
      <w:numFmt w:val="lowerLetter"/>
      <w:start w:val="2"/>
    </w:lvl>
  </w:abstractNum>
  <w:abstractNum w:abstractNumId="13">
    <w:nsid w:val="8138641"/>
    <w:multiLevelType w:val="hybridMultilevel"/>
    <w:lvl w:ilvl="0">
      <w:lvlJc w:val="left"/>
      <w:lvlText w:val="%1"/>
      <w:numFmt w:val="decimal"/>
      <w:start w:val="1"/>
    </w:lvl>
    <w:lvl w:ilvl="1">
      <w:lvlJc w:val="left"/>
      <w:lvlText w:val="%2)"/>
      <w:numFmt w:val="lowerLetter"/>
      <w:start w:val="3"/>
    </w:lvl>
  </w:abstractNum>
  <w:abstractNum w:abstractNumId="14">
    <w:nsid w:val="1E7FF521"/>
    <w:multiLevelType w:val="hybridMultilevel"/>
    <w:lvl w:ilvl="0">
      <w:lvlJc w:val="left"/>
      <w:lvlText w:val="%1."/>
      <w:numFmt w:val="decimal"/>
      <w:start w:val="12"/>
    </w:lvl>
    <w:lvl w:ilvl="1">
      <w:lvlJc w:val="left"/>
      <w:lvlText w:val="%2)"/>
      <w:numFmt w:val="lowerLetter"/>
      <w:start w:val="1"/>
    </w:lvl>
  </w:abstractNum>
  <w:abstractNum w:abstractNumId="15">
    <w:nsid w:val="7C3DBD3D"/>
    <w:multiLevelType w:val="hybridMultilevel"/>
    <w:lvl w:ilvl="0">
      <w:lvlJc w:val="left"/>
      <w:lvlText w:val="%1"/>
      <w:numFmt w:val="decimal"/>
      <w:start w:val="1"/>
    </w:lvl>
    <w:lvl w:ilvl="1">
      <w:lvlJc w:val="left"/>
      <w:lvlText w:val="%2)"/>
      <w:numFmt w:val="lowerLetter"/>
      <w:start w:val="2"/>
    </w:lvl>
  </w:abstractNum>
  <w:abstractNum w:abstractNumId="16">
    <w:nsid w:val="737B8DDC"/>
    <w:multiLevelType w:val="hybridMultilevel"/>
    <w:lvl w:ilvl="0">
      <w:lvlJc w:val="left"/>
      <w:lvlText w:val="%1."/>
      <w:numFmt w:val="decimal"/>
      <w:start w:val="13"/>
    </w:lvl>
    <w:lvl w:ilvl="1">
      <w:lvlJc w:val="left"/>
      <w:lvlText w:val="%2)"/>
      <w:numFmt w:val="lowerLetter"/>
      <w:start w:val="1"/>
    </w:lvl>
  </w:abstractNum>
  <w:abstractNum w:abstractNumId="17">
    <w:nsid w:val="6CEAF087"/>
    <w:multiLevelType w:val="hybridMultilevel"/>
    <w:lvl w:ilvl="0">
      <w:lvlJc w:val="left"/>
      <w:lvlText w:val="(%1)"/>
      <w:numFmt w:val="lowerRoman"/>
      <w:start w:val="1"/>
    </w:lvl>
  </w:abstractNum>
  <w:abstractNum w:abstractNumId="18">
    <w:nsid w:val="22221A70"/>
    <w:multiLevelType w:val="hybridMultilevel"/>
    <w:lvl w:ilvl="0">
      <w:lvlJc w:val="left"/>
      <w:lvlText w:val="(%1)"/>
      <w:numFmt w:val="lowerRoman"/>
      <w:start w:val="5"/>
    </w:lvl>
  </w:abstractNum>
  <w:abstractNum w:abstractNumId="19">
    <w:nsid w:val="4516DDE9"/>
    <w:multiLevelType w:val="hybridMultilevel"/>
    <w:lvl w:ilvl="0">
      <w:lvlJc w:val="left"/>
      <w:lvlText w:val="(%1)"/>
      <w:numFmt w:val="lowerRoman"/>
      <w:start w:val="7"/>
    </w:lvl>
  </w:abstractNum>
  <w:abstractNum w:abstractNumId="20">
    <w:nsid w:val="3006C83E"/>
    <w:multiLevelType w:val="hybridMultilevel"/>
    <w:lvl w:ilvl="0">
      <w:lvlJc w:val="left"/>
      <w:lvlText w:val="(%1)"/>
      <w:numFmt w:val="lowerRoman"/>
      <w:start w:val="10"/>
    </w:lvl>
  </w:abstractNum>
  <w:abstractNum w:abstractNumId="21">
    <w:nsid w:val="614FD4A1"/>
    <w:multiLevelType w:val="hybridMultilevel"/>
    <w:lvl w:ilvl="0">
      <w:lvlJc w:val="left"/>
      <w:lvlText w:val="%1"/>
      <w:numFmt w:val="lowerLetter"/>
      <w:start w:val="1"/>
    </w:lvl>
    <w:lvl w:ilvl="1">
      <w:lvlJc w:val="left"/>
      <w:lvlText w:val="(%2)"/>
      <w:numFmt w:val="lowerRoman"/>
      <w:start w:val="13"/>
    </w:lvl>
  </w:abstractNum>
  <w:abstractNum w:abstractNumId="22">
    <w:nsid w:val="419AC241"/>
    <w:multiLevelType w:val="hybridMultilevel"/>
    <w:lvl w:ilvl="0">
      <w:lvlJc w:val="left"/>
      <w:lvlText w:val="%1)"/>
      <w:numFmt w:val="lowerLetter"/>
      <w:start w:val="2"/>
    </w:lvl>
    <w:lvl w:ilvl="1">
      <w:lvlJc w:val="left"/>
      <w:lvlText w:val="%2"/>
      <w:numFmt w:val="lowerRoman"/>
      <w:start w:val="1"/>
    </w:lvl>
  </w:abstractNum>
  <w:abstractNum w:abstractNumId="23">
    <w:nsid w:val="5577F8E1"/>
    <w:multiLevelType w:val="hybridMultilevel"/>
    <w:lvl w:ilvl="0">
      <w:lvlJc w:val="left"/>
      <w:lvlText w:val="%1)"/>
      <w:numFmt w:val="lowerLetter"/>
      <w:start w:val="3"/>
    </w:lvl>
    <w:lvl w:ilvl="1">
      <w:lvlJc w:val="left"/>
      <w:lvlText w:val="(%2)"/>
      <w:numFmt w:val="lowerRoman"/>
      <w:start w:val="1"/>
    </w:lvl>
    <w:lvl w:ilvl="2">
      <w:lvlJc w:val="left"/>
      <w:lvlText w:val="-"/>
      <w:numFmt w:val="bullet"/>
      <w:start w:val="1"/>
    </w:lvl>
  </w:abstractNum>
  <w:abstractNum w:abstractNumId="24">
    <w:nsid w:val="440BADFC"/>
    <w:multiLevelType w:val="hybridMultilevel"/>
    <w:lvl w:ilvl="0">
      <w:lvlJc w:val="left"/>
      <w:lvlText w:val="(%1)"/>
      <w:numFmt w:val="lowerRoman"/>
    </w:lvl>
    <w:lvl w:ilvl="1">
      <w:lvlJc w:val="left"/>
      <w:lvlText w:val="-"/>
      <w:numFmt w:val="bullet"/>
      <w:start w:val="1"/>
    </w:lvl>
  </w:abstractNum>
  <w:abstractNum w:abstractNumId="25">
    <w:nsid w:val="5072367"/>
    <w:multiLevelType w:val="hybridMultilevel"/>
    <w:lvl w:ilvl="0">
      <w:lvlJc w:val="left"/>
      <w:lvlText w:val="%1."/>
      <w:numFmt w:val="decimal"/>
      <w:start w:val="2"/>
    </w:lvl>
  </w:abstractNum>
  <w:abstractNum w:abstractNumId="26">
    <w:nsid w:val="3804823E"/>
    <w:multiLevelType w:val="hybridMultilevel"/>
    <w:lvl w:ilvl="0">
      <w:lvlJc w:val="left"/>
      <w:lvlText w:val="2.%1."/>
      <w:numFmt w:val="decimal"/>
      <w:start w:val="1"/>
    </w:lvl>
  </w:abstractNum>
  <w:abstractNum w:abstractNumId="27">
    <w:nsid w:val="77465F01"/>
    <w:multiLevelType w:val="hybridMultilevel"/>
    <w:lvl w:ilvl="0">
      <w:lvlJc w:val="left"/>
      <w:lvlText w:val="1"/>
      <w:numFmt w:val="bullet"/>
      <w:start w:val="1"/>
    </w:lvl>
  </w:abstractNum>
  <w:abstractNum w:abstractNumId="28">
    <w:nsid w:val="7724C67E"/>
    <w:multiLevelType w:val="hybridMultilevel"/>
    <w:lvl w:ilvl="0">
      <w:lvlJc w:val="left"/>
      <w:lvlText w:val="4"/>
      <w:numFmt w:val="bullet"/>
      <w:start w:val="1"/>
    </w:lvl>
  </w:abstractNum>
  <w:abstractNum w:abstractNumId="29">
    <w:nsid w:val="5C482A97"/>
    <w:multiLevelType w:val="hybridMultilevel"/>
    <w:lvl w:ilvl="0">
      <w:lvlJc w:val="left"/>
      <w:lvlText w:val="6"/>
      <w:numFmt w:val="bullet"/>
      <w:start w:val="1"/>
    </w:lvl>
  </w:abstractNum>
  <w:abstractNum w:abstractNumId="30">
    <w:nsid w:val="2463B9EA"/>
    <w:multiLevelType w:val="hybridMultilevel"/>
    <w:lvl w:ilvl="0">
      <w:lvlJc w:val="left"/>
      <w:lvlText w:val="7"/>
      <w:numFmt w:val="bullet"/>
      <w:start w:val="1"/>
    </w:lvl>
  </w:abstractNum>
  <w:abstractNum w:abstractNumId="31">
    <w:nsid w:val="5E884ADC"/>
    <w:multiLevelType w:val="hybridMultilevel"/>
    <w:lvl w:ilvl="0">
      <w:lvlJc w:val="left"/>
      <w:lvlText w:val="·"/>
      <w:numFmt w:val="bullet"/>
      <w:start w:val="1"/>
    </w:lvl>
  </w:abstractNum>
  <w:abstractNum w:abstractNumId="32">
    <w:nsid w:val="51EAD36B"/>
    <w:multiLevelType w:val="hybridMultilevel"/>
    <w:lvl w:ilvl="0">
      <w:lvlJc w:val="left"/>
      <w:lvlText w:val="8"/>
      <w:numFmt w:val="bullet"/>
      <w:start w:val="1"/>
    </w:lvl>
  </w:abstractNum>
  <w:abstractNum w:abstractNumId="33">
    <w:nsid w:val="2D517796"/>
    <w:multiLevelType w:val="hybridMultilevel"/>
    <w:lvl w:ilvl="0">
      <w:lvlJc w:val="left"/>
      <w:lvlText w:val="9"/>
      <w:numFmt w:val="bullet"/>
      <w:start w:val="1"/>
    </w:lvl>
  </w:abstractNum>
  <w:abstractNum w:abstractNumId="34">
    <w:nsid w:val="580BD78F"/>
    <w:multiLevelType w:val="hybridMultilevel"/>
    <w:lvl w:ilvl="0">
      <w:lvlJc w:val="left"/>
      <w:lvlText w:val="%1"/>
      <w:numFmt w:val="decimal"/>
      <w:start w:val="11"/>
    </w:lvl>
  </w:abstractNum>
  <w:abstractNum w:abstractNumId="35">
    <w:nsid w:val="153EA438"/>
    <w:multiLevelType w:val="hybridMultilevel"/>
    <w:lvl w:ilvl="0">
      <w:lvlJc w:val="left"/>
      <w:lvlText w:val="%1"/>
      <w:numFmt w:val="decimal"/>
      <w:start w:val="15"/>
    </w:lvl>
  </w:abstractNum>
  <w:abstractNum w:abstractNumId="36">
    <w:nsid w:val="3855585C"/>
    <w:multiLevelType w:val="hybridMultilevel"/>
    <w:lvl w:ilvl="0">
      <w:lvlJc w:val="left"/>
      <w:lvlText w:val="%1"/>
      <w:numFmt w:val="decimal"/>
      <w:start w:val="16"/>
    </w:lvl>
  </w:abstractNum>
  <w:abstractNum w:abstractNumId="37">
    <w:nsid w:val="70A64E2A"/>
    <w:multiLevelType w:val="hybridMultilevel"/>
    <w:lvl w:ilvl="0">
      <w:lvlJc w:val="left"/>
      <w:lvlText w:val="%1."/>
      <w:numFmt w:val="upperLetter"/>
      <w:start w:val="61"/>
    </w:lvl>
  </w:abstractNum>
  <w:abstractNum w:abstractNumId="38">
    <w:nsid w:val="6A2342EC"/>
    <w:multiLevelType w:val="hybridMultilevel"/>
    <w:lvl w:ilvl="0">
      <w:lvlJc w:val="left"/>
      <w:lvlText w:val="(%1)"/>
      <w:numFmt w:val="lowerLetter"/>
      <w:start w:val="1"/>
    </w:lvl>
  </w:abstractNum>
  <w:abstractNum w:abstractNumId="39">
    <w:nsid w:val="2A487CB0"/>
    <w:multiLevelType w:val="hybridMultilevel"/>
    <w:lvl w:ilvl="0">
      <w:lvlJc w:val="left"/>
      <w:lvlText w:val="(%1)"/>
      <w:numFmt w:val="lowerLetter"/>
      <w:start w:val="2"/>
    </w:lvl>
  </w:abstractNum>
  <w:abstractNum w:abstractNumId="40">
    <w:nsid w:val="1D4ED43B"/>
    <w:multiLevelType w:val="hybridMultilevel"/>
    <w:lvl w:ilvl="0">
      <w:lvlJc w:val="left"/>
      <w:lvlText w:val="%1."/>
      <w:numFmt w:val="decimal"/>
      <w:start w:val="1"/>
    </w:lvl>
  </w:abstractNum>
  <w:abstractNum w:abstractNumId="41">
    <w:nsid w:val="725A06FB"/>
    <w:multiLevelType w:val="hybridMultilevel"/>
    <w:lvl w:ilvl="0">
      <w:lvlJc w:val="left"/>
      <w:lvlText w:val="%1."/>
      <w:numFmt w:val="decimal"/>
      <w:start w:val="2"/>
    </w:lvl>
  </w:abstractNum>
  <w:abstractNum w:abstractNumId="42">
    <w:nsid w:val="2CD89A32"/>
    <w:multiLevelType w:val="hybridMultilevel"/>
    <w:lvl w:ilvl="0">
      <w:lvlJc w:val="left"/>
      <w:lvlText w:val="%1."/>
      <w:numFmt w:val="decimal"/>
      <w:start w:val="3"/>
    </w:lvl>
  </w:abstractNum>
  <w:abstractNum w:abstractNumId="43">
    <w:nsid w:val="57E4CCAF"/>
    <w:multiLevelType w:val="hybridMultilevel"/>
    <w:lvl w:ilvl="0">
      <w:lvlJc w:val="left"/>
      <w:lvlText w:val="%1."/>
      <w:numFmt w:val="decimal"/>
      <w:start w:val="4"/>
    </w:lvl>
  </w:abstractNum>
  <w:abstractNum w:abstractNumId="44">
    <w:nsid w:val="7A6D8D3C"/>
    <w:multiLevelType w:val="hybridMultilevel"/>
    <w:lvl w:ilvl="0">
      <w:lvlJc w:val="left"/>
      <w:lvlText w:val="%1."/>
      <w:numFmt w:val="decimal"/>
      <w:start w:val="5"/>
    </w:lvl>
  </w:abstractNum>
  <w:abstractNum w:abstractNumId="45">
    <w:nsid w:val="4B588F54"/>
    <w:multiLevelType w:val="hybridMultilevel"/>
    <w:lvl w:ilvl="0">
      <w:lvlJc w:val="left"/>
      <w:lvlText w:val="%1."/>
      <w:numFmt w:val="decimal"/>
      <w:start w:val="6"/>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jpeg"/><Relationship Id="rId48" Type="http://schemas.openxmlformats.org/officeDocument/2006/relationships/image" Target="media/image41.png"/><Relationship Id="rId49" Type="http://schemas.openxmlformats.org/officeDocument/2006/relationships/image" Target="media/image42.jpe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2023-06-29T08:11:27Z</dcterms:created>
  <dcterms:modified xsi:type="dcterms:W3CDTF">2023-06-29T08:11:27Z</dcterms:modified>
</cp:coreProperties>
</file>