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276860</wp:posOffset>
            </wp:positionH>
            <wp:positionV relativeFrom="page">
              <wp:posOffset>157480</wp:posOffset>
            </wp:positionV>
            <wp:extent cx="6746240" cy="22199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746240" cy="221996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6" w:lineRule="exact"/>
        <w:rPr>
          <w:sz w:val="24"/>
          <w:szCs w:val="24"/>
          <w:color w:val="auto"/>
        </w:rPr>
      </w:pPr>
    </w:p>
    <w:p>
      <w:pPr>
        <w:ind w:left="7960"/>
        <w:spacing w:after="0"/>
        <w:rPr>
          <w:sz w:val="20"/>
          <w:szCs w:val="20"/>
          <w:color w:val="auto"/>
        </w:rPr>
      </w:pPr>
      <w:r>
        <w:rPr>
          <w:rFonts w:ascii="Arial" w:cs="Arial" w:eastAsia="Arial" w:hAnsi="Arial"/>
          <w:sz w:val="18"/>
          <w:szCs w:val="18"/>
          <w:color w:val="auto"/>
        </w:rPr>
        <w:t>October 29, 2021</w:t>
      </w:r>
    </w:p>
    <w:p>
      <w:pPr>
        <w:spacing w:after="0" w:line="333"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By Email and EDGAR</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United States Securities and Exchange Commission,</w:t>
      </w:r>
    </w:p>
    <w:p>
      <w:pPr>
        <w:spacing w:after="0" w:line="23" w:lineRule="exact"/>
        <w:rPr>
          <w:sz w:val="24"/>
          <w:szCs w:val="24"/>
          <w:color w:val="auto"/>
        </w:rPr>
      </w:pPr>
    </w:p>
    <w:p>
      <w:pPr>
        <w:ind w:left="440"/>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ind w:left="980"/>
        <w:spacing w:after="0"/>
        <w:rPr>
          <w:sz w:val="20"/>
          <w:szCs w:val="20"/>
          <w:color w:val="auto"/>
        </w:rPr>
      </w:pPr>
      <w:r>
        <w:rPr>
          <w:rFonts w:ascii="Arial" w:cs="Arial" w:eastAsia="Arial" w:hAnsi="Arial"/>
          <w:sz w:val="18"/>
          <w:szCs w:val="18"/>
          <w:color w:val="auto"/>
        </w:rPr>
        <w:t>Office of Technology,</w:t>
      </w:r>
    </w:p>
    <w:p>
      <w:pPr>
        <w:spacing w:after="0" w:line="9" w:lineRule="exact"/>
        <w:rPr>
          <w:sz w:val="24"/>
          <w:szCs w:val="24"/>
          <w:color w:val="auto"/>
        </w:rPr>
      </w:pPr>
    </w:p>
    <w:p>
      <w:pPr>
        <w:ind w:left="1420"/>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ind w:left="1980"/>
        <w:spacing w:after="0"/>
        <w:rPr>
          <w:sz w:val="20"/>
          <w:szCs w:val="20"/>
          <w:color w:val="auto"/>
        </w:rPr>
      </w:pPr>
      <w:r>
        <w:rPr>
          <w:rFonts w:ascii="Arial" w:cs="Arial" w:eastAsia="Arial" w:hAnsi="Arial"/>
          <w:sz w:val="18"/>
          <w:szCs w:val="18"/>
          <w:color w:val="auto"/>
        </w:rPr>
        <w:t>Washington, D.C. 20549.</w:t>
      </w:r>
    </w:p>
    <w:p>
      <w:pPr>
        <w:spacing w:after="0" w:line="359" w:lineRule="exact"/>
        <w:rPr>
          <w:sz w:val="24"/>
          <w:szCs w:val="24"/>
          <w:color w:val="auto"/>
        </w:rPr>
      </w:pPr>
    </w:p>
    <w:p>
      <w:pPr>
        <w:spacing w:after="0"/>
        <w:tabs>
          <w:tab w:leader="none" w:pos="960" w:val="left"/>
        </w:tabs>
        <w:rPr>
          <w:sz w:val="20"/>
          <w:szCs w:val="20"/>
          <w:color w:val="auto"/>
        </w:rPr>
      </w:pPr>
      <w:r>
        <w:rPr>
          <w:rFonts w:ascii="Arial" w:cs="Arial" w:eastAsia="Arial" w:hAnsi="Arial"/>
          <w:sz w:val="18"/>
          <w:szCs w:val="18"/>
          <w:color w:val="auto"/>
        </w:rPr>
        <w:t>Attention:</w:t>
        <w:tab/>
        <w:t>Joseph Cascarano</w:t>
      </w:r>
    </w:p>
    <w:p>
      <w:pPr>
        <w:spacing w:after="0" w:line="23" w:lineRule="exact"/>
        <w:rPr>
          <w:sz w:val="24"/>
          <w:szCs w:val="24"/>
          <w:color w:val="auto"/>
        </w:rPr>
      </w:pPr>
    </w:p>
    <w:p>
      <w:pPr>
        <w:ind w:left="980"/>
        <w:spacing w:after="0"/>
        <w:rPr>
          <w:sz w:val="20"/>
          <w:szCs w:val="20"/>
          <w:color w:val="auto"/>
        </w:rPr>
      </w:pPr>
      <w:r>
        <w:rPr>
          <w:rFonts w:ascii="Arial" w:cs="Arial" w:eastAsia="Arial" w:hAnsi="Arial"/>
          <w:sz w:val="18"/>
          <w:szCs w:val="18"/>
          <w:color w:val="auto"/>
        </w:rPr>
        <w:t>Robert Littlepage</w:t>
      </w:r>
    </w:p>
    <w:p>
      <w:pPr>
        <w:spacing w:after="0" w:line="9" w:lineRule="exact"/>
        <w:rPr>
          <w:sz w:val="24"/>
          <w:szCs w:val="24"/>
          <w:color w:val="auto"/>
        </w:rPr>
      </w:pPr>
    </w:p>
    <w:p>
      <w:pPr>
        <w:ind w:left="980"/>
        <w:spacing w:after="0"/>
        <w:rPr>
          <w:sz w:val="20"/>
          <w:szCs w:val="20"/>
          <w:color w:val="auto"/>
        </w:rPr>
      </w:pPr>
      <w:r>
        <w:rPr>
          <w:rFonts w:ascii="Arial" w:cs="Arial" w:eastAsia="Arial" w:hAnsi="Arial"/>
          <w:sz w:val="18"/>
          <w:szCs w:val="18"/>
          <w:color w:val="auto"/>
        </w:rPr>
        <w:t>Alexandra Barone</w:t>
      </w:r>
    </w:p>
    <w:p>
      <w:pPr>
        <w:spacing w:after="0" w:line="9" w:lineRule="exact"/>
        <w:rPr>
          <w:sz w:val="24"/>
          <w:szCs w:val="24"/>
          <w:color w:val="auto"/>
        </w:rPr>
      </w:pPr>
    </w:p>
    <w:p>
      <w:pPr>
        <w:ind w:left="980"/>
        <w:spacing w:after="0"/>
        <w:rPr>
          <w:sz w:val="20"/>
          <w:szCs w:val="20"/>
          <w:color w:val="auto"/>
        </w:rPr>
      </w:pPr>
      <w:r>
        <w:rPr>
          <w:rFonts w:ascii="Arial" w:cs="Arial" w:eastAsia="Arial" w:hAnsi="Arial"/>
          <w:sz w:val="18"/>
          <w:szCs w:val="18"/>
          <w:color w:val="auto"/>
        </w:rPr>
        <w:t>Jan Woo</w:t>
      </w:r>
    </w:p>
    <w:p>
      <w:pPr>
        <w:spacing w:after="0" w:line="355" w:lineRule="exact"/>
        <w:rPr>
          <w:sz w:val="24"/>
          <w:szCs w:val="24"/>
          <w:color w:val="auto"/>
        </w:rPr>
      </w:pPr>
    </w:p>
    <w:p>
      <w:pPr>
        <w:ind w:left="1420"/>
        <w:spacing w:after="0"/>
        <w:tabs>
          <w:tab w:leader="none" w:pos="194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8"/>
          <w:szCs w:val="18"/>
          <w:b w:val="1"/>
          <w:bCs w:val="1"/>
          <w:color w:val="auto"/>
        </w:rPr>
        <w:t>Mynaric AG</w:t>
      </w:r>
    </w:p>
    <w:p>
      <w:pPr>
        <w:spacing w:after="0" w:line="27" w:lineRule="exact"/>
        <w:rPr>
          <w:sz w:val="24"/>
          <w:szCs w:val="24"/>
          <w:color w:val="auto"/>
        </w:rPr>
      </w:pPr>
    </w:p>
    <w:p>
      <w:pPr>
        <w:ind w:left="1980"/>
        <w:spacing w:after="0"/>
        <w:rPr>
          <w:sz w:val="20"/>
          <w:szCs w:val="20"/>
          <w:color w:val="auto"/>
        </w:rPr>
      </w:pPr>
      <w:r>
        <w:rPr>
          <w:rFonts w:ascii="Arial" w:cs="Arial" w:eastAsia="Arial" w:hAnsi="Arial"/>
          <w:sz w:val="18"/>
          <w:szCs w:val="18"/>
          <w:b w:val="1"/>
          <w:bCs w:val="1"/>
          <w:color w:val="auto"/>
        </w:rPr>
        <w:t>Registration Statement on Form F-1</w:t>
      </w:r>
    </w:p>
    <w:p>
      <w:pPr>
        <w:spacing w:after="0" w:line="9" w:lineRule="exact"/>
        <w:rPr>
          <w:sz w:val="24"/>
          <w:szCs w:val="24"/>
          <w:color w:val="auto"/>
        </w:rPr>
      </w:pPr>
    </w:p>
    <w:p>
      <w:pPr>
        <w:ind w:left="1980"/>
        <w:spacing w:after="0"/>
        <w:rPr>
          <w:sz w:val="20"/>
          <w:szCs w:val="20"/>
          <w:color w:val="auto"/>
        </w:rPr>
      </w:pPr>
      <w:r>
        <w:rPr>
          <w:rFonts w:ascii="Arial" w:cs="Arial" w:eastAsia="Arial" w:hAnsi="Arial"/>
          <w:sz w:val="18"/>
          <w:szCs w:val="18"/>
          <w:b w:val="1"/>
          <w:bCs w:val="1"/>
          <w:color w:val="auto"/>
        </w:rPr>
        <w:t>Filed on October 19, 2021</w:t>
      </w:r>
    </w:p>
    <w:p>
      <w:pPr>
        <w:spacing w:after="0" w:line="9" w:lineRule="exact"/>
        <w:rPr>
          <w:sz w:val="24"/>
          <w:szCs w:val="24"/>
          <w:color w:val="auto"/>
        </w:rPr>
      </w:pPr>
    </w:p>
    <w:p>
      <w:pPr>
        <w:ind w:left="1980"/>
        <w:spacing w:after="0"/>
        <w:rPr>
          <w:sz w:val="20"/>
          <w:szCs w:val="20"/>
          <w:color w:val="auto"/>
        </w:rPr>
      </w:pPr>
      <w:r>
        <w:rPr>
          <w:rFonts w:ascii="Arial" w:cs="Arial" w:eastAsia="Arial" w:hAnsi="Arial"/>
          <w:sz w:val="18"/>
          <w:szCs w:val="18"/>
          <w:b w:val="1"/>
          <w:bCs w:val="1"/>
          <w:color w:val="auto"/>
        </w:rPr>
        <w:t>File No. 333-260357</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4"/>
          <w:szCs w:val="24"/>
          <w:color w:val="auto"/>
        </w:rPr>
      </w:pPr>
    </w:p>
    <w:p>
      <w:pPr>
        <w:ind w:firstLine="1983"/>
        <w:spacing w:after="0" w:line="296" w:lineRule="auto"/>
        <w:rPr>
          <w:sz w:val="20"/>
          <w:szCs w:val="20"/>
          <w:color w:val="auto"/>
        </w:rPr>
      </w:pPr>
      <w:r>
        <w:rPr>
          <w:rFonts w:ascii="Arial" w:cs="Arial" w:eastAsia="Arial" w:hAnsi="Arial"/>
          <w:sz w:val="16"/>
          <w:szCs w:val="16"/>
          <w:color w:val="auto"/>
        </w:rPr>
        <w:t>Mynaric AG (the “Company”) has filed today, via EDGAR, this letter and Amendment No. 1 to the Registration Statement on Form F-1 (the “Amendment No. 1”) with the staff of the Securities and Exchange Commission. In response to comment no. 1 in your letter dated October 7, 2021 relating to the draft registration statement previously submitted on September 24, 2021, the Company has revised the disclosure in the Amendment No. 1 under the heading Summary Financial Data starting on page 17 and under the heading Management’s Discussion and Analysis of Financial Condition and Results of Operations starting on page 58 as well as the Company’s financial statements included therein.</w:t>
      </w:r>
    </w:p>
    <w:p>
      <w:pPr>
        <w:spacing w:after="0" w:line="166" w:lineRule="exact"/>
        <w:rPr>
          <w:sz w:val="24"/>
          <w:szCs w:val="24"/>
          <w:color w:val="auto"/>
        </w:rPr>
      </w:pPr>
    </w:p>
    <w:p>
      <w:pPr>
        <w:jc w:val="center"/>
        <w:ind w:right="-159"/>
        <w:spacing w:after="0"/>
        <w:rPr>
          <w:sz w:val="20"/>
          <w:szCs w:val="20"/>
          <w:color w:val="auto"/>
        </w:rPr>
      </w:pPr>
      <w:r>
        <w:rPr>
          <w:rFonts w:ascii="Arial" w:cs="Arial" w:eastAsia="Arial" w:hAnsi="Arial"/>
          <w:sz w:val="16"/>
          <w:szCs w:val="16"/>
          <w:color w:val="auto"/>
        </w:rPr>
        <w:t>Sullivan &amp; Cromwell LLP is a registered limited liability partnership established under the laws of the State of New York.</w:t>
      </w:r>
    </w:p>
    <w:p>
      <w:pPr>
        <w:spacing w:after="0" w:line="22" w:lineRule="exact"/>
        <w:rPr>
          <w:sz w:val="24"/>
          <w:szCs w:val="24"/>
          <w:color w:val="auto"/>
        </w:rPr>
      </w:pPr>
    </w:p>
    <w:p>
      <w:pPr>
        <w:jc w:val="center"/>
        <w:ind w:right="-159"/>
        <w:spacing w:after="0"/>
        <w:rPr>
          <w:sz w:val="20"/>
          <w:szCs w:val="20"/>
          <w:color w:val="auto"/>
        </w:rPr>
      </w:pPr>
      <w:r>
        <w:rPr>
          <w:rFonts w:ascii="Arial" w:cs="Arial" w:eastAsia="Arial" w:hAnsi="Arial"/>
          <w:sz w:val="15"/>
          <w:szCs w:val="15"/>
          <w:color w:val="auto"/>
        </w:rPr>
        <w:t>The personal liability of our partners is limited to the extent provided in such laws. Additional information is available upon request or at www.sullcrom.com.</w:t>
      </w:r>
    </w:p>
    <w:p>
      <w:pPr>
        <w:spacing w:after="0" w:line="134" w:lineRule="exact"/>
        <w:rPr>
          <w:sz w:val="24"/>
          <w:szCs w:val="24"/>
          <w:color w:val="auto"/>
        </w:rPr>
      </w:pPr>
    </w:p>
    <w:p>
      <w:pPr>
        <w:jc w:val="center"/>
        <w:ind w:right="-159"/>
        <w:spacing w:after="0"/>
        <w:rPr>
          <w:sz w:val="20"/>
          <w:szCs w:val="20"/>
          <w:color w:val="auto"/>
        </w:rPr>
      </w:pPr>
      <w:r>
        <w:rPr>
          <w:rFonts w:ascii="Arial" w:cs="Arial" w:eastAsia="Arial" w:hAnsi="Arial"/>
          <w:sz w:val="16"/>
          <w:szCs w:val="16"/>
          <w:color w:val="auto"/>
        </w:rPr>
        <w:t>A list of partners’ names is available for inspection at the above address.</w:t>
      </w:r>
    </w:p>
    <w:p>
      <w:pPr>
        <w:sectPr>
          <w:pgSz w:w="11900" w:h="16838" w:orient="portrait"/>
          <w:cols w:equalWidth="0" w:num="1">
            <w:col w:w="10860"/>
          </w:cols>
          <w:pgMar w:left="440" w:top="1440" w:right="599" w:bottom="1440" w:gutter="0" w:footer="0" w:header="0"/>
        </w:sectPr>
      </w:pPr>
    </w:p>
    <w:bookmarkStart w:id="1" w:name="page2"/>
    <w:bookmarkEnd w:id="1"/>
    <w:tbl>
      <w:tblPr>
        <w:tblLayout w:type="fixed"/>
        <w:tblInd w:w="4" w:type="dxa"/>
        <w:tblCellMar>
          <w:top w:w="0" w:type="dxa"/>
          <w:left w:w="0" w:type="dxa"/>
          <w:bottom w:w="0" w:type="dxa"/>
          <w:right w:w="0" w:type="dxa"/>
        </w:tblCellMar>
      </w:tblPr>
      <w:tr>
        <w:trPr>
          <w:trHeight w:val="230"/>
        </w:trPr>
        <w:tc>
          <w:tcPr>
            <w:tcW w:w="6760" w:type="dxa"/>
            <w:vAlign w:val="bottom"/>
          </w:tcPr>
          <w:p>
            <w:pPr>
              <w:spacing w:after="0"/>
              <w:rPr>
                <w:sz w:val="20"/>
                <w:szCs w:val="20"/>
                <w:color w:val="auto"/>
              </w:rPr>
            </w:pPr>
            <w:r>
              <w:rPr>
                <w:rFonts w:ascii="Arial" w:cs="Arial" w:eastAsia="Arial" w:hAnsi="Arial"/>
                <w:sz w:val="18"/>
                <w:szCs w:val="18"/>
                <w:color w:val="auto"/>
              </w:rPr>
              <w:t>Securities and Exchange Commission</w:t>
            </w:r>
          </w:p>
        </w:tc>
        <w:tc>
          <w:tcPr>
            <w:tcW w:w="4260" w:type="dxa"/>
            <w:vAlign w:val="bottom"/>
          </w:tcPr>
          <w:p>
            <w:pPr>
              <w:jc w:val="right"/>
              <w:spacing w:after="0"/>
              <w:rPr>
                <w:sz w:val="20"/>
                <w:szCs w:val="20"/>
                <w:color w:val="auto"/>
              </w:rPr>
            </w:pPr>
            <w:r>
              <w:rPr>
                <w:rFonts w:ascii="Arial" w:cs="Arial" w:eastAsia="Arial" w:hAnsi="Arial"/>
                <w:sz w:val="18"/>
                <w:szCs w:val="18"/>
                <w:color w:val="auto"/>
              </w:rPr>
              <w:t>-2-</w:t>
            </w:r>
          </w:p>
        </w:tc>
      </w:tr>
    </w:tbl>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Division of Corporation Finance</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Office of Technology</w:t>
      </w:r>
    </w:p>
    <w:p>
      <w:pPr>
        <w:spacing w:after="0" w:line="224" w:lineRule="exact"/>
        <w:rPr>
          <w:sz w:val="20"/>
          <w:szCs w:val="20"/>
          <w:color w:val="auto"/>
        </w:rPr>
      </w:pPr>
    </w:p>
    <w:p>
      <w:pPr>
        <w:ind w:left="4" w:right="40" w:firstLine="1983"/>
        <w:spacing w:after="0" w:line="277" w:lineRule="auto"/>
        <w:rPr>
          <w:sz w:val="20"/>
          <w:szCs w:val="20"/>
          <w:color w:val="auto"/>
        </w:rPr>
      </w:pPr>
      <w:r>
        <w:rPr>
          <w:rFonts w:ascii="Arial" w:cs="Arial" w:eastAsia="Arial" w:hAnsi="Arial"/>
          <w:sz w:val="18"/>
          <w:szCs w:val="18"/>
          <w:color w:val="auto"/>
        </w:rPr>
        <w:t>If you would like to discuss any aspect of the Amendment No. 1, please contact Krystian Czerniecki at +49-69-4272-5525 or by email (czernieckik@sullcrom.com). Please send written correspondence relating to this submission by email.</w:t>
      </w:r>
    </w:p>
    <w:p>
      <w:pPr>
        <w:spacing w:after="0" w:line="197"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/s/ Krystian Czerniecki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4200525</wp:posOffset>
            </wp:positionH>
            <wp:positionV relativeFrom="paragraph">
              <wp:posOffset>14605</wp:posOffset>
            </wp:positionV>
            <wp:extent cx="27946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3"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Krystian Czerniecki</w:t>
      </w:r>
    </w:p>
    <w:p>
      <w:pPr>
        <w:spacing w:after="0" w:line="251" w:lineRule="exact"/>
        <w:rPr>
          <w:sz w:val="20"/>
          <w:szCs w:val="20"/>
          <w:color w:val="auto"/>
        </w:rPr>
      </w:pPr>
    </w:p>
    <w:p>
      <w:pPr>
        <w:ind w:left="424" w:hanging="424"/>
        <w:spacing w:after="0"/>
        <w:tabs>
          <w:tab w:leader="none" w:pos="424" w:val="left"/>
        </w:tabs>
        <w:numPr>
          <w:ilvl w:val="0"/>
          <w:numId w:val="1"/>
        </w:numPr>
        <w:rPr>
          <w:rFonts w:ascii="Arial" w:cs="Arial" w:eastAsia="Arial" w:hAnsi="Arial"/>
          <w:sz w:val="18"/>
          <w:szCs w:val="18"/>
          <w:color w:val="auto"/>
        </w:rPr>
      </w:pPr>
      <w:r>
        <w:rPr>
          <w:rFonts w:ascii="Arial" w:cs="Arial" w:eastAsia="Arial" w:hAnsi="Arial"/>
          <w:sz w:val="18"/>
          <w:szCs w:val="18"/>
          <w:color w:val="auto"/>
        </w:rPr>
        <w:t>Bulent Altan, Chief Executive Officer</w:t>
      </w:r>
    </w:p>
    <w:p>
      <w:pPr>
        <w:spacing w:after="0" w:line="23" w:lineRule="exact"/>
        <w:rPr>
          <w:rFonts w:ascii="Arial" w:cs="Arial" w:eastAsia="Arial" w:hAnsi="Arial"/>
          <w:sz w:val="18"/>
          <w:szCs w:val="18"/>
          <w:color w:val="auto"/>
        </w:rPr>
      </w:pPr>
    </w:p>
    <w:p>
      <w:pPr>
        <w:ind w:left="444" w:right="6980"/>
        <w:spacing w:after="0" w:line="255" w:lineRule="auto"/>
        <w:rPr>
          <w:rFonts w:ascii="Arial" w:cs="Arial" w:eastAsia="Arial" w:hAnsi="Arial"/>
          <w:sz w:val="18"/>
          <w:szCs w:val="18"/>
          <w:color w:val="auto"/>
        </w:rPr>
      </w:pPr>
      <w:r>
        <w:rPr>
          <w:rFonts w:ascii="Arial" w:cs="Arial" w:eastAsia="Arial" w:hAnsi="Arial"/>
          <w:sz w:val="18"/>
          <w:szCs w:val="18"/>
          <w:color w:val="auto"/>
        </w:rPr>
        <w:t>Stefan Berndt-von Bülow, Chief Financial Officer Joachim Horwath, Chief Technology Officer (Mynaric AG)</w:t>
      </w:r>
    </w:p>
    <w:p>
      <w:pPr>
        <w:spacing w:after="0" w:line="297" w:lineRule="exact"/>
        <w:rPr>
          <w:rFonts w:ascii="Arial" w:cs="Arial" w:eastAsia="Arial" w:hAnsi="Arial"/>
          <w:sz w:val="18"/>
          <w:szCs w:val="18"/>
          <w:color w:val="auto"/>
        </w:rPr>
      </w:pPr>
    </w:p>
    <w:p>
      <w:pPr>
        <w:ind w:left="444"/>
        <w:spacing w:after="0"/>
        <w:rPr>
          <w:rFonts w:ascii="Arial" w:cs="Arial" w:eastAsia="Arial" w:hAnsi="Arial"/>
          <w:sz w:val="18"/>
          <w:szCs w:val="18"/>
          <w:color w:val="auto"/>
        </w:rPr>
      </w:pPr>
      <w:r>
        <w:rPr>
          <w:rFonts w:ascii="Arial" w:cs="Arial" w:eastAsia="Arial" w:hAnsi="Arial"/>
          <w:sz w:val="18"/>
          <w:szCs w:val="18"/>
          <w:color w:val="auto"/>
        </w:rPr>
        <w:t>Craig F. Arcella</w:t>
      </w:r>
    </w:p>
    <w:p>
      <w:pPr>
        <w:spacing w:after="0" w:line="23" w:lineRule="exact"/>
        <w:rPr>
          <w:rFonts w:ascii="Arial" w:cs="Arial" w:eastAsia="Arial" w:hAnsi="Arial"/>
          <w:sz w:val="18"/>
          <w:szCs w:val="18"/>
          <w:color w:val="auto"/>
        </w:rPr>
      </w:pPr>
    </w:p>
    <w:p>
      <w:pPr>
        <w:ind w:left="444" w:right="8200"/>
        <w:spacing w:after="0" w:line="323" w:lineRule="auto"/>
        <w:rPr>
          <w:rFonts w:ascii="Arial" w:cs="Arial" w:eastAsia="Arial" w:hAnsi="Arial"/>
          <w:sz w:val="18"/>
          <w:szCs w:val="18"/>
          <w:color w:val="auto"/>
        </w:rPr>
      </w:pPr>
      <w:r>
        <w:rPr>
          <w:rFonts w:ascii="Arial" w:cs="Arial" w:eastAsia="Arial" w:hAnsi="Arial"/>
          <w:sz w:val="16"/>
          <w:szCs w:val="16"/>
          <w:color w:val="auto"/>
        </w:rPr>
        <w:t>Sasha Rosenthal-Larrea (Cravath, Swaine &amp; Moore LLP)</w:t>
      </w:r>
    </w:p>
    <w:sectPr>
      <w:pgSz w:w="11900" w:h="16838" w:orient="portrait"/>
      <w:cols w:equalWidth="0" w:num="1">
        <w:col w:w="11024"/>
      </w:cols>
      <w:pgMar w:left="436" w:top="274"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9"/>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2021-12-10T23:09:17Z</dcterms:created>
  <dcterms:modified xsi:type="dcterms:W3CDTF">2021-12-10T23:09:17Z</dcterms:modified>
</cp:coreProperties>
</file>