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Mynaric AG</w:t>
      </w:r>
    </w:p>
    <w:p>
      <w:pPr>
        <w:ind w:left="74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Dornierstra</w:t>
        <w:tab/>
        <w:t>e 19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82205 Gilching, Germany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Mynaric AG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 6,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0001850453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comments. Unless we note otherwise, our references to prior comments are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comments 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July 23, 2021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to prior comment 1. Please include disclosure in the filing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clarifying why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740" w:right="2659" w:hanging="5896"/>
        <w:spacing w:after="0" w:line="235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the company is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 leading developer and manufacturer of laser communication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technology for aerospace communications networks in government and commercial market.</w:t>
      </w:r>
    </w:p>
    <w:p>
      <w:pPr>
        <w:spacing w:after="0"/>
        <w:tabs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this may be based on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production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volume in comparison to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competitors or its admittance to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Space Technology Hall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Fame.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ind w:left="12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</w:t>
        <w:tab/>
        <w:t>LastNameStefan Berndt-von B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Mynaric AG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  <w:tab/>
        <w:t>17, NameMynaric</w:t>
      </w:r>
    </w:p>
    <w:p>
      <w:pPr>
        <w:ind w:left="1280"/>
        <w:spacing w:after="0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spacing w:after="0" w:line="828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4000" w:space="220"/>
            <w:col w:w="591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2 17, 2021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Factors Affecting Our Results of Operations, page 59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7. Please revise to include the total number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for each period presented, including the number of government customers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versus commercial customers. To the extent the company has only entered into several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customer contracts, please disclose the material terms of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contracts. Further,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that the company did not generate any revenue by sales to governmental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 directly and through the company s partners for all periods presented.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551-3376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Robert Littlepage, Accounting Branch Chief, at (202) 551-3361 if you have questions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comments on the financial statements and related matters. Please contact Alexandra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Barone, Staff Attorney, at (202) 551-8816 or Jan Woo, Legal Branch Chief, at (202) 551-3453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Krystian Czerniecki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2022-03-08T21:48:37Z</dcterms:created>
  <dcterms:modified xsi:type="dcterms:W3CDTF">2022-03-08T21:48:37Z</dcterms:modified>
</cp:coreProperties>
</file>