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 OR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24130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Registrant’s name</w:t>
      </w:r>
      <w:r>
        <w:rPr>
          <w:rFonts w:ascii="Arial" w:cs="Arial" w:eastAsia="Arial" w:hAnsi="Arial"/>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Dornierstraße 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 (0) 8105 79990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Address of principal executive offices</w:t>
      </w:r>
      <w:r>
        <w:rPr>
          <w:rFonts w:ascii="Arial" w:cs="Arial" w:eastAsia="Arial" w:hAnsi="Arial"/>
          <w:sz w:val="18"/>
          <w:szCs w:val="18"/>
          <w:color w:val="auto"/>
        </w:rPr>
        <w:t>)</w:t>
      </w: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Indicate by check mark whether the registrant files or will file annual reports under cover Form 20</w:t>
      </w:r>
      <w:r>
        <w:rPr>
          <w:rFonts w:ascii="MS PGothic" w:cs="MS PGothic" w:eastAsia="MS PGothic" w:hAnsi="MS PGothic"/>
          <w:sz w:val="17"/>
          <w:szCs w:val="17"/>
          <w:color w:val="auto"/>
        </w:rPr>
        <w:t>‑</w:t>
      </w:r>
      <w:r>
        <w:rPr>
          <w:rFonts w:ascii="Arial" w:cs="Arial" w:eastAsia="Arial" w:hAnsi="Arial"/>
          <w:sz w:val="17"/>
          <w:szCs w:val="17"/>
          <w:color w:val="auto"/>
        </w:rPr>
        <w:t>F or Form 40</w:t>
      </w:r>
      <w:r>
        <w:rPr>
          <w:rFonts w:ascii="MS PGothic" w:cs="MS PGothic" w:eastAsia="MS PGothic" w:hAnsi="MS PGothic"/>
          <w:sz w:val="17"/>
          <w:szCs w:val="17"/>
          <w:color w:val="auto"/>
        </w:rPr>
        <w:t>‑</w:t>
      </w:r>
      <w:r>
        <w:rPr>
          <w:rFonts w:ascii="Arial" w:cs="Arial" w:eastAsia="Arial" w:hAnsi="Arial"/>
          <w:sz w:val="17"/>
          <w:szCs w:val="17"/>
          <w:color w:val="auto"/>
        </w:rPr>
        <w:t>F: Form 20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w:t>
      </w:r>
      <w:r>
        <w:rPr>
          <w:rFonts w:ascii="MS PGothic" w:cs="MS PGothic" w:eastAsia="MS PGothic" w:hAnsi="MS PGothic"/>
          <w:sz w:val="17"/>
          <w:szCs w:val="17"/>
          <w:color w:val="auto"/>
        </w:rPr>
        <w:t>‑</w:t>
      </w:r>
      <w:r>
        <w:rPr>
          <w:rFonts w:ascii="Arial" w:cs="Arial" w:eastAsia="Arial" w:hAnsi="Arial"/>
          <w:sz w:val="17"/>
          <w:szCs w:val="17"/>
          <w:color w:val="auto"/>
        </w:rPr>
        <w:t xml:space="preserve">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if the registrant is submitting the Form 6</w:t>
      </w:r>
      <w:r>
        <w:rPr>
          <w:rFonts w:ascii="MS PGothic" w:cs="MS PGothic" w:eastAsia="MS PGothic" w:hAnsi="MS PGothic"/>
          <w:sz w:val="18"/>
          <w:szCs w:val="18"/>
          <w:color w:val="auto"/>
        </w:rPr>
        <w:t>‑</w:t>
      </w:r>
      <w:r>
        <w:rPr>
          <w:rFonts w:ascii="Arial" w:cs="Arial" w:eastAsia="Arial" w:hAnsi="Arial"/>
          <w:sz w:val="18"/>
          <w:szCs w:val="18"/>
          <w:color w:val="auto"/>
        </w:rPr>
        <w:t>K in paper as permitted by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On November 2, 2023, Mynaric AG issued an ad-hoc news. A copy of the Ad-hoc News is furnished as Exhibit 99.1.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340" w:type="dxa"/>
            <w:vAlign w:val="bottom"/>
            <w:gridSpan w:val="2"/>
          </w:tcPr>
          <w:p>
            <w:pPr>
              <w:jc w:val="right"/>
              <w:ind w:right="3280"/>
              <w:spacing w:after="0"/>
              <w:rPr>
                <w:sz w:val="20"/>
                <w:szCs w:val="20"/>
                <w:color w:val="auto"/>
              </w:rPr>
            </w:pPr>
            <w:r>
              <w:rPr>
                <w:rFonts w:ascii="Arial" w:cs="Arial" w:eastAsia="Arial" w:hAnsi="Arial"/>
                <w:sz w:val="18"/>
                <w:szCs w:val="18"/>
                <w:b w:val="1"/>
                <w:bCs w:val="1"/>
                <w:color w:val="auto"/>
              </w:rPr>
              <w:t>DOCUMENTS INCLUDED AS PART OF THIS FORM 6-K</w:t>
            </w:r>
          </w:p>
        </w:tc>
      </w:tr>
      <w:tr>
        <w:trPr>
          <w:trHeight w:val="432"/>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100" w:type="dxa"/>
            <w:vAlign w:val="bottom"/>
          </w:tcPr>
          <w:p>
            <w:pPr>
              <w:spacing w:after="0"/>
              <w:rPr>
                <w:sz w:val="24"/>
                <w:szCs w:val="24"/>
                <w:color w:val="auto"/>
              </w:rPr>
            </w:pPr>
          </w:p>
        </w:tc>
        <w:tc>
          <w:tcPr>
            <w:tcW w:w="10340" w:type="dxa"/>
            <w:vAlign w:val="bottom"/>
            <w:tcBorders>
              <w:bottom w:val="single" w:sz="8" w:color="auto"/>
            </w:tcBorders>
            <w:gridSpan w:val="2"/>
          </w:tcPr>
          <w:p>
            <w:pPr>
              <w:jc w:val="right"/>
              <w:ind w:right="8740"/>
              <w:spacing w:after="0"/>
              <w:rPr>
                <w:sz w:val="20"/>
                <w:szCs w:val="20"/>
                <w:color w:val="auto"/>
              </w:rPr>
            </w:pPr>
            <w:r>
              <w:rPr>
                <w:rFonts w:ascii="Arial" w:cs="Arial" w:eastAsia="Arial" w:hAnsi="Arial"/>
                <w:sz w:val="18"/>
                <w:szCs w:val="18"/>
                <w:color w:val="auto"/>
                <w:w w:val="93"/>
              </w:rPr>
              <w:t>Description of Exhibit</w:t>
            </w:r>
          </w:p>
        </w:tc>
      </w:tr>
      <w:tr>
        <w:trPr>
          <w:trHeight w:val="169"/>
        </w:trPr>
        <w:tc>
          <w:tcPr>
            <w:tcW w:w="800" w:type="dxa"/>
            <w:vAlign w:val="bottom"/>
            <w:gridSpan w:val="2"/>
            <w:shd w:val="clear" w:color="auto" w:fill="CCEEFF"/>
          </w:tcPr>
          <w:p>
            <w:pPr>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00" w:type="dxa"/>
            <w:vAlign w:val="bottom"/>
            <w:shd w:val="clear" w:color="auto" w:fill="CCEEFF"/>
          </w:tcPr>
          <w:p>
            <w:pPr>
              <w:spacing w:after="0"/>
              <w:rPr>
                <w:sz w:val="14"/>
                <w:szCs w:val="14"/>
                <w:color w:val="auto"/>
              </w:rPr>
            </w:pPr>
          </w:p>
        </w:tc>
        <w:tc>
          <w:tcPr>
            <w:tcW w:w="10340" w:type="dxa"/>
            <w:vAlign w:val="bottom"/>
            <w:gridSpan w:val="2"/>
            <w:shd w:val="clear" w:color="auto" w:fill="CCEEFF"/>
          </w:tcPr>
          <w:p>
            <w:pPr>
              <w:jc w:val="right"/>
              <w:ind w:right="5580"/>
              <w:spacing w:after="0" w:line="169" w:lineRule="exact"/>
              <w:rPr>
                <w:sz w:val="20"/>
                <w:szCs w:val="20"/>
                <w:color w:val="auto"/>
              </w:rPr>
            </w:pPr>
            <w:r>
              <w:rPr>
                <w:rFonts w:ascii="Arial" w:cs="Arial" w:eastAsia="Arial" w:hAnsi="Arial"/>
                <w:sz w:val="18"/>
                <w:szCs w:val="18"/>
                <w:color w:val="0000EE"/>
                <w:w w:val="92"/>
              </w:rPr>
              <w:t>Mynaric receives US-$ 25 million order from Northrop Grumman</w:t>
            </w:r>
          </w:p>
        </w:tc>
      </w:tr>
      <w:tr>
        <w:trPr>
          <w:trHeight w:val="20"/>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760" w:type="dxa"/>
            <w:vAlign w:val="bottom"/>
            <w:tcBorders>
              <w:top w:val="single" w:sz="8" w:color="0000EE"/>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r>
      <w:tr>
        <w:trPr>
          <w:trHeight w:val="648"/>
        </w:trPr>
        <w:tc>
          <w:tcPr>
            <w:tcW w:w="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gridSpan w:val="2"/>
          </w:tcPr>
          <w:p>
            <w:pPr>
              <w:jc w:val="right"/>
              <w:ind w:right="5580"/>
              <w:spacing w:after="0"/>
              <w:rPr>
                <w:sz w:val="20"/>
                <w:szCs w:val="20"/>
                <w:color w:val="auto"/>
              </w:rPr>
            </w:pPr>
            <w:r>
              <w:rPr>
                <w:rFonts w:ascii="Arial" w:cs="Arial" w:eastAsia="Arial" w:hAnsi="Arial"/>
                <w:sz w:val="18"/>
                <w:szCs w:val="18"/>
                <w:color w:val="auto"/>
              </w:rPr>
              <w:t>3</w:t>
            </w:r>
          </w:p>
        </w:tc>
      </w:tr>
    </w:tbl>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jc w:val="both"/>
        <w:ind w:firstLine="6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Mynaric AG</w:t>
      </w:r>
    </w:p>
    <w:p>
      <w:pPr>
        <w:spacing w:after="0" w:line="229"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Stefan Berndt-von Bülow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457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Name: Stefan Berndt-von Bülow</w:t>
      </w:r>
    </w:p>
    <w:p>
      <w:pPr>
        <w:spacing w:after="0" w:line="23" w:lineRule="exact"/>
        <w:rPr>
          <w:sz w:val="24"/>
          <w:szCs w:val="24"/>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By /s/ Felix Hacke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3853815</wp:posOffset>
            </wp:positionH>
            <wp:positionV relativeFrom="paragraph">
              <wp:posOffset>14605</wp:posOffset>
            </wp:positionV>
            <wp:extent cx="2545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4"/>
          <w:szCs w:val="24"/>
          <w:color w:val="auto"/>
        </w:rPr>
      </w:pPr>
    </w:p>
    <w:p>
      <w:pPr>
        <w:ind w:left="6060"/>
        <w:spacing w:after="0"/>
        <w:rPr>
          <w:sz w:val="20"/>
          <w:szCs w:val="20"/>
          <w:color w:val="auto"/>
        </w:rPr>
      </w:pPr>
      <w:r>
        <w:rPr>
          <w:rFonts w:ascii="Arial" w:cs="Arial" w:eastAsia="Arial" w:hAnsi="Arial"/>
          <w:sz w:val="18"/>
          <w:szCs w:val="18"/>
          <w:color w:val="auto"/>
        </w:rPr>
        <w:t>Name: Felix Hacke</w:t>
      </w:r>
    </w:p>
    <w:p>
      <w:pPr>
        <w:spacing w:after="0" w:line="23" w:lineRule="exact"/>
        <w:rPr>
          <w:sz w:val="24"/>
          <w:szCs w:val="24"/>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Date: November 2, 2023</w:t>
      </w:r>
    </w:p>
    <w:p>
      <w:pPr>
        <w:sectPr>
          <w:pgSz w:w="11900" w:h="16838" w:orient="portrait"/>
          <w:cols w:equalWidth="0" w:num="1">
            <w:col w:w="11240"/>
          </w:cols>
          <w:pgMar w:left="320" w:top="891"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2" w:name="page3"/>
    <w:bookmarkEnd w:id="2"/>
    <w:p>
      <w:pPr>
        <w:ind w:left="10120"/>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Mynaric receives US-$ 25 million order from Northrop Grumman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Munich, 02 November 2023 </w:t>
      </w:r>
      <w:r>
        <w:rPr>
          <w:rFonts w:ascii="Arial" w:cs="Arial" w:eastAsia="Arial" w:hAnsi="Arial"/>
          <w:sz w:val="18"/>
          <w:szCs w:val="18"/>
          <w:color w:val="auto"/>
        </w:rPr>
        <w:t>– Mynaric (NASDAQ: MYNA)(FRA: M0YN) has today entered into a definitive agreement with Northrop Grumman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optical communication terminals in the framework of the U.S. government’s Space Development Agency Tranche 2 Transport Layer-Beta space vehicles program. The contract with a value of around US-$ 25 million foresees payment milestones starting in 2023 and continuing throughout 2024 and 2025 with product deliveries beginning in 2024 and continuing until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Mynaric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Mynaric (NASDAQ: MYNA) (FRA: M0Y)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visitmynaric.com.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2023-11-02T07:56:46Z</dcterms:created>
  <dcterms:modified xsi:type="dcterms:W3CDTF">2023-11-02T07:56:46Z</dcterms:modified>
</cp:coreProperties>
</file>